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2EAB6">
      <w:pPr>
        <w:keepNext w:val="0"/>
        <w:keepLines w:val="0"/>
        <w:widowControl w:val="0"/>
        <w:suppressLineNumbers w:val="0"/>
        <w:adjustRightInd w:val="0"/>
        <w:snapToGrid w:val="0"/>
        <w:spacing w:before="0" w:beforeAutospacing="0" w:after="0" w:afterAutospacing="0"/>
        <w:ind w:left="420" w:leftChars="0" w:right="0" w:firstLine="420" w:firstLineChars="0"/>
        <w:jc w:val="center"/>
        <w:outlineLvl w:val="0"/>
        <w:rPr>
          <w:rFonts w:hint="eastAsia" w:ascii="宋体" w:hAnsi="宋体" w:eastAsia="宋体" w:cs="宋体"/>
          <w:b/>
          <w:bCs w:val="0"/>
          <w:color w:val="000000"/>
          <w:kern w:val="2"/>
          <w:sz w:val="72"/>
          <w:szCs w:val="72"/>
          <w:lang w:val="en-US" w:eastAsia="zh-CN" w:bidi="ar"/>
        </w:rPr>
      </w:pPr>
      <w:bookmarkStart w:id="0" w:name="_Toc15987"/>
    </w:p>
    <w:p w14:paraId="1CDE4339">
      <w:pPr>
        <w:keepNext w:val="0"/>
        <w:keepLines w:val="0"/>
        <w:widowControl w:val="0"/>
        <w:suppressLineNumbers w:val="0"/>
        <w:adjustRightInd w:val="0"/>
        <w:snapToGrid w:val="0"/>
        <w:spacing w:before="0" w:beforeAutospacing="0" w:after="0" w:afterAutospacing="0"/>
        <w:ind w:left="0" w:right="0"/>
        <w:jc w:val="center"/>
        <w:outlineLvl w:val="0"/>
        <w:rPr>
          <w:rFonts w:hint="eastAsia" w:ascii="宋体" w:hAnsi="宋体" w:eastAsia="宋体" w:cs="宋体"/>
          <w:b/>
          <w:bCs w:val="0"/>
          <w:color w:val="000000"/>
          <w:kern w:val="2"/>
          <w:sz w:val="72"/>
          <w:szCs w:val="72"/>
          <w:lang w:val="en-US" w:eastAsia="zh-CN" w:bidi="ar"/>
        </w:rPr>
      </w:pPr>
    </w:p>
    <w:p w14:paraId="055A053F">
      <w:pPr>
        <w:keepNext w:val="0"/>
        <w:keepLines w:val="0"/>
        <w:widowControl w:val="0"/>
        <w:suppressLineNumbers w:val="0"/>
        <w:adjustRightInd w:val="0"/>
        <w:snapToGrid w:val="0"/>
        <w:spacing w:before="0" w:beforeAutospacing="0" w:after="0" w:afterAutospacing="0"/>
        <w:ind w:left="0" w:right="0"/>
        <w:jc w:val="center"/>
        <w:outlineLvl w:val="0"/>
        <w:rPr>
          <w:rFonts w:hint="eastAsia" w:ascii="Times New Roman" w:hAnsi="Times New Roman" w:eastAsia="宋体" w:cs="Times New Roman"/>
          <w:b/>
          <w:bCs w:val="0"/>
          <w:color w:val="000000"/>
          <w:kern w:val="2"/>
          <w:sz w:val="72"/>
          <w:szCs w:val="72"/>
        </w:rPr>
      </w:pPr>
      <w:bookmarkStart w:id="1" w:name="_Toc14514"/>
      <w:bookmarkStart w:id="2" w:name="_Toc31980"/>
      <w:r>
        <w:rPr>
          <w:rFonts w:hint="eastAsia" w:ascii="宋体" w:hAnsi="宋体" w:eastAsia="宋体" w:cs="宋体"/>
          <w:b/>
          <w:bCs w:val="0"/>
          <w:color w:val="000000"/>
          <w:kern w:val="2"/>
          <w:sz w:val="72"/>
          <w:szCs w:val="72"/>
          <w:lang w:val="en-US" w:eastAsia="zh-CN" w:bidi="ar"/>
        </w:rPr>
        <w:t>建设项目环境影响报告表</w:t>
      </w:r>
      <w:bookmarkEnd w:id="1"/>
      <w:bookmarkEnd w:id="2"/>
    </w:p>
    <w:p w14:paraId="0DEE5E0F">
      <w:pPr>
        <w:keepNext w:val="0"/>
        <w:keepLines w:val="0"/>
        <w:widowControl w:val="0"/>
        <w:suppressLineNumbers w:val="0"/>
        <w:adjustRightInd w:val="0"/>
        <w:snapToGrid w:val="0"/>
        <w:spacing w:before="192" w:beforeLines="80" w:beforeAutospacing="0" w:after="0" w:afterAutospacing="0"/>
        <w:ind w:left="0" w:right="0"/>
        <w:jc w:val="center"/>
        <w:rPr>
          <w:rFonts w:hint="default" w:ascii="Times New Roman" w:hAnsi="Times New Roman" w:eastAsia="楷体_GB2312" w:cs="Times New Roman"/>
          <w:bCs/>
          <w:color w:val="000000"/>
          <w:kern w:val="2"/>
          <w:sz w:val="48"/>
          <w:szCs w:val="48"/>
        </w:rPr>
      </w:pPr>
      <w:r>
        <w:rPr>
          <w:rFonts w:hint="default" w:ascii="楷体_GB2312" w:hAnsi="Times New Roman" w:eastAsia="楷体_GB2312" w:cs="楷体_GB2312"/>
          <w:bCs/>
          <w:color w:val="000000"/>
          <w:kern w:val="2"/>
          <w:sz w:val="48"/>
          <w:szCs w:val="48"/>
          <w:lang w:val="en-US" w:eastAsia="zh-CN" w:bidi="ar"/>
        </w:rPr>
        <w:t>（污染影响类）</w:t>
      </w:r>
    </w:p>
    <w:p w14:paraId="24E8186B">
      <w:pPr>
        <w:keepNext w:val="0"/>
        <w:keepLines w:val="0"/>
        <w:widowControl w:val="0"/>
        <w:suppressLineNumbers w:val="0"/>
        <w:adjustRightInd w:val="0"/>
        <w:snapToGrid w:val="0"/>
        <w:spacing w:before="192" w:beforeLines="80" w:beforeAutospacing="0" w:after="0" w:afterAutospacing="0"/>
        <w:ind w:left="0" w:right="0"/>
        <w:jc w:val="center"/>
        <w:rPr>
          <w:rFonts w:hint="default" w:ascii="Times New Roman" w:hAnsi="Times New Roman" w:eastAsia="楷体_GB2312" w:cs="Times New Roman"/>
          <w:bCs/>
          <w:color w:val="000000"/>
          <w:kern w:val="2"/>
          <w:sz w:val="48"/>
          <w:szCs w:val="48"/>
        </w:rPr>
      </w:pPr>
      <w:r>
        <w:rPr>
          <w:rFonts w:hint="default" w:ascii="Times New Roman" w:hAnsi="Times New Roman" w:eastAsia="楷体_GB2312" w:cs="Times New Roman"/>
          <w:bCs/>
          <w:color w:val="000000"/>
          <w:kern w:val="2"/>
          <w:sz w:val="48"/>
          <w:szCs w:val="48"/>
          <w:lang w:val="en-US" w:eastAsia="zh-CN" w:bidi="ar"/>
        </w:rPr>
        <w:t xml:space="preserve"> </w:t>
      </w:r>
    </w:p>
    <w:p w14:paraId="38B393EE">
      <w:pPr>
        <w:keepNext w:val="0"/>
        <w:keepLines w:val="0"/>
        <w:widowControl w:val="0"/>
        <w:suppressLineNumbers w:val="0"/>
        <w:adjustRightInd w:val="0"/>
        <w:snapToGrid w:val="0"/>
        <w:spacing w:before="0" w:beforeAutospacing="0" w:after="0" w:afterAutospacing="0" w:line="288" w:lineRule="auto"/>
        <w:ind w:left="0" w:right="0"/>
        <w:jc w:val="center"/>
        <w:outlineLvl w:val="0"/>
        <w:rPr>
          <w:rFonts w:hint="default" w:ascii="Times New Roman" w:hAnsi="Times New Roman" w:eastAsia="华文仿宋" w:cs="Times New Roman"/>
          <w:color w:val="000000"/>
          <w:kern w:val="44"/>
          <w:sz w:val="44"/>
          <w:szCs w:val="44"/>
        </w:rPr>
      </w:pPr>
      <w:r>
        <w:rPr>
          <w:rFonts w:hint="default" w:ascii="Times New Roman" w:hAnsi="Times New Roman" w:eastAsia="华文仿宋" w:cs="Times New Roman"/>
          <w:color w:val="000000"/>
          <w:kern w:val="44"/>
          <w:sz w:val="44"/>
          <w:szCs w:val="44"/>
          <w:lang w:val="en-US" w:eastAsia="zh-CN" w:bidi="ar"/>
        </w:rPr>
        <w:t xml:space="preserve"> </w:t>
      </w:r>
    </w:p>
    <w:p w14:paraId="44D71C71">
      <w:pPr>
        <w:keepNext w:val="0"/>
        <w:keepLines w:val="0"/>
        <w:widowControl w:val="0"/>
        <w:suppressLineNumbers w:val="0"/>
        <w:spacing w:before="0" w:beforeAutospacing="0" w:after="0" w:afterAutospacing="0"/>
        <w:ind w:left="0" w:right="0"/>
        <w:jc w:val="center"/>
        <w:rPr>
          <w:rFonts w:hint="default" w:ascii="Times New Roman" w:hAnsi="Times New Roman" w:eastAsia="仿宋" w:cs="Times New Roman"/>
          <w:color w:val="000000"/>
          <w:kern w:val="2"/>
          <w:sz w:val="52"/>
          <w:szCs w:val="52"/>
        </w:rPr>
      </w:pPr>
      <w:r>
        <w:rPr>
          <w:rFonts w:hint="default" w:ascii="Times New Roman" w:hAnsi="Times New Roman" w:eastAsia="仿宋" w:cs="Times New Roman"/>
          <w:color w:val="000000"/>
          <w:kern w:val="2"/>
          <w:sz w:val="52"/>
          <w:szCs w:val="52"/>
          <w:lang w:val="en-US" w:eastAsia="zh-CN" w:bidi="ar"/>
        </w:rPr>
        <w:t xml:space="preserve"> </w:t>
      </w:r>
    </w:p>
    <w:p w14:paraId="4582367F">
      <w:pPr>
        <w:keepNext w:val="0"/>
        <w:keepLines w:val="0"/>
        <w:widowControl w:val="0"/>
        <w:suppressLineNumbers w:val="0"/>
        <w:spacing w:before="0" w:beforeAutospacing="0" w:after="0" w:afterAutospacing="0"/>
        <w:ind w:left="0" w:right="0"/>
        <w:jc w:val="both"/>
        <w:rPr>
          <w:rFonts w:hint="default" w:ascii="Times New Roman" w:hAnsi="Times New Roman" w:eastAsia="仿宋" w:cs="Times New Roman"/>
          <w:color w:val="000000"/>
          <w:kern w:val="2"/>
          <w:sz w:val="44"/>
          <w:szCs w:val="44"/>
          <w:lang w:val="en-US"/>
        </w:rPr>
      </w:pPr>
      <w:r>
        <w:rPr>
          <w:rFonts w:hint="default" w:ascii="Times New Roman" w:hAnsi="Times New Roman" w:eastAsia="仿宋" w:cs="Times New Roman"/>
          <w:color w:val="000000"/>
          <w:kern w:val="2"/>
          <w:sz w:val="44"/>
          <w:szCs w:val="44"/>
          <w:lang w:val="en-US" w:eastAsia="zh-CN" w:bidi="ar"/>
        </w:rPr>
        <w:t xml:space="preserve"> </w:t>
      </w:r>
      <w:r>
        <w:rPr>
          <w:rFonts w:hint="eastAsia" w:eastAsia="仿宋" w:cs="Times New Roman"/>
          <w:color w:val="000000"/>
          <w:kern w:val="2"/>
          <w:sz w:val="44"/>
          <w:szCs w:val="44"/>
          <w:lang w:val="en-US" w:eastAsia="zh-CN" w:bidi="ar"/>
        </w:rPr>
        <w:tab/>
      </w:r>
    </w:p>
    <w:p w14:paraId="226A62A7">
      <w:pPr>
        <w:keepNext w:val="0"/>
        <w:keepLines w:val="0"/>
        <w:widowControl w:val="0"/>
        <w:suppressLineNumbers w:val="0"/>
        <w:spacing w:before="0" w:beforeAutospacing="0" w:after="0" w:afterAutospacing="0"/>
        <w:ind w:right="0"/>
        <w:jc w:val="both"/>
        <w:rPr>
          <w:rFonts w:hint="default" w:ascii="Times New Roman" w:hAnsi="Times New Roman" w:eastAsia="仿宋" w:cs="Times New Roman"/>
          <w:color w:val="000000"/>
          <w:kern w:val="2"/>
          <w:sz w:val="44"/>
          <w:szCs w:val="44"/>
        </w:rPr>
      </w:pPr>
    </w:p>
    <w:p w14:paraId="28C6CB31">
      <w:pPr>
        <w:pStyle w:val="23"/>
        <w:keepNext w:val="0"/>
        <w:keepLines w:val="0"/>
        <w:widowControl/>
        <w:suppressLineNumbers w:val="0"/>
        <w:adjustRightInd w:val="0"/>
        <w:snapToGrid w:val="0"/>
        <w:spacing w:before="100" w:beforeAutospacing="1" w:after="100" w:afterAutospacing="1" w:line="400" w:lineRule="exact"/>
        <w:ind w:left="13" w:leftChars="6" w:right="57" w:firstLine="480" w:firstLineChars="200"/>
        <w:jc w:val="both"/>
        <w:rPr>
          <w:rFonts w:hint="eastAsia" w:ascii="Times New Roman" w:hAnsi="Times New Roman" w:eastAsia="宋体" w:cs="Times New Roman"/>
          <w:color w:val="000000"/>
          <w:kern w:val="2"/>
          <w:sz w:val="24"/>
          <w:szCs w:val="24"/>
        </w:rPr>
      </w:pPr>
      <w:r>
        <w:rPr>
          <w:rFonts w:hint="eastAsia" w:ascii="Times New Roman" w:hAnsi="Times New Roman" w:eastAsia="宋体" w:cs="Times New Roman"/>
          <w:color w:val="000000"/>
          <w:kern w:val="2"/>
          <w:sz w:val="24"/>
          <w:szCs w:val="24"/>
          <w:lang w:val="en-US" w:eastAsia="zh-CN" w:bidi="ar"/>
        </w:rPr>
        <w:tab/>
      </w:r>
    </w:p>
    <w:p w14:paraId="658849FF">
      <w:pPr>
        <w:pStyle w:val="23"/>
        <w:keepNext w:val="0"/>
        <w:keepLines w:val="0"/>
        <w:widowControl/>
        <w:suppressLineNumbers w:val="0"/>
        <w:adjustRightInd w:val="0"/>
        <w:snapToGrid w:val="0"/>
        <w:spacing w:before="100" w:beforeAutospacing="1" w:after="100" w:afterAutospacing="1" w:line="400" w:lineRule="exact"/>
        <w:ind w:left="13" w:leftChars="6" w:right="57"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 xml:space="preserve"> </w:t>
      </w:r>
    </w:p>
    <w:p w14:paraId="376C16FD">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 xml:space="preserve"> </w:t>
      </w:r>
    </w:p>
    <w:p w14:paraId="7FCAED9B">
      <w:pPr>
        <w:pStyle w:val="23"/>
        <w:keepNext w:val="0"/>
        <w:keepLines w:val="0"/>
        <w:widowControl/>
        <w:suppressLineNumbers w:val="0"/>
        <w:adjustRightInd w:val="0"/>
        <w:snapToGrid w:val="0"/>
        <w:spacing w:before="100" w:beforeAutospacing="1" w:after="100" w:afterAutospacing="1" w:line="400" w:lineRule="exact"/>
        <w:ind w:left="13" w:leftChars="6" w:right="57"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 xml:space="preserve"> </w:t>
      </w:r>
    </w:p>
    <w:p w14:paraId="49751A39">
      <w:pPr>
        <w:keepNext w:val="0"/>
        <w:keepLines w:val="0"/>
        <w:widowControl w:val="0"/>
        <w:suppressLineNumbers w:val="0"/>
        <w:adjustRightInd w:val="0"/>
        <w:snapToGrid w:val="0"/>
        <w:spacing w:before="0" w:beforeAutospacing="0" w:after="0" w:afterAutospacing="0" w:line="360" w:lineRule="auto"/>
        <w:ind w:left="2156" w:leftChars="0" w:right="0" w:hanging="2156" w:hangingChars="599"/>
        <w:jc w:val="both"/>
        <w:rPr>
          <w:rFonts w:hint="default" w:ascii="Times New Roman" w:hAnsi="Times New Roman" w:eastAsia="仿宋_GB2312" w:cs="Times New Roman"/>
          <w:color w:val="000000"/>
          <w:kern w:val="2"/>
          <w:sz w:val="36"/>
          <w:szCs w:val="36"/>
          <w:u w:val="single"/>
          <w:lang w:val="en-US"/>
        </w:rPr>
      </w:pPr>
      <w:r>
        <w:rPr>
          <w:rFonts w:hint="default" w:ascii="仿宋_GB2312" w:hAnsi="Times New Roman" w:eastAsia="仿宋_GB2312" w:cs="仿宋_GB2312"/>
          <w:color w:val="000000"/>
          <w:kern w:val="2"/>
          <w:sz w:val="36"/>
          <w:szCs w:val="36"/>
          <w:lang w:val="en-US" w:eastAsia="zh-CN" w:bidi="ar"/>
        </w:rPr>
        <w:t>项目名称：</w:t>
      </w:r>
      <w:r>
        <w:rPr>
          <w:rFonts w:hint="default" w:ascii="Times New Roman" w:hAnsi="Times New Roman" w:eastAsia="仿宋_GB2312" w:cs="Times New Roman"/>
          <w:color w:val="000000"/>
          <w:kern w:val="2"/>
          <w:sz w:val="36"/>
          <w:szCs w:val="36"/>
          <w:u w:val="single"/>
          <w:lang w:val="en-US" w:eastAsia="zh-CN" w:bidi="ar"/>
        </w:rPr>
        <w:t xml:space="preserve">  </w:t>
      </w:r>
      <w:r>
        <w:rPr>
          <w:rFonts w:hint="eastAsia" w:ascii="仿宋_GB2312" w:hAnsi="Times New Roman" w:eastAsia="仿宋_GB2312" w:cs="仿宋_GB2312"/>
          <w:color w:val="000000"/>
          <w:kern w:val="2"/>
          <w:sz w:val="36"/>
          <w:szCs w:val="36"/>
          <w:u w:val="single"/>
          <w:lang w:val="en-US" w:eastAsia="zh-CN" w:bidi="ar"/>
        </w:rPr>
        <w:t>年产1500吨高性能弹簧钢丝扩建项目</w:t>
      </w:r>
      <w:r>
        <w:rPr>
          <w:rFonts w:hint="default" w:ascii="Times New Roman" w:hAnsi="Times New Roman" w:eastAsia="仿宋_GB2312" w:cs="Times New Roman"/>
          <w:color w:val="000000"/>
          <w:kern w:val="2"/>
          <w:sz w:val="36"/>
          <w:szCs w:val="36"/>
          <w:u w:val="single"/>
          <w:lang w:val="en-US" w:eastAsia="zh-CN" w:bidi="ar"/>
        </w:rPr>
        <w:t xml:space="preserve"> </w:t>
      </w:r>
      <w:r>
        <w:rPr>
          <w:rFonts w:hint="eastAsia" w:ascii="Times New Roman" w:hAnsi="Times New Roman" w:eastAsia="仿宋_GB2312" w:cs="Times New Roman"/>
          <w:color w:val="000000"/>
          <w:kern w:val="2"/>
          <w:sz w:val="36"/>
          <w:szCs w:val="36"/>
          <w:u w:val="single"/>
          <w:lang w:val="en-US" w:eastAsia="zh-CN" w:bidi="ar"/>
        </w:rPr>
        <w:t xml:space="preserve"> </w:t>
      </w:r>
    </w:p>
    <w:p w14:paraId="0EC23E7C">
      <w:pPr>
        <w:keepNext w:val="0"/>
        <w:keepLines w:val="0"/>
        <w:widowControl w:val="0"/>
        <w:suppressLineNumbers w:val="0"/>
        <w:adjustRightInd w:val="0"/>
        <w:snapToGrid w:val="0"/>
        <w:spacing w:before="0" w:beforeAutospacing="0" w:after="0" w:afterAutospacing="0" w:line="360" w:lineRule="auto"/>
        <w:ind w:left="0" w:leftChars="0" w:right="0" w:firstLine="0" w:firstLineChars="0"/>
        <w:jc w:val="left"/>
        <w:rPr>
          <w:rFonts w:hint="default" w:ascii="Times New Roman" w:hAnsi="Times New Roman" w:eastAsia="仿宋_GB2312" w:cs="Times New Roman"/>
          <w:color w:val="000000"/>
          <w:kern w:val="2"/>
          <w:sz w:val="36"/>
          <w:szCs w:val="36"/>
          <w:u w:val="single"/>
        </w:rPr>
      </w:pPr>
      <w:r>
        <w:rPr>
          <w:rFonts w:hint="default" w:ascii="仿宋_GB2312" w:hAnsi="Times New Roman" w:eastAsia="仿宋_GB2312" w:cs="仿宋_GB2312"/>
          <w:color w:val="000000"/>
          <w:kern w:val="2"/>
          <w:sz w:val="36"/>
          <w:szCs w:val="36"/>
          <w:lang w:val="en-US" w:eastAsia="zh-CN" w:bidi="ar"/>
        </w:rPr>
        <w:t>建设单位（盖章）：</w:t>
      </w:r>
      <w:r>
        <w:rPr>
          <w:rFonts w:hint="default" w:ascii="Times New Roman" w:hAnsi="Times New Roman" w:eastAsia="仿宋_GB2312" w:cs="Times New Roman"/>
          <w:color w:val="000000"/>
          <w:kern w:val="2"/>
          <w:sz w:val="36"/>
          <w:szCs w:val="36"/>
          <w:u w:val="single"/>
          <w:lang w:val="en-US" w:eastAsia="zh-CN" w:bidi="ar"/>
        </w:rPr>
        <w:t xml:space="preserve">   </w:t>
      </w:r>
      <w:r>
        <w:rPr>
          <w:rFonts w:hint="eastAsia" w:ascii="仿宋_GB2312" w:hAnsi="Times New Roman" w:eastAsia="仿宋_GB2312" w:cs="仿宋_GB2312"/>
          <w:color w:val="000000"/>
          <w:kern w:val="2"/>
          <w:sz w:val="36"/>
          <w:szCs w:val="36"/>
          <w:u w:val="single"/>
          <w:lang w:val="en-US" w:eastAsia="zh-CN" w:bidi="ar"/>
        </w:rPr>
        <w:t>安阳双兴线材制品有限公司</w:t>
      </w:r>
      <w:r>
        <w:rPr>
          <w:rFonts w:hint="eastAsia" w:ascii="仿宋_GB2312" w:eastAsia="仿宋_GB2312" w:cs="仿宋_GB2312"/>
          <w:color w:val="000000"/>
          <w:kern w:val="2"/>
          <w:sz w:val="36"/>
          <w:szCs w:val="36"/>
          <w:u w:val="single"/>
          <w:lang w:val="en-US" w:eastAsia="zh-CN" w:bidi="ar"/>
        </w:rPr>
        <w:t xml:space="preserve">   </w:t>
      </w:r>
      <w:r>
        <w:rPr>
          <w:rFonts w:hint="default" w:ascii="Times New Roman" w:hAnsi="Times New Roman" w:eastAsia="仿宋_GB2312" w:cs="Times New Roman"/>
          <w:color w:val="000000"/>
          <w:kern w:val="2"/>
          <w:sz w:val="36"/>
          <w:szCs w:val="36"/>
          <w:u w:val="single"/>
          <w:lang w:val="en-US" w:eastAsia="zh-CN" w:bidi="ar"/>
        </w:rPr>
        <w:t xml:space="preserve"> </w:t>
      </w:r>
    </w:p>
    <w:p w14:paraId="19C5CE9C">
      <w:pPr>
        <w:keepNext w:val="0"/>
        <w:keepLines w:val="0"/>
        <w:widowControl w:val="0"/>
        <w:suppressLineNumbers w:val="0"/>
        <w:adjustRightInd w:val="0"/>
        <w:snapToGrid w:val="0"/>
        <w:spacing w:before="0" w:beforeAutospacing="0" w:after="0" w:afterAutospacing="0" w:line="360" w:lineRule="auto"/>
        <w:ind w:left="216" w:leftChars="0" w:right="0" w:hanging="216" w:hangingChars="60"/>
        <w:jc w:val="both"/>
        <w:rPr>
          <w:rFonts w:hint="default" w:ascii="Times New Roman" w:hAnsi="Times New Roman" w:eastAsia="仿宋_GB2312" w:cs="Times New Roman"/>
          <w:color w:val="000000"/>
          <w:kern w:val="2"/>
          <w:sz w:val="36"/>
          <w:szCs w:val="36"/>
        </w:rPr>
      </w:pPr>
      <w:r>
        <w:rPr>
          <w:rFonts w:hint="default" w:ascii="仿宋_GB2312" w:hAnsi="Times New Roman" w:eastAsia="仿宋_GB2312" w:cs="仿宋_GB2312"/>
          <w:color w:val="000000"/>
          <w:kern w:val="2"/>
          <w:sz w:val="36"/>
          <w:szCs w:val="36"/>
          <w:lang w:val="en-US" w:eastAsia="zh-CN" w:bidi="ar"/>
        </w:rPr>
        <w:t>编制日期：</w:t>
      </w:r>
      <w:r>
        <w:rPr>
          <w:rFonts w:hint="eastAsia" w:ascii="仿宋_GB2312" w:eastAsia="仿宋_GB2312" w:cs="仿宋_GB2312"/>
          <w:color w:val="000000"/>
          <w:kern w:val="2"/>
          <w:sz w:val="36"/>
          <w:szCs w:val="36"/>
          <w:lang w:val="en-US" w:eastAsia="zh-CN" w:bidi="ar"/>
        </w:rPr>
        <w:t xml:space="preserve"> </w:t>
      </w:r>
      <w:r>
        <w:rPr>
          <w:rFonts w:hint="default" w:ascii="Times New Roman" w:hAnsi="Times New Roman" w:eastAsia="仿宋_GB2312" w:cs="Times New Roman"/>
          <w:color w:val="000000"/>
          <w:kern w:val="2"/>
          <w:sz w:val="36"/>
          <w:szCs w:val="36"/>
          <w:u w:val="single"/>
          <w:lang w:val="en-US" w:eastAsia="zh-CN" w:bidi="ar"/>
        </w:rPr>
        <w:t xml:space="preserve">       </w:t>
      </w:r>
      <w:r>
        <w:rPr>
          <w:rFonts w:hint="eastAsia" w:eastAsia="仿宋_GB2312" w:cs="Times New Roman"/>
          <w:color w:val="000000"/>
          <w:kern w:val="2"/>
          <w:sz w:val="36"/>
          <w:szCs w:val="36"/>
          <w:u w:val="single"/>
          <w:lang w:val="en-US" w:eastAsia="zh-CN" w:bidi="ar"/>
        </w:rPr>
        <w:t xml:space="preserve">    </w:t>
      </w:r>
      <w:r>
        <w:rPr>
          <w:rFonts w:hint="default" w:ascii="Times New Roman" w:hAnsi="Times New Roman" w:eastAsia="仿宋_GB2312" w:cs="Times New Roman"/>
          <w:color w:val="000000"/>
          <w:kern w:val="2"/>
          <w:sz w:val="36"/>
          <w:szCs w:val="36"/>
          <w:u w:val="single"/>
          <w:lang w:val="en-US" w:eastAsia="zh-CN" w:bidi="ar"/>
        </w:rPr>
        <w:t xml:space="preserve">  202</w:t>
      </w:r>
      <w:r>
        <w:rPr>
          <w:rFonts w:hint="eastAsia" w:ascii="Times New Roman" w:hAnsi="Times New Roman" w:eastAsia="仿宋_GB2312" w:cs="Times New Roman"/>
          <w:color w:val="000000"/>
          <w:kern w:val="2"/>
          <w:sz w:val="36"/>
          <w:szCs w:val="36"/>
          <w:u w:val="single"/>
          <w:lang w:val="en-US" w:eastAsia="zh-CN" w:bidi="ar"/>
        </w:rPr>
        <w:t>5</w:t>
      </w:r>
      <w:r>
        <w:rPr>
          <w:rFonts w:hint="default" w:ascii="仿宋_GB2312" w:hAnsi="Times New Roman" w:eastAsia="仿宋_GB2312" w:cs="仿宋_GB2312"/>
          <w:color w:val="000000"/>
          <w:kern w:val="2"/>
          <w:sz w:val="36"/>
          <w:szCs w:val="36"/>
          <w:u w:val="single"/>
          <w:lang w:val="en-US" w:eastAsia="zh-CN" w:bidi="ar"/>
        </w:rPr>
        <w:t>年</w:t>
      </w:r>
      <w:r>
        <w:rPr>
          <w:rFonts w:hint="eastAsia" w:eastAsia="仿宋_GB2312" w:cs="Times New Roman"/>
          <w:color w:val="000000"/>
          <w:kern w:val="2"/>
          <w:sz w:val="36"/>
          <w:szCs w:val="36"/>
          <w:u w:val="single"/>
          <w:lang w:val="en-US" w:eastAsia="zh-CN" w:bidi="ar"/>
        </w:rPr>
        <w:t>12</w:t>
      </w:r>
      <w:r>
        <w:rPr>
          <w:rFonts w:hint="default" w:ascii="仿宋_GB2312" w:hAnsi="Times New Roman" w:eastAsia="仿宋_GB2312" w:cs="仿宋_GB2312"/>
          <w:color w:val="000000"/>
          <w:kern w:val="2"/>
          <w:sz w:val="36"/>
          <w:szCs w:val="36"/>
          <w:u w:val="single"/>
          <w:lang w:val="en-US" w:eastAsia="zh-CN" w:bidi="ar"/>
        </w:rPr>
        <w:t>月</w:t>
      </w:r>
      <w:r>
        <w:rPr>
          <w:rFonts w:hint="eastAsia" w:ascii="仿宋_GB2312" w:eastAsia="仿宋_GB2312" w:cs="仿宋_GB2312"/>
          <w:color w:val="000000"/>
          <w:kern w:val="2"/>
          <w:sz w:val="36"/>
          <w:szCs w:val="36"/>
          <w:u w:val="single"/>
          <w:lang w:val="en-US" w:eastAsia="zh-CN" w:bidi="ar"/>
        </w:rPr>
        <w:t xml:space="preserve">   </w:t>
      </w:r>
      <w:r>
        <w:rPr>
          <w:rFonts w:hint="default" w:ascii="Times New Roman" w:hAnsi="Times New Roman" w:eastAsia="仿宋_GB2312" w:cs="Times New Roman"/>
          <w:color w:val="000000"/>
          <w:kern w:val="2"/>
          <w:sz w:val="36"/>
          <w:szCs w:val="36"/>
          <w:u w:val="single"/>
          <w:lang w:val="en-US" w:eastAsia="zh-CN" w:bidi="ar"/>
        </w:rPr>
        <w:t xml:space="preserve">         </w:t>
      </w:r>
    </w:p>
    <w:p w14:paraId="00AEA38A">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default" w:ascii="Times New Roman" w:hAnsi="Times New Roman" w:eastAsia="仿宋_GB2312" w:cs="Times New Roman"/>
          <w:color w:val="000000"/>
          <w:kern w:val="2"/>
          <w:sz w:val="36"/>
          <w:szCs w:val="36"/>
        </w:rPr>
      </w:pPr>
      <w:bookmarkStart w:id="3" w:name="_Hlk57884087"/>
      <w:bookmarkEnd w:id="3"/>
      <w:r>
        <w:rPr>
          <w:rFonts w:hint="default" w:ascii="Times New Roman" w:hAnsi="Times New Roman" w:eastAsia="仿宋_GB2312" w:cs="Times New Roman"/>
          <w:color w:val="000000"/>
          <w:kern w:val="2"/>
          <w:sz w:val="36"/>
          <w:szCs w:val="36"/>
          <w:lang w:val="en-US" w:eastAsia="zh-CN" w:bidi="ar"/>
        </w:rPr>
        <w:t xml:space="preserve"> </w:t>
      </w:r>
    </w:p>
    <w:p w14:paraId="6091F1F7">
      <w:pPr>
        <w:keepNext w:val="0"/>
        <w:keepLines w:val="0"/>
        <w:widowControl w:val="0"/>
        <w:suppressLineNumbers w:val="0"/>
        <w:adjustRightInd w:val="0"/>
        <w:snapToGrid w:val="0"/>
        <w:spacing w:before="0" w:beforeAutospacing="0" w:after="0" w:afterAutospacing="0" w:line="288" w:lineRule="auto"/>
        <w:ind w:left="0" w:right="0"/>
        <w:jc w:val="both"/>
        <w:rPr>
          <w:rFonts w:hint="default" w:ascii="Times New Roman" w:hAnsi="Times New Roman" w:eastAsia="仿宋_GB2312" w:cs="Times New Roman"/>
          <w:color w:val="000000"/>
          <w:kern w:val="2"/>
          <w:sz w:val="36"/>
          <w:szCs w:val="36"/>
        </w:rPr>
      </w:pPr>
      <w:r>
        <w:rPr>
          <w:rFonts w:hint="default" w:ascii="Times New Roman" w:hAnsi="Times New Roman" w:eastAsia="仿宋_GB2312" w:cs="Times New Roman"/>
          <w:color w:val="000000"/>
          <w:kern w:val="2"/>
          <w:sz w:val="36"/>
          <w:szCs w:val="36"/>
          <w:lang w:val="en-US" w:eastAsia="zh-CN" w:bidi="ar"/>
        </w:rPr>
        <w:t xml:space="preserve"> </w:t>
      </w:r>
    </w:p>
    <w:p w14:paraId="4DD830FA">
      <w:pPr>
        <w:keepNext w:val="0"/>
        <w:keepLines w:val="0"/>
        <w:widowControl w:val="0"/>
        <w:suppressLineNumbers w:val="0"/>
        <w:adjustRightInd w:val="0"/>
        <w:snapToGrid w:val="0"/>
        <w:spacing w:before="0" w:beforeAutospacing="0" w:after="0" w:afterAutospacing="0" w:line="288" w:lineRule="auto"/>
        <w:ind w:left="410" w:leftChars="0" w:right="0" w:rightChars="0" w:hanging="410" w:hangingChars="114"/>
        <w:jc w:val="center"/>
        <w:rPr>
          <w:rFonts w:hint="eastAsia" w:ascii="Times New Roman" w:hAnsi="Times New Roman" w:eastAsia="黑体" w:cs="Times New Roman"/>
          <w:color w:val="000000"/>
          <w:kern w:val="2"/>
          <w:sz w:val="21"/>
          <w:szCs w:val="21"/>
        </w:rPr>
      </w:pPr>
      <w:r>
        <w:rPr>
          <w:rFonts w:hint="default" w:ascii="楷体_GB2312" w:hAnsi="Times New Roman" w:eastAsia="楷体_GB2312" w:cs="楷体_GB2312"/>
          <w:color w:val="000000"/>
          <w:kern w:val="2"/>
          <w:sz w:val="36"/>
          <w:szCs w:val="36"/>
          <w:lang w:val="en-US" w:eastAsia="zh-CN" w:bidi="ar"/>
        </w:rPr>
        <w:t>中华人民共和国生态环境部制</w:t>
      </w:r>
    </w:p>
    <w:p w14:paraId="7A5E0FD7">
      <w:pPr>
        <w:spacing w:after="157" w:afterLines="50" w:line="360" w:lineRule="auto"/>
        <w:jc w:val="center"/>
        <w:rPr>
          <w:rFonts w:hint="default" w:ascii="宋体" w:hAnsi="Times New Roman" w:eastAsia="宋体" w:cs="Times New Roman"/>
          <w:b/>
          <w:color w:val="000000"/>
          <w:sz w:val="44"/>
          <w:szCs w:val="44"/>
          <w:u w:val="none" w:color="auto"/>
        </w:rPr>
        <w:sectPr>
          <w:footerReference r:id="rId3" w:type="default"/>
          <w:pgSz w:w="11906" w:h="16838"/>
          <w:pgMar w:top="1101" w:right="1531" w:bottom="1457"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6755FED8">
      <w:pPr>
        <w:keepNext w:val="0"/>
        <w:keepLines w:val="0"/>
        <w:pageBreakBefore w:val="0"/>
        <w:widowControl w:val="0"/>
        <w:suppressLineNumbers w:val="0"/>
        <w:tabs>
          <w:tab w:val="right" w:leader="dot" w:pos="8844"/>
        </w:tabs>
        <w:kinsoku/>
        <w:wordWrap/>
        <w:overflowPunct/>
        <w:topLinePunct w:val="0"/>
        <w:autoSpaceDE/>
        <w:autoSpaceDN/>
        <w:bidi w:val="0"/>
        <w:adjustRightInd/>
        <w:snapToGrid/>
        <w:spacing w:before="0" w:beforeLines="0" w:beforeAutospacing="0" w:after="0" w:afterLines="0" w:afterAutospacing="0" w:line="360" w:lineRule="auto"/>
        <w:ind w:left="0" w:right="0"/>
        <w:jc w:val="center"/>
        <w:textAlignment w:val="auto"/>
        <w:rPr>
          <w:rFonts w:hint="eastAsia" w:asciiTheme="majorEastAsia" w:hAnsiTheme="majorEastAsia" w:eastAsiaTheme="majorEastAsia" w:cstheme="majorEastAsia"/>
        </w:rPr>
      </w:pPr>
      <w:r>
        <w:rPr>
          <w:rFonts w:hint="default" w:ascii="Times New Roman" w:hAnsi="Times New Roman" w:eastAsia="宋体" w:cs="Times New Roman"/>
          <w:color w:val="000000"/>
          <w:kern w:val="2"/>
          <w:sz w:val="24"/>
          <w:szCs w:val="24"/>
          <w:u w:val="none" w:color="auto"/>
          <w:lang w:val="en-US" w:eastAsia="zh-CN" w:bidi="ar"/>
        </w:rPr>
        <w:fldChar w:fldCharType="begin"/>
      </w:r>
      <w:r>
        <w:rPr>
          <w:rFonts w:hint="default" w:ascii="Times New Roman" w:hAnsi="Times New Roman" w:eastAsia="宋体" w:cs="Times New Roman"/>
          <w:color w:val="000000"/>
          <w:kern w:val="2"/>
          <w:sz w:val="24"/>
          <w:szCs w:val="24"/>
          <w:u w:val="none" w:color="auto"/>
          <w:lang w:val="en-US" w:eastAsia="zh-CN" w:bidi="ar"/>
        </w:rPr>
        <w:instrText xml:space="preserve">TOC \o "1-1" \h \u </w:instrText>
      </w:r>
      <w:r>
        <w:rPr>
          <w:rFonts w:hint="default" w:ascii="Times New Roman" w:hAnsi="Times New Roman" w:eastAsia="宋体" w:cs="Times New Roman"/>
          <w:color w:val="000000"/>
          <w:kern w:val="2"/>
          <w:sz w:val="24"/>
          <w:szCs w:val="24"/>
          <w:u w:val="none" w:color="auto"/>
          <w:lang w:val="en-US" w:eastAsia="zh-CN" w:bidi="ar"/>
        </w:rPr>
        <w:fldChar w:fldCharType="separate"/>
      </w:r>
      <w:r>
        <w:rPr>
          <w:rFonts w:hint="eastAsia" w:asciiTheme="majorEastAsia" w:hAnsiTheme="majorEastAsia" w:eastAsiaTheme="majorEastAsia" w:cstheme="majorEastAsia"/>
          <w:b/>
          <w:color w:val="000000"/>
          <w:sz w:val="44"/>
          <w:szCs w:val="44"/>
          <w:u w:val="none" w:color="auto"/>
        </w:rPr>
        <w:t>目录</w:t>
      </w:r>
      <w:r>
        <w:rPr>
          <w:rFonts w:hint="eastAsia" w:asciiTheme="majorEastAsia" w:hAnsiTheme="majorEastAsia" w:eastAsiaTheme="majorEastAsia" w:cstheme="majorEastAsia"/>
          <w:color w:val="000000"/>
          <w:kern w:val="2"/>
          <w:sz w:val="24"/>
          <w:szCs w:val="24"/>
          <w:u w:val="none" w:color="auto"/>
          <w:lang w:val="en-US" w:eastAsia="zh-CN" w:bidi="ar"/>
        </w:rPr>
        <w:fldChar w:fldCharType="begin"/>
      </w:r>
      <w:r>
        <w:rPr>
          <w:rFonts w:hint="eastAsia" w:asciiTheme="majorEastAsia" w:hAnsiTheme="majorEastAsia" w:eastAsiaTheme="majorEastAsia" w:cstheme="majorEastAsia"/>
          <w:color w:val="000000"/>
          <w:kern w:val="2"/>
          <w:sz w:val="24"/>
          <w:szCs w:val="24"/>
          <w:u w:val="none" w:color="auto"/>
          <w:lang w:val="en-US" w:eastAsia="zh-CN" w:bidi="ar"/>
        </w:rPr>
        <w:instrText xml:space="preserve">TOC \o "1-1" \h \u </w:instrText>
      </w:r>
      <w:r>
        <w:rPr>
          <w:rFonts w:hint="eastAsia" w:asciiTheme="majorEastAsia" w:hAnsiTheme="majorEastAsia" w:eastAsiaTheme="majorEastAsia" w:cstheme="majorEastAsia"/>
          <w:color w:val="000000"/>
          <w:kern w:val="2"/>
          <w:sz w:val="24"/>
          <w:szCs w:val="24"/>
          <w:u w:val="none" w:color="auto"/>
          <w:lang w:val="en-US" w:eastAsia="zh-CN" w:bidi="ar"/>
        </w:rPr>
        <w:fldChar w:fldCharType="separate"/>
      </w:r>
    </w:p>
    <w:p w14:paraId="0925A5E9">
      <w:pPr>
        <w:pStyle w:val="19"/>
        <w:keepNext w:val="0"/>
        <w:keepLines w:val="0"/>
        <w:pageBreakBefore w:val="0"/>
        <w:widowControl w:val="0"/>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color w:val="000000"/>
          <w:kern w:val="2"/>
          <w:sz w:val="24"/>
          <w:szCs w:val="32"/>
          <w:u w:val="none" w:color="auto"/>
          <w:lang w:val="en-US" w:eastAsia="zh-CN" w:bidi="ar"/>
        </w:rPr>
        <w:fldChar w:fldCharType="begin"/>
      </w:r>
      <w:r>
        <w:rPr>
          <w:rFonts w:hint="default" w:ascii="Times New Roman" w:hAnsi="Times New Roman" w:cs="Times New Roman" w:eastAsiaTheme="majorEastAsia"/>
          <w:kern w:val="2"/>
          <w:sz w:val="24"/>
          <w:szCs w:val="32"/>
          <w:lang w:val="en-US" w:eastAsia="zh-CN" w:bidi="ar"/>
        </w:rPr>
        <w:instrText xml:space="preserve"> HYPERLINK \l _Toc6742 </w:instrText>
      </w:r>
      <w:r>
        <w:rPr>
          <w:rFonts w:hint="default" w:ascii="Times New Roman" w:hAnsi="Times New Roman" w:cs="Times New Roman" w:eastAsiaTheme="majorEastAsia"/>
          <w:kern w:val="2"/>
          <w:sz w:val="24"/>
          <w:szCs w:val="32"/>
          <w:lang w:val="en-US" w:eastAsia="zh-CN" w:bidi="ar"/>
        </w:rPr>
        <w:fldChar w:fldCharType="separate"/>
      </w:r>
      <w:r>
        <w:rPr>
          <w:rFonts w:hint="default" w:ascii="Times New Roman" w:hAnsi="Times New Roman" w:cs="Times New Roman" w:eastAsiaTheme="majorEastAsia"/>
          <w:snapToGrid w:val="0"/>
          <w:sz w:val="24"/>
          <w:szCs w:val="36"/>
        </w:rPr>
        <w:t>一、建设项目基本情况</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fldChar w:fldCharType="begin"/>
      </w:r>
      <w:r>
        <w:rPr>
          <w:rFonts w:hint="default" w:ascii="Times New Roman" w:hAnsi="Times New Roman" w:cs="Times New Roman" w:eastAsiaTheme="majorEastAsia"/>
          <w:sz w:val="24"/>
          <w:szCs w:val="24"/>
        </w:rPr>
        <w:instrText xml:space="preserve"> PAGEREF _Toc6742 \h </w:instrText>
      </w:r>
      <w:r>
        <w:rPr>
          <w:rFonts w:hint="default" w:ascii="Times New Roman" w:hAnsi="Times New Roman" w:cs="Times New Roman" w:eastAsiaTheme="majorEastAsia"/>
          <w:sz w:val="24"/>
          <w:szCs w:val="24"/>
        </w:rPr>
        <w:fldChar w:fldCharType="separate"/>
      </w:r>
      <w:r>
        <w:rPr>
          <w:rFonts w:hint="default" w:ascii="Times New Roman" w:hAnsi="Times New Roman" w:cs="Times New Roman" w:eastAsiaTheme="majorEastAsia"/>
          <w:sz w:val="24"/>
          <w:szCs w:val="24"/>
        </w:rPr>
        <w:t>- 1 -</w:t>
      </w:r>
      <w:r>
        <w:rPr>
          <w:rFonts w:hint="default" w:ascii="Times New Roman" w:hAnsi="Times New Roman" w:cs="Times New Roman" w:eastAsiaTheme="majorEastAsia"/>
          <w:sz w:val="24"/>
          <w:szCs w:val="24"/>
        </w:rPr>
        <w:fldChar w:fldCharType="end"/>
      </w:r>
      <w:r>
        <w:rPr>
          <w:rFonts w:hint="default" w:ascii="Times New Roman" w:hAnsi="Times New Roman" w:cs="Times New Roman" w:eastAsiaTheme="majorEastAsia"/>
          <w:color w:val="000000"/>
          <w:kern w:val="2"/>
          <w:sz w:val="24"/>
          <w:szCs w:val="32"/>
          <w:u w:val="none" w:color="auto"/>
          <w:lang w:val="en-US" w:eastAsia="zh-CN" w:bidi="ar"/>
        </w:rPr>
        <w:fldChar w:fldCharType="end"/>
      </w:r>
    </w:p>
    <w:p w14:paraId="1D24697D">
      <w:pPr>
        <w:pStyle w:val="19"/>
        <w:keepNext w:val="0"/>
        <w:keepLines w:val="0"/>
        <w:pageBreakBefore w:val="0"/>
        <w:widowControl w:val="0"/>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color w:val="000000"/>
          <w:kern w:val="2"/>
          <w:sz w:val="24"/>
          <w:szCs w:val="32"/>
          <w:u w:val="none" w:color="auto"/>
          <w:lang w:val="en-US" w:eastAsia="zh-CN" w:bidi="ar"/>
        </w:rPr>
        <w:fldChar w:fldCharType="begin"/>
      </w:r>
      <w:r>
        <w:rPr>
          <w:rFonts w:hint="default" w:ascii="Times New Roman" w:hAnsi="Times New Roman" w:cs="Times New Roman" w:eastAsiaTheme="majorEastAsia"/>
          <w:kern w:val="2"/>
          <w:sz w:val="24"/>
          <w:szCs w:val="32"/>
          <w:lang w:val="en-US" w:eastAsia="zh-CN" w:bidi="ar"/>
        </w:rPr>
        <w:instrText xml:space="preserve"> HYPERLINK \l _Toc26459 </w:instrText>
      </w:r>
      <w:r>
        <w:rPr>
          <w:rFonts w:hint="default" w:ascii="Times New Roman" w:hAnsi="Times New Roman" w:cs="Times New Roman" w:eastAsiaTheme="majorEastAsia"/>
          <w:kern w:val="2"/>
          <w:sz w:val="24"/>
          <w:szCs w:val="32"/>
          <w:lang w:val="en-US" w:eastAsia="zh-CN" w:bidi="ar"/>
        </w:rPr>
        <w:fldChar w:fldCharType="separate"/>
      </w:r>
      <w:r>
        <w:rPr>
          <w:rFonts w:hint="default" w:ascii="Times New Roman" w:hAnsi="Times New Roman" w:cs="Times New Roman" w:eastAsiaTheme="majorEastAsia"/>
          <w:snapToGrid w:val="0"/>
          <w:sz w:val="24"/>
          <w:szCs w:val="36"/>
          <w:highlight w:val="none"/>
        </w:rPr>
        <w:t>二、建设项目工程分析</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fldChar w:fldCharType="begin"/>
      </w:r>
      <w:r>
        <w:rPr>
          <w:rFonts w:hint="default" w:ascii="Times New Roman" w:hAnsi="Times New Roman" w:cs="Times New Roman" w:eastAsiaTheme="majorEastAsia"/>
          <w:sz w:val="24"/>
          <w:szCs w:val="24"/>
        </w:rPr>
        <w:instrText xml:space="preserve"> PAGEREF _Toc26459 \h </w:instrText>
      </w:r>
      <w:r>
        <w:rPr>
          <w:rFonts w:hint="default" w:ascii="Times New Roman" w:hAnsi="Times New Roman" w:cs="Times New Roman" w:eastAsiaTheme="majorEastAsia"/>
          <w:sz w:val="24"/>
          <w:szCs w:val="24"/>
        </w:rPr>
        <w:fldChar w:fldCharType="separate"/>
      </w:r>
      <w:r>
        <w:rPr>
          <w:rFonts w:hint="default" w:ascii="Times New Roman" w:hAnsi="Times New Roman" w:cs="Times New Roman" w:eastAsiaTheme="majorEastAsia"/>
          <w:sz w:val="24"/>
          <w:szCs w:val="24"/>
        </w:rPr>
        <w:t>- 30 -</w:t>
      </w:r>
      <w:r>
        <w:rPr>
          <w:rFonts w:hint="default" w:ascii="Times New Roman" w:hAnsi="Times New Roman" w:cs="Times New Roman" w:eastAsiaTheme="majorEastAsia"/>
          <w:sz w:val="24"/>
          <w:szCs w:val="24"/>
        </w:rPr>
        <w:fldChar w:fldCharType="end"/>
      </w:r>
      <w:r>
        <w:rPr>
          <w:rFonts w:hint="default" w:ascii="Times New Roman" w:hAnsi="Times New Roman" w:cs="Times New Roman" w:eastAsiaTheme="majorEastAsia"/>
          <w:color w:val="000000"/>
          <w:kern w:val="2"/>
          <w:sz w:val="24"/>
          <w:szCs w:val="32"/>
          <w:u w:val="none" w:color="auto"/>
          <w:lang w:val="en-US" w:eastAsia="zh-CN" w:bidi="ar"/>
        </w:rPr>
        <w:fldChar w:fldCharType="end"/>
      </w:r>
    </w:p>
    <w:p w14:paraId="71D7AEFC">
      <w:pPr>
        <w:pStyle w:val="19"/>
        <w:keepNext w:val="0"/>
        <w:keepLines w:val="0"/>
        <w:pageBreakBefore w:val="0"/>
        <w:widowControl w:val="0"/>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color w:val="000000"/>
          <w:kern w:val="2"/>
          <w:sz w:val="24"/>
          <w:szCs w:val="32"/>
          <w:u w:val="none" w:color="auto"/>
          <w:lang w:val="en-US" w:eastAsia="zh-CN" w:bidi="ar"/>
        </w:rPr>
        <w:fldChar w:fldCharType="begin"/>
      </w:r>
      <w:r>
        <w:rPr>
          <w:rFonts w:hint="default" w:ascii="Times New Roman" w:hAnsi="Times New Roman" w:cs="Times New Roman" w:eastAsiaTheme="majorEastAsia"/>
          <w:kern w:val="2"/>
          <w:sz w:val="24"/>
          <w:szCs w:val="32"/>
          <w:lang w:val="en-US" w:eastAsia="zh-CN" w:bidi="ar"/>
        </w:rPr>
        <w:instrText xml:space="preserve"> HYPERLINK \l _Toc16795 </w:instrText>
      </w:r>
      <w:r>
        <w:rPr>
          <w:rFonts w:hint="default" w:ascii="Times New Roman" w:hAnsi="Times New Roman" w:cs="Times New Roman" w:eastAsiaTheme="majorEastAsia"/>
          <w:kern w:val="2"/>
          <w:sz w:val="24"/>
          <w:szCs w:val="32"/>
          <w:lang w:val="en-US" w:eastAsia="zh-CN" w:bidi="ar"/>
        </w:rPr>
        <w:fldChar w:fldCharType="separate"/>
      </w:r>
      <w:r>
        <w:rPr>
          <w:rFonts w:hint="default" w:ascii="Times New Roman" w:hAnsi="Times New Roman" w:cs="Times New Roman" w:eastAsiaTheme="majorEastAsia"/>
          <w:b w:val="0"/>
          <w:bCs/>
          <w:snapToGrid w:val="0"/>
          <w:sz w:val="24"/>
          <w:szCs w:val="36"/>
          <w:highlight w:val="none"/>
        </w:rPr>
        <w:t>三、区域环境质量现状、环境保护目标及评价标准</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fldChar w:fldCharType="begin"/>
      </w:r>
      <w:r>
        <w:rPr>
          <w:rFonts w:hint="default" w:ascii="Times New Roman" w:hAnsi="Times New Roman" w:cs="Times New Roman" w:eastAsiaTheme="majorEastAsia"/>
          <w:sz w:val="24"/>
          <w:szCs w:val="24"/>
        </w:rPr>
        <w:instrText xml:space="preserve"> PAGEREF _Toc16795 \h </w:instrText>
      </w:r>
      <w:r>
        <w:rPr>
          <w:rFonts w:hint="default" w:ascii="Times New Roman" w:hAnsi="Times New Roman" w:cs="Times New Roman" w:eastAsiaTheme="majorEastAsia"/>
          <w:sz w:val="24"/>
          <w:szCs w:val="24"/>
        </w:rPr>
        <w:fldChar w:fldCharType="separate"/>
      </w:r>
      <w:r>
        <w:rPr>
          <w:rFonts w:hint="default" w:ascii="Times New Roman" w:hAnsi="Times New Roman" w:cs="Times New Roman" w:eastAsiaTheme="majorEastAsia"/>
          <w:sz w:val="24"/>
          <w:szCs w:val="24"/>
        </w:rPr>
        <w:t>- 40 -</w:t>
      </w:r>
      <w:r>
        <w:rPr>
          <w:rFonts w:hint="default" w:ascii="Times New Roman" w:hAnsi="Times New Roman" w:cs="Times New Roman" w:eastAsiaTheme="majorEastAsia"/>
          <w:sz w:val="24"/>
          <w:szCs w:val="24"/>
        </w:rPr>
        <w:fldChar w:fldCharType="end"/>
      </w:r>
      <w:r>
        <w:rPr>
          <w:rFonts w:hint="default" w:ascii="Times New Roman" w:hAnsi="Times New Roman" w:cs="Times New Roman" w:eastAsiaTheme="majorEastAsia"/>
          <w:color w:val="000000"/>
          <w:kern w:val="2"/>
          <w:sz w:val="24"/>
          <w:szCs w:val="32"/>
          <w:u w:val="none" w:color="auto"/>
          <w:lang w:val="en-US" w:eastAsia="zh-CN" w:bidi="ar"/>
        </w:rPr>
        <w:fldChar w:fldCharType="end"/>
      </w:r>
    </w:p>
    <w:p w14:paraId="63951B2E">
      <w:pPr>
        <w:pStyle w:val="19"/>
        <w:keepNext w:val="0"/>
        <w:keepLines w:val="0"/>
        <w:pageBreakBefore w:val="0"/>
        <w:widowControl w:val="0"/>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color w:val="000000"/>
          <w:kern w:val="2"/>
          <w:sz w:val="24"/>
          <w:szCs w:val="32"/>
          <w:u w:val="none" w:color="auto"/>
          <w:lang w:val="en-US" w:eastAsia="zh-CN" w:bidi="ar"/>
        </w:rPr>
        <w:fldChar w:fldCharType="begin"/>
      </w:r>
      <w:r>
        <w:rPr>
          <w:rFonts w:hint="default" w:ascii="Times New Roman" w:hAnsi="Times New Roman" w:cs="Times New Roman" w:eastAsiaTheme="majorEastAsia"/>
          <w:kern w:val="2"/>
          <w:sz w:val="24"/>
          <w:szCs w:val="32"/>
          <w:lang w:val="en-US" w:eastAsia="zh-CN" w:bidi="ar"/>
        </w:rPr>
        <w:instrText xml:space="preserve"> HYPERLINK \l _Toc30562 </w:instrText>
      </w:r>
      <w:r>
        <w:rPr>
          <w:rFonts w:hint="default" w:ascii="Times New Roman" w:hAnsi="Times New Roman" w:cs="Times New Roman" w:eastAsiaTheme="majorEastAsia"/>
          <w:kern w:val="2"/>
          <w:sz w:val="24"/>
          <w:szCs w:val="32"/>
          <w:lang w:val="en-US" w:eastAsia="zh-CN" w:bidi="ar"/>
        </w:rPr>
        <w:fldChar w:fldCharType="separate"/>
      </w:r>
      <w:r>
        <w:rPr>
          <w:rFonts w:hint="default" w:ascii="Times New Roman" w:hAnsi="Times New Roman" w:cs="Times New Roman" w:eastAsiaTheme="majorEastAsia"/>
          <w:snapToGrid w:val="0"/>
          <w:sz w:val="24"/>
          <w:szCs w:val="36"/>
          <w:highlight w:val="none"/>
        </w:rPr>
        <w:t>四、主要环境影响和保护措施</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fldChar w:fldCharType="begin"/>
      </w:r>
      <w:r>
        <w:rPr>
          <w:rFonts w:hint="default" w:ascii="Times New Roman" w:hAnsi="Times New Roman" w:cs="Times New Roman" w:eastAsiaTheme="majorEastAsia"/>
          <w:sz w:val="24"/>
          <w:szCs w:val="24"/>
        </w:rPr>
        <w:instrText xml:space="preserve"> PAGEREF _Toc30562 \h </w:instrText>
      </w:r>
      <w:r>
        <w:rPr>
          <w:rFonts w:hint="default" w:ascii="Times New Roman" w:hAnsi="Times New Roman" w:cs="Times New Roman" w:eastAsiaTheme="majorEastAsia"/>
          <w:sz w:val="24"/>
          <w:szCs w:val="24"/>
        </w:rPr>
        <w:fldChar w:fldCharType="separate"/>
      </w:r>
      <w:r>
        <w:rPr>
          <w:rFonts w:hint="default" w:ascii="Times New Roman" w:hAnsi="Times New Roman" w:cs="Times New Roman" w:eastAsiaTheme="majorEastAsia"/>
          <w:sz w:val="24"/>
          <w:szCs w:val="24"/>
        </w:rPr>
        <w:t>- 46 -</w:t>
      </w:r>
      <w:r>
        <w:rPr>
          <w:rFonts w:hint="default" w:ascii="Times New Roman" w:hAnsi="Times New Roman" w:cs="Times New Roman" w:eastAsiaTheme="majorEastAsia"/>
          <w:sz w:val="24"/>
          <w:szCs w:val="24"/>
        </w:rPr>
        <w:fldChar w:fldCharType="end"/>
      </w:r>
      <w:r>
        <w:rPr>
          <w:rFonts w:hint="default" w:ascii="Times New Roman" w:hAnsi="Times New Roman" w:cs="Times New Roman" w:eastAsiaTheme="majorEastAsia"/>
          <w:color w:val="000000"/>
          <w:kern w:val="2"/>
          <w:sz w:val="24"/>
          <w:szCs w:val="32"/>
          <w:u w:val="none" w:color="auto"/>
          <w:lang w:val="en-US" w:eastAsia="zh-CN" w:bidi="ar"/>
        </w:rPr>
        <w:fldChar w:fldCharType="end"/>
      </w:r>
    </w:p>
    <w:p w14:paraId="1CC14A1B">
      <w:pPr>
        <w:pStyle w:val="19"/>
        <w:keepNext w:val="0"/>
        <w:keepLines w:val="0"/>
        <w:pageBreakBefore w:val="0"/>
        <w:widowControl w:val="0"/>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color w:val="000000"/>
          <w:kern w:val="2"/>
          <w:sz w:val="24"/>
          <w:szCs w:val="32"/>
          <w:u w:val="none" w:color="auto"/>
          <w:lang w:val="en-US" w:eastAsia="zh-CN" w:bidi="ar"/>
        </w:rPr>
        <w:fldChar w:fldCharType="begin"/>
      </w:r>
      <w:r>
        <w:rPr>
          <w:rFonts w:hint="default" w:ascii="Times New Roman" w:hAnsi="Times New Roman" w:cs="Times New Roman" w:eastAsiaTheme="majorEastAsia"/>
          <w:kern w:val="2"/>
          <w:sz w:val="24"/>
          <w:szCs w:val="32"/>
          <w:lang w:val="en-US" w:eastAsia="zh-CN" w:bidi="ar"/>
        </w:rPr>
        <w:instrText xml:space="preserve"> HYPERLINK \l _Toc20135 </w:instrText>
      </w:r>
      <w:r>
        <w:rPr>
          <w:rFonts w:hint="default" w:ascii="Times New Roman" w:hAnsi="Times New Roman" w:cs="Times New Roman" w:eastAsiaTheme="majorEastAsia"/>
          <w:kern w:val="2"/>
          <w:sz w:val="24"/>
          <w:szCs w:val="32"/>
          <w:lang w:val="en-US" w:eastAsia="zh-CN" w:bidi="ar"/>
        </w:rPr>
        <w:fldChar w:fldCharType="separate"/>
      </w:r>
      <w:r>
        <w:rPr>
          <w:rFonts w:hint="default" w:ascii="Times New Roman" w:hAnsi="Times New Roman" w:cs="Times New Roman" w:eastAsiaTheme="majorEastAsia"/>
          <w:snapToGrid w:val="0"/>
          <w:sz w:val="24"/>
          <w:szCs w:val="36"/>
          <w:highlight w:val="none"/>
        </w:rPr>
        <w:t>五、环境保护措施监督检查清单</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fldChar w:fldCharType="begin"/>
      </w:r>
      <w:r>
        <w:rPr>
          <w:rFonts w:hint="default" w:ascii="Times New Roman" w:hAnsi="Times New Roman" w:cs="Times New Roman" w:eastAsiaTheme="majorEastAsia"/>
          <w:sz w:val="24"/>
          <w:szCs w:val="24"/>
        </w:rPr>
        <w:instrText xml:space="preserve"> PAGEREF _Toc20135 \h </w:instrText>
      </w:r>
      <w:r>
        <w:rPr>
          <w:rFonts w:hint="default" w:ascii="Times New Roman" w:hAnsi="Times New Roman" w:cs="Times New Roman" w:eastAsiaTheme="majorEastAsia"/>
          <w:sz w:val="24"/>
          <w:szCs w:val="24"/>
        </w:rPr>
        <w:fldChar w:fldCharType="separate"/>
      </w:r>
      <w:r>
        <w:rPr>
          <w:rFonts w:hint="default" w:ascii="Times New Roman" w:hAnsi="Times New Roman" w:cs="Times New Roman" w:eastAsiaTheme="majorEastAsia"/>
          <w:sz w:val="24"/>
          <w:szCs w:val="24"/>
        </w:rPr>
        <w:t>- 56 -</w:t>
      </w:r>
      <w:r>
        <w:rPr>
          <w:rFonts w:hint="default" w:ascii="Times New Roman" w:hAnsi="Times New Roman" w:cs="Times New Roman" w:eastAsiaTheme="majorEastAsia"/>
          <w:sz w:val="24"/>
          <w:szCs w:val="24"/>
        </w:rPr>
        <w:fldChar w:fldCharType="end"/>
      </w:r>
      <w:r>
        <w:rPr>
          <w:rFonts w:hint="default" w:ascii="Times New Roman" w:hAnsi="Times New Roman" w:cs="Times New Roman" w:eastAsiaTheme="majorEastAsia"/>
          <w:color w:val="000000"/>
          <w:kern w:val="2"/>
          <w:sz w:val="24"/>
          <w:szCs w:val="32"/>
          <w:u w:val="none" w:color="auto"/>
          <w:lang w:val="en-US" w:eastAsia="zh-CN" w:bidi="ar"/>
        </w:rPr>
        <w:fldChar w:fldCharType="end"/>
      </w:r>
    </w:p>
    <w:p w14:paraId="0F1A8BA5">
      <w:pPr>
        <w:pStyle w:val="19"/>
        <w:keepNext w:val="0"/>
        <w:keepLines w:val="0"/>
        <w:pageBreakBefore w:val="0"/>
        <w:widowControl w:val="0"/>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ajorEastAsia"/>
          <w:sz w:val="24"/>
          <w:szCs w:val="24"/>
        </w:rPr>
      </w:pPr>
      <w:r>
        <w:rPr>
          <w:rFonts w:hint="default" w:ascii="Times New Roman" w:hAnsi="Times New Roman" w:cs="Times New Roman" w:eastAsiaTheme="majorEastAsia"/>
          <w:color w:val="000000"/>
          <w:kern w:val="2"/>
          <w:sz w:val="24"/>
          <w:szCs w:val="32"/>
          <w:u w:val="none" w:color="auto"/>
          <w:lang w:val="en-US" w:eastAsia="zh-CN" w:bidi="ar"/>
        </w:rPr>
        <w:fldChar w:fldCharType="begin"/>
      </w:r>
      <w:r>
        <w:rPr>
          <w:rFonts w:hint="default" w:ascii="Times New Roman" w:hAnsi="Times New Roman" w:cs="Times New Roman" w:eastAsiaTheme="majorEastAsia"/>
          <w:kern w:val="2"/>
          <w:sz w:val="24"/>
          <w:szCs w:val="32"/>
          <w:lang w:val="en-US" w:eastAsia="zh-CN" w:bidi="ar"/>
        </w:rPr>
        <w:instrText xml:space="preserve"> HYPERLINK \l _Toc8127 </w:instrText>
      </w:r>
      <w:r>
        <w:rPr>
          <w:rFonts w:hint="default" w:ascii="Times New Roman" w:hAnsi="Times New Roman" w:cs="Times New Roman" w:eastAsiaTheme="majorEastAsia"/>
          <w:kern w:val="2"/>
          <w:sz w:val="24"/>
          <w:szCs w:val="32"/>
          <w:lang w:val="en-US" w:eastAsia="zh-CN" w:bidi="ar"/>
        </w:rPr>
        <w:fldChar w:fldCharType="separate"/>
      </w:r>
      <w:r>
        <w:rPr>
          <w:rFonts w:hint="default" w:ascii="Times New Roman" w:hAnsi="Times New Roman" w:cs="Times New Roman" w:eastAsiaTheme="majorEastAsia"/>
          <w:snapToGrid w:val="0"/>
          <w:sz w:val="24"/>
          <w:szCs w:val="36"/>
          <w:highlight w:val="none"/>
        </w:rPr>
        <w:t>六、结论</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fldChar w:fldCharType="begin"/>
      </w:r>
      <w:r>
        <w:rPr>
          <w:rFonts w:hint="default" w:ascii="Times New Roman" w:hAnsi="Times New Roman" w:cs="Times New Roman" w:eastAsiaTheme="majorEastAsia"/>
          <w:sz w:val="24"/>
          <w:szCs w:val="24"/>
        </w:rPr>
        <w:instrText xml:space="preserve"> PAGEREF _Toc8127 \h </w:instrText>
      </w:r>
      <w:r>
        <w:rPr>
          <w:rFonts w:hint="default" w:ascii="Times New Roman" w:hAnsi="Times New Roman" w:cs="Times New Roman" w:eastAsiaTheme="majorEastAsia"/>
          <w:sz w:val="24"/>
          <w:szCs w:val="24"/>
        </w:rPr>
        <w:fldChar w:fldCharType="separate"/>
      </w:r>
      <w:r>
        <w:rPr>
          <w:rFonts w:hint="default" w:ascii="Times New Roman" w:hAnsi="Times New Roman" w:cs="Times New Roman" w:eastAsiaTheme="majorEastAsia"/>
          <w:sz w:val="24"/>
          <w:szCs w:val="24"/>
        </w:rPr>
        <w:t>- 58 -</w:t>
      </w:r>
      <w:r>
        <w:rPr>
          <w:rFonts w:hint="default" w:ascii="Times New Roman" w:hAnsi="Times New Roman" w:cs="Times New Roman" w:eastAsiaTheme="majorEastAsia"/>
          <w:sz w:val="24"/>
          <w:szCs w:val="24"/>
        </w:rPr>
        <w:fldChar w:fldCharType="end"/>
      </w:r>
      <w:r>
        <w:rPr>
          <w:rFonts w:hint="default" w:ascii="Times New Roman" w:hAnsi="Times New Roman" w:cs="Times New Roman" w:eastAsiaTheme="majorEastAsia"/>
          <w:color w:val="000000"/>
          <w:kern w:val="2"/>
          <w:sz w:val="24"/>
          <w:szCs w:val="32"/>
          <w:u w:val="none" w:color="auto"/>
          <w:lang w:val="en-US" w:eastAsia="zh-CN" w:bidi="ar"/>
        </w:rPr>
        <w:fldChar w:fldCharType="end"/>
      </w:r>
    </w:p>
    <w:p w14:paraId="70BD525D">
      <w:pPr>
        <w:pStyle w:val="19"/>
        <w:keepNext w:val="0"/>
        <w:keepLines w:val="0"/>
        <w:pageBreakBefore w:val="0"/>
        <w:widowControl w:val="0"/>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sz w:val="24"/>
          <w:szCs w:val="24"/>
        </w:rPr>
      </w:pPr>
      <w:r>
        <w:rPr>
          <w:rFonts w:hint="default" w:ascii="Times New Roman" w:hAnsi="Times New Roman" w:cs="Times New Roman" w:eastAsiaTheme="majorEastAsia"/>
          <w:color w:val="000000"/>
          <w:kern w:val="2"/>
          <w:sz w:val="24"/>
          <w:szCs w:val="32"/>
          <w:u w:val="none" w:color="auto"/>
          <w:lang w:val="en-US" w:eastAsia="zh-CN" w:bidi="ar"/>
        </w:rPr>
        <w:fldChar w:fldCharType="begin"/>
      </w:r>
      <w:r>
        <w:rPr>
          <w:rFonts w:hint="default" w:ascii="Times New Roman" w:hAnsi="Times New Roman" w:cs="Times New Roman" w:eastAsiaTheme="majorEastAsia"/>
          <w:kern w:val="2"/>
          <w:sz w:val="24"/>
          <w:szCs w:val="32"/>
          <w:lang w:val="en-US" w:eastAsia="zh-CN" w:bidi="ar"/>
        </w:rPr>
        <w:instrText xml:space="preserve"> HYPERLINK \l _Toc9649 </w:instrText>
      </w:r>
      <w:r>
        <w:rPr>
          <w:rFonts w:hint="default" w:ascii="Times New Roman" w:hAnsi="Times New Roman" w:cs="Times New Roman" w:eastAsiaTheme="majorEastAsia"/>
          <w:kern w:val="2"/>
          <w:sz w:val="24"/>
          <w:szCs w:val="32"/>
          <w:lang w:val="en-US" w:eastAsia="zh-CN" w:bidi="ar"/>
        </w:rPr>
        <w:fldChar w:fldCharType="separate"/>
      </w:r>
      <w:r>
        <w:rPr>
          <w:rFonts w:hint="default" w:ascii="Times New Roman" w:hAnsi="Times New Roman" w:cs="Times New Roman" w:eastAsiaTheme="majorEastAsia"/>
          <w:snapToGrid w:val="0"/>
          <w:sz w:val="24"/>
          <w:szCs w:val="40"/>
          <w:highlight w:val="none"/>
        </w:rPr>
        <w:t>附表</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fldChar w:fldCharType="begin"/>
      </w:r>
      <w:r>
        <w:rPr>
          <w:rFonts w:hint="default" w:ascii="Times New Roman" w:hAnsi="Times New Roman" w:cs="Times New Roman" w:eastAsiaTheme="majorEastAsia"/>
          <w:sz w:val="24"/>
          <w:szCs w:val="24"/>
        </w:rPr>
        <w:instrText xml:space="preserve"> PAGEREF _Toc9649 \h </w:instrText>
      </w:r>
      <w:r>
        <w:rPr>
          <w:rFonts w:hint="default" w:ascii="Times New Roman" w:hAnsi="Times New Roman" w:cs="Times New Roman" w:eastAsiaTheme="majorEastAsia"/>
          <w:sz w:val="24"/>
          <w:szCs w:val="24"/>
        </w:rPr>
        <w:fldChar w:fldCharType="separate"/>
      </w:r>
      <w:r>
        <w:rPr>
          <w:rFonts w:hint="default" w:ascii="Times New Roman" w:hAnsi="Times New Roman" w:cs="Times New Roman" w:eastAsiaTheme="majorEastAsia"/>
          <w:sz w:val="24"/>
          <w:szCs w:val="24"/>
        </w:rPr>
        <w:t>- 59 -</w:t>
      </w:r>
      <w:r>
        <w:rPr>
          <w:rFonts w:hint="default" w:ascii="Times New Roman" w:hAnsi="Times New Roman" w:cs="Times New Roman" w:eastAsiaTheme="majorEastAsia"/>
          <w:sz w:val="24"/>
          <w:szCs w:val="24"/>
        </w:rPr>
        <w:fldChar w:fldCharType="end"/>
      </w:r>
      <w:r>
        <w:rPr>
          <w:rFonts w:hint="default" w:ascii="Times New Roman" w:hAnsi="Times New Roman" w:cs="Times New Roman" w:eastAsiaTheme="majorEastAsia"/>
          <w:color w:val="000000"/>
          <w:kern w:val="2"/>
          <w:sz w:val="24"/>
          <w:szCs w:val="32"/>
          <w:u w:val="none" w:color="auto"/>
          <w:lang w:val="en-US" w:eastAsia="zh-CN" w:bidi="ar"/>
        </w:rPr>
        <w:fldChar w:fldCharType="end"/>
      </w:r>
    </w:p>
    <w:p w14:paraId="6FB6FEEC">
      <w:pPr>
        <w:keepNext w:val="0"/>
        <w:keepLines w:val="0"/>
        <w:pageBreakBefore w:val="0"/>
        <w:widowControl w:val="0"/>
        <w:suppressLineNumbers w:val="0"/>
        <w:tabs>
          <w:tab w:val="right" w:leader="dot" w:pos="8844"/>
        </w:tabs>
        <w:kinsoku/>
        <w:wordWrap/>
        <w:overflowPunct/>
        <w:topLinePunct w:val="0"/>
        <w:autoSpaceDE/>
        <w:autoSpaceDN/>
        <w:bidi w:val="0"/>
        <w:adjustRightInd/>
        <w:snapToGrid/>
        <w:spacing w:before="0" w:beforeLines="0" w:beforeAutospacing="0" w:after="0" w:afterLines="0" w:afterAutospacing="0" w:line="360" w:lineRule="auto"/>
        <w:ind w:left="0" w:right="0"/>
        <w:jc w:val="both"/>
        <w:textAlignment w:val="auto"/>
        <w:rPr>
          <w:rFonts w:hint="eastAsia" w:asciiTheme="majorEastAsia" w:hAnsiTheme="majorEastAsia" w:eastAsiaTheme="majorEastAsia" w:cstheme="majorEastAsia"/>
          <w:color w:val="000000"/>
          <w:kern w:val="2"/>
          <w:szCs w:val="24"/>
          <w:u w:val="none" w:color="auto"/>
          <w:lang w:val="en-US" w:eastAsia="zh-CN" w:bidi="ar"/>
        </w:rPr>
      </w:pPr>
      <w:r>
        <w:rPr>
          <w:rFonts w:hint="eastAsia" w:asciiTheme="majorEastAsia" w:hAnsiTheme="majorEastAsia" w:eastAsiaTheme="majorEastAsia" w:cstheme="majorEastAsia"/>
          <w:color w:val="000000"/>
          <w:kern w:val="2"/>
          <w:szCs w:val="24"/>
          <w:u w:val="none" w:color="auto"/>
          <w:lang w:val="en-US" w:eastAsia="zh-CN" w:bidi="ar"/>
        </w:rPr>
        <w:fldChar w:fldCharType="end"/>
      </w:r>
    </w:p>
    <w:p w14:paraId="3AE6F9A2">
      <w:pPr>
        <w:bidi w:val="0"/>
        <w:rPr>
          <w:rFonts w:hint="default"/>
          <w:lang w:val="en-US" w:eastAsia="zh-CN"/>
        </w:rPr>
      </w:pPr>
    </w:p>
    <w:p w14:paraId="2E2CBE0E">
      <w:pPr>
        <w:rPr>
          <w:rFonts w:hint="default"/>
          <w:lang w:val="en-US" w:eastAsia="zh-CN"/>
        </w:rPr>
      </w:pPr>
    </w:p>
    <w:p w14:paraId="73C38AF2">
      <w:pPr>
        <w:rPr>
          <w:rFonts w:hint="default"/>
          <w:lang w:val="en-US" w:eastAsia="zh-CN"/>
        </w:rPr>
      </w:pPr>
    </w:p>
    <w:p w14:paraId="01AF03F5">
      <w:pPr>
        <w:rPr>
          <w:rFonts w:hint="default"/>
          <w:lang w:val="en-US" w:eastAsia="zh-CN"/>
        </w:rPr>
      </w:pPr>
    </w:p>
    <w:p w14:paraId="4AECAC0F">
      <w:pPr>
        <w:rPr>
          <w:rFonts w:hint="default"/>
          <w:lang w:val="en-US" w:eastAsia="zh-CN"/>
        </w:rPr>
      </w:pPr>
    </w:p>
    <w:p w14:paraId="2CF82ED4">
      <w:pPr>
        <w:rPr>
          <w:rFonts w:hint="default"/>
          <w:lang w:val="en-US" w:eastAsia="zh-CN"/>
        </w:rPr>
      </w:pPr>
    </w:p>
    <w:p w14:paraId="741C3644">
      <w:pPr>
        <w:spacing w:before="0" w:beforeLines="0" w:after="0" w:afterLines="0" w:line="240" w:lineRule="auto"/>
        <w:ind w:left="0" w:leftChars="0" w:right="0" w:rightChars="0" w:firstLine="0" w:firstLineChars="0"/>
        <w:jc w:val="both"/>
        <w:rPr>
          <w:rFonts w:hint="default" w:ascii="Times New Roman" w:hAnsi="Times New Roman" w:eastAsia="宋体" w:cs="Times New Roman"/>
          <w:color w:val="000000"/>
          <w:kern w:val="2"/>
          <w:sz w:val="21"/>
          <w:szCs w:val="24"/>
          <w:u w:val="none" w:color="auto"/>
          <w:lang w:val="en-US" w:eastAsia="zh-CN" w:bidi="ar"/>
        </w:rPr>
      </w:pPr>
    </w:p>
    <w:p w14:paraId="05EE96F6">
      <w:pPr>
        <w:widowControl/>
        <w:spacing w:beforeLines="0" w:beforeAutospacing="0" w:afterLines="0" w:afterAutospacing="0"/>
        <w:rPr>
          <w:rFonts w:hint="eastAsia" w:ascii="宋体" w:hAnsi="Times New Roman" w:eastAsia="宋体" w:cs="Times New Roman"/>
          <w:color w:val="000000"/>
          <w:kern w:val="2"/>
          <w:sz w:val="24"/>
          <w:szCs w:val="24"/>
        </w:rPr>
      </w:pPr>
      <w:r>
        <w:rPr>
          <w:rFonts w:hint="default" w:ascii="Times New Roman" w:hAnsi="Times New Roman" w:eastAsia="宋体" w:cs="Times New Roman"/>
          <w:color w:val="000000"/>
          <w:kern w:val="2"/>
          <w:sz w:val="21"/>
          <w:szCs w:val="24"/>
          <w:u w:val="none" w:color="auto"/>
          <w:lang w:val="en-US" w:eastAsia="zh-CN" w:bidi="ar"/>
        </w:rPr>
        <w:fldChar w:fldCharType="end"/>
      </w:r>
      <w:r>
        <w:rPr>
          <w:rFonts w:hint="eastAsia" w:ascii="宋体" w:hAnsi="宋体" w:eastAsia="宋体" w:cs="宋体"/>
          <w:color w:val="000000"/>
          <w:kern w:val="2"/>
          <w:sz w:val="24"/>
          <w:szCs w:val="24"/>
          <w:lang w:val="en-US" w:eastAsia="zh-CN" w:bidi="ar"/>
        </w:rPr>
        <w:t>附图：</w:t>
      </w:r>
    </w:p>
    <w:p w14:paraId="46806819">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附图1  项目地理位置图</w:t>
      </w:r>
    </w:p>
    <w:p w14:paraId="2F7C50FF">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附图2  周边环境概况</w:t>
      </w:r>
    </w:p>
    <w:p w14:paraId="482DB964">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附图3  安阳市</w:t>
      </w:r>
      <w:r>
        <w:rPr>
          <w:rFonts w:hint="eastAsia" w:ascii="Times New Roman" w:hAnsi="Times New Roman" w:eastAsia="宋体" w:cs="Times New Roman"/>
          <w:color w:val="000000"/>
          <w:kern w:val="2"/>
          <w:sz w:val="24"/>
          <w:szCs w:val="24"/>
          <w:lang w:val="en-US" w:eastAsia="zh-CN" w:bidi="ar"/>
        </w:rPr>
        <w:t>新型制造业</w:t>
      </w:r>
      <w:r>
        <w:rPr>
          <w:rFonts w:hint="default" w:ascii="Times New Roman" w:hAnsi="Times New Roman" w:eastAsia="宋体" w:cs="Times New Roman"/>
          <w:color w:val="000000"/>
          <w:kern w:val="2"/>
          <w:sz w:val="24"/>
          <w:szCs w:val="24"/>
          <w:lang w:val="en-US" w:eastAsia="zh-CN" w:bidi="ar"/>
        </w:rPr>
        <w:t>产业园区</w:t>
      </w:r>
      <w:r>
        <w:rPr>
          <w:rFonts w:hint="eastAsia" w:ascii="Times New Roman" w:hAnsi="Times New Roman" w:eastAsia="宋体" w:cs="Times New Roman"/>
          <w:color w:val="000000"/>
          <w:kern w:val="2"/>
          <w:sz w:val="24"/>
          <w:szCs w:val="24"/>
          <w:lang w:val="en-US" w:eastAsia="zh-CN" w:bidi="ar"/>
        </w:rPr>
        <w:t>规划图</w:t>
      </w:r>
    </w:p>
    <w:p w14:paraId="1FD6E9B0">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附图4  厂区总平面布置图</w:t>
      </w:r>
    </w:p>
    <w:p w14:paraId="63538529">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 xml:space="preserve">附图5  </w:t>
      </w:r>
      <w:r>
        <w:rPr>
          <w:rFonts w:hint="eastAsia"/>
          <w:sz w:val="24"/>
          <w:szCs w:val="24"/>
          <w:lang w:val="en-US" w:eastAsia="zh-CN"/>
        </w:rPr>
        <w:t>河南省三线一单综合信息应用平台截图</w:t>
      </w:r>
    </w:p>
    <w:p w14:paraId="33894BFC">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 xml:space="preserve">附图6 </w:t>
      </w:r>
      <w:r>
        <w:rPr>
          <w:rFonts w:hint="eastAsia" w:cs="Times New Roman"/>
          <w:color w:val="000000"/>
          <w:kern w:val="2"/>
          <w:sz w:val="24"/>
          <w:szCs w:val="24"/>
          <w:lang w:val="en-US" w:eastAsia="zh-CN" w:bidi="ar"/>
        </w:rPr>
        <w:t xml:space="preserve"> </w:t>
      </w:r>
      <w:r>
        <w:rPr>
          <w:rFonts w:hint="default" w:ascii="Times New Roman" w:hAnsi="Times New Roman" w:eastAsia="宋体" w:cs="Times New Roman"/>
          <w:color w:val="000000"/>
          <w:kern w:val="2"/>
          <w:sz w:val="24"/>
          <w:szCs w:val="24"/>
          <w:lang w:val="en-US" w:eastAsia="zh-CN" w:bidi="ar"/>
        </w:rPr>
        <w:t>现场踏勘照片</w:t>
      </w:r>
    </w:p>
    <w:p w14:paraId="075408D4">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lang w:val="en-US" w:eastAsia="zh-CN" w:bidi="ar"/>
        </w:rPr>
      </w:pPr>
      <w:r>
        <w:rPr>
          <w:rFonts w:hint="eastAsia" w:cs="Times New Roman"/>
          <w:color w:val="000000"/>
          <w:kern w:val="2"/>
          <w:sz w:val="24"/>
          <w:szCs w:val="24"/>
          <w:lang w:val="en-US" w:eastAsia="zh-CN" w:bidi="ar"/>
        </w:rPr>
        <w:t>附图7  现状监测部署图</w:t>
      </w:r>
    </w:p>
    <w:p w14:paraId="075F9831">
      <w:pPr>
        <w:keepNext w:val="0"/>
        <w:keepLines w:val="0"/>
        <w:widowControl/>
        <w:suppressLineNumbers w:val="0"/>
        <w:spacing w:before="0" w:beforeLines="0" w:beforeAutospacing="0" w:after="0" w:afterLines="0" w:afterAutospacing="0" w:line="360" w:lineRule="auto"/>
        <w:ind w:left="0" w:right="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附件：</w:t>
      </w:r>
    </w:p>
    <w:p w14:paraId="62FBD303">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附件1  委托书</w:t>
      </w:r>
    </w:p>
    <w:p w14:paraId="491EAA4D">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附件2  确认</w:t>
      </w:r>
      <w:r>
        <w:rPr>
          <w:rFonts w:hint="eastAsia" w:ascii="Times New Roman" w:hAnsi="Times New Roman" w:eastAsia="宋体" w:cs="Times New Roman"/>
          <w:color w:val="000000"/>
          <w:kern w:val="2"/>
          <w:sz w:val="24"/>
          <w:szCs w:val="24"/>
          <w:lang w:val="en-US" w:eastAsia="zh-CN" w:bidi="ar"/>
        </w:rPr>
        <w:t>书</w:t>
      </w:r>
    </w:p>
    <w:p w14:paraId="249965DD">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rPr>
      </w:pPr>
      <w:r>
        <w:rPr>
          <w:rFonts w:hint="default" w:ascii="Times New Roman" w:hAnsi="Times New Roman" w:eastAsia="宋体" w:cs="Times New Roman"/>
          <w:color w:val="000000"/>
          <w:kern w:val="2"/>
          <w:sz w:val="24"/>
          <w:szCs w:val="24"/>
          <w:lang w:val="en-US" w:eastAsia="zh-CN" w:bidi="ar"/>
        </w:rPr>
        <w:t>附件3  企业投资项目备案证明</w:t>
      </w:r>
    </w:p>
    <w:p w14:paraId="444F2D9C">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附件4  营业执照及法人身份证复印件</w:t>
      </w:r>
    </w:p>
    <w:p w14:paraId="0F4B1B4D">
      <w:pPr>
        <w:keepNext w:val="0"/>
        <w:keepLines w:val="0"/>
        <w:widowControl/>
        <w:suppressLineNumbers w:val="0"/>
        <w:spacing w:before="0" w:beforeLines="0" w:beforeAutospacing="0" w:after="0" w:afterLines="0" w:afterAutospacing="0" w:line="360" w:lineRule="auto"/>
        <w:ind w:left="0" w:right="0" w:firstLine="480" w:firstLineChars="200"/>
        <w:jc w:val="both"/>
        <w:rPr>
          <w:rFonts w:hint="eastAsia" w:cs="Times New Roman"/>
          <w:color w:val="000000"/>
          <w:kern w:val="2"/>
          <w:sz w:val="24"/>
          <w:szCs w:val="24"/>
          <w:lang w:val="en-US" w:eastAsia="zh-CN" w:bidi="ar"/>
        </w:rPr>
      </w:pPr>
      <w:r>
        <w:rPr>
          <w:rFonts w:hint="default" w:ascii="Times New Roman" w:hAnsi="Times New Roman" w:eastAsia="宋体" w:cs="Times New Roman"/>
          <w:color w:val="000000"/>
          <w:kern w:val="2"/>
          <w:sz w:val="24"/>
          <w:szCs w:val="24"/>
          <w:lang w:val="en-US" w:eastAsia="zh-CN" w:bidi="ar"/>
        </w:rPr>
        <w:t>附件5  入住证明及不动产权证书</w:t>
      </w:r>
    </w:p>
    <w:p w14:paraId="575E3390">
      <w:pPr>
        <w:keepNext w:val="0"/>
        <w:keepLines w:val="0"/>
        <w:widowControl/>
        <w:suppressLineNumbers w:val="0"/>
        <w:spacing w:before="0" w:beforeLines="0" w:beforeAutospacing="0" w:after="0" w:afterLines="0" w:afterAutospacing="0" w:line="360" w:lineRule="auto"/>
        <w:ind w:left="0" w:right="0" w:firstLine="480" w:firstLineChars="200"/>
        <w:jc w:val="both"/>
        <w:rPr>
          <w:rFonts w:hint="eastAsia" w:cs="Times New Roman"/>
          <w:color w:val="000000"/>
          <w:kern w:val="2"/>
          <w:sz w:val="24"/>
          <w:szCs w:val="24"/>
          <w:lang w:val="en-US" w:eastAsia="zh-CN" w:bidi="ar"/>
        </w:rPr>
      </w:pPr>
      <w:r>
        <w:rPr>
          <w:rFonts w:hint="eastAsia" w:cs="Times New Roman"/>
          <w:color w:val="000000"/>
          <w:kern w:val="2"/>
          <w:sz w:val="24"/>
          <w:szCs w:val="24"/>
          <w:lang w:val="en-US" w:eastAsia="zh-CN" w:bidi="ar"/>
        </w:rPr>
        <w:t>附件6  排污登记回执</w:t>
      </w:r>
    </w:p>
    <w:p w14:paraId="02B12BBD">
      <w:pPr>
        <w:keepNext w:val="0"/>
        <w:keepLines w:val="0"/>
        <w:widowControl/>
        <w:suppressLineNumbers w:val="0"/>
        <w:spacing w:before="0" w:beforeLines="0" w:beforeAutospacing="0" w:after="0" w:afterLines="0" w:afterAutospacing="0" w:line="360" w:lineRule="auto"/>
        <w:ind w:left="0" w:right="0" w:firstLine="480" w:firstLineChars="200"/>
        <w:jc w:val="both"/>
        <w:rPr>
          <w:rFonts w:hint="eastAsia" w:cs="Times New Roman"/>
          <w:color w:val="000000"/>
          <w:kern w:val="2"/>
          <w:sz w:val="24"/>
          <w:szCs w:val="24"/>
          <w:lang w:val="en-US" w:eastAsia="zh-CN" w:bidi="ar"/>
        </w:rPr>
      </w:pPr>
      <w:r>
        <w:rPr>
          <w:rFonts w:hint="eastAsia" w:cs="Times New Roman"/>
          <w:color w:val="000000"/>
          <w:kern w:val="2"/>
          <w:sz w:val="24"/>
          <w:szCs w:val="24"/>
          <w:lang w:val="en-US" w:eastAsia="zh-CN" w:bidi="ar"/>
        </w:rPr>
        <w:t>附件7  园河丽景小区噪声检测报告</w:t>
      </w:r>
    </w:p>
    <w:p w14:paraId="6D4A5EA0">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cs="Times New Roman"/>
          <w:color w:val="000000"/>
          <w:kern w:val="2"/>
          <w:sz w:val="24"/>
          <w:szCs w:val="24"/>
          <w:lang w:val="en-US" w:eastAsia="zh-CN" w:bidi="ar"/>
        </w:rPr>
      </w:pPr>
      <w:r>
        <w:rPr>
          <w:rFonts w:hint="default" w:cs="Times New Roman"/>
          <w:color w:val="000000"/>
          <w:kern w:val="2"/>
          <w:sz w:val="24"/>
          <w:szCs w:val="24"/>
          <w:lang w:val="en-US" w:eastAsia="zh-CN" w:bidi="ar"/>
        </w:rPr>
        <w:t>附件8</w:t>
      </w:r>
      <w:r>
        <w:rPr>
          <w:rFonts w:hint="eastAsia" w:cs="Times New Roman"/>
          <w:color w:val="000000"/>
          <w:kern w:val="2"/>
          <w:sz w:val="24"/>
          <w:szCs w:val="24"/>
          <w:lang w:val="en-US" w:eastAsia="zh-CN" w:bidi="ar"/>
        </w:rPr>
        <w:t xml:space="preserve">  </w:t>
      </w:r>
      <w:r>
        <w:rPr>
          <w:rFonts w:hint="default" w:cs="Times New Roman"/>
          <w:color w:val="000000"/>
          <w:kern w:val="2"/>
          <w:sz w:val="24"/>
          <w:szCs w:val="24"/>
          <w:lang w:val="en-US" w:eastAsia="zh-CN" w:bidi="ar"/>
        </w:rPr>
        <w:t>现有项目</w:t>
      </w:r>
      <w:r>
        <w:rPr>
          <w:rFonts w:hint="eastAsia" w:cs="Times New Roman"/>
          <w:color w:val="000000"/>
          <w:kern w:val="2"/>
          <w:sz w:val="24"/>
          <w:szCs w:val="24"/>
          <w:lang w:val="en-US" w:eastAsia="zh-CN" w:bidi="ar"/>
        </w:rPr>
        <w:t>环评批复</w:t>
      </w:r>
    </w:p>
    <w:p w14:paraId="776C3CFF">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cs="Times New Roman"/>
          <w:color w:val="000000"/>
          <w:kern w:val="2"/>
          <w:sz w:val="24"/>
          <w:szCs w:val="24"/>
          <w:lang w:val="en-US" w:eastAsia="zh-CN" w:bidi="ar"/>
        </w:rPr>
      </w:pPr>
      <w:r>
        <w:rPr>
          <w:rFonts w:hint="default" w:cs="Times New Roman"/>
          <w:color w:val="000000"/>
          <w:kern w:val="2"/>
          <w:sz w:val="24"/>
          <w:szCs w:val="24"/>
          <w:lang w:val="en-US" w:eastAsia="zh-CN" w:bidi="ar"/>
        </w:rPr>
        <w:t>附件</w:t>
      </w:r>
      <w:r>
        <w:rPr>
          <w:rFonts w:hint="eastAsia" w:cs="Times New Roman"/>
          <w:color w:val="000000"/>
          <w:kern w:val="2"/>
          <w:sz w:val="24"/>
          <w:szCs w:val="24"/>
          <w:lang w:val="en-US" w:eastAsia="zh-CN" w:bidi="ar"/>
        </w:rPr>
        <w:t xml:space="preserve">9  </w:t>
      </w:r>
      <w:r>
        <w:rPr>
          <w:rFonts w:hint="default" w:cs="Times New Roman"/>
          <w:color w:val="000000"/>
          <w:kern w:val="2"/>
          <w:sz w:val="24"/>
          <w:szCs w:val="24"/>
          <w:lang w:val="en-US" w:eastAsia="zh-CN" w:bidi="ar"/>
        </w:rPr>
        <w:t>现有验收及检测报告</w:t>
      </w:r>
    </w:p>
    <w:p w14:paraId="05A8D932">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cs="Times New Roman"/>
          <w:b w:val="0"/>
          <w:bCs w:val="0"/>
          <w:color w:val="000000"/>
          <w:kern w:val="2"/>
          <w:sz w:val="24"/>
          <w:szCs w:val="24"/>
          <w:u w:val="none"/>
          <w:lang w:val="en-US" w:eastAsia="zh-CN" w:bidi="ar"/>
        </w:rPr>
      </w:pPr>
      <w:r>
        <w:rPr>
          <w:rFonts w:hint="eastAsia" w:cs="Times New Roman"/>
          <w:b w:val="0"/>
          <w:bCs w:val="0"/>
          <w:color w:val="000000"/>
          <w:kern w:val="2"/>
          <w:sz w:val="24"/>
          <w:szCs w:val="24"/>
          <w:u w:val="none"/>
          <w:lang w:val="en-US" w:eastAsia="zh-CN" w:bidi="ar"/>
        </w:rPr>
        <w:t>附件10  取水许可证</w:t>
      </w:r>
    </w:p>
    <w:p w14:paraId="79DC7A9C">
      <w:pPr>
        <w:keepNext w:val="0"/>
        <w:keepLines w:val="0"/>
        <w:widowControl/>
        <w:suppressLineNumbers w:val="0"/>
        <w:spacing w:before="0" w:beforeLines="0" w:beforeAutospacing="0" w:after="0" w:afterLines="0" w:afterAutospacing="0" w:line="360" w:lineRule="auto"/>
        <w:ind w:left="0" w:right="0" w:firstLine="480" w:firstLineChars="200"/>
        <w:jc w:val="both"/>
        <w:rPr>
          <w:rFonts w:hint="eastAsia" w:cs="Times New Roman"/>
          <w:b w:val="0"/>
          <w:bCs w:val="0"/>
          <w:color w:val="000000"/>
          <w:kern w:val="2"/>
          <w:sz w:val="24"/>
          <w:szCs w:val="24"/>
          <w:u w:val="none"/>
          <w:lang w:val="en-US" w:eastAsia="zh-CN" w:bidi="ar"/>
        </w:rPr>
      </w:pPr>
      <w:r>
        <w:rPr>
          <w:rFonts w:hint="eastAsia" w:cs="Times New Roman"/>
          <w:b w:val="0"/>
          <w:bCs w:val="0"/>
          <w:color w:val="000000"/>
          <w:kern w:val="2"/>
          <w:sz w:val="24"/>
          <w:szCs w:val="24"/>
          <w:u w:val="none"/>
          <w:lang w:val="en-US" w:eastAsia="zh-CN" w:bidi="ar"/>
        </w:rPr>
        <w:t>附件11  拉丝粉检验单</w:t>
      </w:r>
    </w:p>
    <w:p w14:paraId="65196FDE">
      <w:pPr>
        <w:keepNext w:val="0"/>
        <w:keepLines w:val="0"/>
        <w:widowControl/>
        <w:suppressLineNumbers w:val="0"/>
        <w:spacing w:before="0" w:beforeLines="0" w:beforeAutospacing="0" w:after="0" w:afterLines="0" w:afterAutospacing="0" w:line="360" w:lineRule="auto"/>
        <w:ind w:left="0" w:right="0" w:firstLine="480" w:firstLineChars="200"/>
        <w:jc w:val="both"/>
        <w:rPr>
          <w:rFonts w:hint="eastAsia" w:ascii="Times New Roman" w:hAnsi="Times New Roman" w:eastAsia="宋体" w:cs="Times New Roman"/>
          <w:b w:val="0"/>
          <w:bCs w:val="0"/>
          <w:color w:val="000000"/>
          <w:kern w:val="2"/>
          <w:sz w:val="24"/>
          <w:szCs w:val="24"/>
          <w:u w:val="none"/>
          <w:lang w:val="en-US" w:eastAsia="zh-CN" w:bidi="ar"/>
        </w:rPr>
      </w:pPr>
      <w:r>
        <w:rPr>
          <w:rFonts w:hint="eastAsia" w:ascii="Times New Roman" w:hAnsi="Times New Roman" w:eastAsia="宋体" w:cs="Times New Roman"/>
          <w:b w:val="0"/>
          <w:bCs w:val="0"/>
          <w:color w:val="000000"/>
          <w:kern w:val="2"/>
          <w:sz w:val="24"/>
          <w:szCs w:val="24"/>
          <w:u w:val="none"/>
          <w:lang w:val="en-US" w:eastAsia="zh-CN" w:bidi="ar"/>
        </w:rPr>
        <w:t>附件12</w:t>
      </w:r>
      <w:r>
        <w:rPr>
          <w:rFonts w:hint="eastAsia" w:cs="Times New Roman"/>
          <w:b w:val="0"/>
          <w:bCs w:val="0"/>
          <w:color w:val="000000"/>
          <w:kern w:val="2"/>
          <w:sz w:val="24"/>
          <w:szCs w:val="24"/>
          <w:u w:val="none"/>
          <w:lang w:val="en-US" w:eastAsia="zh-CN" w:bidi="ar"/>
        </w:rPr>
        <w:t xml:space="preserve">  </w:t>
      </w:r>
      <w:r>
        <w:rPr>
          <w:rFonts w:hint="eastAsia" w:ascii="Times New Roman" w:hAnsi="Times New Roman" w:eastAsia="宋体" w:cs="Times New Roman"/>
          <w:b w:val="0"/>
          <w:bCs w:val="0"/>
          <w:color w:val="000000"/>
          <w:kern w:val="2"/>
          <w:sz w:val="24"/>
          <w:szCs w:val="24"/>
          <w:u w:val="none"/>
          <w:lang w:val="en-US" w:eastAsia="zh-CN" w:bidi="ar"/>
        </w:rPr>
        <w:t>弹簧钢盘圆质量证明书</w:t>
      </w:r>
    </w:p>
    <w:p w14:paraId="0E99D5D1">
      <w:pPr>
        <w:bidi w:val="0"/>
        <w:rPr>
          <w:rFonts w:hint="default"/>
          <w:lang w:val="en-US" w:eastAsia="zh-CN"/>
        </w:rPr>
      </w:pPr>
    </w:p>
    <w:p w14:paraId="089C973C">
      <w:pPr>
        <w:keepNext w:val="0"/>
        <w:keepLines w:val="0"/>
        <w:widowControl/>
        <w:suppressLineNumbers w:val="0"/>
        <w:spacing w:before="0" w:beforeLines="0" w:beforeAutospacing="0" w:after="0" w:afterLines="0" w:afterAutospacing="0" w:line="360" w:lineRule="auto"/>
        <w:ind w:left="0" w:right="0" w:firstLine="480" w:firstLineChars="200"/>
        <w:jc w:val="both"/>
        <w:rPr>
          <w:rFonts w:hint="default" w:cs="Times New Roman"/>
          <w:color w:val="000000"/>
          <w:kern w:val="2"/>
          <w:sz w:val="24"/>
          <w:szCs w:val="24"/>
          <w:lang w:val="en-US" w:eastAsia="zh-CN" w:bidi="ar"/>
        </w:rPr>
      </w:pPr>
    </w:p>
    <w:p w14:paraId="2A198828">
      <w:pPr>
        <w:spacing w:after="157" w:afterLines="50" w:line="360" w:lineRule="auto"/>
        <w:jc w:val="both"/>
        <w:rPr>
          <w:rFonts w:hint="default" w:ascii="宋体" w:hAnsi="Times New Roman" w:eastAsia="宋体" w:cs="Times New Roman"/>
          <w:b/>
          <w:color w:val="000000"/>
          <w:sz w:val="44"/>
          <w:szCs w:val="44"/>
          <w:u w:val="none" w:color="auto"/>
        </w:rPr>
        <w:sectPr>
          <w:pgSz w:w="11906" w:h="16838"/>
          <w:pgMar w:top="1101" w:right="1531" w:bottom="1457"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051EDA2B">
      <w:pPr>
        <w:pStyle w:val="23"/>
        <w:spacing w:before="0" w:beforeLines="0" w:beforeAutospacing="0" w:after="0" w:afterLines="0" w:afterAutospacing="0" w:line="360" w:lineRule="auto"/>
        <w:jc w:val="center"/>
        <w:outlineLvl w:val="0"/>
        <w:rPr>
          <w:rFonts w:hint="eastAsia" w:ascii="Times New Roman" w:hAnsi="Times New Roman" w:eastAsia="黑体" w:cs="Times New Roman"/>
          <w:snapToGrid w:val="0"/>
          <w:color w:val="000000"/>
          <w:sz w:val="30"/>
          <w:szCs w:val="30"/>
          <w:u w:val="none" w:color="auto"/>
        </w:rPr>
      </w:pPr>
      <w:bookmarkStart w:id="4" w:name="_Toc6742"/>
      <w:bookmarkStart w:id="5" w:name="_Toc25708"/>
      <w:r>
        <w:rPr>
          <w:rFonts w:hint="eastAsia" w:ascii="Times New Roman" w:hAnsi="Times New Roman" w:eastAsia="黑体" w:cs="Times New Roman"/>
          <w:snapToGrid w:val="0"/>
          <w:color w:val="000000"/>
          <w:sz w:val="30"/>
          <w:szCs w:val="30"/>
          <w:u w:val="none" w:color="auto"/>
        </w:rPr>
        <w:t>一、建设项目基本情况</w:t>
      </w:r>
      <w:bookmarkEnd w:id="0"/>
      <w:bookmarkEnd w:id="4"/>
      <w:bookmarkEnd w:id="5"/>
    </w:p>
    <w:tbl>
      <w:tblPr>
        <w:tblStyle w:val="27"/>
        <w:tblW w:w="896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677"/>
        <w:gridCol w:w="514"/>
        <w:gridCol w:w="1721"/>
        <w:gridCol w:w="1826"/>
        <w:gridCol w:w="4224"/>
      </w:tblGrid>
      <w:tr w14:paraId="7A89C7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91" w:type="dxa"/>
            <w:gridSpan w:val="2"/>
            <w:tcBorders>
              <w:top w:val="single" w:color="auto" w:sz="8"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4BD0E348">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建设项目名称</w:t>
            </w:r>
          </w:p>
        </w:tc>
        <w:tc>
          <w:tcPr>
            <w:tcW w:w="7771" w:type="dxa"/>
            <w:gridSpan w:val="3"/>
            <w:tcBorders>
              <w:top w:val="single" w:color="auto" w:sz="8" w:space="0"/>
              <w:left w:val="single" w:color="auto" w:sz="4" w:space="0"/>
              <w:bottom w:val="single" w:color="auto" w:sz="4" w:space="0"/>
              <w:right w:val="single" w:color="auto" w:sz="8" w:space="0"/>
              <w:tl2br w:val="nil"/>
              <w:tr2bl w:val="nil"/>
            </w:tcBorders>
            <w:noWrap w:val="0"/>
            <w:vAlign w:val="center"/>
          </w:tcPr>
          <w:p w14:paraId="6753E95A">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val="en-US" w:eastAsia="zh-CN"/>
              </w:rPr>
              <w:t>年产1500吨高性能弹簧钢丝扩建项目</w:t>
            </w:r>
          </w:p>
        </w:tc>
      </w:tr>
      <w:tr w14:paraId="620B8D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2"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2F3534BB">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项目代码</w:t>
            </w:r>
          </w:p>
        </w:tc>
        <w:tc>
          <w:tcPr>
            <w:tcW w:w="7771" w:type="dxa"/>
            <w:gridSpan w:val="3"/>
            <w:tcBorders>
              <w:top w:val="single" w:color="auto" w:sz="4" w:space="0"/>
              <w:left w:val="single" w:color="auto" w:sz="4" w:space="0"/>
              <w:bottom w:val="single" w:color="auto" w:sz="4" w:space="0"/>
              <w:right w:val="single" w:color="auto" w:sz="8" w:space="0"/>
              <w:tl2br w:val="nil"/>
              <w:tr2bl w:val="nil"/>
            </w:tcBorders>
            <w:noWrap w:val="0"/>
            <w:vAlign w:val="center"/>
          </w:tcPr>
          <w:p w14:paraId="45FBE8E2">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eastAsia="zh-CN"/>
              </w:rPr>
              <w:t>2506-410523-04-01-123477</w:t>
            </w:r>
            <w:bookmarkStart w:id="53" w:name="_GoBack"/>
            <w:bookmarkEnd w:id="53"/>
          </w:p>
        </w:tc>
      </w:tr>
      <w:tr w14:paraId="3A65DF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8"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420DBD54">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建设单位联系人</w:t>
            </w:r>
          </w:p>
        </w:tc>
        <w:tc>
          <w:tcPr>
            <w:tcW w:w="17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F43ED85">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rPr>
            </w:pPr>
          </w:p>
        </w:tc>
        <w:tc>
          <w:tcPr>
            <w:tcW w:w="182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BACC95">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b/>
                <w:bCs/>
                <w:color w:val="auto"/>
                <w:sz w:val="24"/>
                <w:szCs w:val="24"/>
                <w:u w:val="none" w:color="auto"/>
              </w:rPr>
              <w:t>联系方式</w:t>
            </w:r>
          </w:p>
        </w:tc>
        <w:tc>
          <w:tcPr>
            <w:tcW w:w="4224" w:type="dxa"/>
            <w:tcBorders>
              <w:top w:val="single" w:color="auto" w:sz="4" w:space="0"/>
              <w:left w:val="single" w:color="auto" w:sz="4" w:space="0"/>
              <w:bottom w:val="single" w:color="auto" w:sz="4" w:space="0"/>
              <w:right w:val="single" w:color="auto" w:sz="8" w:space="0"/>
              <w:tl2br w:val="nil"/>
              <w:tr2bl w:val="nil"/>
            </w:tcBorders>
            <w:noWrap w:val="0"/>
            <w:vAlign w:val="center"/>
          </w:tcPr>
          <w:p w14:paraId="40DCB147">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rPr>
            </w:pPr>
          </w:p>
        </w:tc>
      </w:tr>
      <w:tr w14:paraId="40A14C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8"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54691D02">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建设地点</w:t>
            </w:r>
          </w:p>
        </w:tc>
        <w:tc>
          <w:tcPr>
            <w:tcW w:w="7771" w:type="dxa"/>
            <w:gridSpan w:val="3"/>
            <w:tcBorders>
              <w:top w:val="single" w:color="auto" w:sz="4" w:space="0"/>
              <w:left w:val="single" w:color="auto" w:sz="4" w:space="0"/>
              <w:bottom w:val="single" w:color="auto" w:sz="4" w:space="0"/>
              <w:right w:val="single" w:color="auto" w:sz="8" w:space="0"/>
              <w:tl2br w:val="nil"/>
              <w:tr2bl w:val="nil"/>
            </w:tcBorders>
            <w:noWrap w:val="0"/>
            <w:vAlign w:val="center"/>
          </w:tcPr>
          <w:p w14:paraId="59A71E76">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lang w:val="en-US" w:eastAsia="zh-CN"/>
              </w:rPr>
            </w:pPr>
            <w:r>
              <w:rPr>
                <w:rFonts w:hint="eastAsia" w:ascii="Times New Roman" w:hAnsi="Times New Roman" w:eastAsia="宋体" w:cs="Times New Roman"/>
                <w:color w:val="auto"/>
                <w:sz w:val="24"/>
                <w:lang w:eastAsia="zh-CN"/>
              </w:rPr>
              <w:t>安阳市汤阴县宜沟镇安阳市新型制造业产业园区中兴路南头</w:t>
            </w:r>
          </w:p>
        </w:tc>
      </w:tr>
      <w:tr w14:paraId="61B4F7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8"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371A7270">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地理坐标</w:t>
            </w:r>
          </w:p>
        </w:tc>
        <w:tc>
          <w:tcPr>
            <w:tcW w:w="7771" w:type="dxa"/>
            <w:gridSpan w:val="3"/>
            <w:tcBorders>
              <w:top w:val="single" w:color="auto" w:sz="4" w:space="0"/>
              <w:left w:val="single" w:color="auto" w:sz="4" w:space="0"/>
              <w:bottom w:val="single" w:color="auto" w:sz="4" w:space="0"/>
              <w:right w:val="single" w:color="auto" w:sz="8" w:space="0"/>
              <w:tl2br w:val="nil"/>
              <w:tr2bl w:val="nil"/>
            </w:tcBorders>
            <w:noWrap w:val="0"/>
            <w:vAlign w:val="center"/>
          </w:tcPr>
          <w:p w14:paraId="24D944E7">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（114</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u w:val="none" w:color="auto"/>
                <w:lang w:val="en-US" w:eastAsia="zh-CN"/>
              </w:rPr>
              <w:t>19</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u w:val="none" w:color="auto"/>
                <w:lang w:val="en-US" w:eastAsia="zh-CN"/>
              </w:rPr>
              <w:t>10.997</w:t>
            </w:r>
            <w:r>
              <w:rPr>
                <w:rFonts w:hint="default" w:ascii="Times New Roman" w:hAnsi="Times New Roman" w:eastAsia="宋体" w:cs="Times New Roman"/>
                <w:color w:val="auto"/>
                <w:sz w:val="24"/>
                <w:szCs w:val="24"/>
                <w:highlight w:val="none"/>
              </w:rPr>
              <w:t>"E</w:t>
            </w:r>
            <w:r>
              <w:rPr>
                <w:rFonts w:hint="default" w:ascii="Times New Roman" w:hAnsi="Times New Roman" w:eastAsia="宋体" w:cs="Times New Roman"/>
                <w:color w:val="auto"/>
                <w:sz w:val="24"/>
                <w:szCs w:val="24"/>
                <w:u w:val="none" w:color="auto"/>
              </w:rPr>
              <w:t>，</w:t>
            </w:r>
            <w:r>
              <w:rPr>
                <w:rFonts w:hint="eastAsia" w:ascii="Times New Roman" w:hAnsi="Times New Roman" w:eastAsia="宋体" w:cs="Times New Roman"/>
                <w:color w:val="auto"/>
                <w:sz w:val="24"/>
                <w:szCs w:val="24"/>
                <w:u w:val="none" w:color="auto"/>
                <w:lang w:val="en-US" w:eastAsia="zh-CN"/>
              </w:rPr>
              <w:t>35</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u w:val="none" w:color="auto"/>
                <w:lang w:val="en-US" w:eastAsia="zh-CN"/>
              </w:rPr>
              <w:t>49</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u w:val="none" w:color="auto"/>
                <w:lang w:val="en-US" w:eastAsia="zh-CN"/>
              </w:rPr>
              <w:t>35.911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N</w:t>
            </w:r>
            <w:r>
              <w:rPr>
                <w:rFonts w:hint="default" w:ascii="Times New Roman" w:hAnsi="Times New Roman" w:eastAsia="宋体" w:cs="Times New Roman"/>
                <w:color w:val="auto"/>
                <w:sz w:val="24"/>
                <w:szCs w:val="24"/>
                <w:u w:val="none" w:color="auto"/>
              </w:rPr>
              <w:t>）</w:t>
            </w:r>
          </w:p>
        </w:tc>
      </w:tr>
      <w:tr w14:paraId="184A66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2"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5634A101">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国民经济</w:t>
            </w:r>
          </w:p>
          <w:p w14:paraId="3AFB1D9C">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行业类别</w:t>
            </w:r>
          </w:p>
        </w:tc>
        <w:tc>
          <w:tcPr>
            <w:tcW w:w="17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71C1107">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left"/>
              <w:textAlignment w:val="auto"/>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lang w:val="en-US" w:eastAsia="zh-CN"/>
              </w:rPr>
              <w:t>C</w:t>
            </w:r>
            <w:r>
              <w:rPr>
                <w:rFonts w:hint="eastAsia" w:ascii="Times New Roman" w:hAnsi="Times New Roman" w:eastAsia="宋体" w:cs="Times New Roman"/>
                <w:color w:val="auto"/>
                <w:sz w:val="24"/>
                <w:lang w:val="en-US" w:eastAsia="zh-CN"/>
              </w:rPr>
              <w:t>3340金属丝绳及其制品制造</w:t>
            </w:r>
          </w:p>
        </w:tc>
        <w:tc>
          <w:tcPr>
            <w:tcW w:w="182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A87A5F">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bookmarkStart w:id="6" w:name="_Hlk49843745"/>
            <w:r>
              <w:rPr>
                <w:rFonts w:hint="default" w:ascii="Times New Roman" w:hAnsi="Times New Roman" w:eastAsia="宋体" w:cs="Times New Roman"/>
                <w:b/>
                <w:color w:val="auto"/>
                <w:sz w:val="24"/>
                <w:szCs w:val="24"/>
                <w:u w:val="none" w:color="auto"/>
              </w:rPr>
              <w:t>建设项目</w:t>
            </w:r>
          </w:p>
          <w:p w14:paraId="57124166">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行业类别</w:t>
            </w:r>
            <w:bookmarkEnd w:id="6"/>
          </w:p>
        </w:tc>
        <w:tc>
          <w:tcPr>
            <w:tcW w:w="4224" w:type="dxa"/>
            <w:tcBorders>
              <w:top w:val="single" w:color="auto" w:sz="4" w:space="0"/>
              <w:left w:val="single" w:color="auto" w:sz="4" w:space="0"/>
              <w:bottom w:val="single" w:color="auto" w:sz="4" w:space="0"/>
              <w:right w:val="single" w:color="auto" w:sz="8" w:space="0"/>
              <w:tl2br w:val="nil"/>
              <w:tr2bl w:val="nil"/>
            </w:tcBorders>
            <w:noWrap w:val="0"/>
            <w:vAlign w:val="center"/>
          </w:tcPr>
          <w:p w14:paraId="28DD19B3">
            <w:pPr>
              <w:keepNext w:val="0"/>
              <w:keepLines w:val="0"/>
              <w:suppressLineNumbers w:val="0"/>
              <w:adjustRightInd w:val="0"/>
              <w:snapToGrid w:val="0"/>
              <w:spacing w:before="0" w:beforeLines="0" w:beforeAutospacing="0" w:after="0" w:afterLines="0" w:afterAutospacing="0" w:line="240" w:lineRule="auto"/>
              <w:ind w:left="0" w:right="0"/>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三十、</w:t>
            </w:r>
            <w:r>
              <w:rPr>
                <w:rFonts w:hint="eastAsia" w:ascii="Times New Roman" w:hAnsi="Times New Roman" w:eastAsia="宋体" w:cs="Times New Roman"/>
                <w:color w:val="auto"/>
                <w:sz w:val="24"/>
                <w:szCs w:val="24"/>
                <w:u w:val="none" w:color="auto"/>
                <w:lang w:val="en-US" w:eastAsia="zh-CN"/>
              </w:rPr>
              <w:t>金属制品业 33-66金属丝绳及其制品制造</w:t>
            </w:r>
            <w:r>
              <w:rPr>
                <w:rFonts w:hint="eastAsia" w:cs="Times New Roman"/>
                <w:color w:val="auto"/>
                <w:sz w:val="24"/>
                <w:szCs w:val="24"/>
                <w:u w:val="none" w:color="auto"/>
                <w:lang w:val="en-US" w:eastAsia="zh-CN"/>
              </w:rPr>
              <w:t>334</w:t>
            </w:r>
          </w:p>
        </w:tc>
      </w:tr>
      <w:tr w14:paraId="40ED98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85"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62066DF7">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建设性质</w:t>
            </w:r>
          </w:p>
        </w:tc>
        <w:tc>
          <w:tcPr>
            <w:tcW w:w="17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39EA47">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eastAsia" w:ascii="Times New Roman" w:hAnsi="Times New Roman" w:eastAsia="宋体"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新建（迁建）</w:t>
            </w:r>
          </w:p>
          <w:p w14:paraId="4BA287FC">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sym w:font="Wingdings 2" w:char="00A3"/>
            </w:r>
            <w:r>
              <w:rPr>
                <w:rFonts w:hint="default" w:ascii="Times New Roman" w:hAnsi="Times New Roman" w:eastAsia="宋体" w:cs="Times New Roman"/>
                <w:color w:val="auto"/>
                <w:sz w:val="24"/>
                <w:szCs w:val="24"/>
                <w:u w:val="none" w:color="auto"/>
              </w:rPr>
              <w:t>改建</w:t>
            </w:r>
          </w:p>
          <w:p w14:paraId="56BEF6BA">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扩建</w:t>
            </w:r>
          </w:p>
          <w:p w14:paraId="03E171F9">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sym w:font="Wingdings 2" w:char="00A3"/>
            </w:r>
            <w:r>
              <w:rPr>
                <w:rFonts w:hint="default" w:ascii="Times New Roman" w:hAnsi="Times New Roman" w:eastAsia="宋体" w:cs="Times New Roman"/>
                <w:color w:val="auto"/>
                <w:sz w:val="24"/>
                <w:szCs w:val="24"/>
                <w:u w:val="none" w:color="auto"/>
              </w:rPr>
              <w:t>技术改造</w:t>
            </w:r>
          </w:p>
        </w:tc>
        <w:tc>
          <w:tcPr>
            <w:tcW w:w="182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7BEB8">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建设项目</w:t>
            </w:r>
          </w:p>
          <w:p w14:paraId="391C56AB">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申报情形</w:t>
            </w:r>
          </w:p>
        </w:tc>
        <w:tc>
          <w:tcPr>
            <w:tcW w:w="4224" w:type="dxa"/>
            <w:tcBorders>
              <w:top w:val="single" w:color="auto" w:sz="4" w:space="0"/>
              <w:left w:val="single" w:color="auto" w:sz="4" w:space="0"/>
              <w:bottom w:val="single" w:color="auto" w:sz="4" w:space="0"/>
              <w:right w:val="single" w:color="auto" w:sz="8" w:space="0"/>
              <w:tl2br w:val="nil"/>
              <w:tr2bl w:val="nil"/>
            </w:tcBorders>
            <w:noWrap w:val="0"/>
            <w:vAlign w:val="center"/>
          </w:tcPr>
          <w:p w14:paraId="1EE21609">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☑首次申报项目</w:t>
            </w:r>
          </w:p>
          <w:p w14:paraId="7E05C967">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eastAsia" w:ascii="Times New Roman" w:hAnsi="Times New Roman" w:eastAsia="宋体"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不予批准后再次申报项目</w:t>
            </w:r>
          </w:p>
          <w:p w14:paraId="68978CA4">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eastAsia" w:ascii="Times New Roman" w:hAnsi="Times New Roman" w:eastAsia="宋体"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 xml:space="preserve">超五年重新审核项目     </w:t>
            </w:r>
          </w:p>
          <w:p w14:paraId="7AF20D72">
            <w:pPr>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color w:val="auto"/>
                <w:sz w:val="24"/>
                <w:szCs w:val="24"/>
                <w:u w:val="none" w:color="auto"/>
              </w:rPr>
            </w:pPr>
            <w:r>
              <w:rPr>
                <w:rFonts w:hint="eastAsia" w:ascii="Times New Roman" w:hAnsi="Times New Roman" w:eastAsia="宋体"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重大变动重新报批项目</w:t>
            </w:r>
          </w:p>
        </w:tc>
      </w:tr>
      <w:tr w14:paraId="7DE293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6450AAAD">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项目审批（核准/备案）部门（选填）</w:t>
            </w:r>
          </w:p>
        </w:tc>
        <w:tc>
          <w:tcPr>
            <w:tcW w:w="17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941351">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highlight w:val="none"/>
                <w:lang w:eastAsia="zh-CN"/>
              </w:rPr>
              <w:t>汤阴县发展和改革委员会</w:t>
            </w:r>
          </w:p>
        </w:tc>
        <w:tc>
          <w:tcPr>
            <w:tcW w:w="182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DC489A">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项目审批（核准/</w:t>
            </w:r>
          </w:p>
          <w:p w14:paraId="074C2894">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备案）文号（选填）</w:t>
            </w:r>
          </w:p>
        </w:tc>
        <w:tc>
          <w:tcPr>
            <w:tcW w:w="4224" w:type="dxa"/>
            <w:tcBorders>
              <w:top w:val="single" w:color="auto" w:sz="4" w:space="0"/>
              <w:left w:val="single" w:color="auto" w:sz="4" w:space="0"/>
              <w:bottom w:val="single" w:color="auto" w:sz="4" w:space="0"/>
              <w:right w:val="single" w:color="auto" w:sz="8" w:space="0"/>
              <w:tl2br w:val="nil"/>
              <w:tr2bl w:val="nil"/>
            </w:tcBorders>
            <w:noWrap w:val="0"/>
            <w:vAlign w:val="center"/>
          </w:tcPr>
          <w:p w14:paraId="51B3B2F7">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lang w:eastAsia="zh-CN"/>
              </w:rPr>
            </w:pPr>
            <w:r>
              <w:rPr>
                <w:rFonts w:hint="default" w:ascii="Times New Roman" w:hAnsi="Times New Roman" w:eastAsia="宋体" w:cs="Times New Roman"/>
                <w:color w:val="auto"/>
                <w:sz w:val="24"/>
                <w:szCs w:val="24"/>
                <w:u w:val="none" w:color="auto"/>
                <w:lang w:eastAsia="zh-CN"/>
              </w:rPr>
              <w:t>2506-410523-04-01-123477</w:t>
            </w:r>
          </w:p>
        </w:tc>
      </w:tr>
      <w:tr w14:paraId="2BD62E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22E1DD8A">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总投资（万元）</w:t>
            </w:r>
          </w:p>
        </w:tc>
        <w:tc>
          <w:tcPr>
            <w:tcW w:w="17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C92502">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200</w:t>
            </w:r>
          </w:p>
        </w:tc>
        <w:tc>
          <w:tcPr>
            <w:tcW w:w="1826" w:type="dxa"/>
            <w:tcBorders>
              <w:top w:val="single" w:color="auto" w:sz="4" w:space="0"/>
              <w:left w:val="single" w:color="auto" w:sz="4" w:space="0"/>
              <w:bottom w:val="single" w:color="auto" w:sz="4" w:space="0"/>
              <w:right w:val="single" w:color="auto" w:sz="4" w:space="0"/>
              <w:tl2br w:val="nil"/>
              <w:tr2bl w:val="nil"/>
            </w:tcBorders>
            <w:noWrap w:val="0"/>
            <w:tcMar>
              <w:top w:w="16" w:type="dxa"/>
              <w:left w:w="16" w:type="dxa"/>
              <w:right w:w="16" w:type="dxa"/>
            </w:tcMar>
            <w:vAlign w:val="center"/>
          </w:tcPr>
          <w:p w14:paraId="57B79A5F">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环保投资（万元）</w:t>
            </w:r>
          </w:p>
        </w:tc>
        <w:tc>
          <w:tcPr>
            <w:tcW w:w="4224" w:type="dxa"/>
            <w:tcBorders>
              <w:top w:val="single" w:color="auto" w:sz="4" w:space="0"/>
              <w:left w:val="single" w:color="auto" w:sz="4" w:space="0"/>
              <w:bottom w:val="single" w:color="auto" w:sz="4" w:space="0"/>
              <w:right w:val="single" w:color="auto" w:sz="8" w:space="0"/>
              <w:tl2br w:val="nil"/>
              <w:tr2bl w:val="nil"/>
            </w:tcBorders>
            <w:noWrap w:val="0"/>
            <w:vAlign w:val="center"/>
          </w:tcPr>
          <w:p w14:paraId="71F008A4">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lang w:val="en-US" w:eastAsia="zh-CN"/>
              </w:rPr>
            </w:pPr>
            <w:r>
              <w:rPr>
                <w:rFonts w:hint="eastAsia" w:cs="Times New Roman"/>
                <w:color w:val="auto"/>
                <w:sz w:val="24"/>
                <w:szCs w:val="24"/>
                <w:u w:val="none" w:color="auto"/>
                <w:lang w:val="en-US" w:eastAsia="zh-CN"/>
              </w:rPr>
              <w:t>2</w:t>
            </w:r>
          </w:p>
        </w:tc>
      </w:tr>
      <w:tr w14:paraId="7357D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73"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3F29DD75">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环保投资占比（%）</w:t>
            </w:r>
          </w:p>
        </w:tc>
        <w:tc>
          <w:tcPr>
            <w:tcW w:w="17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74630C">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lang w:val="en-US" w:eastAsia="zh-CN"/>
              </w:rPr>
              <w:t>1</w:t>
            </w:r>
          </w:p>
        </w:tc>
        <w:tc>
          <w:tcPr>
            <w:tcW w:w="1826" w:type="dxa"/>
            <w:tcBorders>
              <w:top w:val="single" w:color="auto" w:sz="4" w:space="0"/>
              <w:left w:val="single" w:color="auto" w:sz="4" w:space="0"/>
              <w:bottom w:val="single" w:color="auto" w:sz="4" w:space="0"/>
              <w:right w:val="single" w:color="auto" w:sz="4" w:space="0"/>
              <w:tl2br w:val="nil"/>
              <w:tr2bl w:val="nil"/>
            </w:tcBorders>
            <w:noWrap w:val="0"/>
            <w:tcMar>
              <w:top w:w="16" w:type="dxa"/>
              <w:left w:w="16" w:type="dxa"/>
              <w:right w:w="16" w:type="dxa"/>
            </w:tcMar>
            <w:vAlign w:val="center"/>
          </w:tcPr>
          <w:p w14:paraId="63746B9D">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施工工期</w:t>
            </w:r>
          </w:p>
        </w:tc>
        <w:tc>
          <w:tcPr>
            <w:tcW w:w="4224" w:type="dxa"/>
            <w:tcBorders>
              <w:top w:val="single" w:color="auto" w:sz="4" w:space="0"/>
              <w:left w:val="single" w:color="auto" w:sz="4" w:space="0"/>
              <w:bottom w:val="single" w:color="auto" w:sz="4" w:space="0"/>
              <w:right w:val="single" w:color="auto" w:sz="8" w:space="0"/>
              <w:tl2br w:val="nil"/>
              <w:tr2bl w:val="nil"/>
            </w:tcBorders>
            <w:noWrap w:val="0"/>
            <w:vAlign w:val="center"/>
          </w:tcPr>
          <w:p w14:paraId="6E5D6845">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3个月</w:t>
            </w:r>
          </w:p>
        </w:tc>
      </w:tr>
      <w:tr w14:paraId="466375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tcMar>
              <w:top w:w="16" w:type="dxa"/>
              <w:left w:w="16" w:type="dxa"/>
              <w:right w:w="16" w:type="dxa"/>
            </w:tcMar>
            <w:vAlign w:val="center"/>
          </w:tcPr>
          <w:p w14:paraId="031D5E18">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是否开工建设</w:t>
            </w:r>
          </w:p>
        </w:tc>
        <w:tc>
          <w:tcPr>
            <w:tcW w:w="17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060E4B">
            <w:pPr>
              <w:keepNext w:val="0"/>
              <w:keepLines w:val="0"/>
              <w:suppressLineNumbers w:val="0"/>
              <w:adjustRightInd w:val="0"/>
              <w:snapToGrid w:val="0"/>
              <w:spacing w:before="0" w:beforeLines="0" w:beforeAutospacing="0" w:after="0" w:afterLines="0" w:afterAutospacing="0" w:line="240" w:lineRule="auto"/>
              <w:ind w:left="0" w:right="0"/>
              <w:rPr>
                <w:rFonts w:hint="default" w:ascii="Times New Roman" w:hAnsi="Times New Roman" w:eastAsia="宋体" w:cs="Times New Roman"/>
                <w:color w:val="auto"/>
                <w:sz w:val="24"/>
                <w:szCs w:val="24"/>
                <w:u w:val="none" w:color="auto"/>
              </w:rPr>
            </w:pPr>
            <w:r>
              <w:rPr>
                <w:rFonts w:hint="eastAsia"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否</w:t>
            </w:r>
          </w:p>
          <w:p w14:paraId="4479DC02">
            <w:pPr>
              <w:keepNext w:val="0"/>
              <w:keepLines w:val="0"/>
              <w:suppressLineNumbers w:val="0"/>
              <w:adjustRightInd w:val="0"/>
              <w:snapToGrid w:val="0"/>
              <w:spacing w:before="0" w:beforeLines="0" w:beforeAutospacing="0" w:after="0" w:afterLines="0" w:afterAutospacing="0" w:line="240" w:lineRule="auto"/>
              <w:ind w:left="0" w:right="0"/>
              <w:rPr>
                <w:rFonts w:hint="eastAsia" w:ascii="Times New Roman" w:hAnsi="Times New Roman" w:eastAsia="宋体" w:cs="Times New Roman"/>
                <w:color w:val="auto"/>
                <w:sz w:val="24"/>
                <w:szCs w:val="24"/>
                <w:u w:val="none" w:color="auto"/>
                <w:lang w:eastAsia="zh-CN"/>
              </w:rPr>
            </w:pPr>
            <w:r>
              <w:rPr>
                <w:rFonts w:hint="eastAsia"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是：</w:t>
            </w:r>
          </w:p>
        </w:tc>
        <w:tc>
          <w:tcPr>
            <w:tcW w:w="1826" w:type="dxa"/>
            <w:tcBorders>
              <w:top w:val="single" w:color="auto" w:sz="4" w:space="0"/>
              <w:left w:val="single" w:color="auto" w:sz="4" w:space="0"/>
              <w:bottom w:val="single" w:color="auto" w:sz="4" w:space="0"/>
              <w:right w:val="single" w:color="auto" w:sz="4" w:space="0"/>
              <w:tl2br w:val="nil"/>
              <w:tr2bl w:val="nil"/>
            </w:tcBorders>
            <w:noWrap w:val="0"/>
            <w:tcMar>
              <w:top w:w="16" w:type="dxa"/>
              <w:left w:w="16" w:type="dxa"/>
              <w:right w:w="16" w:type="dxa"/>
            </w:tcMar>
            <w:vAlign w:val="center"/>
          </w:tcPr>
          <w:p w14:paraId="4BF93205">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用地（用海）</w:t>
            </w:r>
          </w:p>
          <w:p w14:paraId="2B0E1C9A">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面积（m</w:t>
            </w:r>
            <w:r>
              <w:rPr>
                <w:rFonts w:hint="default" w:ascii="Times New Roman" w:hAnsi="Times New Roman" w:eastAsia="宋体" w:cs="Times New Roman"/>
                <w:b/>
                <w:color w:val="auto"/>
                <w:sz w:val="24"/>
                <w:szCs w:val="24"/>
                <w:u w:val="none" w:color="auto"/>
                <w:vertAlign w:val="superscript"/>
              </w:rPr>
              <w:t>2</w:t>
            </w:r>
            <w:r>
              <w:rPr>
                <w:rFonts w:hint="default" w:ascii="Times New Roman" w:hAnsi="Times New Roman" w:eastAsia="宋体" w:cs="Times New Roman"/>
                <w:b/>
                <w:color w:val="auto"/>
                <w:sz w:val="24"/>
                <w:szCs w:val="24"/>
                <w:u w:val="none" w:color="auto"/>
              </w:rPr>
              <w:t>）</w:t>
            </w:r>
          </w:p>
        </w:tc>
        <w:tc>
          <w:tcPr>
            <w:tcW w:w="4224" w:type="dxa"/>
            <w:tcBorders>
              <w:top w:val="single" w:color="auto" w:sz="4" w:space="0"/>
              <w:left w:val="single" w:color="auto" w:sz="4" w:space="0"/>
              <w:bottom w:val="single" w:color="auto" w:sz="4" w:space="0"/>
              <w:right w:val="single" w:color="auto" w:sz="8" w:space="0"/>
              <w:tl2br w:val="nil"/>
              <w:tr2bl w:val="nil"/>
            </w:tcBorders>
            <w:noWrap w:val="0"/>
            <w:vAlign w:val="center"/>
          </w:tcPr>
          <w:p w14:paraId="1BE100C9">
            <w:pPr>
              <w:keepNext w:val="0"/>
              <w:keepLines w:val="0"/>
              <w:suppressLineNumbers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sz w:val="24"/>
                <w:szCs w:val="24"/>
                <w:u w:val="none" w:color="auto"/>
                <w:lang w:eastAsia="zh-CN"/>
              </w:rPr>
            </w:pPr>
            <w:r>
              <w:rPr>
                <w:rFonts w:hint="eastAsia" w:cs="Times New Roman"/>
                <w:color w:val="auto"/>
                <w:sz w:val="24"/>
                <w:szCs w:val="24"/>
                <w:u w:val="none" w:color="auto"/>
                <w:lang w:val="en-US" w:eastAsia="zh-CN"/>
              </w:rPr>
              <w:t>0</w:t>
            </w:r>
          </w:p>
        </w:tc>
      </w:tr>
      <w:tr w14:paraId="334D8C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gridSpan w:val="2"/>
            <w:tcBorders>
              <w:top w:val="single" w:color="auto" w:sz="4" w:space="0"/>
              <w:left w:val="single" w:color="auto" w:sz="8" w:space="0"/>
              <w:bottom w:val="single" w:color="auto" w:sz="4" w:space="0"/>
              <w:right w:val="single" w:color="auto" w:sz="4" w:space="0"/>
              <w:tl2br w:val="nil"/>
              <w:tr2bl w:val="nil"/>
            </w:tcBorders>
            <w:noWrap w:val="0"/>
            <w:vAlign w:val="center"/>
          </w:tcPr>
          <w:p w14:paraId="7321664A">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专项评价设置情况</w:t>
            </w:r>
          </w:p>
        </w:tc>
        <w:tc>
          <w:tcPr>
            <w:tcW w:w="7771" w:type="dxa"/>
            <w:gridSpan w:val="3"/>
            <w:tcBorders>
              <w:top w:val="single" w:color="auto" w:sz="4" w:space="0"/>
              <w:left w:val="single" w:color="auto" w:sz="4" w:space="0"/>
              <w:bottom w:val="single" w:color="auto" w:sz="4" w:space="0"/>
              <w:right w:val="single" w:color="auto" w:sz="8" w:space="0"/>
              <w:tl2br w:val="nil"/>
              <w:tr2bl w:val="nil"/>
            </w:tcBorders>
            <w:noWrap w:val="0"/>
            <w:vAlign w:val="center"/>
          </w:tcPr>
          <w:p w14:paraId="3D38F128">
            <w:pPr>
              <w:keepNext w:val="0"/>
              <w:keepLines w:val="0"/>
              <w:suppressLineNumbers w:val="0"/>
              <w:autoSpaceDE w:val="0"/>
              <w:autoSpaceDN w:val="0"/>
              <w:adjustRightInd w:val="0"/>
              <w:snapToGrid w:val="0"/>
              <w:spacing w:before="0" w:beforeLines="0" w:beforeAutospacing="0" w:after="0" w:afterLines="0" w:afterAutospacing="0" w:line="240" w:lineRule="auto"/>
              <w:ind w:left="0" w:right="0"/>
              <w:jc w:val="center"/>
              <w:rPr>
                <w:rFonts w:hint="default" w:ascii="Times New Roman" w:hAnsi="Times New Roman" w:eastAsia="宋体" w:cs="Times New Roman"/>
                <w:color w:val="auto"/>
                <w:kern w:val="0"/>
                <w:sz w:val="24"/>
                <w:szCs w:val="24"/>
                <w:u w:val="none" w:color="auto"/>
              </w:rPr>
            </w:pPr>
            <w:r>
              <w:rPr>
                <w:rFonts w:hint="default" w:ascii="Times New Roman" w:hAnsi="Times New Roman" w:eastAsia="宋体" w:cs="Times New Roman"/>
                <w:color w:val="auto"/>
                <w:kern w:val="0"/>
                <w:sz w:val="24"/>
                <w:szCs w:val="24"/>
                <w:u w:val="none" w:color="auto"/>
              </w:rPr>
              <w:t>无</w:t>
            </w:r>
          </w:p>
        </w:tc>
      </w:tr>
      <w:tr w14:paraId="626E0D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7" w:type="dxa"/>
            <w:tcBorders>
              <w:top w:val="single" w:color="auto" w:sz="4" w:space="0"/>
              <w:left w:val="single" w:color="auto" w:sz="8" w:space="0"/>
              <w:bottom w:val="single" w:color="auto" w:sz="4" w:space="0"/>
              <w:right w:val="single" w:color="auto" w:sz="4" w:space="0"/>
              <w:tl2br w:val="nil"/>
              <w:tr2bl w:val="nil"/>
            </w:tcBorders>
            <w:noWrap w:val="0"/>
            <w:vAlign w:val="center"/>
          </w:tcPr>
          <w:p w14:paraId="2BCE009A">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val="0"/>
                <w:bCs/>
                <w:color w:val="auto"/>
                <w:sz w:val="24"/>
                <w:szCs w:val="24"/>
                <w:u w:val="none" w:color="auto"/>
              </w:rPr>
            </w:pPr>
            <w:r>
              <w:rPr>
                <w:rFonts w:hint="default" w:ascii="Times New Roman" w:hAnsi="Times New Roman" w:eastAsia="宋体" w:cs="Times New Roman"/>
                <w:b w:val="0"/>
                <w:bCs/>
                <w:color w:val="auto"/>
                <w:sz w:val="24"/>
                <w:szCs w:val="24"/>
                <w:u w:val="none" w:color="auto"/>
              </w:rPr>
              <w:t>规划情况</w:t>
            </w:r>
          </w:p>
        </w:tc>
        <w:tc>
          <w:tcPr>
            <w:tcW w:w="8285" w:type="dxa"/>
            <w:gridSpan w:val="4"/>
            <w:tcBorders>
              <w:top w:val="single" w:color="auto" w:sz="4" w:space="0"/>
              <w:left w:val="single" w:color="auto" w:sz="4" w:space="0"/>
              <w:bottom w:val="single" w:color="auto" w:sz="4" w:space="0"/>
              <w:right w:val="single" w:color="auto" w:sz="8" w:space="0"/>
              <w:tl2br w:val="nil"/>
              <w:tr2bl w:val="nil"/>
            </w:tcBorders>
            <w:noWrap w:val="0"/>
            <w:vAlign w:val="center"/>
          </w:tcPr>
          <w:p w14:paraId="04064B1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eastAsia" w:ascii="Calibri" w:hAnsi="Calibri" w:eastAsia="宋体" w:cs="Times New Roman"/>
                <w:color w:val="auto"/>
                <w:kern w:val="0"/>
                <w:sz w:val="24"/>
                <w:szCs w:val="24"/>
                <w:lang w:eastAsia="zh-CN"/>
              </w:rPr>
            </w:pPr>
            <w:r>
              <w:rPr>
                <w:rFonts w:hint="eastAsia" w:ascii="Calibri" w:hAnsi="Calibri" w:eastAsia="宋体" w:cs="Times New Roman"/>
                <w:color w:val="auto"/>
                <w:kern w:val="0"/>
                <w:sz w:val="24"/>
                <w:szCs w:val="24"/>
                <w:lang w:eastAsia="zh-CN"/>
              </w:rPr>
              <w:t>规划名称：《安阳市新型制造业产业园区空间发展规划</w:t>
            </w:r>
            <w:r>
              <w:rPr>
                <w:rFonts w:hint="default" w:ascii="Times New Roman" w:hAnsi="Times New Roman" w:eastAsia="宋体" w:cs="Times New Roman"/>
                <w:color w:val="auto"/>
                <w:kern w:val="0"/>
                <w:sz w:val="24"/>
                <w:szCs w:val="24"/>
                <w:lang w:eastAsia="zh-CN"/>
              </w:rPr>
              <w:t>（2010-2020）</w:t>
            </w:r>
            <w:r>
              <w:rPr>
                <w:rFonts w:hint="eastAsia" w:ascii="Calibri" w:hAnsi="Calibri" w:eastAsia="宋体" w:cs="Times New Roman"/>
                <w:color w:val="auto"/>
                <w:kern w:val="0"/>
                <w:sz w:val="24"/>
                <w:szCs w:val="24"/>
                <w:lang w:eastAsia="zh-CN"/>
              </w:rPr>
              <w:t>》（中国城市建设研究院）；</w:t>
            </w:r>
          </w:p>
          <w:p w14:paraId="310EFA5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default" w:ascii="Times New Roman" w:hAnsi="Times New Roman" w:eastAsia="宋体" w:cs="Times New Roman"/>
                <w:color w:val="auto"/>
                <w:kern w:val="0"/>
                <w:sz w:val="24"/>
                <w:szCs w:val="24"/>
                <w:lang w:val="en-US" w:eastAsia="zh-CN"/>
              </w:rPr>
            </w:pPr>
            <w:r>
              <w:rPr>
                <w:rFonts w:hint="eastAsia" w:ascii="Calibri" w:hAnsi="Calibri" w:eastAsia="宋体" w:cs="Times New Roman"/>
                <w:color w:val="auto"/>
                <w:kern w:val="0"/>
                <w:sz w:val="24"/>
                <w:szCs w:val="24"/>
                <w:lang w:eastAsia="zh-CN"/>
              </w:rPr>
              <w:t>审批机关：安阳市发展和改革委员会、安阳市国土资源局、安阳市城乡规划管</w:t>
            </w:r>
            <w:r>
              <w:rPr>
                <w:rFonts w:hint="default" w:ascii="Times New Roman" w:hAnsi="Times New Roman" w:eastAsia="宋体" w:cs="Times New Roman"/>
                <w:color w:val="auto"/>
                <w:kern w:val="0"/>
                <w:sz w:val="24"/>
                <w:szCs w:val="24"/>
                <w:lang w:eastAsia="zh-CN"/>
              </w:rPr>
              <w:t>理局、安阳市环境保护局；</w:t>
            </w:r>
          </w:p>
          <w:p w14:paraId="63623C0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4"/>
                <w:szCs w:val="24"/>
                <w:lang w:eastAsia="zh-CN"/>
              </w:rPr>
              <w:t>审批文件名称及文号：《关于确定全市专业园区名单的通知》（安发改工业〔2011〕271号）</w:t>
            </w:r>
            <w:r>
              <w:rPr>
                <w:rFonts w:hint="eastAsia" w:ascii="Calibri" w:hAnsi="Calibri" w:eastAsia="宋体" w:cs="Times New Roman"/>
                <w:color w:val="auto"/>
                <w:kern w:val="0"/>
                <w:sz w:val="24"/>
                <w:szCs w:val="24"/>
                <w:lang w:eastAsia="zh-CN"/>
              </w:rPr>
              <w:t>；</w:t>
            </w:r>
          </w:p>
        </w:tc>
      </w:tr>
      <w:tr w14:paraId="64CB79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7" w:type="dxa"/>
            <w:tcBorders>
              <w:top w:val="single" w:color="auto" w:sz="4" w:space="0"/>
              <w:left w:val="single" w:color="auto" w:sz="8" w:space="0"/>
              <w:bottom w:val="single" w:color="auto" w:sz="8" w:space="0"/>
              <w:right w:val="single" w:color="auto" w:sz="4" w:space="0"/>
              <w:tl2br w:val="nil"/>
              <w:tr2bl w:val="nil"/>
            </w:tcBorders>
            <w:noWrap w:val="0"/>
            <w:vAlign w:val="center"/>
          </w:tcPr>
          <w:p w14:paraId="5A4DE789">
            <w:pPr>
              <w:keepNext w:val="0"/>
              <w:keepLines w:val="0"/>
              <w:suppressLineNumbers w:val="0"/>
              <w:spacing w:before="0" w:beforeLines="0" w:beforeAutospacing="0" w:after="0" w:afterLines="0" w:afterAutospacing="0" w:line="240" w:lineRule="auto"/>
              <w:ind w:left="0" w:right="0"/>
              <w:jc w:val="center"/>
              <w:textAlignment w:val="baseline"/>
              <w:rPr>
                <w:rFonts w:hint="default" w:ascii="Times New Roman" w:hAnsi="Times New Roman" w:eastAsia="宋体" w:cs="Times New Roman"/>
                <w:b w:val="0"/>
                <w:bCs/>
                <w:color w:val="auto"/>
                <w:sz w:val="24"/>
                <w:szCs w:val="24"/>
                <w:u w:val="none" w:color="auto"/>
              </w:rPr>
            </w:pPr>
            <w:r>
              <w:rPr>
                <w:rFonts w:hint="default" w:ascii="Times New Roman" w:hAnsi="Times New Roman" w:eastAsia="宋体" w:cs="Times New Roman"/>
                <w:b w:val="0"/>
                <w:bCs/>
                <w:color w:val="auto"/>
                <w:sz w:val="24"/>
                <w:szCs w:val="24"/>
                <w:u w:val="none" w:color="auto"/>
              </w:rPr>
              <w:t>规划环境影响评价情况</w:t>
            </w:r>
          </w:p>
        </w:tc>
        <w:tc>
          <w:tcPr>
            <w:tcW w:w="8285" w:type="dxa"/>
            <w:gridSpan w:val="4"/>
            <w:tcBorders>
              <w:top w:val="single" w:color="auto" w:sz="4" w:space="0"/>
              <w:left w:val="single" w:color="auto" w:sz="4" w:space="0"/>
              <w:bottom w:val="single" w:color="auto" w:sz="8" w:space="0"/>
              <w:right w:val="single" w:color="auto" w:sz="8" w:space="0"/>
              <w:tl2br w:val="nil"/>
              <w:tr2bl w:val="nil"/>
            </w:tcBorders>
            <w:noWrap w:val="0"/>
            <w:vAlign w:val="center"/>
          </w:tcPr>
          <w:p w14:paraId="3DEAEA5E">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kern w:val="0"/>
                <w:sz w:val="24"/>
                <w:szCs w:val="24"/>
                <w:highlight w:val="none"/>
                <w:lang w:eastAsia="zh-CN"/>
              </w:rPr>
              <w:t>规划环评文件名称：《安阳市新型制造业产业园区空间发展规划（2010-2020）环境影响报告书》；</w:t>
            </w:r>
          </w:p>
          <w:p w14:paraId="7B809005">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default" w:ascii="Times New Roman" w:hAnsi="Times New Roman" w:eastAsia="宋体" w:cs="Times New Roman"/>
                <w:color w:val="auto"/>
                <w:kern w:val="0"/>
                <w:sz w:val="24"/>
                <w:szCs w:val="24"/>
                <w:highlight w:val="none"/>
                <w:lang w:eastAsia="zh-CN"/>
              </w:rPr>
            </w:pPr>
            <w:r>
              <w:rPr>
                <w:rFonts w:hint="default" w:ascii="Times New Roman" w:hAnsi="Times New Roman" w:eastAsia="宋体" w:cs="Times New Roman"/>
                <w:color w:val="auto"/>
                <w:kern w:val="0"/>
                <w:sz w:val="24"/>
                <w:szCs w:val="24"/>
                <w:highlight w:val="none"/>
                <w:lang w:eastAsia="zh-CN"/>
              </w:rPr>
              <w:t>审查机关：安阳市环境保护局；</w:t>
            </w:r>
          </w:p>
          <w:p w14:paraId="2B056DBC">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eastAsia" w:cs="Times New Roman"/>
                <w:color w:val="auto"/>
                <w:kern w:val="0"/>
                <w:sz w:val="24"/>
                <w:szCs w:val="24"/>
                <w:highlight w:val="none"/>
                <w:lang w:eastAsia="zh-CN"/>
              </w:rPr>
            </w:pPr>
            <w:r>
              <w:rPr>
                <w:rFonts w:hint="default" w:ascii="Times New Roman" w:hAnsi="Times New Roman" w:eastAsia="宋体" w:cs="Times New Roman"/>
                <w:color w:val="auto"/>
                <w:kern w:val="0"/>
                <w:sz w:val="24"/>
                <w:szCs w:val="24"/>
                <w:highlight w:val="none"/>
                <w:lang w:eastAsia="zh-CN"/>
              </w:rPr>
              <w:t>审查文件名称及文号：《安阳市环境保护局关于安阳市新型制造业产业园区空间发展规划（2010-2020）环境影响报告书的审查意见》（安环函〔2013〕23号）</w:t>
            </w:r>
            <w:r>
              <w:rPr>
                <w:rFonts w:hint="eastAsia" w:cs="Times New Roman"/>
                <w:color w:val="auto"/>
                <w:kern w:val="0"/>
                <w:sz w:val="24"/>
                <w:szCs w:val="24"/>
                <w:highlight w:val="none"/>
                <w:lang w:eastAsia="zh-CN"/>
              </w:rPr>
              <w:t>；</w:t>
            </w:r>
          </w:p>
          <w:p w14:paraId="46463740">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360" w:lineRule="auto"/>
              <w:ind w:left="0" w:right="0"/>
              <w:jc w:val="left"/>
              <w:textAlignment w:val="auto"/>
              <w:rPr>
                <w:rFonts w:hint="default" w:cs="Times New Roman"/>
                <w:color w:val="auto"/>
                <w:kern w:val="0"/>
                <w:sz w:val="24"/>
                <w:szCs w:val="24"/>
                <w:highlight w:val="none"/>
                <w:lang w:val="en-US" w:eastAsia="zh-CN"/>
              </w:rPr>
            </w:pPr>
            <w:r>
              <w:rPr>
                <w:rFonts w:hint="default" w:ascii="Times New Roman" w:hAnsi="Times New Roman" w:eastAsia="宋体" w:cs="Times New Roman"/>
                <w:color w:val="auto"/>
                <w:kern w:val="0"/>
                <w:sz w:val="24"/>
                <w:szCs w:val="24"/>
                <w:highlight w:val="none"/>
                <w:u w:val="none"/>
                <w:lang w:eastAsia="zh-CN"/>
              </w:rPr>
              <w:t>《安阳市新型制造业产业园区跟踪评价》</w:t>
            </w:r>
          </w:p>
        </w:tc>
      </w:tr>
      <w:tr w14:paraId="646070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96" w:hRule="atLeast"/>
          <w:jc w:val="center"/>
        </w:trPr>
        <w:tc>
          <w:tcPr>
            <w:tcW w:w="677" w:type="dxa"/>
            <w:noWrap w:val="0"/>
            <w:vAlign w:val="center"/>
          </w:tcPr>
          <w:p w14:paraId="2DCD9B38">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val="0"/>
                <w:bCs w:val="0"/>
                <w:color w:val="auto"/>
                <w:sz w:val="24"/>
                <w:szCs w:val="24"/>
                <w:highlight w:val="none"/>
                <w:u w:val="none" w:color="auto"/>
              </w:rPr>
              <w:t>规划及规划环境影响评价符合性分析</w:t>
            </w:r>
          </w:p>
        </w:tc>
        <w:tc>
          <w:tcPr>
            <w:tcW w:w="8285" w:type="dxa"/>
            <w:gridSpan w:val="4"/>
            <w:noWrap w:val="0"/>
            <w:vAlign w:val="center"/>
          </w:tcPr>
          <w:p w14:paraId="7A5B3DCC">
            <w:pPr>
              <w:keepNext w:val="0"/>
              <w:keepLines w:val="0"/>
              <w:pageBreakBefore w:val="0"/>
              <w:suppressLineNumbers w:val="0"/>
              <w:kinsoku/>
              <w:wordWrap/>
              <w:topLinePunct w:val="0"/>
              <w:autoSpaceDE w:val="0"/>
              <w:autoSpaceDN w:val="0"/>
              <w:bidi w:val="0"/>
              <w:adjustRightInd/>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lang w:eastAsia="zh-CN"/>
              </w:rPr>
              <w:t>与《安阳市新型制造业产业园区空间发展规划（2010-2020）》</w:t>
            </w:r>
            <w:r>
              <w:rPr>
                <w:rFonts w:hint="eastAsia" w:cs="Times New Roman"/>
                <w:b/>
                <w:bCs/>
                <w:color w:val="auto"/>
                <w:sz w:val="24"/>
                <w:szCs w:val="24"/>
                <w:highlight w:val="none"/>
                <w:lang w:eastAsia="zh-CN"/>
              </w:rPr>
              <w:t>规划环评与跟踪评价符合性分析</w:t>
            </w:r>
          </w:p>
          <w:p w14:paraId="52B61125">
            <w:pPr>
              <w:pStyle w:val="2"/>
              <w:keepNext/>
              <w:keepLines w:val="0"/>
              <w:pageBreakBefore w:val="0"/>
              <w:widowControl w:val="0"/>
              <w:suppressLineNumbers w:val="0"/>
              <w:kinsoku/>
              <w:wordWrap/>
              <w:overflowPunct w:val="0"/>
              <w:topLinePunct w:val="0"/>
              <w:autoSpaceDE/>
              <w:autoSpaceDN/>
              <w:bidi w:val="0"/>
              <w:adjustRightInd/>
              <w:snapToGrid w:val="0"/>
              <w:spacing w:before="0" w:beforeAutospacing="0" w:after="0" w:afterAutospacing="0" w:line="360" w:lineRule="auto"/>
              <w:ind w:left="0" w:right="0" w:firstLine="361" w:firstLineChars="150"/>
              <w:jc w:val="both"/>
              <w:textAlignment w:val="auto"/>
              <w:rPr>
                <w:rFonts w:hint="default" w:ascii="Times New Roman" w:hAnsi="Times New Roman" w:eastAsia="宋体" w:cs="Times New Roman"/>
                <w:b w:val="0"/>
                <w:bCs w:val="0"/>
                <w:color w:val="auto"/>
                <w:lang w:val="en-US" w:eastAsia="zh-CN"/>
              </w:rPr>
            </w:pPr>
            <w:bookmarkStart w:id="7" w:name="_Toc18515"/>
            <w:bookmarkStart w:id="8" w:name="_Toc23950"/>
            <w:r>
              <w:rPr>
                <w:rFonts w:hint="default" w:ascii="Times New Roman" w:hAnsi="Times New Roman" w:eastAsia="宋体" w:cs="Times New Roman"/>
                <w:b/>
                <w:bCs/>
                <w:color w:val="auto"/>
                <w:sz w:val="24"/>
                <w:szCs w:val="24"/>
                <w:highlight w:val="none"/>
                <w:lang w:val="en-US" w:eastAsia="zh-CN"/>
              </w:rPr>
              <w:t>1.1</w:t>
            </w:r>
            <w:r>
              <w:rPr>
                <w:rFonts w:hint="default" w:ascii="Times New Roman" w:hAnsi="Times New Roman" w:eastAsia="宋体" w:cs="Times New Roman"/>
                <w:b/>
                <w:bCs/>
                <w:color w:val="auto"/>
                <w:sz w:val="24"/>
                <w:szCs w:val="24"/>
                <w:highlight w:val="none"/>
                <w:lang w:eastAsia="zh-CN"/>
              </w:rPr>
              <w:t>安阳市新型制造业产业园区空间发展规划内容</w:t>
            </w:r>
            <w:bookmarkEnd w:id="7"/>
            <w:bookmarkEnd w:id="8"/>
          </w:p>
          <w:p w14:paraId="0C9A592D">
            <w:pPr>
              <w:pStyle w:val="72"/>
              <w:keepNext w:val="0"/>
              <w:keepLines w:val="0"/>
              <w:pageBreakBefore w:val="0"/>
              <w:widowControl/>
              <w:suppressLineNumbers w:val="0"/>
              <w:kinsoku/>
              <w:wordWrap/>
              <w:topLinePunct w:val="0"/>
              <w:bidi w:val="0"/>
              <w:adjustRightInd/>
              <w:spacing w:before="0" w:beforeAutospacing="0" w:after="0" w:afterAutospacing="0" w:line="360" w:lineRule="auto"/>
              <w:ind w:left="0" w:right="0"/>
              <w:textAlignment w:val="auto"/>
              <w:rPr>
                <w:rFonts w:hint="default" w:ascii="Times New Roman" w:hAnsi="Times New Roman" w:eastAsia="宋体" w:cs="Times New Roman"/>
                <w:b/>
                <w:bCs/>
                <w:color w:val="auto"/>
                <w:kern w:val="2"/>
                <w:sz w:val="24"/>
                <w:szCs w:val="24"/>
                <w:highlight w:val="none"/>
                <w:lang w:eastAsia="zh-CN"/>
              </w:rPr>
            </w:pPr>
            <w:r>
              <w:rPr>
                <w:rFonts w:hint="default" w:ascii="Times New Roman" w:hAnsi="Times New Roman" w:eastAsia="宋体" w:cs="Times New Roman"/>
                <w:b/>
                <w:bCs/>
                <w:color w:val="auto"/>
                <w:kern w:val="2"/>
                <w:sz w:val="24"/>
                <w:szCs w:val="24"/>
                <w:highlight w:val="none"/>
                <w:lang w:val="en-US" w:eastAsia="zh-CN"/>
              </w:rPr>
              <w:t>1.1.1</w:t>
            </w:r>
            <w:r>
              <w:rPr>
                <w:rFonts w:hint="default" w:ascii="Times New Roman" w:hAnsi="Times New Roman" w:eastAsia="宋体" w:cs="Times New Roman"/>
                <w:b/>
                <w:bCs/>
                <w:color w:val="auto"/>
                <w:kern w:val="2"/>
                <w:sz w:val="24"/>
                <w:szCs w:val="24"/>
                <w:highlight w:val="none"/>
                <w:lang w:eastAsia="zh-CN"/>
              </w:rPr>
              <w:t>规划期限</w:t>
            </w:r>
          </w:p>
          <w:p w14:paraId="25555690">
            <w:pPr>
              <w:pStyle w:val="72"/>
              <w:keepNext w:val="0"/>
              <w:keepLines w:val="0"/>
              <w:widowControl/>
              <w:suppressLineNumbers w:val="0"/>
              <w:bidi w:val="0"/>
              <w:spacing w:before="0" w:beforeAutospacing="0" w:after="0" w:afterAutospacing="0" w:line="360" w:lineRule="auto"/>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eastAsia="zh-CN"/>
              </w:rPr>
              <w:t>规划期限：</w:t>
            </w:r>
            <w:r>
              <w:rPr>
                <w:rFonts w:hint="default" w:ascii="Times New Roman" w:hAnsi="Times New Roman" w:eastAsia="宋体" w:cs="Times New Roman"/>
                <w:color w:val="auto"/>
                <w:kern w:val="2"/>
                <w:sz w:val="24"/>
                <w:szCs w:val="24"/>
                <w:highlight w:val="none"/>
                <w:lang w:val="en-US" w:eastAsia="zh-CN"/>
              </w:rPr>
              <w:t>2010—2020年，近期为2010—2012年，中期为2013—2015年，远期为2016—2020年。</w:t>
            </w:r>
          </w:p>
          <w:p w14:paraId="14251208">
            <w:pPr>
              <w:pStyle w:val="72"/>
              <w:keepNext w:val="0"/>
              <w:keepLines w:val="0"/>
              <w:widowControl/>
              <w:suppressLineNumbers w:val="0"/>
              <w:bidi w:val="0"/>
              <w:spacing w:before="0" w:beforeAutospacing="0" w:after="0" w:afterAutospacing="0" w:line="360" w:lineRule="auto"/>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1.1.2规划地理位置及面积</w:t>
            </w:r>
          </w:p>
          <w:p w14:paraId="1A998E76">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安阳市新型制造业产业园区位于汤阴县南部，北距县城2公里。北起规划中的山西中南部铁路大通道、南至宜沟镇镇区、西起107国道、东至石武高铁客运专线，规划用地面积14.89平方公里。</w:t>
            </w:r>
          </w:p>
          <w:p w14:paraId="05855FD2">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1.1.3产业园区发展定位</w:t>
            </w:r>
          </w:p>
          <w:p w14:paraId="52C385FE">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新型制造业产业园区的发展定位是：豫北地区现代化、综合性的大型制造产业基地。</w:t>
            </w:r>
          </w:p>
          <w:p w14:paraId="5058D43A">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1.1.4规划发展目标</w:t>
            </w:r>
          </w:p>
          <w:p w14:paraId="43548FAA">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（1）总体发展目标</w:t>
            </w:r>
          </w:p>
          <w:p w14:paraId="79534ADC">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抓好发展机遇，力争经过8—10年的努力，逐步把安阳市新型制造业产业园区建设成为基础设施完善配套、产业布局科学合理，具有较强的人流、物流、资金流、信息流的现代制造业产业园区，成为拉动汤阴县经济的新增长点，重点发展装备制造、特种钢材精加工、工程塑料、电器机械等产业，努力实现“大型制造业基地”的发展目标</w:t>
            </w:r>
            <w:r>
              <w:rPr>
                <w:rFonts w:hint="eastAsia" w:cs="Times New Roman"/>
                <w:color w:val="auto"/>
                <w:kern w:val="2"/>
                <w:sz w:val="24"/>
                <w:szCs w:val="24"/>
                <w:highlight w:val="none"/>
                <w:lang w:val="en-US" w:eastAsia="zh-CN"/>
              </w:rPr>
              <w:t>，其中</w:t>
            </w:r>
            <w:r>
              <w:rPr>
                <w:rFonts w:hint="default" w:ascii="Times New Roman" w:hAnsi="Times New Roman" w:eastAsia="宋体" w:cs="Times New Roman"/>
                <w:color w:val="auto"/>
                <w:kern w:val="2"/>
                <w:sz w:val="24"/>
                <w:szCs w:val="24"/>
                <w:highlight w:val="none"/>
                <w:lang w:val="en-US" w:eastAsia="zh-CN"/>
              </w:rPr>
              <w:t>装备制造业和特种钢材加工业两大产业是安阳市新型制造业产业园区的主导产业。</w:t>
            </w:r>
          </w:p>
          <w:p w14:paraId="4A37A18E">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（2）主要发展指标</w:t>
            </w:r>
          </w:p>
          <w:p w14:paraId="1C039F24">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人口发展指标：规划产业园区人口近期2012年为4.4万人，中期为6.9万人，远期为12.2万人。</w:t>
            </w:r>
          </w:p>
          <w:p w14:paraId="681AB89A">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用地规模：到2020年，安阳市新型制造业产业园区用地规模14.89平方公里。</w:t>
            </w:r>
          </w:p>
          <w:p w14:paraId="7B60C7C0">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经济发展指标：产业园区规划近、中、远期年产值将分别达到100亿元、150亿元和300亿元。</w:t>
            </w:r>
          </w:p>
          <w:p w14:paraId="0ED4BC8C">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社会发展目标：完善园区居民社区服务体系，加强现代城市社区建设，加快城市化进程，提高人居生活质量。加强制造业产业园区配套服务设施建设，改善制造业产业园区综合环境质量。</w:t>
            </w:r>
          </w:p>
          <w:p w14:paraId="0C9E397B">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分阶段目标：2012年：入驻企业达到60家，建成标准化厂房4.2万平方米，地区生产总值达到100亿元。重点发展交通运输设备制造、特种钢材加工等，积极向工程塑料、服务加工延伸，初步形成制造业集聚效应，为产业园区的第三产业开始发展。2015年：入驻企业达到120家，建成标准化厂房6.5万平方米，地区生产总值达到150亿元。产业园区产业体系基本完善，制造业的集群化优势初步显现，产业园区第三产业快速发展，各种商务、教育、商业娱乐等服务设施基本形成。2020年：入驻企业达到200家，建成标准化厂房9.3万平方米，地区生产总值达到300亿元。产业园区产业体系十分完善，制造业集群真正形成；第三产业进入成熟发展期，综合物流服务中心规模形成、体系完善，各种商务、教育、商业、娱乐等服务设施完善。</w:t>
            </w:r>
          </w:p>
          <w:p w14:paraId="030996E5">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1.1.5产业园区用地布局</w:t>
            </w:r>
          </w:p>
          <w:p w14:paraId="3FA2D6B8">
            <w:pPr>
              <w:pStyle w:val="72"/>
              <w:keepNext w:val="0"/>
              <w:keepLines w:val="0"/>
              <w:widowControl/>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安阳市新型制造业产业园区用地布局以二类、三类工业用地为主，中部以居住、商业、文体科教等现代城市综合服务功能为主，产业园区规划总用地1489公顷：规划工业用地627.76公顷，占产业园区规划建设用地的42.16%；仓储用地规划用地96.34公顷，占建设用地的6.47%。</w:t>
            </w:r>
          </w:p>
          <w:p w14:paraId="37F686A0">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（1）空间结构</w:t>
            </w:r>
          </w:p>
          <w:p w14:paraId="747F234D">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按照产业园区发展目标，统筹兼顾，综合协调，确定不同功能区域的划分。</w:t>
            </w:r>
          </w:p>
          <w:p w14:paraId="18BB692A">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本规划确定制造业产业园区的空间结构可概括为：一心、两轴、三区、四园。</w:t>
            </w:r>
          </w:p>
          <w:p w14:paraId="6E24D35E">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一心：即位于制造业产业园区中部的公共服务中心；</w:t>
            </w:r>
          </w:p>
          <w:p w14:paraId="55F69506">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两轴：即制造业产业园区内的两条发展轴，一条为南北向的生态产业景观轴，一条为东西向的公共设施景观轴；</w:t>
            </w:r>
          </w:p>
          <w:p w14:paraId="5AE15475">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三区：即位于制造业产业园区中部的三片住宅区；</w:t>
            </w:r>
          </w:p>
          <w:p w14:paraId="0E1C8201">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四园：装备制造产业园、电器机械产业园、工程塑料产业园和特种钢精加工及配套产业园。</w:t>
            </w:r>
          </w:p>
          <w:p w14:paraId="496700F5">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（2）空间管制规划</w:t>
            </w:r>
          </w:p>
          <w:p w14:paraId="1703AAC9">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空间管制的目标在于维护整体利益、实现空间发展战略、保障城乡空间统筹协调、有效保护区域生态环境，实现生态建设、景观建设和产业园区建设同步发展，促进区域可持续发展。</w:t>
            </w:r>
          </w:p>
          <w:p w14:paraId="26FA5EA9">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为了保护好制造业产业园区良好的生态环境、科学利用土地，合理引导建设，有针对性</w:t>
            </w:r>
            <w:r>
              <w:rPr>
                <w:rFonts w:hint="eastAsia" w:cs="Times New Roman"/>
                <w:color w:val="auto"/>
                <w:kern w:val="2"/>
                <w:sz w:val="24"/>
                <w:szCs w:val="24"/>
                <w:highlight w:val="none"/>
                <w:lang w:val="en-US" w:eastAsia="zh-CN"/>
              </w:rPr>
              <w:t>地</w:t>
            </w:r>
            <w:r>
              <w:rPr>
                <w:rFonts w:hint="default" w:ascii="Times New Roman" w:hAnsi="Times New Roman" w:eastAsia="宋体" w:cs="Times New Roman"/>
                <w:color w:val="auto"/>
                <w:kern w:val="2"/>
                <w:sz w:val="24"/>
                <w:szCs w:val="24"/>
                <w:highlight w:val="none"/>
                <w:lang w:val="en-US" w:eastAsia="zh-CN"/>
              </w:rPr>
              <w:t>进行管理，应对制造业产业园区内的土地采取管制措施，本次规划分为禁止建设区、限制建设区和适宜建设区，以满足不同的空间发展管制要求。</w:t>
            </w:r>
          </w:p>
          <w:p w14:paraId="47F433BE">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禁止建设区：为保护生态环境，自然和历史文化环境，满足基础设施和公共安全等方面的要求，禁止制造业产业园区开发项目的地区。包括：高压线走廊、铁路两侧各30米、107国道两侧各20米内的用地。</w:t>
            </w:r>
          </w:p>
          <w:p w14:paraId="0E3D8F57">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限制建设区：不宜产业开发项目的地区，但确有必要进行建设时，应符合制造业产业园区整体和全局发展要求，并应严格控制项目的性质、规模和开发强度。包括：现状村庄建设用地和南水北调二级保护区范围。</w:t>
            </w:r>
          </w:p>
          <w:p w14:paraId="1E6BF679">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适宜建设区：适宜产业开发项目的地区。</w:t>
            </w:r>
          </w:p>
          <w:p w14:paraId="6104E274">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b/>
                <w:bCs/>
                <w:color w:val="auto"/>
                <w:kern w:val="2"/>
                <w:sz w:val="24"/>
                <w:szCs w:val="24"/>
                <w:highlight w:val="none"/>
                <w:lang w:val="en-US" w:eastAsia="zh-CN"/>
              </w:rPr>
            </w:pPr>
            <w:r>
              <w:rPr>
                <w:rFonts w:hint="eastAsia" w:cs="Times New Roman"/>
                <w:b/>
                <w:bCs/>
                <w:color w:val="auto"/>
                <w:kern w:val="2"/>
                <w:sz w:val="24"/>
                <w:szCs w:val="24"/>
                <w:highlight w:val="none"/>
                <w:lang w:val="en-US" w:eastAsia="zh-CN"/>
              </w:rPr>
              <w:t>1.1.6</w:t>
            </w:r>
            <w:r>
              <w:rPr>
                <w:rFonts w:hint="default" w:ascii="Times New Roman" w:hAnsi="Times New Roman" w:eastAsia="宋体" w:cs="Times New Roman"/>
                <w:b/>
                <w:bCs/>
                <w:color w:val="auto"/>
                <w:kern w:val="2"/>
                <w:sz w:val="24"/>
                <w:szCs w:val="24"/>
                <w:highlight w:val="none"/>
                <w:lang w:val="en-US" w:eastAsia="zh-CN"/>
              </w:rPr>
              <w:t>与规划环评及环评报告书审查意见相关内容符合性分析</w:t>
            </w:r>
          </w:p>
          <w:p w14:paraId="79E9D3D3">
            <w:pPr>
              <w:pStyle w:val="4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leftChars="0" w:right="0" w:firstLine="480" w:firstLineChars="200"/>
              <w:jc w:val="both"/>
              <w:textAlignment w:val="baseline"/>
              <w:rPr>
                <w:rFonts w:hint="default" w:ascii="Times New Roman" w:hAnsi="Times New Roman" w:eastAsia="宋体" w:cs="Times New Roman"/>
                <w:b w:val="0"/>
                <w:color w:val="auto"/>
                <w:sz w:val="24"/>
                <w:szCs w:val="24"/>
                <w:highlight w:val="none"/>
                <w:lang w:val="en-US" w:eastAsia="zh-CN"/>
              </w:rPr>
            </w:pPr>
            <w:r>
              <w:rPr>
                <w:rFonts w:hint="default" w:ascii="Times New Roman" w:hAnsi="Times New Roman" w:eastAsia="宋体" w:cs="Times New Roman"/>
                <w:b w:val="0"/>
                <w:color w:val="auto"/>
                <w:sz w:val="24"/>
                <w:szCs w:val="24"/>
                <w:highlight w:val="none"/>
                <w:lang w:val="en-US" w:eastAsia="zh-CN"/>
              </w:rPr>
              <w:t>《安阳市新型制造业产业园区空间发展规划（2010-2020）环境影响报告书》由安阳市环境科学研究所编制完成，安阳市环境保护局以安环函〔2013〕23号）文形成了该报告书的审查意见。根据规划环评及环评报告书的审查意见相关内容，安阳市新型制造业产业园区建设项目环境准入条件如下：</w:t>
            </w:r>
          </w:p>
          <w:p w14:paraId="3CC234B3">
            <w:pPr>
              <w:pStyle w:val="4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textAlignment w:val="baseline"/>
              <w:rPr>
                <w:rFonts w:hint="eastAsia" w:ascii="Times New Roman" w:hAnsi="Times New Roman" w:eastAsia="宋体" w:cs="Times New Roman"/>
                <w:b w:val="0"/>
                <w:color w:val="auto"/>
                <w:sz w:val="24"/>
                <w:szCs w:val="24"/>
                <w:highlight w:val="none"/>
                <w:lang w:val="en-US" w:eastAsia="zh-CN"/>
              </w:rPr>
            </w:pPr>
            <w:r>
              <w:rPr>
                <w:rFonts w:hint="eastAsia" w:cs="Times New Roman"/>
                <w:b/>
                <w:bCs w:val="0"/>
                <w:color w:val="auto"/>
                <w:sz w:val="24"/>
                <w:szCs w:val="24"/>
                <w:highlight w:val="none"/>
                <w:u w:val="none"/>
                <w:lang w:eastAsia="zh-CN"/>
              </w:rPr>
              <w:t>表</w:t>
            </w:r>
            <w:r>
              <w:rPr>
                <w:rFonts w:hint="eastAsia" w:cs="Times New Roman"/>
                <w:b/>
                <w:bCs w:val="0"/>
                <w:color w:val="auto"/>
                <w:sz w:val="24"/>
                <w:szCs w:val="24"/>
                <w:highlight w:val="none"/>
                <w:u w:val="none"/>
                <w:lang w:val="en-US" w:eastAsia="zh-CN"/>
              </w:rPr>
              <w:t xml:space="preserve">1  </w:t>
            </w:r>
            <w:r>
              <w:rPr>
                <w:rFonts w:hint="eastAsia" w:cs="Times New Roman"/>
                <w:b/>
                <w:bCs w:val="0"/>
                <w:color w:val="auto"/>
                <w:sz w:val="24"/>
                <w:szCs w:val="24"/>
                <w:highlight w:val="none"/>
                <w:u w:val="none"/>
                <w:lang w:eastAsia="zh-CN"/>
              </w:rPr>
              <w:t>与</w:t>
            </w:r>
            <w:r>
              <w:rPr>
                <w:rFonts w:hint="eastAsia" w:cs="Times New Roman"/>
                <w:b/>
                <w:bCs w:val="0"/>
                <w:color w:val="auto"/>
                <w:sz w:val="24"/>
                <w:szCs w:val="24"/>
                <w:highlight w:val="none"/>
                <w:u w:val="none"/>
                <w:lang w:val="en-US" w:eastAsia="zh-CN"/>
              </w:rPr>
              <w:t>安阳市新型制造业产业园区建设项目环境准入条件相符性分析</w:t>
            </w:r>
          </w:p>
          <w:tbl>
            <w:tblPr>
              <w:tblStyle w:val="2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3604"/>
              <w:gridCol w:w="2885"/>
              <w:gridCol w:w="892"/>
            </w:tblGrid>
            <w:tr w14:paraId="723EA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32D00266">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jc w:val="center"/>
                    <w:textAlignment w:val="auto"/>
                    <w:rPr>
                      <w:rFonts w:hint="eastAsia"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序号</w:t>
                  </w:r>
                </w:p>
              </w:tc>
              <w:tc>
                <w:tcPr>
                  <w:tcW w:w="2236" w:type="pct"/>
                  <w:tcBorders>
                    <w:left w:val="single" w:color="auto" w:sz="4" w:space="0"/>
                  </w:tcBorders>
                  <w:vAlign w:val="center"/>
                </w:tcPr>
                <w:p w14:paraId="30923F4C">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jc w:val="center"/>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准入条件</w:t>
                  </w:r>
                </w:p>
              </w:tc>
              <w:tc>
                <w:tcPr>
                  <w:tcW w:w="1790" w:type="pct"/>
                  <w:vAlign w:val="center"/>
                </w:tcPr>
                <w:p w14:paraId="5ED3DAEF">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本项目</w:t>
                  </w:r>
                </w:p>
              </w:tc>
              <w:tc>
                <w:tcPr>
                  <w:tcW w:w="553" w:type="pct"/>
                  <w:tcBorders>
                    <w:right w:val="nil"/>
                  </w:tcBorders>
                  <w:vAlign w:val="center"/>
                </w:tcPr>
                <w:p w14:paraId="72A5D960">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相符性</w:t>
                  </w:r>
                </w:p>
              </w:tc>
            </w:tr>
            <w:tr w14:paraId="4A96C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43004F08">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1</w:t>
                  </w:r>
                </w:p>
              </w:tc>
              <w:tc>
                <w:tcPr>
                  <w:tcW w:w="2236" w:type="pct"/>
                  <w:tcBorders>
                    <w:left w:val="single" w:color="auto" w:sz="4" w:space="0"/>
                  </w:tcBorders>
                  <w:vAlign w:val="center"/>
                </w:tcPr>
                <w:p w14:paraId="3175C047">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lang w:val="en-US" w:eastAsia="zh-CN"/>
                    </w:rPr>
                    <w:t>根据区域环境的实际特点，建议鼓励建设装备制造业、特种钢材加工业、电器机械产业、工程塑料产业等符合产业园区功能定位的建设项目入驻，同时应考虑上下游产品的关联性，尽可能延长产业链；鼓励建设省级以上（含省级）认定的高新技术类项目。</w:t>
                  </w:r>
                </w:p>
              </w:tc>
              <w:tc>
                <w:tcPr>
                  <w:tcW w:w="1790" w:type="pct"/>
                  <w:vAlign w:val="center"/>
                </w:tcPr>
                <w:p w14:paraId="0E219EB5">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vertAlign w:val="baseline"/>
                      <w:lang w:val="en-US" w:eastAsia="zh-CN"/>
                    </w:rPr>
                    <w:t>本项目原料为</w:t>
                  </w:r>
                  <w:r>
                    <w:rPr>
                      <w:rFonts w:hint="eastAsia" w:ascii="Times New Roman" w:hAnsi="Times New Roman" w:eastAsia="宋体" w:cs="Times New Roman"/>
                      <w:b w:val="0"/>
                      <w:color w:val="auto"/>
                      <w:sz w:val="21"/>
                      <w:szCs w:val="21"/>
                      <w:highlight w:val="none"/>
                      <w:vertAlign w:val="baseline"/>
                      <w:lang w:val="en-US" w:eastAsia="zh-CN"/>
                    </w:rPr>
                    <w:t>酸洗</w:t>
                  </w:r>
                  <w:r>
                    <w:rPr>
                      <w:rFonts w:hint="default" w:ascii="Times New Roman" w:hAnsi="Times New Roman" w:eastAsia="宋体" w:cs="Times New Roman"/>
                      <w:b w:val="0"/>
                      <w:color w:val="auto"/>
                      <w:sz w:val="21"/>
                      <w:szCs w:val="21"/>
                      <w:highlight w:val="none"/>
                      <w:vertAlign w:val="baseline"/>
                      <w:lang w:val="en-US" w:eastAsia="zh-CN"/>
                    </w:rPr>
                    <w:t>磷化后的弹簧钢盘圆，</w:t>
                  </w:r>
                  <w:r>
                    <w:rPr>
                      <w:rFonts w:hint="eastAsia" w:ascii="Times New Roman" w:hAnsi="Times New Roman" w:eastAsia="宋体" w:cs="Times New Roman"/>
                      <w:b w:val="0"/>
                      <w:bCs w:val="0"/>
                      <w:color w:val="auto"/>
                      <w:sz w:val="21"/>
                      <w:szCs w:val="21"/>
                      <w:highlight w:val="none"/>
                      <w:u w:val="none"/>
                      <w:vertAlign w:val="baseline"/>
                      <w:lang w:val="en-US" w:eastAsia="zh-CN"/>
                    </w:rPr>
                    <w:t>进厂时无附着物</w:t>
                  </w:r>
                  <w:r>
                    <w:rPr>
                      <w:rFonts w:hint="eastAsia" w:ascii="Times New Roman" w:hAnsi="Times New Roman" w:eastAsia="宋体" w:cs="Times New Roman"/>
                      <w:b/>
                      <w:bCs/>
                      <w:color w:val="auto"/>
                      <w:sz w:val="21"/>
                      <w:szCs w:val="21"/>
                      <w:highlight w:val="none"/>
                      <w:u w:val="single"/>
                      <w:vertAlign w:val="baseline"/>
                      <w:lang w:val="en-US" w:eastAsia="zh-CN"/>
                    </w:rPr>
                    <w:t>，</w:t>
                  </w:r>
                  <w:r>
                    <w:rPr>
                      <w:rFonts w:hint="eastAsia" w:ascii="Times New Roman" w:hAnsi="Times New Roman" w:eastAsia="宋体" w:cs="Times New Roman"/>
                      <w:b w:val="0"/>
                      <w:color w:val="auto"/>
                      <w:sz w:val="21"/>
                      <w:szCs w:val="21"/>
                      <w:highlight w:val="none"/>
                      <w:vertAlign w:val="baseline"/>
                      <w:lang w:val="en-US" w:eastAsia="zh-CN"/>
                    </w:rPr>
                    <w:t>成品后用于大型设备的配套组件，属于装备制造业上下游产业链。</w:t>
                  </w:r>
                </w:p>
              </w:tc>
              <w:tc>
                <w:tcPr>
                  <w:tcW w:w="553" w:type="pct"/>
                  <w:tcBorders>
                    <w:right w:val="nil"/>
                  </w:tcBorders>
                  <w:vAlign w:val="center"/>
                </w:tcPr>
                <w:p w14:paraId="2DD8A057">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相符</w:t>
                  </w:r>
                </w:p>
              </w:tc>
            </w:tr>
            <w:tr w14:paraId="35196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216E3070">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2</w:t>
                  </w:r>
                </w:p>
              </w:tc>
              <w:tc>
                <w:tcPr>
                  <w:tcW w:w="2236" w:type="pct"/>
                  <w:tcBorders>
                    <w:left w:val="single" w:color="auto" w:sz="4" w:space="0"/>
                  </w:tcBorders>
                  <w:vAlign w:val="center"/>
                </w:tcPr>
                <w:p w14:paraId="004E1331">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vertAlign w:val="baseline"/>
                      <w:lang w:val="en-US" w:eastAsia="zh-CN"/>
                    </w:rPr>
                    <w:t>限制一些与主导产业相关性不强的企业入驻；限制大气污染物排放量大的企业入区；限制水资源消耗量大、水污染物排放量大的企业入区；严禁采用列入《产业结构调整指导目录》（2021年修订）限制类、淘汰类的落后生产工艺和设备。</w:t>
                  </w:r>
                </w:p>
              </w:tc>
              <w:tc>
                <w:tcPr>
                  <w:tcW w:w="1790" w:type="pct"/>
                  <w:vAlign w:val="center"/>
                </w:tcPr>
                <w:p w14:paraId="22381BD9">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lang w:val="en-US" w:eastAsia="zh-CN"/>
                    </w:rPr>
                    <w:t>本项目属于</w:t>
                  </w:r>
                  <w:r>
                    <w:rPr>
                      <w:rFonts w:hint="default" w:ascii="Times New Roman" w:hAnsi="Times New Roman" w:eastAsia="宋体" w:cs="Times New Roman"/>
                      <w:b w:val="0"/>
                      <w:color w:val="auto"/>
                      <w:sz w:val="21"/>
                      <w:szCs w:val="21"/>
                      <w:highlight w:val="none"/>
                      <w:lang w:val="en-US" w:eastAsia="zh-CN"/>
                    </w:rPr>
                    <w:t>装备制造业上下游产业链</w:t>
                  </w:r>
                  <w:r>
                    <w:rPr>
                      <w:rFonts w:hint="eastAsia" w:ascii="Times New Roman" w:hAnsi="Times New Roman" w:eastAsia="宋体" w:cs="Times New Roman"/>
                      <w:b w:val="0"/>
                      <w:color w:val="auto"/>
                      <w:sz w:val="21"/>
                      <w:szCs w:val="21"/>
                      <w:highlight w:val="none"/>
                      <w:lang w:val="en-US" w:eastAsia="zh-CN"/>
                    </w:rPr>
                    <w:t>，本项目无废气污染物产生，不属于水资源消耗量大、水污染排放量大的企业，未采用</w:t>
                  </w:r>
                  <w:r>
                    <w:rPr>
                      <w:rFonts w:hint="default" w:ascii="Times New Roman" w:hAnsi="Times New Roman" w:eastAsia="宋体" w:cs="Times New Roman"/>
                      <w:b w:val="0"/>
                      <w:color w:val="auto"/>
                      <w:sz w:val="21"/>
                      <w:szCs w:val="21"/>
                      <w:highlight w:val="none"/>
                      <w:lang w:val="en-US" w:eastAsia="zh-CN"/>
                    </w:rPr>
                    <w:t>《产业结构调整指导目录》</w:t>
                  </w:r>
                  <w:r>
                    <w:rPr>
                      <w:rFonts w:hint="default" w:ascii="Times New Roman" w:hAnsi="Times New Roman" w:eastAsia="宋体" w:cs="Times New Roman"/>
                      <w:b w:val="0"/>
                      <w:bCs/>
                      <w:color w:val="auto"/>
                      <w:kern w:val="2"/>
                      <w:sz w:val="21"/>
                      <w:szCs w:val="21"/>
                      <w:highlight w:val="none"/>
                      <w:lang w:val="en-US" w:eastAsia="zh-CN" w:bidi="ar"/>
                    </w:rPr>
                    <w:t>（202</w:t>
                  </w:r>
                  <w:r>
                    <w:rPr>
                      <w:rFonts w:hint="eastAsia" w:ascii="Times New Roman" w:hAnsi="Times New Roman" w:eastAsia="宋体" w:cs="Times New Roman"/>
                      <w:b w:val="0"/>
                      <w:bCs/>
                      <w:color w:val="auto"/>
                      <w:kern w:val="2"/>
                      <w:sz w:val="21"/>
                      <w:szCs w:val="21"/>
                      <w:highlight w:val="none"/>
                      <w:lang w:val="en-US" w:eastAsia="zh-CN" w:bidi="ar"/>
                    </w:rPr>
                    <w:t>4</w:t>
                  </w:r>
                  <w:r>
                    <w:rPr>
                      <w:rFonts w:hint="default" w:ascii="Times New Roman" w:hAnsi="Times New Roman" w:eastAsia="宋体" w:cs="Times New Roman"/>
                      <w:b w:val="0"/>
                      <w:bCs/>
                      <w:color w:val="auto"/>
                      <w:kern w:val="2"/>
                      <w:sz w:val="21"/>
                      <w:szCs w:val="21"/>
                      <w:highlight w:val="none"/>
                      <w:lang w:val="en-US" w:eastAsia="zh-CN" w:bidi="ar"/>
                    </w:rPr>
                    <w:t>年修订）</w:t>
                  </w:r>
                  <w:r>
                    <w:rPr>
                      <w:rFonts w:hint="eastAsia" w:ascii="Times New Roman" w:hAnsi="Times New Roman" w:eastAsia="宋体" w:cs="Times New Roman"/>
                      <w:b w:val="0"/>
                      <w:bCs/>
                      <w:color w:val="auto"/>
                      <w:kern w:val="2"/>
                      <w:sz w:val="21"/>
                      <w:szCs w:val="21"/>
                      <w:highlight w:val="none"/>
                      <w:lang w:val="en-US" w:eastAsia="zh-CN" w:bidi="ar"/>
                    </w:rPr>
                    <w:t>中限制类、淘汰类的落后生产工艺和设备。</w:t>
                  </w:r>
                </w:p>
              </w:tc>
              <w:tc>
                <w:tcPr>
                  <w:tcW w:w="553" w:type="pct"/>
                  <w:tcBorders>
                    <w:right w:val="nil"/>
                  </w:tcBorders>
                  <w:vAlign w:val="center"/>
                </w:tcPr>
                <w:p w14:paraId="0C42EE4C">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相符</w:t>
                  </w:r>
                </w:p>
              </w:tc>
            </w:tr>
            <w:tr w14:paraId="22BDF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6BA8D3A1">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3</w:t>
                  </w:r>
                </w:p>
              </w:tc>
              <w:tc>
                <w:tcPr>
                  <w:tcW w:w="2236" w:type="pct"/>
                  <w:tcBorders>
                    <w:left w:val="single" w:color="auto" w:sz="4" w:space="0"/>
                  </w:tcBorders>
                  <w:vAlign w:val="center"/>
                </w:tcPr>
                <w:p w14:paraId="11907137">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lang w:val="en-US" w:eastAsia="zh-CN"/>
                    </w:rPr>
                    <w:t>禁止新建、扩建污染重的化工建设项目，新建、扩建电镀、皮革加工、造纸、印染、生物发酵、选矿、冶炼、炼焦、炼油和规模化禽畜养殖以及其他污染重的建设项目。</w:t>
                  </w:r>
                </w:p>
              </w:tc>
              <w:tc>
                <w:tcPr>
                  <w:tcW w:w="1790" w:type="pct"/>
                  <w:vAlign w:val="center"/>
                </w:tcPr>
                <w:p w14:paraId="671B160F">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lang w:val="en-US" w:eastAsia="zh-CN"/>
                    </w:rPr>
                    <w:t>本项目不属于污染严重的化工建设项目，不属于</w:t>
                  </w:r>
                  <w:r>
                    <w:rPr>
                      <w:rFonts w:hint="default" w:ascii="Times New Roman" w:hAnsi="Times New Roman" w:eastAsia="宋体" w:cs="Times New Roman"/>
                      <w:b w:val="0"/>
                      <w:color w:val="auto"/>
                      <w:sz w:val="21"/>
                      <w:szCs w:val="21"/>
                      <w:highlight w:val="none"/>
                      <w:lang w:val="en-US" w:eastAsia="zh-CN"/>
                    </w:rPr>
                    <w:t>新建、扩建电镀、皮革加工、造纸、印染、生物发酵、选矿、冶炼、炼焦、炼油和规模化禽畜养殖以及其他污</w:t>
                  </w:r>
                  <w:r>
                    <w:rPr>
                      <w:rFonts w:hint="eastAsia" w:ascii="Times New Roman" w:hAnsi="Times New Roman" w:eastAsia="宋体" w:cs="Times New Roman"/>
                      <w:b w:val="0"/>
                      <w:color w:val="auto"/>
                      <w:sz w:val="21"/>
                      <w:szCs w:val="21"/>
                      <w:highlight w:val="none"/>
                      <w:lang w:val="en-US" w:eastAsia="zh-CN"/>
                    </w:rPr>
                    <w:t>染严</w:t>
                  </w:r>
                  <w:r>
                    <w:rPr>
                      <w:rFonts w:hint="default" w:ascii="Times New Roman" w:hAnsi="Times New Roman" w:eastAsia="宋体" w:cs="Times New Roman"/>
                      <w:b w:val="0"/>
                      <w:color w:val="auto"/>
                      <w:sz w:val="21"/>
                      <w:szCs w:val="21"/>
                      <w:highlight w:val="none"/>
                      <w:lang w:val="en-US" w:eastAsia="zh-CN"/>
                    </w:rPr>
                    <w:t>重的建设项目</w:t>
                  </w:r>
                  <w:r>
                    <w:rPr>
                      <w:rFonts w:hint="eastAsia" w:ascii="Times New Roman" w:hAnsi="Times New Roman" w:eastAsia="宋体" w:cs="Times New Roman"/>
                      <w:b w:val="0"/>
                      <w:color w:val="auto"/>
                      <w:sz w:val="21"/>
                      <w:szCs w:val="21"/>
                      <w:highlight w:val="none"/>
                      <w:lang w:val="en-US" w:eastAsia="zh-CN"/>
                    </w:rPr>
                    <w:t>。</w:t>
                  </w:r>
                </w:p>
              </w:tc>
              <w:tc>
                <w:tcPr>
                  <w:tcW w:w="553" w:type="pct"/>
                  <w:tcBorders>
                    <w:right w:val="nil"/>
                  </w:tcBorders>
                  <w:vAlign w:val="center"/>
                </w:tcPr>
                <w:p w14:paraId="1A725863">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相符</w:t>
                  </w:r>
                </w:p>
              </w:tc>
            </w:tr>
            <w:tr w14:paraId="0AC38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13A3A317">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4</w:t>
                  </w:r>
                </w:p>
              </w:tc>
              <w:tc>
                <w:tcPr>
                  <w:tcW w:w="2236" w:type="pct"/>
                  <w:tcBorders>
                    <w:left w:val="single" w:color="auto" w:sz="4" w:space="0"/>
                  </w:tcBorders>
                  <w:vAlign w:val="center"/>
                </w:tcPr>
                <w:p w14:paraId="184F5D54">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lang w:val="en-US" w:eastAsia="zh-CN"/>
                    </w:rPr>
                    <w:t>在环境保护与资源综合利用方面，建设项目应首先严格执行“三同时”制度，大力推行清洁生产，改进先进生产技术和设备，从生产的源头控制污染物产生量，降低末端治理压力。</w:t>
                  </w:r>
                </w:p>
              </w:tc>
              <w:tc>
                <w:tcPr>
                  <w:tcW w:w="1790" w:type="pct"/>
                  <w:vAlign w:val="center"/>
                </w:tcPr>
                <w:p w14:paraId="74CC2D08">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lang w:val="en-US" w:eastAsia="zh-CN"/>
                    </w:rPr>
                    <w:t>本项目在环境保护与资源综合利用方面，严格执行“三同时”制度，大力推行清洁生产，从生产的源头控制污染物产生量，降低末端治理压力。</w:t>
                  </w:r>
                </w:p>
              </w:tc>
              <w:tc>
                <w:tcPr>
                  <w:tcW w:w="553" w:type="pct"/>
                  <w:tcBorders>
                    <w:right w:val="nil"/>
                  </w:tcBorders>
                  <w:vAlign w:val="center"/>
                </w:tcPr>
                <w:p w14:paraId="1BCCC496">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相符</w:t>
                  </w:r>
                </w:p>
              </w:tc>
            </w:tr>
            <w:tr w14:paraId="14C5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417FA276">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5</w:t>
                  </w:r>
                </w:p>
              </w:tc>
              <w:tc>
                <w:tcPr>
                  <w:tcW w:w="2236" w:type="pct"/>
                  <w:tcBorders>
                    <w:left w:val="single" w:color="auto" w:sz="4" w:space="0"/>
                  </w:tcBorders>
                  <w:vAlign w:val="center"/>
                </w:tcPr>
                <w:p w14:paraId="07AF65AF">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lang w:val="en-US" w:eastAsia="zh-CN"/>
                    </w:rPr>
                    <w:t>建设项目应采用国际、国内先进水平的清洁生产工艺和技术，禁止新建国家产业政策限制类、淘汰类的项目进入。</w:t>
                  </w:r>
                </w:p>
              </w:tc>
              <w:tc>
                <w:tcPr>
                  <w:tcW w:w="1790" w:type="pct"/>
                  <w:vAlign w:val="center"/>
                </w:tcPr>
                <w:p w14:paraId="6D996132">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lang w:val="en-US" w:eastAsia="zh-CN"/>
                    </w:rPr>
                    <w:t>本项目采用国际、国内先进水平的清洁生产技术，不属于国家产业政策限制类、淘汰类的项目。</w:t>
                  </w:r>
                </w:p>
              </w:tc>
              <w:tc>
                <w:tcPr>
                  <w:tcW w:w="553" w:type="pct"/>
                  <w:tcBorders>
                    <w:right w:val="nil"/>
                  </w:tcBorders>
                  <w:vAlign w:val="center"/>
                </w:tcPr>
                <w:p w14:paraId="276A408F">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无关项</w:t>
                  </w:r>
                </w:p>
              </w:tc>
            </w:tr>
            <w:tr w14:paraId="65384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6C0D77B3">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6</w:t>
                  </w:r>
                </w:p>
              </w:tc>
              <w:tc>
                <w:tcPr>
                  <w:tcW w:w="2236" w:type="pct"/>
                  <w:tcBorders>
                    <w:left w:val="single" w:color="auto" w:sz="4" w:space="0"/>
                  </w:tcBorders>
                  <w:vAlign w:val="center"/>
                </w:tcPr>
                <w:p w14:paraId="57CDC7B8">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在南水北调中线总干渠两侧二级水源保护区内，不得从事以下活动：</w:t>
                  </w:r>
                </w:p>
                <w:p w14:paraId="5F26555F">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①新建、扩建污染较重的废水排污口，设置医疗废水排污口；</w:t>
                  </w:r>
                </w:p>
                <w:p w14:paraId="5B063AB0">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lang w:val="en-US" w:eastAsia="zh-CN"/>
                    </w:rPr>
                    <w:t>②设置生活垃圾、医疗垃圾、工业危险废物等危险废物集中转运、堆放、填埋和焚烧设施，设置危险品转运和贮存设施，新建加油站及油库。</w:t>
                  </w:r>
                </w:p>
              </w:tc>
              <w:tc>
                <w:tcPr>
                  <w:tcW w:w="1790" w:type="pct"/>
                  <w:vAlign w:val="center"/>
                </w:tcPr>
                <w:p w14:paraId="235049C9">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lang w:val="en-US" w:eastAsia="zh-CN"/>
                    </w:rPr>
                    <w:t>本项目</w:t>
                  </w:r>
                  <w:r>
                    <w:rPr>
                      <w:rFonts w:hint="default" w:ascii="Times New Roman" w:hAnsi="Times New Roman" w:eastAsia="宋体" w:cs="Times New Roman"/>
                      <w:b w:val="0"/>
                      <w:bCs w:val="0"/>
                      <w:color w:val="auto"/>
                      <w:kern w:val="0"/>
                      <w:sz w:val="21"/>
                      <w:szCs w:val="21"/>
                      <w:lang w:val="en-US" w:eastAsia="zh-CN" w:bidi="ar"/>
                    </w:rPr>
                    <w:t>距南水北调中线干渠约</w:t>
                  </w:r>
                  <w:r>
                    <w:rPr>
                      <w:rFonts w:hint="eastAsia" w:ascii="Times New Roman" w:hAnsi="Times New Roman" w:eastAsia="宋体" w:cs="Times New Roman"/>
                      <w:b w:val="0"/>
                      <w:bCs w:val="0"/>
                      <w:color w:val="auto"/>
                      <w:kern w:val="0"/>
                      <w:sz w:val="21"/>
                      <w:szCs w:val="21"/>
                      <w:lang w:val="en-US" w:eastAsia="zh-CN" w:bidi="ar"/>
                    </w:rPr>
                    <w:t>2</w:t>
                  </w:r>
                  <w:r>
                    <w:rPr>
                      <w:rFonts w:hint="default" w:ascii="Times New Roman" w:hAnsi="Times New Roman" w:eastAsia="宋体" w:cs="Times New Roman"/>
                      <w:b w:val="0"/>
                      <w:bCs w:val="0"/>
                      <w:color w:val="auto"/>
                      <w:kern w:val="0"/>
                      <w:sz w:val="21"/>
                      <w:szCs w:val="21"/>
                      <w:lang w:val="en-US" w:eastAsia="zh-CN" w:bidi="ar"/>
                    </w:rPr>
                    <w:t>700m</w:t>
                  </w:r>
                  <w:r>
                    <w:rPr>
                      <w:rFonts w:hint="eastAsia" w:ascii="Times New Roman" w:hAnsi="Times New Roman" w:eastAsia="宋体" w:cs="Times New Roman"/>
                      <w:b w:val="0"/>
                      <w:bCs w:val="0"/>
                      <w:color w:val="auto"/>
                      <w:kern w:val="0"/>
                      <w:sz w:val="21"/>
                      <w:szCs w:val="21"/>
                      <w:lang w:val="en-US" w:eastAsia="zh-CN" w:bidi="ar"/>
                    </w:rPr>
                    <w:t>，不在保护区内。</w:t>
                  </w:r>
                </w:p>
              </w:tc>
              <w:tc>
                <w:tcPr>
                  <w:tcW w:w="553" w:type="pct"/>
                  <w:tcBorders>
                    <w:right w:val="nil"/>
                  </w:tcBorders>
                  <w:vAlign w:val="center"/>
                </w:tcPr>
                <w:p w14:paraId="710C7922">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相符</w:t>
                  </w:r>
                </w:p>
              </w:tc>
            </w:tr>
            <w:tr w14:paraId="513F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tcBorders>
                    <w:left w:val="nil"/>
                    <w:right w:val="single" w:color="auto" w:sz="4" w:space="0"/>
                  </w:tcBorders>
                  <w:vAlign w:val="center"/>
                </w:tcPr>
                <w:p w14:paraId="36580544">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7</w:t>
                  </w:r>
                </w:p>
              </w:tc>
              <w:tc>
                <w:tcPr>
                  <w:tcW w:w="2236" w:type="pct"/>
                  <w:tcBorders>
                    <w:left w:val="single" w:color="auto" w:sz="4" w:space="0"/>
                  </w:tcBorders>
                  <w:vAlign w:val="center"/>
                </w:tcPr>
                <w:p w14:paraId="087F144C">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lang w:val="en-US" w:eastAsia="zh-CN"/>
                    </w:rPr>
                  </w:pPr>
                  <w:r>
                    <w:rPr>
                      <w:rFonts w:hint="default" w:ascii="Times New Roman" w:hAnsi="Times New Roman" w:eastAsia="宋体" w:cs="Times New Roman"/>
                      <w:b w:val="0"/>
                      <w:color w:val="auto"/>
                      <w:sz w:val="21"/>
                      <w:szCs w:val="21"/>
                      <w:highlight w:val="none"/>
                      <w:lang w:val="en-US" w:eastAsia="zh-CN"/>
                    </w:rPr>
                    <w:t>钢铁行业新建烧结机使用面积180平方米及以上；焦炉炭化室高度6米及以上；高炉有效容积1000立方米及以上；转炉公称容量120吨及以上；电炉公称容量70吨及以上。</w:t>
                  </w:r>
                </w:p>
              </w:tc>
              <w:tc>
                <w:tcPr>
                  <w:tcW w:w="1790" w:type="pct"/>
                  <w:vAlign w:val="center"/>
                </w:tcPr>
                <w:p w14:paraId="7A5DA981">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default" w:ascii="Times New Roman" w:hAnsi="Times New Roman" w:eastAsia="宋体" w:cs="Times New Roman"/>
                      <w:b w:val="0"/>
                      <w:color w:val="auto"/>
                      <w:sz w:val="21"/>
                      <w:szCs w:val="21"/>
                      <w:highlight w:val="none"/>
                      <w:lang w:val="en-US" w:eastAsia="zh-CN"/>
                    </w:rPr>
                    <w:t>本项目不属于钢铁、焦炭项目。</w:t>
                  </w:r>
                </w:p>
              </w:tc>
              <w:tc>
                <w:tcPr>
                  <w:tcW w:w="553" w:type="pct"/>
                  <w:tcBorders>
                    <w:right w:val="nil"/>
                  </w:tcBorders>
                  <w:vAlign w:val="center"/>
                </w:tcPr>
                <w:p w14:paraId="7D71B571">
                  <w:pPr>
                    <w:pStyle w:val="3"/>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color w:val="auto"/>
                      <w:sz w:val="21"/>
                      <w:szCs w:val="21"/>
                      <w:highlight w:val="none"/>
                      <w:vertAlign w:val="baseline"/>
                      <w:lang w:val="en-US" w:eastAsia="zh-CN"/>
                    </w:rPr>
                  </w:pPr>
                  <w:r>
                    <w:rPr>
                      <w:rFonts w:hint="eastAsia" w:ascii="Times New Roman" w:hAnsi="Times New Roman" w:eastAsia="宋体" w:cs="Times New Roman"/>
                      <w:b w:val="0"/>
                      <w:color w:val="auto"/>
                      <w:sz w:val="21"/>
                      <w:szCs w:val="21"/>
                      <w:highlight w:val="none"/>
                      <w:vertAlign w:val="baseline"/>
                      <w:lang w:val="en-US" w:eastAsia="zh-CN"/>
                    </w:rPr>
                    <w:t>无关项</w:t>
                  </w:r>
                </w:p>
              </w:tc>
            </w:tr>
          </w:tbl>
          <w:p w14:paraId="3D85A248">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cs="Times New Roman"/>
                <w:b/>
                <w:bCs/>
                <w:color w:val="auto"/>
                <w:kern w:val="2"/>
                <w:sz w:val="24"/>
                <w:szCs w:val="24"/>
                <w:highlight w:val="none"/>
                <w:lang w:val="en-US" w:eastAsia="zh-CN"/>
              </w:rPr>
            </w:pPr>
            <w:r>
              <w:rPr>
                <w:rFonts w:hint="default" w:ascii="Times New Roman" w:hAnsi="Times New Roman" w:eastAsia="宋体" w:cs="Times New Roman"/>
                <w:b w:val="0"/>
                <w:color w:val="auto"/>
                <w:kern w:val="2"/>
                <w:sz w:val="24"/>
                <w:szCs w:val="24"/>
                <w:highlight w:val="none"/>
                <w:lang w:val="en-US" w:eastAsia="zh-CN"/>
              </w:rPr>
              <w:t>综上，本项目</w:t>
            </w:r>
            <w:r>
              <w:rPr>
                <w:rFonts w:hint="eastAsia" w:cs="Times New Roman"/>
                <w:b w:val="0"/>
                <w:color w:val="auto"/>
                <w:kern w:val="2"/>
                <w:sz w:val="24"/>
                <w:szCs w:val="24"/>
                <w:highlight w:val="none"/>
                <w:lang w:val="en-US" w:eastAsia="zh-CN"/>
              </w:rPr>
              <w:t>与</w:t>
            </w:r>
            <w:r>
              <w:rPr>
                <w:rFonts w:hint="default" w:ascii="Times New Roman" w:hAnsi="Times New Roman" w:eastAsia="宋体" w:cs="Times New Roman"/>
                <w:b w:val="0"/>
                <w:color w:val="auto"/>
                <w:kern w:val="2"/>
                <w:sz w:val="24"/>
                <w:szCs w:val="24"/>
                <w:highlight w:val="none"/>
                <w:lang w:val="en-US" w:eastAsia="zh-CN"/>
              </w:rPr>
              <w:t>安阳市新型制造业产业园区建设项目环境准入条件</w:t>
            </w:r>
            <w:r>
              <w:rPr>
                <w:rFonts w:hint="eastAsia" w:cs="Times New Roman"/>
                <w:b w:val="0"/>
                <w:color w:val="auto"/>
                <w:kern w:val="2"/>
                <w:sz w:val="24"/>
                <w:szCs w:val="24"/>
                <w:highlight w:val="none"/>
                <w:lang w:val="en-US" w:eastAsia="zh-CN"/>
              </w:rPr>
              <w:t>相符</w:t>
            </w:r>
            <w:r>
              <w:rPr>
                <w:rFonts w:hint="default" w:ascii="Times New Roman" w:hAnsi="Times New Roman" w:eastAsia="宋体" w:cs="Times New Roman"/>
                <w:b w:val="0"/>
                <w:color w:val="auto"/>
                <w:kern w:val="2"/>
                <w:sz w:val="24"/>
                <w:szCs w:val="24"/>
                <w:highlight w:val="none"/>
                <w:lang w:val="en-US" w:eastAsia="zh-CN"/>
              </w:rPr>
              <w:t>。</w:t>
            </w:r>
          </w:p>
          <w:p w14:paraId="6F8ED289">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1" w:firstLineChars="100"/>
              <w:textAlignment w:val="auto"/>
              <w:rPr>
                <w:rFonts w:hint="default" w:ascii="Times New Roman" w:hAnsi="Times New Roman" w:eastAsia="宋体" w:cs="Times New Roman"/>
                <w:b w:val="0"/>
                <w:bCs w:val="0"/>
                <w:color w:val="auto"/>
                <w:kern w:val="2"/>
                <w:sz w:val="24"/>
                <w:szCs w:val="24"/>
                <w:highlight w:val="none"/>
                <w:u w:val="none"/>
                <w:lang w:val="en-US" w:eastAsia="zh-CN"/>
              </w:rPr>
            </w:pPr>
            <w:r>
              <w:rPr>
                <w:rFonts w:hint="default" w:ascii="Times New Roman" w:hAnsi="Times New Roman" w:eastAsia="宋体" w:cs="Times New Roman"/>
                <w:b/>
                <w:bCs/>
                <w:color w:val="auto"/>
                <w:kern w:val="2"/>
                <w:sz w:val="24"/>
                <w:szCs w:val="24"/>
                <w:highlight w:val="none"/>
                <w:u w:val="none"/>
                <w:lang w:val="en-US" w:eastAsia="zh-CN"/>
              </w:rPr>
              <w:t>1.2</w:t>
            </w:r>
            <w:r>
              <w:rPr>
                <w:rFonts w:hint="default" w:ascii="Times New Roman" w:hAnsi="Times New Roman" w:eastAsia="宋体" w:cs="Times New Roman"/>
                <w:b/>
                <w:bCs/>
                <w:color w:val="auto"/>
                <w:kern w:val="2"/>
                <w:sz w:val="24"/>
                <w:szCs w:val="24"/>
                <w:highlight w:val="none"/>
                <w:u w:val="none"/>
                <w:lang w:eastAsia="zh-CN"/>
              </w:rPr>
              <w:t>安阳市新型制造业产业园区</w:t>
            </w:r>
            <w:r>
              <w:rPr>
                <w:rFonts w:hint="eastAsia" w:cs="Times New Roman"/>
                <w:b/>
                <w:bCs/>
                <w:color w:val="auto"/>
                <w:kern w:val="2"/>
                <w:sz w:val="24"/>
                <w:szCs w:val="24"/>
                <w:highlight w:val="none"/>
                <w:u w:val="none"/>
                <w:lang w:eastAsia="zh-CN"/>
              </w:rPr>
              <w:t>跟踪评价</w:t>
            </w:r>
            <w:r>
              <w:rPr>
                <w:rFonts w:hint="default" w:ascii="Times New Roman" w:hAnsi="Times New Roman" w:eastAsia="宋体" w:cs="Times New Roman"/>
                <w:b/>
                <w:bCs/>
                <w:color w:val="auto"/>
                <w:kern w:val="2"/>
                <w:sz w:val="24"/>
                <w:szCs w:val="24"/>
                <w:highlight w:val="none"/>
                <w:u w:val="none"/>
                <w:lang w:eastAsia="zh-CN"/>
              </w:rPr>
              <w:t>内容</w:t>
            </w:r>
          </w:p>
          <w:p w14:paraId="17AE4529">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0" w:firstLineChars="100"/>
              <w:textAlignment w:val="auto"/>
              <w:rPr>
                <w:rFonts w:hint="eastAsia" w:cs="Times New Roman" w:eastAsiaTheme="minorEastAsia"/>
                <w:snapToGrid w:val="0"/>
                <w:color w:val="auto"/>
                <w:kern w:val="0"/>
                <w:sz w:val="24"/>
                <w:szCs w:val="24"/>
                <w:lang w:val="en-US" w:eastAsia="zh-CN"/>
              </w:rPr>
            </w:pPr>
            <w:r>
              <w:rPr>
                <w:rFonts w:hint="eastAsia" w:cs="Times New Roman" w:eastAsiaTheme="minorEastAsia"/>
                <w:snapToGrid w:val="0"/>
                <w:color w:val="auto"/>
                <w:kern w:val="0"/>
                <w:sz w:val="24"/>
                <w:szCs w:val="24"/>
                <w:lang w:val="en-US" w:eastAsia="zh-CN"/>
              </w:rPr>
              <w:t>1.2.1</w:t>
            </w:r>
            <w:r>
              <w:rPr>
                <w:rFonts w:hint="eastAsia" w:cs="Times New Roman"/>
                <w:b w:val="0"/>
                <w:bCs w:val="0"/>
                <w:color w:val="auto"/>
                <w:kern w:val="2"/>
                <w:sz w:val="24"/>
                <w:szCs w:val="24"/>
                <w:highlight w:val="none"/>
                <w:u w:val="none"/>
                <w:lang w:val="en-US" w:eastAsia="zh-CN"/>
              </w:rPr>
              <w:t>与</w:t>
            </w:r>
            <w:r>
              <w:rPr>
                <w:rFonts w:hint="eastAsia" w:eastAsia="宋体" w:cs="Times New Roman"/>
                <w:b w:val="0"/>
                <w:bCs w:val="0"/>
                <w:color w:val="auto"/>
                <w:kern w:val="0"/>
                <w:sz w:val="24"/>
                <w:szCs w:val="24"/>
                <w:highlight w:val="none"/>
                <w:u w:val="none"/>
                <w:lang w:val="en-US" w:eastAsia="zh-CN"/>
              </w:rPr>
              <w:t>负</w:t>
            </w:r>
            <w:r>
              <w:rPr>
                <w:rFonts w:hint="eastAsia" w:eastAsia="宋体" w:cs="Times New Roman"/>
                <w:color w:val="auto"/>
                <w:kern w:val="0"/>
                <w:sz w:val="24"/>
                <w:szCs w:val="24"/>
                <w:highlight w:val="none"/>
                <w:u w:val="none"/>
                <w:lang w:val="en-US" w:eastAsia="zh-CN"/>
              </w:rPr>
              <w:t>面清单</w:t>
            </w:r>
            <w:r>
              <w:rPr>
                <w:rFonts w:hint="eastAsia" w:ascii="Times New Roman" w:hAnsi="Times New Roman" w:eastAsia="宋体" w:cs="Times New Roman"/>
                <w:color w:val="auto"/>
                <w:kern w:val="0"/>
                <w:sz w:val="24"/>
                <w:szCs w:val="24"/>
                <w:highlight w:val="none"/>
                <w:u w:val="none"/>
                <w:lang w:val="en-US" w:eastAsia="zh-CN"/>
              </w:rPr>
              <w:t>相符性分析</w:t>
            </w:r>
          </w:p>
          <w:p w14:paraId="62447D6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b/>
                <w:bCs/>
                <w:color w:val="auto"/>
                <w:sz w:val="24"/>
                <w:szCs w:val="24"/>
                <w:lang w:val="en-US" w:eastAsia="zh-CN"/>
              </w:rPr>
            </w:pPr>
            <w:r>
              <w:rPr>
                <w:rFonts w:hint="eastAsia" w:cs="Times New Roman" w:eastAsiaTheme="minorEastAsia"/>
                <w:snapToGrid w:val="0"/>
                <w:color w:val="auto"/>
                <w:kern w:val="0"/>
                <w:sz w:val="24"/>
                <w:szCs w:val="24"/>
                <w:lang w:eastAsia="zh-CN"/>
              </w:rPr>
              <w:t>根据</w:t>
            </w:r>
            <w:r>
              <w:rPr>
                <w:rFonts w:hint="eastAsia" w:ascii="Times New Roman" w:hAnsi="Times New Roman" w:cs="Times New Roman" w:eastAsiaTheme="minorEastAsia"/>
                <w:snapToGrid w:val="0"/>
                <w:color w:val="auto"/>
                <w:kern w:val="0"/>
                <w:sz w:val="24"/>
                <w:szCs w:val="24"/>
                <w:lang w:eastAsia="zh-CN"/>
              </w:rPr>
              <w:t>《安阳市新型制造业产业园区总体发展规划（2010-2020）环境影响跟踪评价报告书》，现与负面清单相符性分析见下表：</w:t>
            </w:r>
          </w:p>
          <w:p w14:paraId="580E7F69">
            <w:pPr>
              <w:pStyle w:val="2"/>
              <w:keepNext/>
              <w:keepLines w:val="0"/>
              <w:pageBreakBefore w:val="0"/>
              <w:widowControl w:val="0"/>
              <w:suppressLineNumbers w:val="0"/>
              <w:kinsoku/>
              <w:wordWrap/>
              <w:overflowPunct w:val="0"/>
              <w:topLinePunct w:val="0"/>
              <w:autoSpaceDE/>
              <w:autoSpaceDN/>
              <w:bidi w:val="0"/>
              <w:adjustRightInd/>
              <w:snapToGrid w:val="0"/>
              <w:spacing w:before="0" w:beforeAutospacing="0" w:after="0" w:afterAutospacing="0" w:line="240" w:lineRule="auto"/>
              <w:ind w:left="0" w:right="0" w:firstLine="0"/>
              <w:jc w:val="center"/>
              <w:textAlignment w:val="auto"/>
              <w:rPr>
                <w:rFonts w:hint="default"/>
                <w:color w:val="auto"/>
                <w:lang w:val="en-US" w:eastAsia="zh-CN"/>
              </w:rPr>
            </w:pPr>
            <w:r>
              <w:rPr>
                <w:rFonts w:hint="eastAsia" w:ascii="Times New Roman" w:hAnsi="Times New Roman" w:eastAsia="宋体" w:cs="Times New Roman"/>
                <w:color w:val="auto"/>
                <w:kern w:val="0"/>
                <w:sz w:val="24"/>
                <w:szCs w:val="24"/>
                <w:highlight w:val="none"/>
                <w:u w:val="none"/>
                <w:lang w:eastAsia="zh-CN"/>
              </w:rPr>
              <w:t>表</w:t>
            </w:r>
            <w:r>
              <w:rPr>
                <w:rFonts w:hint="eastAsia" w:eastAsia="宋体" w:cs="Times New Roman"/>
                <w:color w:val="auto"/>
                <w:kern w:val="0"/>
                <w:sz w:val="24"/>
                <w:szCs w:val="24"/>
                <w:highlight w:val="none"/>
                <w:u w:val="none"/>
                <w:lang w:val="en-US" w:eastAsia="zh-CN"/>
              </w:rPr>
              <w:t>2</w:t>
            </w:r>
            <w:r>
              <w:rPr>
                <w:rFonts w:hint="eastAsia" w:ascii="Times New Roman" w:hAnsi="Times New Roman" w:eastAsia="宋体" w:cs="Times New Roman"/>
                <w:color w:val="auto"/>
                <w:kern w:val="0"/>
                <w:sz w:val="24"/>
                <w:szCs w:val="24"/>
                <w:highlight w:val="none"/>
                <w:u w:val="none"/>
                <w:lang w:val="en-US" w:eastAsia="zh-CN"/>
              </w:rPr>
              <w:t xml:space="preserve"> 与《</w:t>
            </w:r>
            <w:r>
              <w:rPr>
                <w:rFonts w:hint="default" w:ascii="Times New Roman" w:hAnsi="Times New Roman" w:eastAsia="宋体" w:cs="Times New Roman"/>
                <w:color w:val="auto"/>
                <w:kern w:val="0"/>
                <w:sz w:val="24"/>
                <w:szCs w:val="24"/>
                <w:highlight w:val="none"/>
                <w:u w:val="none"/>
                <w:lang w:eastAsia="zh-CN"/>
              </w:rPr>
              <w:t>安阳市新型制造业产业园区跟踪评价</w:t>
            </w:r>
            <w:r>
              <w:rPr>
                <w:rFonts w:hint="eastAsia" w:ascii="Times New Roman" w:hAnsi="Times New Roman" w:eastAsia="宋体" w:cs="Times New Roman"/>
                <w:color w:val="auto"/>
                <w:kern w:val="0"/>
                <w:sz w:val="24"/>
                <w:szCs w:val="24"/>
                <w:highlight w:val="none"/>
                <w:u w:val="none"/>
                <w:lang w:val="en-US" w:eastAsia="zh-CN"/>
              </w:rPr>
              <w:t>》</w:t>
            </w:r>
            <w:r>
              <w:rPr>
                <w:rFonts w:hint="eastAsia" w:eastAsia="宋体" w:cs="Times New Roman"/>
                <w:color w:val="auto"/>
                <w:kern w:val="0"/>
                <w:sz w:val="24"/>
                <w:szCs w:val="24"/>
                <w:highlight w:val="none"/>
                <w:u w:val="none"/>
                <w:lang w:val="en-US" w:eastAsia="zh-CN"/>
              </w:rPr>
              <w:t>负面清单</w:t>
            </w:r>
            <w:r>
              <w:rPr>
                <w:rFonts w:hint="eastAsia" w:ascii="Times New Roman" w:hAnsi="Times New Roman" w:eastAsia="宋体" w:cs="Times New Roman"/>
                <w:color w:val="auto"/>
                <w:kern w:val="0"/>
                <w:sz w:val="24"/>
                <w:szCs w:val="24"/>
                <w:highlight w:val="none"/>
                <w:u w:val="none"/>
                <w:lang w:val="en-US" w:eastAsia="zh-CN"/>
              </w:rPr>
              <w:t>相符性分析</w:t>
            </w:r>
          </w:p>
          <w:tbl>
            <w:tblPr>
              <w:tblStyle w:val="27"/>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57" w:type="dxa"/>
                <w:bottom w:w="0" w:type="dxa"/>
                <w:right w:w="57" w:type="dxa"/>
              </w:tblCellMar>
            </w:tblPr>
            <w:tblGrid>
              <w:gridCol w:w="590"/>
              <w:gridCol w:w="3743"/>
              <w:gridCol w:w="2984"/>
              <w:gridCol w:w="773"/>
            </w:tblGrid>
            <w:tr w14:paraId="5FD4C3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13" w:hRule="atLeast"/>
              </w:trPr>
              <w:tc>
                <w:tcPr>
                  <w:tcW w:w="590" w:type="dxa"/>
                  <w:tcBorders>
                    <w:tl2br w:val="nil"/>
                    <w:tr2bl w:val="nil"/>
                  </w:tcBorders>
                  <w:vAlign w:val="center"/>
                </w:tcPr>
                <w:p w14:paraId="75F47DE2">
                  <w:pPr>
                    <w:pStyle w:val="74"/>
                    <w:keepNext w:val="0"/>
                    <w:keepLines w:val="0"/>
                    <w:suppressLineNumbers w:val="0"/>
                    <w:spacing w:before="0" w:beforeAutospacing="0" w:after="0" w:afterAutospacing="0"/>
                    <w:ind w:left="0" w:right="0"/>
                    <w:jc w:val="center"/>
                    <w:rPr>
                      <w:rFonts w:hint="default"/>
                      <w:color w:val="auto"/>
                      <w:szCs w:val="24"/>
                    </w:rPr>
                  </w:pPr>
                  <w:r>
                    <w:rPr>
                      <w:rFonts w:hint="eastAsia"/>
                      <w:color w:val="auto"/>
                    </w:rPr>
                    <w:t>类别</w:t>
                  </w:r>
                </w:p>
              </w:tc>
              <w:tc>
                <w:tcPr>
                  <w:tcW w:w="3743" w:type="dxa"/>
                  <w:tcBorders>
                    <w:tl2br w:val="nil"/>
                    <w:tr2bl w:val="nil"/>
                  </w:tcBorders>
                  <w:vAlign w:val="center"/>
                </w:tcPr>
                <w:p w14:paraId="67D71A31">
                  <w:pPr>
                    <w:pStyle w:val="74"/>
                    <w:keepNext w:val="0"/>
                    <w:keepLines w:val="0"/>
                    <w:suppressLineNumbers w:val="0"/>
                    <w:spacing w:before="0" w:beforeAutospacing="0" w:after="0" w:afterAutospacing="0"/>
                    <w:ind w:left="0" w:right="0"/>
                    <w:jc w:val="center"/>
                    <w:rPr>
                      <w:rFonts w:hint="default"/>
                      <w:color w:val="auto"/>
                      <w:szCs w:val="24"/>
                    </w:rPr>
                  </w:pPr>
                  <w:r>
                    <w:rPr>
                      <w:rFonts w:hint="eastAsia"/>
                      <w:color w:val="auto"/>
                    </w:rPr>
                    <w:t>负面清单</w:t>
                  </w:r>
                </w:p>
              </w:tc>
              <w:tc>
                <w:tcPr>
                  <w:tcW w:w="2984" w:type="dxa"/>
                  <w:tcBorders>
                    <w:tl2br w:val="nil"/>
                    <w:tr2bl w:val="nil"/>
                  </w:tcBorders>
                  <w:vAlign w:val="center"/>
                </w:tcPr>
                <w:p w14:paraId="0E9B5A21">
                  <w:pPr>
                    <w:pStyle w:val="74"/>
                    <w:keepNext w:val="0"/>
                    <w:keepLines w:val="0"/>
                    <w:suppressLineNumbers w:val="0"/>
                    <w:spacing w:before="0" w:beforeAutospacing="0" w:after="0" w:afterAutospacing="0"/>
                    <w:ind w:left="0" w:right="0"/>
                    <w:jc w:val="center"/>
                    <w:rPr>
                      <w:rFonts w:hint="eastAsia" w:eastAsia="宋体"/>
                      <w:color w:val="auto"/>
                      <w:szCs w:val="24"/>
                      <w:lang w:eastAsia="zh-CN"/>
                    </w:rPr>
                  </w:pPr>
                  <w:r>
                    <w:rPr>
                      <w:rFonts w:hint="eastAsia"/>
                      <w:color w:val="auto"/>
                      <w:lang w:eastAsia="zh-CN"/>
                    </w:rPr>
                    <w:t>本项目</w:t>
                  </w:r>
                </w:p>
              </w:tc>
              <w:tc>
                <w:tcPr>
                  <w:tcW w:w="773" w:type="dxa"/>
                  <w:tcBorders>
                    <w:tl2br w:val="nil"/>
                    <w:tr2bl w:val="nil"/>
                  </w:tcBorders>
                  <w:vAlign w:val="center"/>
                </w:tcPr>
                <w:p w14:paraId="4244679E">
                  <w:pPr>
                    <w:pStyle w:val="74"/>
                    <w:keepNext w:val="0"/>
                    <w:keepLines w:val="0"/>
                    <w:suppressLineNumbers w:val="0"/>
                    <w:spacing w:before="0" w:beforeAutospacing="0" w:after="0" w:afterAutospacing="0"/>
                    <w:ind w:left="0" w:right="0"/>
                    <w:jc w:val="center"/>
                    <w:rPr>
                      <w:rFonts w:hint="eastAsia"/>
                      <w:color w:val="auto"/>
                      <w:lang w:eastAsia="zh-CN"/>
                    </w:rPr>
                  </w:pPr>
                  <w:r>
                    <w:rPr>
                      <w:rFonts w:hint="eastAsia"/>
                      <w:color w:val="auto"/>
                      <w:lang w:eastAsia="zh-CN"/>
                    </w:rPr>
                    <w:t>相符性</w:t>
                  </w:r>
                </w:p>
              </w:tc>
            </w:tr>
            <w:tr w14:paraId="2B7CDE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restart"/>
                  <w:tcBorders>
                    <w:tl2br w:val="nil"/>
                    <w:tr2bl w:val="nil"/>
                  </w:tcBorders>
                  <w:vAlign w:val="center"/>
                </w:tcPr>
                <w:p w14:paraId="609F371C">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管理要求</w:t>
                  </w:r>
                </w:p>
              </w:tc>
              <w:tc>
                <w:tcPr>
                  <w:tcW w:w="3743" w:type="dxa"/>
                  <w:tcBorders>
                    <w:tl2br w:val="nil"/>
                    <w:tr2bl w:val="nil"/>
                  </w:tcBorders>
                  <w:vAlign w:val="center"/>
                </w:tcPr>
                <w:p w14:paraId="1EE4F2A8">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禁止入驻国家产业结构调整指导目录淘汰、限制类项目。</w:t>
                  </w:r>
                </w:p>
              </w:tc>
              <w:tc>
                <w:tcPr>
                  <w:tcW w:w="2984" w:type="dxa"/>
                  <w:tcBorders>
                    <w:tl2br w:val="nil"/>
                    <w:tr2bl w:val="nil"/>
                  </w:tcBorders>
                  <w:vAlign w:val="center"/>
                </w:tcPr>
                <w:p w14:paraId="03DD9544">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lang w:eastAsia="zh-CN"/>
                    </w:rPr>
                    <w:t>本项目所选用的所有型号设备均不在淘汰落后设备之列，无型号设备在淘汰落后设备之列。</w:t>
                  </w:r>
                </w:p>
              </w:tc>
              <w:tc>
                <w:tcPr>
                  <w:tcW w:w="773" w:type="dxa"/>
                  <w:tcBorders>
                    <w:tl2br w:val="nil"/>
                    <w:tr2bl w:val="nil"/>
                  </w:tcBorders>
                  <w:vAlign w:val="center"/>
                </w:tcPr>
                <w:p w14:paraId="41C54466">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14F39D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90" w:hRule="atLeast"/>
              </w:trPr>
              <w:tc>
                <w:tcPr>
                  <w:tcW w:w="590" w:type="dxa"/>
                  <w:vMerge w:val="continue"/>
                  <w:tcBorders>
                    <w:tl2br w:val="nil"/>
                    <w:tr2bl w:val="nil"/>
                  </w:tcBorders>
                  <w:vAlign w:val="center"/>
                </w:tcPr>
                <w:p w14:paraId="7B6B106C">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1611A8CD">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禁止入驻《市场准入负面清单（</w:t>
                  </w:r>
                  <w:r>
                    <w:rPr>
                      <w:rFonts w:hint="default"/>
                      <w:color w:val="auto"/>
                    </w:rPr>
                    <w:t>2018</w:t>
                  </w:r>
                  <w:r>
                    <w:rPr>
                      <w:rFonts w:hint="eastAsia"/>
                      <w:color w:val="auto"/>
                    </w:rPr>
                    <w:t>年版）》所列的市场主体。</w:t>
                  </w:r>
                </w:p>
              </w:tc>
              <w:tc>
                <w:tcPr>
                  <w:tcW w:w="2984" w:type="dxa"/>
                  <w:tcBorders>
                    <w:tl2br w:val="nil"/>
                    <w:tr2bl w:val="nil"/>
                  </w:tcBorders>
                  <w:vAlign w:val="center"/>
                </w:tcPr>
                <w:p w14:paraId="5681C7F2">
                  <w:pPr>
                    <w:pStyle w:val="74"/>
                    <w:keepNext w:val="0"/>
                    <w:keepLines w:val="0"/>
                    <w:suppressLineNumbers w:val="0"/>
                    <w:spacing w:before="0" w:beforeAutospacing="0" w:after="0" w:afterAutospacing="0"/>
                    <w:ind w:left="0" w:right="0"/>
                    <w:jc w:val="both"/>
                    <w:rPr>
                      <w:rFonts w:hint="eastAsia" w:eastAsia="宋体"/>
                      <w:color w:val="auto"/>
                      <w:szCs w:val="24"/>
                      <w:lang w:eastAsia="zh-CN"/>
                    </w:rPr>
                  </w:pPr>
                  <w:r>
                    <w:rPr>
                      <w:rFonts w:hint="eastAsia"/>
                      <w:color w:val="auto"/>
                      <w:szCs w:val="24"/>
                      <w:lang w:eastAsia="zh-CN"/>
                    </w:rPr>
                    <w:t>本项目不属于《</w:t>
                  </w:r>
                  <w:r>
                    <w:rPr>
                      <w:rFonts w:hint="eastAsia"/>
                      <w:color w:val="auto"/>
                    </w:rPr>
                    <w:t>市场准入负面清单（</w:t>
                  </w:r>
                  <w:r>
                    <w:rPr>
                      <w:rFonts w:hint="default"/>
                      <w:color w:val="auto"/>
                      <w:highlight w:val="none"/>
                    </w:rPr>
                    <w:t>20</w:t>
                  </w:r>
                  <w:r>
                    <w:rPr>
                      <w:rFonts w:hint="eastAsia"/>
                      <w:color w:val="auto"/>
                      <w:highlight w:val="none"/>
                      <w:lang w:val="en-US" w:eastAsia="zh-CN"/>
                    </w:rPr>
                    <w:t>25</w:t>
                  </w:r>
                  <w:r>
                    <w:rPr>
                      <w:rFonts w:hint="eastAsia"/>
                      <w:color w:val="auto"/>
                    </w:rPr>
                    <w:t>年版）</w:t>
                  </w:r>
                  <w:r>
                    <w:rPr>
                      <w:rFonts w:hint="eastAsia"/>
                      <w:color w:val="auto"/>
                      <w:szCs w:val="24"/>
                      <w:lang w:eastAsia="zh-CN"/>
                    </w:rPr>
                    <w:t>》所列市场主体。</w:t>
                  </w:r>
                </w:p>
              </w:tc>
              <w:tc>
                <w:tcPr>
                  <w:tcW w:w="773" w:type="dxa"/>
                  <w:tcBorders>
                    <w:tl2br w:val="nil"/>
                    <w:tr2bl w:val="nil"/>
                  </w:tcBorders>
                  <w:vAlign w:val="center"/>
                </w:tcPr>
                <w:p w14:paraId="62FBC757">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26E0FA1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1D1E90A5">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33654E0A">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禁止投资建设列入禁止用地目录、限制用地目录的项目。</w:t>
                  </w:r>
                </w:p>
              </w:tc>
              <w:tc>
                <w:tcPr>
                  <w:tcW w:w="2984" w:type="dxa"/>
                  <w:tcBorders>
                    <w:tl2br w:val="nil"/>
                    <w:tr2bl w:val="nil"/>
                  </w:tcBorders>
                  <w:vAlign w:val="center"/>
                </w:tcPr>
                <w:p w14:paraId="5A271715">
                  <w:pPr>
                    <w:pStyle w:val="74"/>
                    <w:keepNext w:val="0"/>
                    <w:keepLines w:val="0"/>
                    <w:suppressLineNumbers w:val="0"/>
                    <w:spacing w:before="0" w:beforeAutospacing="0" w:after="0" w:afterAutospacing="0"/>
                    <w:ind w:left="0" w:right="0"/>
                    <w:jc w:val="both"/>
                    <w:rPr>
                      <w:rFonts w:hint="eastAsia" w:eastAsia="宋体"/>
                      <w:color w:val="auto"/>
                      <w:szCs w:val="24"/>
                      <w:lang w:eastAsia="zh-CN"/>
                    </w:rPr>
                  </w:pPr>
                  <w:r>
                    <w:rPr>
                      <w:rFonts w:hint="eastAsia"/>
                      <w:color w:val="auto"/>
                      <w:szCs w:val="24"/>
                      <w:lang w:eastAsia="zh-CN"/>
                    </w:rPr>
                    <w:t>本项目所用地不属于禁止用地目录、限制用地目录。</w:t>
                  </w:r>
                </w:p>
              </w:tc>
              <w:tc>
                <w:tcPr>
                  <w:tcW w:w="773" w:type="dxa"/>
                  <w:tcBorders>
                    <w:tl2br w:val="nil"/>
                    <w:tr2bl w:val="nil"/>
                  </w:tcBorders>
                  <w:vAlign w:val="center"/>
                </w:tcPr>
                <w:p w14:paraId="053503BF">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249FC9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0C6B074F">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508505C0">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禁止建设《国务院关于化解产能严重过剩矛盾的指导意见》（国发〔</w:t>
                  </w:r>
                  <w:r>
                    <w:rPr>
                      <w:rFonts w:hint="default"/>
                      <w:color w:val="auto"/>
                    </w:rPr>
                    <w:t>2013</w:t>
                  </w:r>
                  <w:r>
                    <w:rPr>
                      <w:rFonts w:hint="eastAsia"/>
                      <w:color w:val="auto"/>
                    </w:rPr>
                    <w:t>〕</w:t>
                  </w:r>
                  <w:r>
                    <w:rPr>
                      <w:rFonts w:hint="default"/>
                      <w:color w:val="auto"/>
                    </w:rPr>
                    <w:t>41</w:t>
                  </w:r>
                  <w:r>
                    <w:rPr>
                      <w:rFonts w:hint="eastAsia"/>
                      <w:color w:val="auto"/>
                    </w:rPr>
                    <w:t>号）明确产能严重过剩行业的新增产能项目。</w:t>
                  </w:r>
                </w:p>
              </w:tc>
              <w:tc>
                <w:tcPr>
                  <w:tcW w:w="2984" w:type="dxa"/>
                  <w:tcBorders>
                    <w:tl2br w:val="nil"/>
                    <w:tr2bl w:val="nil"/>
                  </w:tcBorders>
                  <w:vAlign w:val="center"/>
                </w:tcPr>
                <w:p w14:paraId="285B6F95">
                  <w:pPr>
                    <w:pStyle w:val="74"/>
                    <w:keepNext w:val="0"/>
                    <w:keepLines w:val="0"/>
                    <w:suppressLineNumbers w:val="0"/>
                    <w:spacing w:before="0" w:beforeAutospacing="0" w:after="0" w:afterAutospacing="0"/>
                    <w:ind w:left="0" w:right="0"/>
                    <w:jc w:val="both"/>
                    <w:rPr>
                      <w:rFonts w:hint="eastAsia" w:eastAsia="宋体"/>
                      <w:color w:val="auto"/>
                      <w:szCs w:val="24"/>
                      <w:lang w:eastAsia="zh-CN"/>
                    </w:rPr>
                  </w:pPr>
                  <w:r>
                    <w:rPr>
                      <w:rFonts w:hint="eastAsia"/>
                      <w:color w:val="auto"/>
                      <w:szCs w:val="24"/>
                      <w:lang w:eastAsia="zh-CN"/>
                    </w:rPr>
                    <w:t>本项目不属于产能严重过剩行业的新增产能项目。</w:t>
                  </w:r>
                </w:p>
              </w:tc>
              <w:tc>
                <w:tcPr>
                  <w:tcW w:w="773" w:type="dxa"/>
                  <w:tcBorders>
                    <w:tl2br w:val="nil"/>
                    <w:tr2bl w:val="nil"/>
                  </w:tcBorders>
                  <w:vAlign w:val="center"/>
                </w:tcPr>
                <w:p w14:paraId="2ABC4474">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129483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696D2F88">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3A28C629">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禁止入驻投资强度较小，不能满足《河南省人民政府关于进一步加强节约集约用地的意见》（豫政</w:t>
                  </w:r>
                  <w:r>
                    <w:rPr>
                      <w:rFonts w:hint="default"/>
                      <w:color w:val="auto"/>
                    </w:rPr>
                    <w:t>[2015]66</w:t>
                  </w:r>
                  <w:r>
                    <w:rPr>
                      <w:rFonts w:hint="eastAsia"/>
                      <w:color w:val="auto"/>
                    </w:rPr>
                    <w:t>号）文件要求的建设项目。</w:t>
                  </w:r>
                </w:p>
              </w:tc>
              <w:tc>
                <w:tcPr>
                  <w:tcW w:w="2984" w:type="dxa"/>
                  <w:tcBorders>
                    <w:tl2br w:val="nil"/>
                    <w:tr2bl w:val="nil"/>
                  </w:tcBorders>
                  <w:vAlign w:val="center"/>
                </w:tcPr>
                <w:p w14:paraId="495F4022">
                  <w:pPr>
                    <w:pStyle w:val="74"/>
                    <w:keepNext w:val="0"/>
                    <w:keepLines w:val="0"/>
                    <w:suppressLineNumbers w:val="0"/>
                    <w:spacing w:before="0" w:beforeAutospacing="0" w:after="0" w:afterAutospacing="0"/>
                    <w:ind w:left="0" w:right="0"/>
                    <w:jc w:val="both"/>
                    <w:rPr>
                      <w:rFonts w:hint="default" w:eastAsia="宋体"/>
                      <w:color w:val="auto"/>
                      <w:szCs w:val="24"/>
                      <w:lang w:val="en-US" w:eastAsia="zh-CN"/>
                    </w:rPr>
                  </w:pPr>
                  <w:r>
                    <w:rPr>
                      <w:rFonts w:hint="eastAsia"/>
                      <w:color w:val="auto"/>
                      <w:szCs w:val="24"/>
                      <w:lang w:eastAsia="zh-CN"/>
                    </w:rPr>
                    <w:t>本项目</w:t>
                  </w:r>
                  <w:r>
                    <w:rPr>
                      <w:rFonts w:hint="eastAsia"/>
                      <w:color w:val="auto"/>
                    </w:rPr>
                    <w:t>满足《河南省人民政府关于进一步加强节约集约用地的意见》（豫政</w:t>
                  </w:r>
                  <w:r>
                    <w:rPr>
                      <w:rFonts w:hint="default"/>
                      <w:color w:val="auto"/>
                    </w:rPr>
                    <w:t>[2015]66</w:t>
                  </w:r>
                  <w:r>
                    <w:rPr>
                      <w:rFonts w:hint="eastAsia"/>
                      <w:color w:val="auto"/>
                    </w:rPr>
                    <w:t>号）文件要求的建设项目</w:t>
                  </w:r>
                  <w:r>
                    <w:rPr>
                      <w:rFonts w:hint="eastAsia"/>
                      <w:color w:val="auto"/>
                      <w:szCs w:val="24"/>
                      <w:lang w:val="en-US" w:eastAsia="zh-CN"/>
                    </w:rPr>
                    <w:t>。</w:t>
                  </w:r>
                </w:p>
              </w:tc>
              <w:tc>
                <w:tcPr>
                  <w:tcW w:w="773" w:type="dxa"/>
                  <w:tcBorders>
                    <w:tl2br w:val="nil"/>
                    <w:tr2bl w:val="nil"/>
                  </w:tcBorders>
                  <w:vAlign w:val="center"/>
                </w:tcPr>
                <w:p w14:paraId="57B22FA4">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0F81CA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017CC444">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13B886A7">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禁止引进不符合我国环境保护规定的技术、设备、材料和产品。</w:t>
                  </w:r>
                </w:p>
              </w:tc>
              <w:tc>
                <w:tcPr>
                  <w:tcW w:w="2984" w:type="dxa"/>
                  <w:tcBorders>
                    <w:tl2br w:val="nil"/>
                    <w:tr2bl w:val="nil"/>
                  </w:tcBorders>
                  <w:vAlign w:val="center"/>
                </w:tcPr>
                <w:p w14:paraId="0814DD1F">
                  <w:pPr>
                    <w:pStyle w:val="74"/>
                    <w:keepNext w:val="0"/>
                    <w:keepLines w:val="0"/>
                    <w:suppressLineNumbers w:val="0"/>
                    <w:spacing w:before="0" w:beforeAutospacing="0" w:after="0" w:afterAutospacing="0"/>
                    <w:ind w:left="0" w:right="0"/>
                    <w:jc w:val="both"/>
                    <w:rPr>
                      <w:rFonts w:hint="default" w:eastAsia="宋体"/>
                      <w:color w:val="auto"/>
                      <w:szCs w:val="24"/>
                      <w:lang w:val="en-US" w:eastAsia="zh-CN"/>
                    </w:rPr>
                  </w:pPr>
                  <w:r>
                    <w:rPr>
                      <w:rFonts w:hint="eastAsia"/>
                      <w:color w:val="auto"/>
                      <w:lang w:eastAsia="zh-CN"/>
                    </w:rPr>
                    <w:t>本项目所选用的所有型号设备均不在淘汰落后设备之列，无型号设备不得在淘汰落后设备之列。</w:t>
                  </w:r>
                </w:p>
              </w:tc>
              <w:tc>
                <w:tcPr>
                  <w:tcW w:w="773" w:type="dxa"/>
                  <w:tcBorders>
                    <w:tl2br w:val="nil"/>
                    <w:tr2bl w:val="nil"/>
                  </w:tcBorders>
                  <w:vAlign w:val="center"/>
                </w:tcPr>
                <w:p w14:paraId="3B85360D">
                  <w:pPr>
                    <w:pStyle w:val="74"/>
                    <w:keepNext w:val="0"/>
                    <w:keepLines w:val="0"/>
                    <w:suppressLineNumbers w:val="0"/>
                    <w:spacing w:before="0" w:beforeAutospacing="0" w:after="0" w:afterAutospacing="0"/>
                    <w:ind w:left="0" w:right="0"/>
                    <w:jc w:val="both"/>
                    <w:rPr>
                      <w:rFonts w:hint="eastAsia" w:eastAsia="宋体"/>
                      <w:color w:val="auto"/>
                      <w:lang w:eastAsia="zh-CN"/>
                    </w:rPr>
                  </w:pPr>
                  <w:r>
                    <w:rPr>
                      <w:rFonts w:hint="eastAsia"/>
                      <w:color w:val="auto"/>
                      <w:lang w:eastAsia="zh-CN"/>
                    </w:rPr>
                    <w:t>相符</w:t>
                  </w:r>
                </w:p>
              </w:tc>
            </w:tr>
            <w:tr w14:paraId="74B559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32CAC218">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54B3C59D">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禁止入驻低于国家二级清洁生产标准要求的建设项目。</w:t>
                  </w:r>
                </w:p>
              </w:tc>
              <w:tc>
                <w:tcPr>
                  <w:tcW w:w="2984" w:type="dxa"/>
                  <w:tcBorders>
                    <w:tl2br w:val="nil"/>
                    <w:tr2bl w:val="nil"/>
                  </w:tcBorders>
                  <w:vAlign w:val="center"/>
                </w:tcPr>
                <w:p w14:paraId="3B432F4B">
                  <w:pPr>
                    <w:pStyle w:val="74"/>
                    <w:keepNext w:val="0"/>
                    <w:keepLines w:val="0"/>
                    <w:suppressLineNumbers w:val="0"/>
                    <w:spacing w:before="0" w:beforeAutospacing="0" w:after="0" w:afterAutospacing="0"/>
                    <w:ind w:left="0" w:right="0"/>
                    <w:jc w:val="both"/>
                    <w:rPr>
                      <w:rFonts w:hint="eastAsia" w:eastAsia="宋体"/>
                      <w:color w:val="auto"/>
                      <w:szCs w:val="24"/>
                      <w:lang w:eastAsia="zh-CN"/>
                    </w:rPr>
                  </w:pPr>
                  <w:r>
                    <w:rPr>
                      <w:rFonts w:hint="eastAsia"/>
                      <w:color w:val="auto"/>
                      <w:szCs w:val="24"/>
                      <w:lang w:eastAsia="zh-CN"/>
                    </w:rPr>
                    <w:t>本项目不低于国家二级清洁生产标准。</w:t>
                  </w:r>
                </w:p>
              </w:tc>
              <w:tc>
                <w:tcPr>
                  <w:tcW w:w="773" w:type="dxa"/>
                  <w:tcBorders>
                    <w:tl2br w:val="nil"/>
                    <w:tr2bl w:val="nil"/>
                  </w:tcBorders>
                  <w:vAlign w:val="center"/>
                </w:tcPr>
                <w:p w14:paraId="26F112FA">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1268C6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1981CEFF">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4B7ECE90">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禁止建设列入《环境保护综合目录》（</w:t>
                  </w:r>
                  <w:r>
                    <w:rPr>
                      <w:rFonts w:hint="default"/>
                      <w:color w:val="auto"/>
                    </w:rPr>
                    <w:t>2017</w:t>
                  </w:r>
                  <w:r>
                    <w:rPr>
                      <w:rFonts w:hint="eastAsia"/>
                      <w:color w:val="auto"/>
                    </w:rPr>
                    <w:t>年版）的高污染、高风险产品生产项目。</w:t>
                  </w:r>
                </w:p>
              </w:tc>
              <w:tc>
                <w:tcPr>
                  <w:tcW w:w="2984" w:type="dxa"/>
                  <w:tcBorders>
                    <w:tl2br w:val="nil"/>
                    <w:tr2bl w:val="nil"/>
                  </w:tcBorders>
                  <w:vAlign w:val="center"/>
                </w:tcPr>
                <w:p w14:paraId="6F5D2F2B">
                  <w:pPr>
                    <w:pStyle w:val="74"/>
                    <w:keepNext w:val="0"/>
                    <w:keepLines w:val="0"/>
                    <w:suppressLineNumbers w:val="0"/>
                    <w:spacing w:before="0" w:beforeAutospacing="0" w:after="0" w:afterAutospacing="0"/>
                    <w:ind w:left="0" w:right="0"/>
                    <w:jc w:val="both"/>
                    <w:rPr>
                      <w:rFonts w:hint="eastAsia" w:eastAsia="宋体"/>
                      <w:b w:val="0"/>
                      <w:bCs w:val="0"/>
                      <w:color w:val="auto"/>
                      <w:szCs w:val="24"/>
                      <w:u w:val="none"/>
                      <w:lang w:eastAsia="zh-CN"/>
                    </w:rPr>
                  </w:pPr>
                  <w:r>
                    <w:rPr>
                      <w:rFonts w:hint="eastAsia"/>
                      <w:b w:val="0"/>
                      <w:bCs w:val="0"/>
                      <w:color w:val="auto"/>
                      <w:szCs w:val="24"/>
                      <w:u w:val="none"/>
                      <w:lang w:eastAsia="zh-CN"/>
                    </w:rPr>
                    <w:t>本项目为</w:t>
                  </w:r>
                  <w:r>
                    <w:rPr>
                      <w:rFonts w:hint="eastAsia"/>
                      <w:b w:val="0"/>
                      <w:bCs w:val="0"/>
                      <w:color w:val="auto"/>
                      <w:szCs w:val="24"/>
                      <w:u w:val="none"/>
                      <w:lang w:val="en-US" w:eastAsia="zh-CN"/>
                    </w:rPr>
                    <w:t>金属丝绳及其制品制造项目，</w:t>
                  </w:r>
                  <w:r>
                    <w:rPr>
                      <w:rFonts w:hint="eastAsia"/>
                      <w:b w:val="0"/>
                      <w:bCs w:val="0"/>
                      <w:color w:val="auto"/>
                      <w:szCs w:val="24"/>
                      <w:u w:val="none"/>
                      <w:lang w:eastAsia="zh-CN"/>
                    </w:rPr>
                    <w:t>不属于</w:t>
                  </w:r>
                  <w:r>
                    <w:rPr>
                      <w:rFonts w:hint="eastAsia"/>
                      <w:b w:val="0"/>
                      <w:bCs w:val="0"/>
                      <w:color w:val="auto"/>
                      <w:u w:val="none"/>
                    </w:rPr>
                    <w:t>《环境保护综合目录》（</w:t>
                  </w:r>
                  <w:r>
                    <w:rPr>
                      <w:rFonts w:hint="default"/>
                      <w:b w:val="0"/>
                      <w:bCs w:val="0"/>
                      <w:color w:val="auto"/>
                      <w:u w:val="none"/>
                    </w:rPr>
                    <w:t>2</w:t>
                  </w:r>
                  <w:r>
                    <w:rPr>
                      <w:rFonts w:hint="eastAsia"/>
                      <w:b w:val="0"/>
                      <w:bCs w:val="0"/>
                      <w:color w:val="auto"/>
                      <w:u w:val="none"/>
                      <w:lang w:val="en-US" w:eastAsia="zh-CN"/>
                    </w:rPr>
                    <w:t>021</w:t>
                  </w:r>
                  <w:r>
                    <w:rPr>
                      <w:rFonts w:hint="eastAsia"/>
                      <w:b w:val="0"/>
                      <w:bCs w:val="0"/>
                      <w:color w:val="auto"/>
                      <w:u w:val="none"/>
                    </w:rPr>
                    <w:t>年版）的高污染、高风险产品生产项目。</w:t>
                  </w:r>
                </w:p>
              </w:tc>
              <w:tc>
                <w:tcPr>
                  <w:tcW w:w="773" w:type="dxa"/>
                  <w:tcBorders>
                    <w:tl2br w:val="nil"/>
                    <w:tr2bl w:val="nil"/>
                  </w:tcBorders>
                  <w:vAlign w:val="center"/>
                </w:tcPr>
                <w:p w14:paraId="0F889D89">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7218FC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894" w:hRule="atLeast"/>
              </w:trPr>
              <w:tc>
                <w:tcPr>
                  <w:tcW w:w="590" w:type="dxa"/>
                  <w:tcBorders>
                    <w:tl2br w:val="nil"/>
                    <w:tr2bl w:val="nil"/>
                  </w:tcBorders>
                  <w:vAlign w:val="center"/>
                </w:tcPr>
                <w:p w14:paraId="1086DD3E">
                  <w:pPr>
                    <w:pStyle w:val="74"/>
                    <w:keepNext w:val="0"/>
                    <w:keepLines w:val="0"/>
                    <w:suppressLineNumbers w:val="0"/>
                    <w:spacing w:before="0" w:beforeAutospacing="0" w:after="0" w:afterAutospacing="0"/>
                    <w:ind w:left="0" w:right="0"/>
                    <w:jc w:val="center"/>
                    <w:rPr>
                      <w:rFonts w:hint="default"/>
                      <w:color w:val="auto"/>
                      <w:szCs w:val="24"/>
                    </w:rPr>
                  </w:pPr>
                  <w:r>
                    <w:rPr>
                      <w:rFonts w:hint="eastAsia"/>
                      <w:color w:val="auto"/>
                    </w:rPr>
                    <w:t>燃料控制</w:t>
                  </w:r>
                </w:p>
              </w:tc>
              <w:tc>
                <w:tcPr>
                  <w:tcW w:w="3743" w:type="dxa"/>
                  <w:tcBorders>
                    <w:tl2br w:val="nil"/>
                    <w:tr2bl w:val="nil"/>
                  </w:tcBorders>
                  <w:vAlign w:val="center"/>
                </w:tcPr>
                <w:p w14:paraId="5056EE8F">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禁止新建各类燃煤工业锅炉及燃煤工业炉窑。</w:t>
                  </w:r>
                </w:p>
              </w:tc>
              <w:tc>
                <w:tcPr>
                  <w:tcW w:w="2984" w:type="dxa"/>
                  <w:tcBorders>
                    <w:tl2br w:val="nil"/>
                    <w:tr2bl w:val="nil"/>
                  </w:tcBorders>
                  <w:vAlign w:val="center"/>
                </w:tcPr>
                <w:p w14:paraId="7899D793">
                  <w:pPr>
                    <w:pStyle w:val="74"/>
                    <w:keepNext w:val="0"/>
                    <w:keepLines w:val="0"/>
                    <w:suppressLineNumbers w:val="0"/>
                    <w:spacing w:before="0" w:beforeAutospacing="0" w:after="0" w:afterAutospacing="0"/>
                    <w:ind w:left="0" w:right="0"/>
                    <w:jc w:val="both"/>
                    <w:rPr>
                      <w:rFonts w:hint="eastAsia" w:eastAsia="宋体"/>
                      <w:b w:val="0"/>
                      <w:bCs w:val="0"/>
                      <w:color w:val="auto"/>
                      <w:szCs w:val="24"/>
                      <w:u w:val="none"/>
                      <w:lang w:eastAsia="zh-CN"/>
                    </w:rPr>
                  </w:pPr>
                  <w:r>
                    <w:rPr>
                      <w:rFonts w:hint="eastAsia"/>
                      <w:b w:val="0"/>
                      <w:bCs w:val="0"/>
                      <w:color w:val="auto"/>
                      <w:szCs w:val="24"/>
                      <w:u w:val="none"/>
                      <w:lang w:eastAsia="zh-CN"/>
                    </w:rPr>
                    <w:t>本项目使用电热炉，未建设各类燃煤工业炉及燃煤工业炉窑。</w:t>
                  </w:r>
                </w:p>
              </w:tc>
              <w:tc>
                <w:tcPr>
                  <w:tcW w:w="773" w:type="dxa"/>
                  <w:tcBorders>
                    <w:tl2br w:val="nil"/>
                    <w:tr2bl w:val="nil"/>
                  </w:tcBorders>
                  <w:vAlign w:val="center"/>
                </w:tcPr>
                <w:p w14:paraId="040CE6EA">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相符</w:t>
                  </w:r>
                </w:p>
              </w:tc>
            </w:tr>
            <w:tr w14:paraId="5885212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restart"/>
                  <w:tcBorders>
                    <w:tl2br w:val="nil"/>
                    <w:tr2bl w:val="nil"/>
                  </w:tcBorders>
                  <w:vAlign w:val="center"/>
                </w:tcPr>
                <w:p w14:paraId="0C3DA71D">
                  <w:pPr>
                    <w:pStyle w:val="74"/>
                    <w:keepNext w:val="0"/>
                    <w:keepLines w:val="0"/>
                    <w:suppressLineNumbers w:val="0"/>
                    <w:spacing w:before="0" w:beforeAutospacing="0" w:after="0" w:afterAutospacing="0"/>
                    <w:ind w:left="0" w:right="0"/>
                    <w:jc w:val="center"/>
                    <w:rPr>
                      <w:rFonts w:hint="default"/>
                      <w:color w:val="auto"/>
                      <w:szCs w:val="24"/>
                    </w:rPr>
                  </w:pPr>
                  <w:r>
                    <w:rPr>
                      <w:rFonts w:hint="eastAsia"/>
                      <w:color w:val="auto"/>
                    </w:rPr>
                    <w:t>行业限制</w:t>
                  </w:r>
                </w:p>
              </w:tc>
              <w:tc>
                <w:tcPr>
                  <w:tcW w:w="3743" w:type="dxa"/>
                  <w:tcBorders>
                    <w:tl2br w:val="nil"/>
                    <w:tr2bl w:val="nil"/>
                  </w:tcBorders>
                  <w:vAlign w:val="center"/>
                </w:tcPr>
                <w:p w14:paraId="71B083CE">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禁止建设生产和使用高</w:t>
                  </w:r>
                  <w:r>
                    <w:rPr>
                      <w:rFonts w:hint="default"/>
                      <w:color w:val="auto"/>
                    </w:rPr>
                    <w:t>VOCs</w:t>
                  </w:r>
                  <w:r>
                    <w:rPr>
                      <w:rFonts w:hint="eastAsia"/>
                      <w:color w:val="auto"/>
                    </w:rPr>
                    <w:t>含量的溶剂型涂料、油墨、胶粘剂等项目；禁止入驻露天喷涂项目。</w:t>
                  </w:r>
                </w:p>
              </w:tc>
              <w:tc>
                <w:tcPr>
                  <w:tcW w:w="2984" w:type="dxa"/>
                  <w:tcBorders>
                    <w:tl2br w:val="nil"/>
                    <w:tr2bl w:val="nil"/>
                  </w:tcBorders>
                  <w:vAlign w:val="center"/>
                </w:tcPr>
                <w:p w14:paraId="628060D5">
                  <w:pPr>
                    <w:pStyle w:val="74"/>
                    <w:keepNext w:val="0"/>
                    <w:keepLines w:val="0"/>
                    <w:suppressLineNumbers w:val="0"/>
                    <w:spacing w:before="0" w:beforeAutospacing="0" w:after="0" w:afterAutospacing="0"/>
                    <w:ind w:left="0" w:right="0"/>
                    <w:jc w:val="both"/>
                    <w:rPr>
                      <w:rFonts w:hint="default" w:eastAsia="宋体"/>
                      <w:b w:val="0"/>
                      <w:bCs w:val="0"/>
                      <w:color w:val="auto"/>
                      <w:szCs w:val="24"/>
                      <w:u w:val="none"/>
                      <w:lang w:val="en-US" w:eastAsia="zh-CN"/>
                    </w:rPr>
                  </w:pPr>
                  <w:r>
                    <w:rPr>
                      <w:rFonts w:hint="eastAsia"/>
                      <w:b w:val="0"/>
                      <w:bCs w:val="0"/>
                      <w:color w:val="auto"/>
                      <w:szCs w:val="24"/>
                      <w:u w:val="none"/>
                      <w:lang w:eastAsia="zh-CN"/>
                    </w:rPr>
                    <w:t>本项目为</w:t>
                  </w:r>
                  <w:r>
                    <w:rPr>
                      <w:rFonts w:hint="eastAsia"/>
                      <w:b w:val="0"/>
                      <w:bCs w:val="0"/>
                      <w:color w:val="auto"/>
                      <w:szCs w:val="24"/>
                      <w:u w:val="none"/>
                      <w:lang w:val="en-US" w:eastAsia="zh-CN"/>
                    </w:rPr>
                    <w:t>金属丝绳及其制品制造项目，</w:t>
                  </w:r>
                  <w:r>
                    <w:rPr>
                      <w:rFonts w:hint="eastAsia"/>
                      <w:b w:val="0"/>
                      <w:bCs w:val="0"/>
                      <w:color w:val="auto"/>
                      <w:szCs w:val="24"/>
                      <w:u w:val="none"/>
                      <w:lang w:eastAsia="zh-CN"/>
                    </w:rPr>
                    <w:t>未使用涂料、油墨、粘胶剂</w:t>
                  </w:r>
                  <w:r>
                    <w:rPr>
                      <w:rFonts w:hint="eastAsia"/>
                      <w:b w:val="0"/>
                      <w:bCs w:val="0"/>
                      <w:color w:val="auto"/>
                      <w:szCs w:val="24"/>
                      <w:u w:val="none"/>
                      <w:lang w:val="en-US" w:eastAsia="zh-CN"/>
                    </w:rPr>
                    <w:t>；本项目不属于露天喷涂项目。</w:t>
                  </w:r>
                </w:p>
              </w:tc>
              <w:tc>
                <w:tcPr>
                  <w:tcW w:w="773" w:type="dxa"/>
                  <w:tcBorders>
                    <w:tl2br w:val="nil"/>
                    <w:tr2bl w:val="nil"/>
                  </w:tcBorders>
                  <w:vAlign w:val="center"/>
                </w:tcPr>
                <w:p w14:paraId="2DC785A1">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无关项</w:t>
                  </w:r>
                </w:p>
              </w:tc>
            </w:tr>
            <w:tr w14:paraId="542E28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41DCEB54">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637DB606">
                  <w:pPr>
                    <w:pStyle w:val="74"/>
                    <w:keepNext w:val="0"/>
                    <w:keepLines w:val="0"/>
                    <w:suppressLineNumbers w:val="0"/>
                    <w:spacing w:before="0" w:beforeAutospacing="0" w:after="0" w:afterAutospacing="0"/>
                    <w:ind w:left="0" w:right="0"/>
                    <w:jc w:val="both"/>
                    <w:rPr>
                      <w:rFonts w:hint="default"/>
                      <w:color w:val="auto"/>
                      <w:szCs w:val="24"/>
                    </w:rPr>
                  </w:pPr>
                  <w:r>
                    <w:rPr>
                      <w:rFonts w:hint="eastAsia"/>
                      <w:color w:val="auto"/>
                    </w:rPr>
                    <w:t>禁止建设不满足《铸造行业准入条件》、《河南省铸造行业准入条件》的装备制造类企业。</w:t>
                  </w:r>
                </w:p>
              </w:tc>
              <w:tc>
                <w:tcPr>
                  <w:tcW w:w="2984" w:type="dxa"/>
                  <w:tcBorders>
                    <w:tl2br w:val="nil"/>
                    <w:tr2bl w:val="nil"/>
                  </w:tcBorders>
                  <w:vAlign w:val="center"/>
                </w:tcPr>
                <w:p w14:paraId="099F17AA">
                  <w:pPr>
                    <w:pStyle w:val="74"/>
                    <w:keepNext w:val="0"/>
                    <w:keepLines w:val="0"/>
                    <w:suppressLineNumbers w:val="0"/>
                    <w:spacing w:before="0" w:beforeAutospacing="0" w:after="0" w:afterAutospacing="0"/>
                    <w:ind w:left="0" w:right="0"/>
                    <w:jc w:val="both"/>
                    <w:rPr>
                      <w:rFonts w:hint="eastAsia" w:eastAsia="宋体"/>
                      <w:color w:val="auto"/>
                      <w:szCs w:val="24"/>
                      <w:lang w:eastAsia="zh-CN"/>
                    </w:rPr>
                  </w:pPr>
                  <w:r>
                    <w:rPr>
                      <w:rFonts w:hint="eastAsia"/>
                      <w:color w:val="auto"/>
                      <w:szCs w:val="24"/>
                      <w:lang w:eastAsia="zh-CN"/>
                    </w:rPr>
                    <w:t>本项目不属于铸造行业。</w:t>
                  </w:r>
                </w:p>
              </w:tc>
              <w:tc>
                <w:tcPr>
                  <w:tcW w:w="773" w:type="dxa"/>
                  <w:tcBorders>
                    <w:tl2br w:val="nil"/>
                    <w:tr2bl w:val="nil"/>
                  </w:tcBorders>
                  <w:vAlign w:val="center"/>
                </w:tcPr>
                <w:p w14:paraId="0D80C38D">
                  <w:pPr>
                    <w:keepNext w:val="0"/>
                    <w:keepLines w:val="0"/>
                    <w:suppressLineNumbers w:val="0"/>
                    <w:spacing w:before="0" w:beforeAutospacing="0" w:after="0" w:afterAutospacing="0"/>
                    <w:ind w:left="0" w:right="0"/>
                    <w:jc w:val="both"/>
                    <w:rPr>
                      <w:rFonts w:hint="eastAsia"/>
                      <w:color w:val="auto"/>
                    </w:rPr>
                  </w:pPr>
                  <w:r>
                    <w:rPr>
                      <w:rFonts w:hint="eastAsia"/>
                      <w:color w:val="auto"/>
                      <w:lang w:eastAsia="zh-CN"/>
                    </w:rPr>
                    <w:t>无关项</w:t>
                  </w:r>
                </w:p>
              </w:tc>
            </w:tr>
            <w:tr w14:paraId="029983E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57" w:type="dxa"/>
                  <w:bottom w:w="0" w:type="dxa"/>
                  <w:right w:w="57" w:type="dxa"/>
                </w:tblCellMar>
              </w:tblPrEx>
              <w:tc>
                <w:tcPr>
                  <w:tcW w:w="590" w:type="dxa"/>
                  <w:vMerge w:val="continue"/>
                  <w:tcBorders>
                    <w:tl2br w:val="nil"/>
                    <w:tr2bl w:val="nil"/>
                  </w:tcBorders>
                  <w:vAlign w:val="center"/>
                </w:tcPr>
                <w:p w14:paraId="70F5B555">
                  <w:pPr>
                    <w:pStyle w:val="74"/>
                    <w:keepNext w:val="0"/>
                    <w:keepLines w:val="0"/>
                    <w:suppressLineNumbers w:val="0"/>
                    <w:spacing w:before="0" w:beforeAutospacing="0" w:after="0" w:afterAutospacing="0"/>
                    <w:ind w:left="0" w:right="0"/>
                    <w:jc w:val="both"/>
                    <w:rPr>
                      <w:rFonts w:hint="default"/>
                      <w:color w:val="auto"/>
                      <w:szCs w:val="24"/>
                    </w:rPr>
                  </w:pPr>
                </w:p>
              </w:tc>
              <w:tc>
                <w:tcPr>
                  <w:tcW w:w="3743" w:type="dxa"/>
                  <w:tcBorders>
                    <w:tl2br w:val="nil"/>
                    <w:tr2bl w:val="nil"/>
                  </w:tcBorders>
                  <w:vAlign w:val="center"/>
                </w:tcPr>
                <w:p w14:paraId="7B2963C9">
                  <w:pPr>
                    <w:pStyle w:val="74"/>
                    <w:keepNext w:val="0"/>
                    <w:keepLines w:val="0"/>
                    <w:suppressLineNumbers w:val="0"/>
                    <w:spacing w:before="0" w:beforeAutospacing="0" w:after="0" w:afterAutospacing="0"/>
                    <w:ind w:left="0" w:right="0"/>
                    <w:jc w:val="both"/>
                    <w:rPr>
                      <w:rFonts w:hint="default"/>
                      <w:color w:val="auto"/>
                    </w:rPr>
                  </w:pPr>
                  <w:r>
                    <w:rPr>
                      <w:rFonts w:hint="eastAsia"/>
                      <w:color w:val="auto"/>
                    </w:rPr>
                    <w:t>禁止新建电镀、皮革加工、造纸、印染、生物发酵、选矿、冶炼、炼焦、炼油和规模化禽畜养殖</w:t>
                  </w:r>
                </w:p>
              </w:tc>
              <w:tc>
                <w:tcPr>
                  <w:tcW w:w="2984" w:type="dxa"/>
                  <w:tcBorders>
                    <w:tl2br w:val="nil"/>
                    <w:tr2bl w:val="nil"/>
                  </w:tcBorders>
                  <w:vAlign w:val="center"/>
                </w:tcPr>
                <w:p w14:paraId="6BA81F07">
                  <w:pPr>
                    <w:pStyle w:val="74"/>
                    <w:keepNext w:val="0"/>
                    <w:keepLines w:val="0"/>
                    <w:suppressLineNumbers w:val="0"/>
                    <w:spacing w:before="0" w:beforeAutospacing="0" w:after="0" w:afterAutospacing="0"/>
                    <w:ind w:left="0" w:right="0"/>
                    <w:jc w:val="both"/>
                    <w:rPr>
                      <w:rFonts w:hint="eastAsia" w:eastAsia="宋体"/>
                      <w:color w:val="auto"/>
                      <w:lang w:eastAsia="zh-CN"/>
                    </w:rPr>
                  </w:pPr>
                  <w:r>
                    <w:rPr>
                      <w:rFonts w:hint="eastAsia"/>
                      <w:color w:val="auto"/>
                      <w:lang w:eastAsia="zh-CN"/>
                    </w:rPr>
                    <w:t>本项目不属于</w:t>
                  </w:r>
                  <w:r>
                    <w:rPr>
                      <w:rFonts w:hint="eastAsia"/>
                      <w:color w:val="auto"/>
                    </w:rPr>
                    <w:t>电镀、皮革加工、造纸、印染、生物发酵、选矿、冶炼、炼焦、炼油和规模化禽畜养殖</w:t>
                  </w:r>
                  <w:r>
                    <w:rPr>
                      <w:rFonts w:hint="eastAsia"/>
                      <w:color w:val="auto"/>
                      <w:lang w:eastAsia="zh-CN"/>
                    </w:rPr>
                    <w:t>项目。</w:t>
                  </w:r>
                </w:p>
              </w:tc>
              <w:tc>
                <w:tcPr>
                  <w:tcW w:w="773" w:type="dxa"/>
                  <w:tcBorders>
                    <w:tl2br w:val="nil"/>
                    <w:tr2bl w:val="nil"/>
                  </w:tcBorders>
                  <w:vAlign w:val="center"/>
                </w:tcPr>
                <w:p w14:paraId="28B51EE0">
                  <w:pPr>
                    <w:keepNext w:val="0"/>
                    <w:keepLines w:val="0"/>
                    <w:suppressLineNumbers w:val="0"/>
                    <w:spacing w:before="0" w:beforeAutospacing="0" w:after="0" w:afterAutospacing="0"/>
                    <w:ind w:left="0" w:right="0"/>
                    <w:jc w:val="both"/>
                    <w:rPr>
                      <w:rFonts w:hint="eastAsia" w:eastAsia="宋体"/>
                      <w:color w:val="auto"/>
                      <w:lang w:eastAsia="zh-CN"/>
                    </w:rPr>
                  </w:pPr>
                  <w:r>
                    <w:rPr>
                      <w:rFonts w:hint="eastAsia"/>
                      <w:color w:val="auto"/>
                      <w:lang w:eastAsia="zh-CN"/>
                    </w:rPr>
                    <w:t>无关项</w:t>
                  </w:r>
                </w:p>
              </w:tc>
            </w:tr>
          </w:tbl>
          <w:p w14:paraId="3E0E7089">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0" w:firstLineChars="100"/>
              <w:textAlignment w:val="auto"/>
              <w:rPr>
                <w:rFonts w:hint="eastAsia" w:ascii="Times New Roman" w:hAnsi="Times New Roman" w:eastAsia="宋体" w:cs="Times New Roman"/>
                <w:color w:val="auto"/>
                <w:kern w:val="0"/>
                <w:sz w:val="24"/>
                <w:szCs w:val="24"/>
                <w:highlight w:val="none"/>
                <w:u w:val="none"/>
                <w:lang w:val="en-US" w:eastAsia="zh-CN"/>
              </w:rPr>
            </w:pPr>
            <w:r>
              <w:rPr>
                <w:rFonts w:hint="eastAsia" w:cs="Times New Roman" w:eastAsiaTheme="minorEastAsia"/>
                <w:snapToGrid w:val="0"/>
                <w:color w:val="auto"/>
                <w:kern w:val="0"/>
                <w:sz w:val="24"/>
                <w:szCs w:val="24"/>
                <w:lang w:val="en-US" w:eastAsia="zh-CN"/>
              </w:rPr>
              <w:t>1.2.1</w:t>
            </w:r>
            <w:r>
              <w:rPr>
                <w:rFonts w:hint="eastAsia" w:cs="Times New Roman"/>
                <w:b w:val="0"/>
                <w:bCs w:val="0"/>
                <w:color w:val="auto"/>
                <w:kern w:val="2"/>
                <w:sz w:val="24"/>
                <w:szCs w:val="24"/>
                <w:highlight w:val="none"/>
                <w:u w:val="none"/>
                <w:lang w:val="en-US" w:eastAsia="zh-CN"/>
              </w:rPr>
              <w:t>与</w:t>
            </w:r>
            <w:r>
              <w:rPr>
                <w:rFonts w:hint="eastAsia" w:eastAsia="宋体" w:cs="Times New Roman"/>
                <w:b w:val="0"/>
                <w:bCs w:val="0"/>
                <w:color w:val="auto"/>
                <w:kern w:val="0"/>
                <w:sz w:val="24"/>
                <w:szCs w:val="24"/>
                <w:highlight w:val="none"/>
                <w:u w:val="none"/>
                <w:lang w:val="en-US" w:eastAsia="zh-CN"/>
              </w:rPr>
              <w:t>准入条件相符性分析</w:t>
            </w:r>
            <w:r>
              <w:rPr>
                <w:rFonts w:hint="eastAsia" w:ascii="Times New Roman" w:hAnsi="Times New Roman" w:eastAsia="宋体" w:cs="Times New Roman"/>
                <w:color w:val="auto"/>
                <w:kern w:val="0"/>
                <w:sz w:val="24"/>
                <w:szCs w:val="24"/>
                <w:highlight w:val="none"/>
                <w:u w:val="none"/>
                <w:lang w:val="en-US" w:eastAsia="zh-CN"/>
              </w:rPr>
              <w:t xml:space="preserve"> </w:t>
            </w:r>
          </w:p>
          <w:p w14:paraId="520A9853">
            <w:pPr>
              <w:pStyle w:val="7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0" w:firstLineChars="100"/>
              <w:textAlignment w:val="auto"/>
              <w:rPr>
                <w:rFonts w:hint="eastAsia" w:ascii="Times New Roman" w:hAnsi="Times New Roman" w:eastAsia="宋体" w:cs="Times New Roman"/>
                <w:color w:val="auto"/>
                <w:kern w:val="0"/>
                <w:sz w:val="24"/>
                <w:szCs w:val="24"/>
                <w:highlight w:val="none"/>
                <w:u w:val="none"/>
                <w:lang w:eastAsia="zh-CN"/>
              </w:rPr>
            </w:pPr>
            <w:r>
              <w:rPr>
                <w:rFonts w:hint="eastAsia" w:cs="Times New Roman" w:eastAsiaTheme="minorEastAsia"/>
                <w:snapToGrid w:val="0"/>
                <w:color w:val="auto"/>
                <w:kern w:val="0"/>
                <w:sz w:val="24"/>
                <w:szCs w:val="24"/>
                <w:lang w:eastAsia="zh-CN"/>
              </w:rPr>
              <w:t>根据</w:t>
            </w:r>
            <w:r>
              <w:rPr>
                <w:rFonts w:hint="eastAsia" w:ascii="Times New Roman" w:hAnsi="Times New Roman" w:cs="Times New Roman" w:eastAsiaTheme="minorEastAsia"/>
                <w:snapToGrid w:val="0"/>
                <w:color w:val="auto"/>
                <w:kern w:val="0"/>
                <w:sz w:val="24"/>
                <w:szCs w:val="24"/>
                <w:lang w:eastAsia="zh-CN"/>
              </w:rPr>
              <w:t>《安阳市新型制造业产业园区总体发展规划（2010-2020）环境影响跟踪评价报告书》，现与准入条件相符性分析见下表：</w:t>
            </w:r>
          </w:p>
          <w:p w14:paraId="21361E9D">
            <w:pPr>
              <w:pStyle w:val="2"/>
              <w:keepNext/>
              <w:keepLines w:val="0"/>
              <w:pageBreakBefore w:val="0"/>
              <w:widowControl w:val="0"/>
              <w:suppressLineNumbers w:val="0"/>
              <w:kinsoku/>
              <w:wordWrap/>
              <w:overflowPunct w:val="0"/>
              <w:topLinePunct w:val="0"/>
              <w:autoSpaceDE/>
              <w:autoSpaceDN/>
              <w:bidi w:val="0"/>
              <w:adjustRightInd/>
              <w:snapToGrid w:val="0"/>
              <w:spacing w:before="0" w:beforeAutospacing="0" w:after="0" w:afterAutospacing="0" w:line="240" w:lineRule="auto"/>
              <w:ind w:left="0" w:right="0" w:firstLine="0"/>
              <w:jc w:val="center"/>
              <w:textAlignment w:val="auto"/>
              <w:rPr>
                <w:rFonts w:hint="default"/>
                <w:b w:val="0"/>
                <w:bCs w:val="0"/>
                <w:color w:val="auto"/>
                <w:lang w:val="en-US" w:eastAsia="zh-CN"/>
              </w:rPr>
            </w:pPr>
            <w:r>
              <w:rPr>
                <w:rFonts w:hint="eastAsia" w:ascii="Times New Roman" w:hAnsi="Times New Roman" w:eastAsia="宋体" w:cs="Times New Roman"/>
                <w:color w:val="auto"/>
                <w:kern w:val="0"/>
                <w:sz w:val="24"/>
                <w:szCs w:val="24"/>
                <w:highlight w:val="none"/>
                <w:u w:val="none"/>
                <w:lang w:eastAsia="zh-CN"/>
              </w:rPr>
              <w:t>表</w:t>
            </w:r>
            <w:r>
              <w:rPr>
                <w:rFonts w:hint="eastAsia" w:eastAsia="宋体" w:cs="Times New Roman"/>
                <w:color w:val="auto"/>
                <w:kern w:val="0"/>
                <w:sz w:val="24"/>
                <w:szCs w:val="24"/>
                <w:highlight w:val="none"/>
                <w:u w:val="none"/>
                <w:lang w:val="en-US" w:eastAsia="zh-CN"/>
              </w:rPr>
              <w:t xml:space="preserve">3  </w:t>
            </w:r>
            <w:r>
              <w:rPr>
                <w:rFonts w:hint="eastAsia" w:ascii="Times New Roman" w:hAnsi="Times New Roman" w:eastAsia="宋体" w:cs="Times New Roman"/>
                <w:color w:val="auto"/>
                <w:kern w:val="0"/>
                <w:sz w:val="24"/>
                <w:szCs w:val="24"/>
                <w:highlight w:val="none"/>
                <w:u w:val="none"/>
                <w:lang w:val="en-US" w:eastAsia="zh-CN"/>
              </w:rPr>
              <w:t>与《</w:t>
            </w:r>
            <w:r>
              <w:rPr>
                <w:rFonts w:hint="default" w:ascii="Times New Roman" w:hAnsi="Times New Roman" w:eastAsia="宋体" w:cs="Times New Roman"/>
                <w:color w:val="auto"/>
                <w:kern w:val="0"/>
                <w:sz w:val="24"/>
                <w:szCs w:val="24"/>
                <w:highlight w:val="none"/>
                <w:u w:val="none"/>
                <w:lang w:eastAsia="zh-CN"/>
              </w:rPr>
              <w:t>安阳市新型制造业产业园区跟踪评价</w:t>
            </w:r>
            <w:r>
              <w:rPr>
                <w:rFonts w:hint="eastAsia" w:ascii="Times New Roman" w:hAnsi="Times New Roman" w:eastAsia="宋体" w:cs="Times New Roman"/>
                <w:color w:val="auto"/>
                <w:kern w:val="0"/>
                <w:sz w:val="24"/>
                <w:szCs w:val="24"/>
                <w:highlight w:val="none"/>
                <w:u w:val="none"/>
                <w:lang w:val="en-US" w:eastAsia="zh-CN"/>
              </w:rPr>
              <w:t>》准入条件相符性分析</w:t>
            </w:r>
          </w:p>
          <w:tbl>
            <w:tblPr>
              <w:tblStyle w:val="27"/>
              <w:tblW w:w="49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3469"/>
              <w:gridCol w:w="2742"/>
              <w:gridCol w:w="886"/>
            </w:tblGrid>
            <w:tr w14:paraId="21E91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6" w:type="pct"/>
                  <w:tcBorders>
                    <w:top w:val="single" w:color="auto" w:sz="12" w:space="0"/>
                    <w:left w:val="nil"/>
                    <w:bottom w:val="single" w:color="auto" w:sz="12" w:space="0"/>
                    <w:right w:val="single" w:color="auto" w:sz="4" w:space="0"/>
                  </w:tcBorders>
                  <w:vAlign w:val="center"/>
                </w:tcPr>
                <w:p w14:paraId="7259359A">
                  <w:pPr>
                    <w:pStyle w:val="74"/>
                    <w:keepNext w:val="0"/>
                    <w:keepLines w:val="0"/>
                    <w:suppressLineNumbers w:val="0"/>
                    <w:spacing w:before="0" w:beforeAutospacing="0" w:after="0" w:afterAutospacing="0"/>
                    <w:ind w:left="0" w:right="0"/>
                    <w:rPr>
                      <w:rFonts w:hint="default"/>
                      <w:b/>
                      <w:bCs/>
                      <w:color w:val="auto"/>
                    </w:rPr>
                  </w:pPr>
                  <w:r>
                    <w:rPr>
                      <w:rFonts w:hint="eastAsia"/>
                      <w:b/>
                      <w:bCs/>
                      <w:color w:val="auto"/>
                    </w:rPr>
                    <w:t>类</w:t>
                  </w:r>
                  <w:r>
                    <w:rPr>
                      <w:rFonts w:hint="default"/>
                      <w:b/>
                      <w:bCs/>
                      <w:color w:val="auto"/>
                    </w:rPr>
                    <w:t xml:space="preserve"> </w:t>
                  </w:r>
                  <w:r>
                    <w:rPr>
                      <w:rFonts w:hint="eastAsia"/>
                      <w:b/>
                      <w:bCs/>
                      <w:color w:val="auto"/>
                    </w:rPr>
                    <w:t>别</w:t>
                  </w:r>
                </w:p>
              </w:tc>
              <w:tc>
                <w:tcPr>
                  <w:tcW w:w="2181" w:type="pct"/>
                  <w:tcBorders>
                    <w:top w:val="single" w:color="auto" w:sz="12" w:space="0"/>
                    <w:left w:val="single" w:color="auto" w:sz="4" w:space="0"/>
                    <w:bottom w:val="single" w:color="auto" w:sz="12" w:space="0"/>
                    <w:right w:val="single" w:color="auto" w:sz="4" w:space="0"/>
                  </w:tcBorders>
                  <w:vAlign w:val="center"/>
                </w:tcPr>
                <w:p w14:paraId="53525056">
                  <w:pPr>
                    <w:pStyle w:val="74"/>
                    <w:keepNext w:val="0"/>
                    <w:keepLines w:val="0"/>
                    <w:suppressLineNumbers w:val="0"/>
                    <w:spacing w:before="0" w:beforeAutospacing="0" w:after="0" w:afterAutospacing="0"/>
                    <w:ind w:left="0" w:right="0"/>
                    <w:rPr>
                      <w:rFonts w:hint="default"/>
                      <w:b/>
                      <w:bCs/>
                      <w:color w:val="auto"/>
                    </w:rPr>
                  </w:pPr>
                  <w:r>
                    <w:rPr>
                      <w:rFonts w:hint="eastAsia"/>
                      <w:b/>
                      <w:bCs/>
                      <w:color w:val="auto"/>
                    </w:rPr>
                    <w:t>准入条件</w:t>
                  </w:r>
                </w:p>
              </w:tc>
              <w:tc>
                <w:tcPr>
                  <w:tcW w:w="1724" w:type="pct"/>
                  <w:tcBorders>
                    <w:top w:val="single" w:color="auto" w:sz="12" w:space="0"/>
                    <w:left w:val="single" w:color="auto" w:sz="4" w:space="0"/>
                    <w:bottom w:val="single" w:color="auto" w:sz="12" w:space="0"/>
                    <w:right w:val="single" w:color="auto" w:sz="4" w:space="0"/>
                  </w:tcBorders>
                  <w:vAlign w:val="center"/>
                </w:tcPr>
                <w:p w14:paraId="6FF2C101">
                  <w:pPr>
                    <w:pStyle w:val="74"/>
                    <w:keepNext w:val="0"/>
                    <w:keepLines w:val="0"/>
                    <w:suppressLineNumbers w:val="0"/>
                    <w:spacing w:before="0" w:beforeAutospacing="0" w:after="0" w:afterAutospacing="0"/>
                    <w:ind w:left="0" w:right="0"/>
                    <w:rPr>
                      <w:rFonts w:hint="eastAsia" w:eastAsia="宋体"/>
                      <w:b/>
                      <w:bCs/>
                      <w:color w:val="auto"/>
                      <w:lang w:eastAsia="zh-CN"/>
                    </w:rPr>
                  </w:pPr>
                  <w:r>
                    <w:rPr>
                      <w:rFonts w:hint="eastAsia"/>
                      <w:b/>
                      <w:bCs/>
                      <w:color w:val="auto"/>
                      <w:lang w:eastAsia="zh-CN"/>
                    </w:rPr>
                    <w:t>本项目</w:t>
                  </w:r>
                </w:p>
              </w:tc>
              <w:tc>
                <w:tcPr>
                  <w:tcW w:w="557" w:type="pct"/>
                  <w:tcBorders>
                    <w:top w:val="single" w:color="auto" w:sz="12" w:space="0"/>
                    <w:left w:val="single" w:color="auto" w:sz="4" w:space="0"/>
                    <w:bottom w:val="single" w:color="auto" w:sz="12" w:space="0"/>
                    <w:right w:val="nil"/>
                  </w:tcBorders>
                  <w:vAlign w:val="center"/>
                </w:tcPr>
                <w:p w14:paraId="79F9229C">
                  <w:pPr>
                    <w:pStyle w:val="74"/>
                    <w:keepNext w:val="0"/>
                    <w:keepLines w:val="0"/>
                    <w:suppressLineNumbers w:val="0"/>
                    <w:spacing w:before="0" w:beforeAutospacing="0" w:after="0" w:afterAutospacing="0"/>
                    <w:ind w:left="0" w:right="0"/>
                    <w:rPr>
                      <w:rFonts w:hint="eastAsia" w:eastAsia="宋体"/>
                      <w:b/>
                      <w:bCs/>
                      <w:color w:val="auto"/>
                      <w:lang w:eastAsia="zh-CN"/>
                    </w:rPr>
                  </w:pPr>
                  <w:r>
                    <w:rPr>
                      <w:rFonts w:hint="eastAsia"/>
                      <w:b/>
                      <w:bCs/>
                      <w:color w:val="auto"/>
                      <w:lang w:eastAsia="zh-CN"/>
                    </w:rPr>
                    <w:t>相符性</w:t>
                  </w:r>
                </w:p>
              </w:tc>
            </w:tr>
            <w:tr w14:paraId="72ACE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blHeader/>
                <w:jc w:val="center"/>
              </w:trPr>
              <w:tc>
                <w:tcPr>
                  <w:tcW w:w="536" w:type="pct"/>
                  <w:vMerge w:val="restart"/>
                  <w:tcBorders>
                    <w:top w:val="single" w:color="auto" w:sz="12" w:space="0"/>
                    <w:left w:val="nil"/>
                    <w:bottom w:val="single" w:color="auto" w:sz="4" w:space="0"/>
                    <w:right w:val="single" w:color="auto" w:sz="4" w:space="0"/>
                  </w:tcBorders>
                  <w:vAlign w:val="center"/>
                </w:tcPr>
                <w:p w14:paraId="4EBA4497">
                  <w:pPr>
                    <w:pStyle w:val="74"/>
                    <w:keepNext w:val="0"/>
                    <w:keepLines w:val="0"/>
                    <w:suppressLineNumbers w:val="0"/>
                    <w:spacing w:before="0" w:beforeAutospacing="0" w:after="0" w:afterAutospacing="0"/>
                    <w:ind w:left="0" w:right="0"/>
                    <w:rPr>
                      <w:rFonts w:hint="default"/>
                      <w:color w:val="auto"/>
                    </w:rPr>
                  </w:pPr>
                  <w:r>
                    <w:rPr>
                      <w:rFonts w:hint="eastAsia"/>
                      <w:color w:val="auto"/>
                    </w:rPr>
                    <w:t>产业类别</w:t>
                  </w:r>
                </w:p>
              </w:tc>
              <w:tc>
                <w:tcPr>
                  <w:tcW w:w="2181" w:type="pct"/>
                  <w:tcBorders>
                    <w:top w:val="single" w:color="auto" w:sz="12" w:space="0"/>
                    <w:left w:val="single" w:color="auto" w:sz="4" w:space="0"/>
                    <w:bottom w:val="single" w:color="auto" w:sz="4" w:space="0"/>
                    <w:right w:val="single" w:color="auto" w:sz="4" w:space="0"/>
                  </w:tcBorders>
                  <w:vAlign w:val="center"/>
                </w:tcPr>
                <w:p w14:paraId="776C1EC6">
                  <w:pPr>
                    <w:pStyle w:val="74"/>
                    <w:keepNext w:val="0"/>
                    <w:keepLines w:val="0"/>
                    <w:suppressLineNumbers w:val="0"/>
                    <w:spacing w:before="0" w:beforeAutospacing="0" w:after="0" w:afterAutospacing="0"/>
                    <w:ind w:left="0" w:right="0"/>
                    <w:jc w:val="left"/>
                    <w:rPr>
                      <w:rFonts w:hint="default"/>
                      <w:color w:val="auto"/>
                    </w:rPr>
                  </w:pPr>
                  <w:r>
                    <w:rPr>
                      <w:rFonts w:hint="eastAsia"/>
                      <w:color w:val="auto"/>
                      <w:lang w:val="en-US" w:eastAsia="zh-CN"/>
                    </w:rPr>
                    <w:t>1、</w:t>
                  </w:r>
                  <w:r>
                    <w:rPr>
                      <w:rFonts w:hint="eastAsia"/>
                      <w:color w:val="auto"/>
                    </w:rPr>
                    <w:t>原则上仅允许入驻符合产业集聚区产业定位及产业规划，符合产业集聚区循环经济发展产业链的补链项目；</w:t>
                  </w:r>
                </w:p>
              </w:tc>
              <w:tc>
                <w:tcPr>
                  <w:tcW w:w="1724" w:type="pct"/>
                  <w:tcBorders>
                    <w:top w:val="single" w:color="auto" w:sz="12" w:space="0"/>
                    <w:left w:val="single" w:color="auto" w:sz="4" w:space="0"/>
                    <w:bottom w:val="single" w:color="auto" w:sz="4" w:space="0"/>
                    <w:right w:val="single" w:color="auto" w:sz="4" w:space="0"/>
                  </w:tcBorders>
                  <w:vAlign w:val="center"/>
                </w:tcPr>
                <w:p w14:paraId="0991A4E9">
                  <w:pPr>
                    <w:pStyle w:val="74"/>
                    <w:keepNext w:val="0"/>
                    <w:keepLines w:val="0"/>
                    <w:suppressLineNumbers w:val="0"/>
                    <w:spacing w:before="0" w:beforeAutospacing="0" w:after="0" w:afterAutospacing="0"/>
                    <w:ind w:left="0" w:right="0"/>
                    <w:jc w:val="left"/>
                    <w:rPr>
                      <w:rFonts w:hint="eastAsia" w:eastAsia="宋体"/>
                      <w:color w:val="auto"/>
                      <w:lang w:eastAsia="zh-CN"/>
                    </w:rPr>
                  </w:pPr>
                  <w:r>
                    <w:rPr>
                      <w:rFonts w:hint="eastAsia"/>
                      <w:color w:val="auto"/>
                      <w:lang w:eastAsia="zh-CN"/>
                    </w:rPr>
                    <w:t>本项目为</w:t>
                  </w:r>
                  <w:r>
                    <w:rPr>
                      <w:rFonts w:hint="eastAsia"/>
                      <w:color w:val="auto"/>
                      <w:lang w:val="en-US" w:eastAsia="zh-CN"/>
                    </w:rPr>
                    <w:t>金属丝绳及其制品制造项目</w:t>
                  </w:r>
                  <w:r>
                    <w:rPr>
                      <w:rFonts w:hint="eastAsia"/>
                      <w:color w:val="auto"/>
                      <w:lang w:eastAsia="zh-CN"/>
                    </w:rPr>
                    <w:t>，属于装备制造业上下游产业链</w:t>
                  </w:r>
                  <w:r>
                    <w:rPr>
                      <w:rFonts w:hint="eastAsia"/>
                      <w:color w:val="auto"/>
                      <w:lang w:val="en-US" w:eastAsia="zh-CN"/>
                    </w:rPr>
                    <w:t>。</w:t>
                  </w:r>
                </w:p>
              </w:tc>
              <w:tc>
                <w:tcPr>
                  <w:tcW w:w="557" w:type="pct"/>
                  <w:tcBorders>
                    <w:top w:val="single" w:color="auto" w:sz="12" w:space="0"/>
                    <w:left w:val="single" w:color="auto" w:sz="4" w:space="0"/>
                    <w:bottom w:val="single" w:color="auto" w:sz="4" w:space="0"/>
                    <w:right w:val="nil"/>
                  </w:tcBorders>
                  <w:vAlign w:val="center"/>
                </w:tcPr>
                <w:p w14:paraId="28F36025">
                  <w:pPr>
                    <w:keepNext w:val="0"/>
                    <w:keepLines w:val="0"/>
                    <w:suppressLineNumbers w:val="0"/>
                    <w:spacing w:before="0" w:beforeAutospacing="0" w:after="0" w:afterAutospacing="0"/>
                    <w:ind w:left="0" w:right="0"/>
                    <w:jc w:val="center"/>
                    <w:rPr>
                      <w:rFonts w:hint="eastAsia" w:eastAsia="宋体"/>
                      <w:color w:val="auto"/>
                      <w:lang w:eastAsia="zh-CN"/>
                    </w:rPr>
                  </w:pPr>
                  <w:r>
                    <w:rPr>
                      <w:rFonts w:hint="eastAsia"/>
                      <w:color w:val="auto"/>
                      <w:lang w:eastAsia="zh-CN"/>
                    </w:rPr>
                    <w:t>相符</w:t>
                  </w:r>
                </w:p>
              </w:tc>
            </w:tr>
            <w:tr w14:paraId="57C71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7EC9A0E0">
                  <w:pPr>
                    <w:pStyle w:val="74"/>
                    <w:keepNext w:val="0"/>
                    <w:keepLines w:val="0"/>
                    <w:suppressLineNumbers w:val="0"/>
                    <w:spacing w:before="0" w:beforeAutospacing="0" w:after="0" w:afterAutospacing="0"/>
                    <w:ind w:left="0" w:right="0"/>
                    <w:jc w:val="left"/>
                    <w:rPr>
                      <w:rFonts w:hint="default"/>
                      <w:color w:val="auto"/>
                    </w:rPr>
                  </w:pPr>
                </w:p>
              </w:tc>
              <w:tc>
                <w:tcPr>
                  <w:tcW w:w="2181" w:type="pct"/>
                  <w:tcBorders>
                    <w:top w:val="single" w:color="auto" w:sz="4" w:space="0"/>
                    <w:left w:val="single" w:color="auto" w:sz="4" w:space="0"/>
                    <w:bottom w:val="single" w:color="auto" w:sz="4" w:space="0"/>
                    <w:right w:val="single" w:color="auto" w:sz="4" w:space="0"/>
                  </w:tcBorders>
                  <w:vAlign w:val="center"/>
                </w:tcPr>
                <w:p w14:paraId="33E0958C">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val="en-US" w:eastAsia="zh-CN"/>
                    </w:rPr>
                    <w:t>2</w:t>
                  </w:r>
                  <w:r>
                    <w:rPr>
                      <w:rFonts w:hint="eastAsia"/>
                      <w:color w:val="auto"/>
                      <w:lang w:eastAsia="zh-CN"/>
                    </w:rPr>
                    <w:t>、</w:t>
                  </w:r>
                  <w:r>
                    <w:rPr>
                      <w:rFonts w:hint="eastAsia"/>
                      <w:color w:val="auto"/>
                    </w:rPr>
                    <w:t>杜绝入驻不符合国家产业政策、行业发展规划、行业准入条件及地方环保管理要求或国家产业政策命令淘汰、落后生产工艺装备；</w:t>
                  </w:r>
                </w:p>
              </w:tc>
              <w:tc>
                <w:tcPr>
                  <w:tcW w:w="1724" w:type="pct"/>
                  <w:tcBorders>
                    <w:top w:val="single" w:color="auto" w:sz="4" w:space="0"/>
                    <w:left w:val="single" w:color="auto" w:sz="4" w:space="0"/>
                    <w:bottom w:val="single" w:color="auto" w:sz="4" w:space="0"/>
                    <w:right w:val="single" w:color="auto" w:sz="4" w:space="0"/>
                  </w:tcBorders>
                  <w:vAlign w:val="center"/>
                </w:tcPr>
                <w:p w14:paraId="38EA095D">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eastAsia="zh-CN"/>
                    </w:rPr>
                    <w:t>本项目所选用的所有型号设备均不在淘汰落后设备之列，无型号设备不得在淘汰落后设备之列。</w:t>
                  </w:r>
                </w:p>
              </w:tc>
              <w:tc>
                <w:tcPr>
                  <w:tcW w:w="557" w:type="pct"/>
                  <w:tcBorders>
                    <w:top w:val="single" w:color="auto" w:sz="4" w:space="0"/>
                    <w:left w:val="single" w:color="auto" w:sz="4" w:space="0"/>
                    <w:bottom w:val="single" w:color="auto" w:sz="4" w:space="0"/>
                    <w:right w:val="nil"/>
                  </w:tcBorders>
                  <w:vAlign w:val="center"/>
                </w:tcPr>
                <w:p w14:paraId="27D97440">
                  <w:pPr>
                    <w:keepNext w:val="0"/>
                    <w:keepLines w:val="0"/>
                    <w:suppressLineNumbers w:val="0"/>
                    <w:spacing w:before="0" w:beforeAutospacing="0" w:after="0" w:afterAutospacing="0"/>
                    <w:ind w:left="0" w:right="0"/>
                    <w:jc w:val="center"/>
                    <w:rPr>
                      <w:rFonts w:hint="eastAsia"/>
                      <w:color w:val="auto"/>
                      <w:lang w:val="en-US" w:eastAsia="zh-CN"/>
                    </w:rPr>
                  </w:pPr>
                  <w:r>
                    <w:rPr>
                      <w:rFonts w:hint="eastAsia"/>
                      <w:color w:val="auto"/>
                      <w:lang w:eastAsia="zh-CN"/>
                    </w:rPr>
                    <w:t>相符</w:t>
                  </w:r>
                </w:p>
              </w:tc>
            </w:tr>
            <w:tr w14:paraId="0BB49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50668028">
                  <w:pPr>
                    <w:pStyle w:val="74"/>
                    <w:keepNext w:val="0"/>
                    <w:keepLines w:val="0"/>
                    <w:suppressLineNumbers w:val="0"/>
                    <w:spacing w:before="0" w:beforeAutospacing="0" w:after="0" w:afterAutospacing="0"/>
                    <w:ind w:left="0" w:right="0"/>
                    <w:jc w:val="left"/>
                    <w:rPr>
                      <w:rFonts w:hint="eastAsia"/>
                      <w:color w:val="auto"/>
                      <w:lang w:val="en-US" w:eastAsia="zh-CN"/>
                    </w:rPr>
                  </w:pPr>
                </w:p>
              </w:tc>
              <w:tc>
                <w:tcPr>
                  <w:tcW w:w="2181" w:type="pct"/>
                  <w:tcBorders>
                    <w:top w:val="single" w:color="auto" w:sz="4" w:space="0"/>
                    <w:left w:val="single" w:color="auto" w:sz="4" w:space="0"/>
                    <w:bottom w:val="single" w:color="auto" w:sz="4" w:space="0"/>
                    <w:right w:val="single" w:color="auto" w:sz="4" w:space="0"/>
                  </w:tcBorders>
                  <w:vAlign w:val="center"/>
                </w:tcPr>
                <w:p w14:paraId="684D5C16">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val="en-US" w:eastAsia="zh-CN"/>
                    </w:rPr>
                    <w:t>3、</w:t>
                  </w:r>
                  <w:r>
                    <w:rPr>
                      <w:rFonts w:hint="eastAsia"/>
                      <w:color w:val="auto"/>
                    </w:rPr>
                    <w:t>依托现有企业入驻的项目，应满足产业负面清单要求。</w:t>
                  </w:r>
                </w:p>
              </w:tc>
              <w:tc>
                <w:tcPr>
                  <w:tcW w:w="1724" w:type="pct"/>
                  <w:tcBorders>
                    <w:top w:val="single" w:color="auto" w:sz="4" w:space="0"/>
                    <w:left w:val="single" w:color="auto" w:sz="4" w:space="0"/>
                    <w:bottom w:val="single" w:color="auto" w:sz="4" w:space="0"/>
                    <w:right w:val="single" w:color="auto" w:sz="4" w:space="0"/>
                  </w:tcBorders>
                  <w:vAlign w:val="center"/>
                </w:tcPr>
                <w:p w14:paraId="0A54957F">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val="en-US" w:eastAsia="zh-CN"/>
                    </w:rPr>
                    <w:t>本项目满足产业负面清单要求。</w:t>
                  </w:r>
                </w:p>
              </w:tc>
              <w:tc>
                <w:tcPr>
                  <w:tcW w:w="557" w:type="pct"/>
                  <w:tcBorders>
                    <w:top w:val="single" w:color="auto" w:sz="4" w:space="0"/>
                    <w:left w:val="single" w:color="auto" w:sz="4" w:space="0"/>
                    <w:bottom w:val="single" w:color="auto" w:sz="4" w:space="0"/>
                    <w:right w:val="nil"/>
                  </w:tcBorders>
                  <w:vAlign w:val="center"/>
                </w:tcPr>
                <w:p w14:paraId="3F48A9DB">
                  <w:pPr>
                    <w:keepNext w:val="0"/>
                    <w:keepLines w:val="0"/>
                    <w:suppressLineNumbers w:val="0"/>
                    <w:spacing w:before="0" w:beforeAutospacing="0" w:after="0" w:afterAutospacing="0"/>
                    <w:ind w:left="0" w:right="0"/>
                    <w:jc w:val="center"/>
                    <w:rPr>
                      <w:rFonts w:hint="eastAsia"/>
                      <w:color w:val="auto"/>
                      <w:lang w:val="en-US" w:eastAsia="zh-CN"/>
                    </w:rPr>
                  </w:pPr>
                  <w:r>
                    <w:rPr>
                      <w:rFonts w:hint="eastAsia"/>
                      <w:color w:val="auto"/>
                      <w:lang w:eastAsia="zh-CN"/>
                    </w:rPr>
                    <w:t>相符</w:t>
                  </w:r>
                </w:p>
              </w:tc>
            </w:tr>
            <w:tr w14:paraId="6D1EE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3" w:hRule="atLeast"/>
                <w:tblHeader/>
                <w:jc w:val="center"/>
              </w:trPr>
              <w:tc>
                <w:tcPr>
                  <w:tcW w:w="536" w:type="pct"/>
                  <w:vMerge w:val="restart"/>
                  <w:tcBorders>
                    <w:top w:val="single" w:color="auto" w:sz="4" w:space="0"/>
                    <w:left w:val="nil"/>
                    <w:bottom w:val="single" w:color="auto" w:sz="4" w:space="0"/>
                    <w:right w:val="single" w:color="auto" w:sz="4" w:space="0"/>
                  </w:tcBorders>
                  <w:vAlign w:val="center"/>
                </w:tcPr>
                <w:p w14:paraId="4673AC72">
                  <w:pPr>
                    <w:pStyle w:val="74"/>
                    <w:keepNext w:val="0"/>
                    <w:keepLines w:val="0"/>
                    <w:suppressLineNumbers w:val="0"/>
                    <w:spacing w:before="0" w:beforeAutospacing="0" w:after="0" w:afterAutospacing="0"/>
                    <w:ind w:left="0" w:right="0"/>
                    <w:rPr>
                      <w:rFonts w:hint="default"/>
                      <w:color w:val="auto"/>
                    </w:rPr>
                  </w:pPr>
                  <w:r>
                    <w:rPr>
                      <w:rFonts w:hint="eastAsia"/>
                      <w:color w:val="auto"/>
                    </w:rPr>
                    <w:t>生产规模和工艺技术先进性要求</w:t>
                  </w:r>
                </w:p>
              </w:tc>
              <w:tc>
                <w:tcPr>
                  <w:tcW w:w="2181" w:type="pct"/>
                  <w:tcBorders>
                    <w:top w:val="single" w:color="auto" w:sz="4" w:space="0"/>
                    <w:left w:val="single" w:color="auto" w:sz="4" w:space="0"/>
                    <w:bottom w:val="single" w:color="auto" w:sz="4" w:space="0"/>
                    <w:right w:val="single" w:color="auto" w:sz="4" w:space="0"/>
                  </w:tcBorders>
                  <w:vAlign w:val="center"/>
                </w:tcPr>
                <w:p w14:paraId="32E96CC8">
                  <w:pPr>
                    <w:pStyle w:val="74"/>
                    <w:keepNext w:val="0"/>
                    <w:keepLines w:val="0"/>
                    <w:suppressLineNumbers w:val="0"/>
                    <w:spacing w:before="0" w:beforeAutospacing="0" w:after="0" w:afterAutospacing="0"/>
                    <w:ind w:left="0" w:right="0"/>
                    <w:jc w:val="left"/>
                    <w:rPr>
                      <w:rFonts w:hint="default"/>
                      <w:color w:val="auto"/>
                      <w:highlight w:val="yellow"/>
                    </w:rPr>
                  </w:pPr>
                  <w:r>
                    <w:rPr>
                      <w:rFonts w:hint="eastAsia"/>
                      <w:color w:val="auto"/>
                      <w:highlight w:val="none"/>
                      <w:lang w:val="en-US" w:eastAsia="zh-CN"/>
                    </w:rPr>
                    <w:t>1、</w:t>
                  </w:r>
                  <w:r>
                    <w:rPr>
                      <w:rFonts w:hint="eastAsia"/>
                      <w:color w:val="auto"/>
                      <w:highlight w:val="none"/>
                    </w:rPr>
                    <w:t>在工艺技术水平上，要求入驻项目达到国内同行业领先水平</w:t>
                  </w:r>
                  <w:r>
                    <w:rPr>
                      <w:rFonts w:hint="eastAsia"/>
                      <w:color w:val="auto"/>
                      <w:highlight w:val="none"/>
                      <w:lang w:eastAsia="zh-CN"/>
                    </w:rPr>
                    <w:t>或</w:t>
                  </w:r>
                  <w:r>
                    <w:rPr>
                      <w:rFonts w:hint="eastAsia"/>
                      <w:color w:val="auto"/>
                      <w:highlight w:val="none"/>
                    </w:rPr>
                    <w:t>具备国际先进水平；</w:t>
                  </w:r>
                </w:p>
              </w:tc>
              <w:tc>
                <w:tcPr>
                  <w:tcW w:w="1724" w:type="pct"/>
                  <w:tcBorders>
                    <w:top w:val="single" w:color="auto" w:sz="4" w:space="0"/>
                    <w:left w:val="single" w:color="auto" w:sz="4" w:space="0"/>
                    <w:bottom w:val="single" w:color="auto" w:sz="4" w:space="0"/>
                    <w:right w:val="single" w:color="auto" w:sz="4" w:space="0"/>
                  </w:tcBorders>
                  <w:vAlign w:val="center"/>
                </w:tcPr>
                <w:p w14:paraId="702C8686">
                  <w:pPr>
                    <w:pStyle w:val="74"/>
                    <w:keepNext w:val="0"/>
                    <w:keepLines w:val="0"/>
                    <w:suppressLineNumbers w:val="0"/>
                    <w:spacing w:before="0" w:beforeAutospacing="0" w:after="0" w:afterAutospacing="0"/>
                    <w:ind w:left="0" w:right="0"/>
                    <w:jc w:val="left"/>
                    <w:rPr>
                      <w:rFonts w:hint="eastAsia" w:eastAsia="宋体"/>
                      <w:color w:val="auto"/>
                      <w:lang w:eastAsia="zh-CN"/>
                    </w:rPr>
                  </w:pPr>
                  <w:r>
                    <w:rPr>
                      <w:rFonts w:hint="eastAsia"/>
                      <w:color w:val="auto"/>
                      <w:lang w:eastAsia="zh-CN"/>
                    </w:rPr>
                    <w:t>本项目工艺技术水平达到同行业领先水平。</w:t>
                  </w:r>
                </w:p>
              </w:tc>
              <w:tc>
                <w:tcPr>
                  <w:tcW w:w="557" w:type="pct"/>
                  <w:tcBorders>
                    <w:top w:val="single" w:color="auto" w:sz="4" w:space="0"/>
                    <w:left w:val="single" w:color="auto" w:sz="4" w:space="0"/>
                    <w:bottom w:val="single" w:color="auto" w:sz="4" w:space="0"/>
                    <w:right w:val="nil"/>
                  </w:tcBorders>
                  <w:vAlign w:val="center"/>
                </w:tcPr>
                <w:p w14:paraId="2B6AF67F">
                  <w:pPr>
                    <w:keepNext w:val="0"/>
                    <w:keepLines w:val="0"/>
                    <w:suppressLineNumbers w:val="0"/>
                    <w:spacing w:before="0" w:beforeAutospacing="0" w:after="0" w:afterAutospacing="0"/>
                    <w:ind w:left="0" w:right="0"/>
                    <w:jc w:val="center"/>
                    <w:rPr>
                      <w:rFonts w:hint="eastAsia"/>
                      <w:color w:val="auto"/>
                    </w:rPr>
                  </w:pPr>
                  <w:r>
                    <w:rPr>
                      <w:rFonts w:hint="eastAsia"/>
                      <w:color w:val="auto"/>
                      <w:lang w:eastAsia="zh-CN"/>
                    </w:rPr>
                    <w:t>相符</w:t>
                  </w:r>
                </w:p>
              </w:tc>
            </w:tr>
            <w:tr w14:paraId="5BC1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33313851">
                  <w:pPr>
                    <w:pStyle w:val="74"/>
                    <w:keepNext w:val="0"/>
                    <w:keepLines w:val="0"/>
                    <w:suppressLineNumbers w:val="0"/>
                    <w:spacing w:before="0" w:beforeAutospacing="0" w:after="0" w:afterAutospacing="0"/>
                    <w:ind w:left="0" w:right="0"/>
                    <w:jc w:val="left"/>
                    <w:rPr>
                      <w:rFonts w:hint="default"/>
                      <w:color w:val="auto"/>
                    </w:rPr>
                  </w:pPr>
                </w:p>
              </w:tc>
              <w:tc>
                <w:tcPr>
                  <w:tcW w:w="2181" w:type="pct"/>
                  <w:tcBorders>
                    <w:top w:val="single" w:color="auto" w:sz="4" w:space="0"/>
                    <w:left w:val="single" w:color="auto" w:sz="4" w:space="0"/>
                    <w:bottom w:val="single" w:color="auto" w:sz="4" w:space="0"/>
                    <w:right w:val="single" w:color="auto" w:sz="4" w:space="0"/>
                  </w:tcBorders>
                  <w:vAlign w:val="center"/>
                </w:tcPr>
                <w:p w14:paraId="5AE48ABA">
                  <w:pPr>
                    <w:pStyle w:val="74"/>
                    <w:keepNext w:val="0"/>
                    <w:keepLines w:val="0"/>
                    <w:suppressLineNumbers w:val="0"/>
                    <w:spacing w:before="0" w:beforeAutospacing="0" w:after="0" w:afterAutospacing="0"/>
                    <w:ind w:left="0" w:right="0"/>
                    <w:jc w:val="left"/>
                    <w:rPr>
                      <w:rFonts w:hint="eastAsia"/>
                      <w:color w:val="auto"/>
                      <w:highlight w:val="yellow"/>
                      <w:lang w:val="en-US" w:eastAsia="zh-CN"/>
                    </w:rPr>
                  </w:pPr>
                  <w:r>
                    <w:rPr>
                      <w:rFonts w:hint="eastAsia"/>
                      <w:color w:val="auto"/>
                      <w:highlight w:val="none"/>
                      <w:lang w:val="en-US" w:eastAsia="zh-CN"/>
                    </w:rPr>
                    <w:t>2、</w:t>
                  </w:r>
                  <w:r>
                    <w:rPr>
                      <w:rFonts w:hint="eastAsia"/>
                      <w:color w:val="auto"/>
                      <w:highlight w:val="none"/>
                    </w:rPr>
                    <w:t>建设规模应符合国家相关行业准入条件中的经济、产品规模和生产工艺要求；</w:t>
                  </w:r>
                </w:p>
              </w:tc>
              <w:tc>
                <w:tcPr>
                  <w:tcW w:w="1724" w:type="pct"/>
                  <w:tcBorders>
                    <w:top w:val="single" w:color="auto" w:sz="4" w:space="0"/>
                    <w:left w:val="single" w:color="auto" w:sz="4" w:space="0"/>
                    <w:bottom w:val="single" w:color="auto" w:sz="4" w:space="0"/>
                    <w:right w:val="single" w:color="auto" w:sz="4" w:space="0"/>
                  </w:tcBorders>
                  <w:vAlign w:val="center"/>
                </w:tcPr>
                <w:p w14:paraId="40E329E4">
                  <w:pPr>
                    <w:pStyle w:val="74"/>
                    <w:keepNext w:val="0"/>
                    <w:keepLines w:val="0"/>
                    <w:suppressLineNumbers w:val="0"/>
                    <w:spacing w:before="0" w:beforeAutospacing="0" w:after="0" w:afterAutospacing="0"/>
                    <w:ind w:left="0" w:right="0"/>
                    <w:jc w:val="left"/>
                    <w:rPr>
                      <w:rFonts w:hint="eastAsia" w:eastAsia="宋体"/>
                      <w:color w:val="auto"/>
                      <w:lang w:val="en-US" w:eastAsia="zh-CN"/>
                    </w:rPr>
                  </w:pPr>
                  <w:r>
                    <w:rPr>
                      <w:rFonts w:hint="eastAsia"/>
                      <w:color w:val="auto"/>
                      <w:lang w:val="en-US" w:eastAsia="zh-CN"/>
                    </w:rPr>
                    <w:t>本项目建设规模符合国家</w:t>
                  </w:r>
                  <w:r>
                    <w:rPr>
                      <w:rFonts w:hint="eastAsia"/>
                      <w:color w:val="auto"/>
                      <w:highlight w:val="none"/>
                    </w:rPr>
                    <w:t>相关行业准入条件中的经济、产品规模和生产工艺要求</w:t>
                  </w:r>
                  <w:r>
                    <w:rPr>
                      <w:rFonts w:hint="eastAsia"/>
                      <w:color w:val="auto"/>
                      <w:highlight w:val="none"/>
                      <w:lang w:eastAsia="zh-CN"/>
                    </w:rPr>
                    <w:t>。</w:t>
                  </w:r>
                </w:p>
              </w:tc>
              <w:tc>
                <w:tcPr>
                  <w:tcW w:w="557" w:type="pct"/>
                  <w:tcBorders>
                    <w:top w:val="single" w:color="auto" w:sz="4" w:space="0"/>
                    <w:left w:val="single" w:color="auto" w:sz="4" w:space="0"/>
                    <w:bottom w:val="single" w:color="auto" w:sz="4" w:space="0"/>
                    <w:right w:val="nil"/>
                  </w:tcBorders>
                  <w:vAlign w:val="center"/>
                </w:tcPr>
                <w:p w14:paraId="4B4BC9A8">
                  <w:pPr>
                    <w:keepNext w:val="0"/>
                    <w:keepLines w:val="0"/>
                    <w:suppressLineNumbers w:val="0"/>
                    <w:spacing w:before="0" w:beforeAutospacing="0" w:after="0" w:afterAutospacing="0"/>
                    <w:ind w:left="0" w:right="0"/>
                    <w:jc w:val="center"/>
                    <w:rPr>
                      <w:rFonts w:hint="eastAsia"/>
                      <w:color w:val="auto"/>
                      <w:lang w:val="en-US" w:eastAsia="zh-CN"/>
                    </w:rPr>
                  </w:pPr>
                  <w:r>
                    <w:rPr>
                      <w:rFonts w:hint="eastAsia"/>
                      <w:color w:val="auto"/>
                      <w:lang w:eastAsia="zh-CN"/>
                    </w:rPr>
                    <w:t>相符</w:t>
                  </w:r>
                </w:p>
              </w:tc>
            </w:tr>
            <w:tr w14:paraId="76076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55BC3707">
                  <w:pPr>
                    <w:pStyle w:val="74"/>
                    <w:keepNext w:val="0"/>
                    <w:keepLines w:val="0"/>
                    <w:suppressLineNumbers w:val="0"/>
                    <w:spacing w:before="0" w:beforeAutospacing="0" w:after="0" w:afterAutospacing="0"/>
                    <w:ind w:left="0" w:right="0"/>
                    <w:jc w:val="left"/>
                    <w:rPr>
                      <w:rFonts w:hint="eastAsia"/>
                      <w:color w:val="auto"/>
                      <w:lang w:val="en-US" w:eastAsia="zh-CN"/>
                    </w:rPr>
                  </w:pPr>
                </w:p>
              </w:tc>
              <w:tc>
                <w:tcPr>
                  <w:tcW w:w="2181" w:type="pct"/>
                  <w:tcBorders>
                    <w:top w:val="single" w:color="auto" w:sz="4" w:space="0"/>
                    <w:left w:val="single" w:color="auto" w:sz="4" w:space="0"/>
                    <w:bottom w:val="single" w:color="auto" w:sz="4" w:space="0"/>
                    <w:right w:val="single" w:color="auto" w:sz="4" w:space="0"/>
                  </w:tcBorders>
                  <w:vAlign w:val="center"/>
                </w:tcPr>
                <w:p w14:paraId="75008555">
                  <w:pPr>
                    <w:pStyle w:val="74"/>
                    <w:keepNext w:val="0"/>
                    <w:keepLines w:val="0"/>
                    <w:suppressLineNumbers w:val="0"/>
                    <w:spacing w:before="0" w:beforeAutospacing="0" w:after="0" w:afterAutospacing="0"/>
                    <w:ind w:left="0" w:right="0"/>
                    <w:jc w:val="left"/>
                    <w:rPr>
                      <w:rFonts w:hint="eastAsia"/>
                      <w:color w:val="auto"/>
                      <w:highlight w:val="yellow"/>
                      <w:lang w:val="en-US" w:eastAsia="zh-CN"/>
                    </w:rPr>
                  </w:pPr>
                  <w:r>
                    <w:rPr>
                      <w:rFonts w:hint="eastAsia"/>
                      <w:color w:val="auto"/>
                      <w:highlight w:val="none"/>
                      <w:lang w:val="en-US" w:eastAsia="zh-CN"/>
                    </w:rPr>
                    <w:t>3、</w:t>
                  </w:r>
                  <w:r>
                    <w:rPr>
                      <w:rFonts w:hint="eastAsia"/>
                      <w:color w:val="auto"/>
                      <w:highlight w:val="none"/>
                    </w:rPr>
                    <w:t>环保搬迁入驻企业应进行产品和生产技术的升级改造，达到国家相关规定要求。</w:t>
                  </w:r>
                </w:p>
              </w:tc>
              <w:tc>
                <w:tcPr>
                  <w:tcW w:w="1724" w:type="pct"/>
                  <w:tcBorders>
                    <w:top w:val="single" w:color="auto" w:sz="4" w:space="0"/>
                    <w:left w:val="single" w:color="auto" w:sz="4" w:space="0"/>
                    <w:bottom w:val="single" w:color="auto" w:sz="4" w:space="0"/>
                    <w:right w:val="single" w:color="auto" w:sz="4" w:space="0"/>
                  </w:tcBorders>
                  <w:vAlign w:val="center"/>
                </w:tcPr>
                <w:p w14:paraId="59D63760">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val="en-US" w:eastAsia="zh-CN"/>
                    </w:rPr>
                    <w:t>不涉及</w:t>
                  </w:r>
                </w:p>
              </w:tc>
              <w:tc>
                <w:tcPr>
                  <w:tcW w:w="557" w:type="pct"/>
                  <w:tcBorders>
                    <w:top w:val="single" w:color="auto" w:sz="4" w:space="0"/>
                    <w:left w:val="single" w:color="auto" w:sz="4" w:space="0"/>
                    <w:bottom w:val="single" w:color="auto" w:sz="4" w:space="0"/>
                    <w:right w:val="nil"/>
                  </w:tcBorders>
                  <w:vAlign w:val="center"/>
                </w:tcPr>
                <w:p w14:paraId="75FE9729">
                  <w:pPr>
                    <w:keepNext w:val="0"/>
                    <w:keepLines w:val="0"/>
                    <w:suppressLineNumbers w:val="0"/>
                    <w:spacing w:before="0" w:beforeAutospacing="0" w:after="0" w:afterAutospacing="0"/>
                    <w:ind w:left="0" w:right="0"/>
                    <w:jc w:val="center"/>
                    <w:rPr>
                      <w:rFonts w:hint="eastAsia"/>
                      <w:color w:val="auto"/>
                      <w:lang w:val="en-US" w:eastAsia="zh-CN"/>
                    </w:rPr>
                  </w:pPr>
                  <w:r>
                    <w:rPr>
                      <w:rFonts w:hint="eastAsia"/>
                      <w:color w:val="auto"/>
                      <w:lang w:val="en-US" w:eastAsia="zh-CN"/>
                    </w:rPr>
                    <w:t>/</w:t>
                  </w:r>
                </w:p>
              </w:tc>
            </w:tr>
            <w:tr w14:paraId="7A795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tblHeader/>
                <w:jc w:val="center"/>
              </w:trPr>
              <w:tc>
                <w:tcPr>
                  <w:tcW w:w="536" w:type="pct"/>
                  <w:vMerge w:val="restart"/>
                  <w:tcBorders>
                    <w:top w:val="single" w:color="auto" w:sz="4" w:space="0"/>
                    <w:left w:val="nil"/>
                    <w:bottom w:val="single" w:color="auto" w:sz="4" w:space="0"/>
                    <w:right w:val="single" w:color="auto" w:sz="4" w:space="0"/>
                  </w:tcBorders>
                  <w:vAlign w:val="center"/>
                </w:tcPr>
                <w:p w14:paraId="1A26B467">
                  <w:pPr>
                    <w:pStyle w:val="74"/>
                    <w:keepNext w:val="0"/>
                    <w:keepLines w:val="0"/>
                    <w:suppressLineNumbers w:val="0"/>
                    <w:spacing w:before="0" w:beforeAutospacing="0" w:after="0" w:afterAutospacing="0"/>
                    <w:ind w:left="0" w:right="0"/>
                    <w:rPr>
                      <w:rFonts w:hint="default"/>
                      <w:color w:val="auto"/>
                    </w:rPr>
                  </w:pPr>
                  <w:r>
                    <w:rPr>
                      <w:rFonts w:hint="eastAsia"/>
                      <w:color w:val="auto"/>
                    </w:rPr>
                    <w:t>清洁生产水平</w:t>
                  </w:r>
                </w:p>
              </w:tc>
              <w:tc>
                <w:tcPr>
                  <w:tcW w:w="2181" w:type="pct"/>
                  <w:tcBorders>
                    <w:top w:val="single" w:color="auto" w:sz="4" w:space="0"/>
                    <w:left w:val="single" w:color="auto" w:sz="4" w:space="0"/>
                    <w:bottom w:val="single" w:color="auto" w:sz="4" w:space="0"/>
                    <w:right w:val="single" w:color="auto" w:sz="4" w:space="0"/>
                  </w:tcBorders>
                  <w:vAlign w:val="center"/>
                </w:tcPr>
                <w:p w14:paraId="655D8EB0">
                  <w:pPr>
                    <w:pStyle w:val="74"/>
                    <w:keepNext w:val="0"/>
                    <w:keepLines w:val="0"/>
                    <w:suppressLineNumbers w:val="0"/>
                    <w:spacing w:before="0" w:beforeAutospacing="0" w:after="0" w:afterAutospacing="0"/>
                    <w:ind w:left="0" w:right="0"/>
                    <w:jc w:val="left"/>
                    <w:rPr>
                      <w:rFonts w:hint="default"/>
                      <w:color w:val="auto"/>
                    </w:rPr>
                  </w:pPr>
                  <w:r>
                    <w:rPr>
                      <w:rFonts w:hint="eastAsia"/>
                      <w:color w:val="auto"/>
                      <w:lang w:val="en-US" w:eastAsia="zh-CN"/>
                    </w:rPr>
                    <w:t>1</w:t>
                  </w:r>
                  <w:r>
                    <w:rPr>
                      <w:rFonts w:hint="eastAsia"/>
                      <w:color w:val="auto"/>
                      <w:lang w:eastAsia="zh-CN"/>
                    </w:rPr>
                    <w:t>、</w:t>
                  </w:r>
                  <w:r>
                    <w:rPr>
                      <w:rFonts w:hint="eastAsia"/>
                      <w:color w:val="auto"/>
                    </w:rPr>
                    <w:t>应符合国家和行业环境保护标准和清洁生产标准要求；</w:t>
                  </w:r>
                </w:p>
              </w:tc>
              <w:tc>
                <w:tcPr>
                  <w:tcW w:w="1724" w:type="pct"/>
                  <w:tcBorders>
                    <w:top w:val="single" w:color="auto" w:sz="4" w:space="0"/>
                    <w:left w:val="single" w:color="auto" w:sz="4" w:space="0"/>
                    <w:bottom w:val="single" w:color="auto" w:sz="4" w:space="0"/>
                    <w:right w:val="single" w:color="auto" w:sz="4" w:space="0"/>
                  </w:tcBorders>
                  <w:vAlign w:val="center"/>
                </w:tcPr>
                <w:p w14:paraId="57C0D17C">
                  <w:pPr>
                    <w:pStyle w:val="74"/>
                    <w:keepNext w:val="0"/>
                    <w:keepLines w:val="0"/>
                    <w:suppressLineNumbers w:val="0"/>
                    <w:spacing w:before="0" w:beforeAutospacing="0" w:after="0" w:afterAutospacing="0"/>
                    <w:ind w:left="0" w:right="0"/>
                    <w:jc w:val="left"/>
                    <w:rPr>
                      <w:rFonts w:hint="eastAsia" w:eastAsia="宋体"/>
                      <w:color w:val="auto"/>
                      <w:lang w:eastAsia="zh-CN"/>
                    </w:rPr>
                  </w:pPr>
                  <w:r>
                    <w:rPr>
                      <w:rFonts w:hint="eastAsia"/>
                      <w:color w:val="auto"/>
                      <w:lang w:eastAsia="zh-CN"/>
                    </w:rPr>
                    <w:t>本项目符合国家和行业环境保护标准和清洁生产标准要求。</w:t>
                  </w:r>
                </w:p>
              </w:tc>
              <w:tc>
                <w:tcPr>
                  <w:tcW w:w="557" w:type="pct"/>
                  <w:tcBorders>
                    <w:top w:val="single" w:color="auto" w:sz="4" w:space="0"/>
                    <w:left w:val="single" w:color="auto" w:sz="4" w:space="0"/>
                    <w:bottom w:val="single" w:color="auto" w:sz="4" w:space="0"/>
                    <w:right w:val="nil"/>
                  </w:tcBorders>
                  <w:vAlign w:val="center"/>
                </w:tcPr>
                <w:p w14:paraId="6B02E3E9">
                  <w:pPr>
                    <w:keepNext w:val="0"/>
                    <w:keepLines w:val="0"/>
                    <w:suppressLineNumbers w:val="0"/>
                    <w:spacing w:before="0" w:beforeAutospacing="0" w:after="0" w:afterAutospacing="0"/>
                    <w:ind w:left="0" w:right="0"/>
                    <w:jc w:val="center"/>
                    <w:rPr>
                      <w:rFonts w:hint="eastAsia"/>
                      <w:color w:val="auto"/>
                    </w:rPr>
                  </w:pPr>
                  <w:r>
                    <w:rPr>
                      <w:rFonts w:hint="eastAsia"/>
                      <w:color w:val="auto"/>
                      <w:lang w:eastAsia="zh-CN"/>
                    </w:rPr>
                    <w:t>相符</w:t>
                  </w:r>
                </w:p>
              </w:tc>
            </w:tr>
            <w:tr w14:paraId="73D17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45B70409">
                  <w:pPr>
                    <w:pStyle w:val="74"/>
                    <w:keepNext w:val="0"/>
                    <w:keepLines w:val="0"/>
                    <w:suppressLineNumbers w:val="0"/>
                    <w:spacing w:before="0" w:beforeAutospacing="0" w:after="0" w:afterAutospacing="0"/>
                    <w:ind w:left="0" w:right="0"/>
                    <w:jc w:val="left"/>
                    <w:rPr>
                      <w:rFonts w:hint="default"/>
                      <w:color w:val="auto"/>
                    </w:rPr>
                  </w:pPr>
                </w:p>
              </w:tc>
              <w:tc>
                <w:tcPr>
                  <w:tcW w:w="2181" w:type="pct"/>
                  <w:tcBorders>
                    <w:top w:val="single" w:color="auto" w:sz="4" w:space="0"/>
                    <w:left w:val="single" w:color="auto" w:sz="4" w:space="0"/>
                    <w:bottom w:val="single" w:color="auto" w:sz="4" w:space="0"/>
                    <w:right w:val="single" w:color="auto" w:sz="4" w:space="0"/>
                  </w:tcBorders>
                  <w:vAlign w:val="center"/>
                </w:tcPr>
                <w:p w14:paraId="1D7CAE71">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val="en-US" w:eastAsia="zh-CN"/>
                    </w:rPr>
                    <w:t>2、</w:t>
                  </w:r>
                  <w:r>
                    <w:rPr>
                      <w:rFonts w:hint="eastAsia"/>
                      <w:color w:val="auto"/>
                    </w:rPr>
                    <w:t>入驻项目的单位产品水耗、电耗、综合能耗等清洁生产指标应达到国内相关行业指标要求；</w:t>
                  </w:r>
                </w:p>
              </w:tc>
              <w:tc>
                <w:tcPr>
                  <w:tcW w:w="1724" w:type="pct"/>
                  <w:tcBorders>
                    <w:top w:val="single" w:color="auto" w:sz="4" w:space="0"/>
                    <w:left w:val="single" w:color="auto" w:sz="4" w:space="0"/>
                    <w:bottom w:val="single" w:color="auto" w:sz="4" w:space="0"/>
                    <w:right w:val="single" w:color="auto" w:sz="4" w:space="0"/>
                  </w:tcBorders>
                  <w:vAlign w:val="center"/>
                </w:tcPr>
                <w:p w14:paraId="65E2ADF3">
                  <w:pPr>
                    <w:pStyle w:val="74"/>
                    <w:keepNext w:val="0"/>
                    <w:keepLines w:val="0"/>
                    <w:suppressLineNumbers w:val="0"/>
                    <w:spacing w:before="0" w:beforeAutospacing="0" w:after="0" w:afterAutospacing="0"/>
                    <w:ind w:left="0" w:right="0"/>
                    <w:jc w:val="left"/>
                    <w:rPr>
                      <w:rFonts w:hint="eastAsia" w:eastAsia="宋体"/>
                      <w:color w:val="auto"/>
                      <w:lang w:val="en-US" w:eastAsia="zh-CN"/>
                    </w:rPr>
                  </w:pPr>
                  <w:r>
                    <w:rPr>
                      <w:rFonts w:hint="eastAsia"/>
                      <w:color w:val="auto"/>
                      <w:lang w:eastAsia="zh-CN"/>
                    </w:rPr>
                    <w:t>本</w:t>
                  </w:r>
                  <w:r>
                    <w:rPr>
                      <w:rFonts w:hint="eastAsia"/>
                      <w:color w:val="auto"/>
                    </w:rPr>
                    <w:t>项目的单位产品水耗、电耗、综合能耗等清洁生产指标</w:t>
                  </w:r>
                  <w:r>
                    <w:rPr>
                      <w:rFonts w:hint="eastAsia"/>
                      <w:color w:val="auto"/>
                      <w:lang w:eastAsia="zh-CN"/>
                    </w:rPr>
                    <w:t>已</w:t>
                  </w:r>
                  <w:r>
                    <w:rPr>
                      <w:rFonts w:hint="eastAsia"/>
                      <w:color w:val="auto"/>
                    </w:rPr>
                    <w:t>达到国内相关行业指标要求</w:t>
                  </w:r>
                  <w:r>
                    <w:rPr>
                      <w:rFonts w:hint="eastAsia"/>
                      <w:color w:val="auto"/>
                      <w:lang w:eastAsia="zh-CN"/>
                    </w:rPr>
                    <w:t>。</w:t>
                  </w:r>
                </w:p>
              </w:tc>
              <w:tc>
                <w:tcPr>
                  <w:tcW w:w="557" w:type="pct"/>
                  <w:tcBorders>
                    <w:top w:val="single" w:color="auto" w:sz="4" w:space="0"/>
                    <w:left w:val="single" w:color="auto" w:sz="4" w:space="0"/>
                    <w:bottom w:val="single" w:color="auto" w:sz="4" w:space="0"/>
                    <w:right w:val="nil"/>
                  </w:tcBorders>
                  <w:vAlign w:val="center"/>
                </w:tcPr>
                <w:p w14:paraId="02178179">
                  <w:pPr>
                    <w:keepNext w:val="0"/>
                    <w:keepLines w:val="0"/>
                    <w:suppressLineNumbers w:val="0"/>
                    <w:spacing w:before="0" w:beforeAutospacing="0" w:after="0" w:afterAutospacing="0"/>
                    <w:ind w:left="0" w:right="0"/>
                    <w:jc w:val="center"/>
                    <w:rPr>
                      <w:rFonts w:hint="eastAsia"/>
                      <w:color w:val="auto"/>
                      <w:lang w:val="en-US" w:eastAsia="zh-CN"/>
                    </w:rPr>
                  </w:pPr>
                  <w:r>
                    <w:rPr>
                      <w:rFonts w:hint="eastAsia"/>
                      <w:color w:val="auto"/>
                      <w:lang w:eastAsia="zh-CN"/>
                    </w:rPr>
                    <w:t>相符</w:t>
                  </w:r>
                </w:p>
              </w:tc>
            </w:tr>
            <w:tr w14:paraId="0C6AC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2609BE06">
                  <w:pPr>
                    <w:pStyle w:val="74"/>
                    <w:keepNext w:val="0"/>
                    <w:keepLines w:val="0"/>
                    <w:suppressLineNumbers w:val="0"/>
                    <w:spacing w:before="0" w:beforeAutospacing="0" w:after="0" w:afterAutospacing="0"/>
                    <w:ind w:left="0" w:right="0"/>
                    <w:jc w:val="left"/>
                    <w:rPr>
                      <w:rFonts w:hint="eastAsia"/>
                      <w:color w:val="auto"/>
                      <w:lang w:val="en-US" w:eastAsia="zh-CN"/>
                    </w:rPr>
                  </w:pPr>
                </w:p>
              </w:tc>
              <w:tc>
                <w:tcPr>
                  <w:tcW w:w="2181" w:type="pct"/>
                  <w:tcBorders>
                    <w:top w:val="single" w:color="auto" w:sz="4" w:space="0"/>
                    <w:left w:val="single" w:color="auto" w:sz="4" w:space="0"/>
                    <w:bottom w:val="single" w:color="auto" w:sz="4" w:space="0"/>
                    <w:right w:val="single" w:color="auto" w:sz="4" w:space="0"/>
                  </w:tcBorders>
                  <w:vAlign w:val="center"/>
                </w:tcPr>
                <w:p w14:paraId="68CDE2EE">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val="en-US" w:eastAsia="zh-CN"/>
                    </w:rPr>
                    <w:t>3、</w:t>
                  </w:r>
                  <w:r>
                    <w:rPr>
                      <w:rFonts w:hint="eastAsia"/>
                      <w:color w:val="auto"/>
                    </w:rPr>
                    <w:t>入驻企业清洁生产水平应达到国内同行业先进水平或领先水平。</w:t>
                  </w:r>
                </w:p>
              </w:tc>
              <w:tc>
                <w:tcPr>
                  <w:tcW w:w="1724" w:type="pct"/>
                  <w:tcBorders>
                    <w:top w:val="single" w:color="auto" w:sz="4" w:space="0"/>
                    <w:left w:val="single" w:color="auto" w:sz="4" w:space="0"/>
                    <w:bottom w:val="single" w:color="auto" w:sz="4" w:space="0"/>
                    <w:right w:val="single" w:color="auto" w:sz="4" w:space="0"/>
                  </w:tcBorders>
                  <w:vAlign w:val="center"/>
                </w:tcPr>
                <w:p w14:paraId="10CE884E">
                  <w:pPr>
                    <w:pStyle w:val="74"/>
                    <w:keepNext w:val="0"/>
                    <w:keepLines w:val="0"/>
                    <w:suppressLineNumbers w:val="0"/>
                    <w:spacing w:before="0" w:beforeAutospacing="0" w:after="0" w:afterAutospacing="0"/>
                    <w:ind w:left="0" w:right="0"/>
                    <w:jc w:val="left"/>
                    <w:rPr>
                      <w:rFonts w:hint="eastAsia"/>
                      <w:color w:val="auto"/>
                      <w:lang w:val="en-US" w:eastAsia="zh-CN"/>
                    </w:rPr>
                  </w:pPr>
                  <w:r>
                    <w:rPr>
                      <w:rFonts w:hint="eastAsia"/>
                      <w:color w:val="auto"/>
                      <w:lang w:val="en-US" w:eastAsia="zh-CN"/>
                    </w:rPr>
                    <w:t>本项目清洁生产水平达到国内同行业先进水平。</w:t>
                  </w:r>
                </w:p>
              </w:tc>
              <w:tc>
                <w:tcPr>
                  <w:tcW w:w="557" w:type="pct"/>
                  <w:tcBorders>
                    <w:top w:val="single" w:color="auto" w:sz="4" w:space="0"/>
                    <w:left w:val="single" w:color="auto" w:sz="4" w:space="0"/>
                    <w:bottom w:val="single" w:color="auto" w:sz="4" w:space="0"/>
                    <w:right w:val="nil"/>
                  </w:tcBorders>
                  <w:vAlign w:val="center"/>
                </w:tcPr>
                <w:p w14:paraId="13FAEEDC">
                  <w:pPr>
                    <w:keepNext w:val="0"/>
                    <w:keepLines w:val="0"/>
                    <w:suppressLineNumbers w:val="0"/>
                    <w:spacing w:before="0" w:beforeAutospacing="0" w:after="0" w:afterAutospacing="0"/>
                    <w:ind w:left="0" w:right="0"/>
                    <w:jc w:val="center"/>
                    <w:rPr>
                      <w:rFonts w:hint="eastAsia"/>
                      <w:color w:val="auto"/>
                      <w:lang w:val="en-US" w:eastAsia="zh-CN"/>
                    </w:rPr>
                  </w:pPr>
                  <w:r>
                    <w:rPr>
                      <w:rFonts w:hint="eastAsia"/>
                      <w:color w:val="auto"/>
                      <w:lang w:eastAsia="zh-CN"/>
                    </w:rPr>
                    <w:t>相符</w:t>
                  </w:r>
                </w:p>
              </w:tc>
            </w:tr>
            <w:tr w14:paraId="6E0BE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blHeader/>
                <w:jc w:val="center"/>
              </w:trPr>
              <w:tc>
                <w:tcPr>
                  <w:tcW w:w="536" w:type="pct"/>
                  <w:vMerge w:val="restart"/>
                  <w:tcBorders>
                    <w:top w:val="single" w:color="auto" w:sz="4" w:space="0"/>
                    <w:left w:val="nil"/>
                    <w:bottom w:val="single" w:color="auto" w:sz="4" w:space="0"/>
                    <w:right w:val="single" w:color="auto" w:sz="4" w:space="0"/>
                  </w:tcBorders>
                  <w:vAlign w:val="center"/>
                </w:tcPr>
                <w:p w14:paraId="62329B58">
                  <w:pPr>
                    <w:pStyle w:val="74"/>
                    <w:keepNext w:val="0"/>
                    <w:keepLines w:val="0"/>
                    <w:suppressLineNumbers w:val="0"/>
                    <w:spacing w:before="0" w:beforeAutospacing="0" w:after="0" w:afterAutospacing="0"/>
                    <w:ind w:left="0" w:right="0"/>
                    <w:rPr>
                      <w:rFonts w:hint="default"/>
                      <w:color w:val="auto"/>
                    </w:rPr>
                  </w:pPr>
                  <w:r>
                    <w:rPr>
                      <w:rFonts w:hint="eastAsia"/>
                      <w:color w:val="auto"/>
                    </w:rPr>
                    <w:t>污染物排放及总量控制</w:t>
                  </w:r>
                </w:p>
              </w:tc>
              <w:tc>
                <w:tcPr>
                  <w:tcW w:w="2181" w:type="pct"/>
                  <w:tcBorders>
                    <w:top w:val="single" w:color="auto" w:sz="4" w:space="0"/>
                    <w:left w:val="single" w:color="auto" w:sz="4" w:space="0"/>
                    <w:bottom w:val="single" w:color="auto" w:sz="4" w:space="0"/>
                    <w:right w:val="single" w:color="auto" w:sz="4" w:space="0"/>
                  </w:tcBorders>
                  <w:vAlign w:val="center"/>
                </w:tcPr>
                <w:p w14:paraId="17A57CB1">
                  <w:pPr>
                    <w:pStyle w:val="74"/>
                    <w:keepNext w:val="0"/>
                    <w:keepLines w:val="0"/>
                    <w:suppressLineNumbers w:val="0"/>
                    <w:spacing w:before="0" w:beforeAutospacing="0" w:after="0" w:afterAutospacing="0"/>
                    <w:ind w:left="0" w:right="0"/>
                    <w:jc w:val="both"/>
                    <w:rPr>
                      <w:rFonts w:hint="default"/>
                      <w:color w:val="auto"/>
                    </w:rPr>
                  </w:pPr>
                  <w:r>
                    <w:rPr>
                      <w:rFonts w:hint="eastAsia"/>
                      <w:color w:val="auto"/>
                      <w:lang w:val="en-US" w:eastAsia="zh-CN"/>
                    </w:rPr>
                    <w:t>1、</w:t>
                  </w:r>
                  <w:r>
                    <w:rPr>
                      <w:rFonts w:hint="eastAsia"/>
                      <w:color w:val="auto"/>
                    </w:rPr>
                    <w:t>入驻项目污染物排放必须满足国家、行业污染物排放标准，以及《安阳市</w:t>
                  </w:r>
                  <w:r>
                    <w:rPr>
                      <w:rFonts w:hint="default"/>
                      <w:color w:val="auto"/>
                    </w:rPr>
                    <w:t>2018</w:t>
                  </w:r>
                  <w:r>
                    <w:rPr>
                      <w:rFonts w:hint="eastAsia"/>
                      <w:color w:val="auto"/>
                    </w:rPr>
                    <w:t>年工业企业超低排放深度治理实施方案》限值要求；</w:t>
                  </w:r>
                </w:p>
              </w:tc>
              <w:tc>
                <w:tcPr>
                  <w:tcW w:w="1724" w:type="pct"/>
                  <w:tcBorders>
                    <w:top w:val="single" w:color="auto" w:sz="4" w:space="0"/>
                    <w:left w:val="single" w:color="auto" w:sz="4" w:space="0"/>
                    <w:bottom w:val="single" w:color="auto" w:sz="4" w:space="0"/>
                    <w:right w:val="single" w:color="auto" w:sz="4" w:space="0"/>
                  </w:tcBorders>
                  <w:vAlign w:val="center"/>
                </w:tcPr>
                <w:p w14:paraId="5DBCF96D">
                  <w:pPr>
                    <w:pStyle w:val="74"/>
                    <w:keepNext w:val="0"/>
                    <w:keepLines w:val="0"/>
                    <w:suppressLineNumbers w:val="0"/>
                    <w:spacing w:before="0" w:beforeAutospacing="0" w:after="0" w:afterAutospacing="0" w:line="240" w:lineRule="auto"/>
                    <w:ind w:left="0" w:right="0"/>
                    <w:jc w:val="both"/>
                    <w:rPr>
                      <w:rFonts w:hint="eastAsia" w:eastAsia="宋体"/>
                      <w:color w:val="auto"/>
                      <w:lang w:eastAsia="zh-CN"/>
                    </w:rPr>
                  </w:pPr>
                  <w:r>
                    <w:rPr>
                      <w:rFonts w:hint="eastAsia"/>
                      <w:b w:val="0"/>
                      <w:bCs w:val="0"/>
                      <w:color w:val="auto"/>
                      <w:u w:val="none"/>
                      <w:lang w:eastAsia="zh-CN"/>
                    </w:rPr>
                    <w:t>本项目使用拉丝粉</w:t>
                  </w:r>
                  <w:r>
                    <w:rPr>
                      <w:rFonts w:hint="eastAsia"/>
                      <w:b w:val="0"/>
                      <w:bCs w:val="0"/>
                      <w:color w:val="auto"/>
                      <w:u w:val="none"/>
                      <w:lang w:val="en-US" w:eastAsia="zh-CN"/>
                    </w:rPr>
                    <w:t>0.03t/a，每次取少量放入封闭容器，颗粒物排放量很少，可以忽略不</w:t>
                  </w:r>
                  <w:r>
                    <w:rPr>
                      <w:rFonts w:hint="eastAsia"/>
                      <w:b w:val="0"/>
                      <w:bCs w:val="0"/>
                      <w:color w:val="auto"/>
                      <w:u w:val="none"/>
                      <w:lang w:eastAsia="zh-CN"/>
                    </w:rPr>
                    <w:t>计；拉丝粉成分为硬脂酸钙与氢氧化钙，在热处理时直接分解成</w:t>
                  </w:r>
                  <w:r>
                    <w:rPr>
                      <w:rFonts w:hint="eastAsia"/>
                      <w:b w:val="0"/>
                      <w:bCs w:val="0"/>
                      <w:color w:val="auto"/>
                      <w:u w:val="none"/>
                      <w:lang w:val="en-US" w:eastAsia="zh-CN"/>
                    </w:rPr>
                    <w:t>CaO、CO</w:t>
                  </w:r>
                  <w:r>
                    <w:rPr>
                      <w:rFonts w:hint="eastAsia"/>
                      <w:b w:val="0"/>
                      <w:bCs w:val="0"/>
                      <w:color w:val="auto"/>
                      <w:u w:val="none"/>
                      <w:vertAlign w:val="subscript"/>
                      <w:lang w:val="en-US" w:eastAsia="zh-CN"/>
                    </w:rPr>
                    <w:t>2</w:t>
                  </w:r>
                  <w:r>
                    <w:rPr>
                      <w:rFonts w:hint="eastAsia"/>
                      <w:b w:val="0"/>
                      <w:bCs w:val="0"/>
                      <w:color w:val="auto"/>
                      <w:u w:val="none"/>
                      <w:vertAlign w:val="baseline"/>
                      <w:lang w:val="en-US" w:eastAsia="zh-CN"/>
                    </w:rPr>
                    <w:t>与水蒸气，</w:t>
                  </w:r>
                  <w:r>
                    <w:rPr>
                      <w:rFonts w:hint="eastAsia"/>
                      <w:b w:val="0"/>
                      <w:bCs w:val="0"/>
                      <w:color w:val="auto"/>
                      <w:u w:val="none"/>
                      <w:lang w:eastAsia="zh-CN"/>
                    </w:rPr>
                    <w:t>不会产生废气；冷却废水循环使用；不合格原料、不合格产品、边角料、废包装袋等固体废物均放置一般固废间而后退回商家或者外售综合利用；冷却池与淬火池底泥委托相关单位定期清掏处理。</w:t>
                  </w:r>
                </w:p>
              </w:tc>
              <w:tc>
                <w:tcPr>
                  <w:tcW w:w="557" w:type="pct"/>
                  <w:tcBorders>
                    <w:top w:val="single" w:color="auto" w:sz="4" w:space="0"/>
                    <w:left w:val="single" w:color="auto" w:sz="4" w:space="0"/>
                    <w:bottom w:val="single" w:color="auto" w:sz="4" w:space="0"/>
                    <w:right w:val="nil"/>
                  </w:tcBorders>
                  <w:vAlign w:val="center"/>
                </w:tcPr>
                <w:p w14:paraId="3034C60D">
                  <w:pPr>
                    <w:keepNext w:val="0"/>
                    <w:keepLines w:val="0"/>
                    <w:suppressLineNumbers w:val="0"/>
                    <w:spacing w:before="0" w:beforeAutospacing="0" w:after="0" w:afterAutospacing="0"/>
                    <w:ind w:left="0" w:right="0"/>
                    <w:jc w:val="center"/>
                    <w:rPr>
                      <w:rFonts w:hint="eastAsia"/>
                      <w:color w:val="auto"/>
                    </w:rPr>
                  </w:pPr>
                  <w:r>
                    <w:rPr>
                      <w:rFonts w:hint="eastAsia"/>
                      <w:color w:val="auto"/>
                      <w:lang w:eastAsia="zh-CN"/>
                    </w:rPr>
                    <w:t>相符</w:t>
                  </w:r>
                </w:p>
              </w:tc>
            </w:tr>
            <w:tr w14:paraId="21843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0F46CBEC">
                  <w:pPr>
                    <w:pStyle w:val="74"/>
                    <w:keepNext w:val="0"/>
                    <w:keepLines w:val="0"/>
                    <w:suppressLineNumbers w:val="0"/>
                    <w:spacing w:before="0" w:beforeAutospacing="0" w:after="0" w:afterAutospacing="0"/>
                    <w:ind w:left="0" w:right="0"/>
                    <w:jc w:val="both"/>
                    <w:rPr>
                      <w:rFonts w:hint="default"/>
                      <w:color w:val="auto"/>
                    </w:rPr>
                  </w:pPr>
                </w:p>
              </w:tc>
              <w:tc>
                <w:tcPr>
                  <w:tcW w:w="2181" w:type="pct"/>
                  <w:tcBorders>
                    <w:top w:val="single" w:color="auto" w:sz="4" w:space="0"/>
                    <w:left w:val="single" w:color="auto" w:sz="4" w:space="0"/>
                    <w:bottom w:val="single" w:color="auto" w:sz="4" w:space="0"/>
                    <w:right w:val="single" w:color="auto" w:sz="4" w:space="0"/>
                  </w:tcBorders>
                  <w:vAlign w:val="center"/>
                </w:tcPr>
                <w:p w14:paraId="31C91B10">
                  <w:pPr>
                    <w:pStyle w:val="74"/>
                    <w:keepNext w:val="0"/>
                    <w:keepLines w:val="0"/>
                    <w:suppressLineNumbers w:val="0"/>
                    <w:spacing w:before="0" w:beforeAutospacing="0" w:after="0" w:afterAutospacing="0"/>
                    <w:ind w:left="0" w:right="0"/>
                    <w:jc w:val="both"/>
                    <w:rPr>
                      <w:rFonts w:hint="eastAsia"/>
                      <w:color w:val="auto"/>
                    </w:rPr>
                  </w:pPr>
                  <w:r>
                    <w:rPr>
                      <w:rFonts w:hint="eastAsia"/>
                      <w:color w:val="auto"/>
                      <w:lang w:val="en-US" w:eastAsia="zh-CN"/>
                    </w:rPr>
                    <w:t>2、</w:t>
                  </w:r>
                  <w:r>
                    <w:rPr>
                      <w:rFonts w:hint="eastAsia"/>
                      <w:color w:val="auto"/>
                    </w:rPr>
                    <w:t>使用溶剂型涂料的生产工序，烘干废气宜采用焚烧处理，废气处理设施</w:t>
                  </w:r>
                  <w:r>
                    <w:rPr>
                      <w:rFonts w:hint="default"/>
                      <w:color w:val="auto"/>
                    </w:rPr>
                    <w:t>VOCs</w:t>
                  </w:r>
                  <w:r>
                    <w:rPr>
                      <w:rFonts w:hint="eastAsia"/>
                      <w:color w:val="auto"/>
                    </w:rPr>
                    <w:t>总净化效率不低于</w:t>
                  </w:r>
                  <w:r>
                    <w:rPr>
                      <w:rFonts w:hint="default"/>
                      <w:color w:val="auto"/>
                    </w:rPr>
                    <w:t>90%</w:t>
                  </w:r>
                  <w:r>
                    <w:rPr>
                      <w:rFonts w:hint="eastAsia"/>
                      <w:color w:val="auto"/>
                    </w:rPr>
                    <w:t>，涂装废气应确保废气污染物稳定达标排放。使用溶剂型涂料的生产工序，涂装废气、晾（风）干废气宜采用吸附浓缩</w:t>
                  </w:r>
                  <w:r>
                    <w:rPr>
                      <w:rFonts w:hint="default"/>
                      <w:color w:val="auto"/>
                    </w:rPr>
                    <w:t>+</w:t>
                  </w:r>
                  <w:r>
                    <w:rPr>
                      <w:rFonts w:hint="eastAsia"/>
                      <w:color w:val="auto"/>
                    </w:rPr>
                    <w:t>焚烧方式处理，烘干废气宜采用焚烧处理。</w:t>
                  </w:r>
                </w:p>
              </w:tc>
              <w:tc>
                <w:tcPr>
                  <w:tcW w:w="1724" w:type="pct"/>
                  <w:tcBorders>
                    <w:top w:val="single" w:color="auto" w:sz="4" w:space="0"/>
                    <w:left w:val="single" w:color="auto" w:sz="4" w:space="0"/>
                    <w:bottom w:val="single" w:color="auto" w:sz="4" w:space="0"/>
                    <w:right w:val="single" w:color="auto" w:sz="4" w:space="0"/>
                  </w:tcBorders>
                  <w:vAlign w:val="center"/>
                </w:tcPr>
                <w:p w14:paraId="5F25F4E3">
                  <w:pPr>
                    <w:pStyle w:val="74"/>
                    <w:keepNext w:val="0"/>
                    <w:keepLines w:val="0"/>
                    <w:suppressLineNumbers w:val="0"/>
                    <w:spacing w:before="0" w:beforeAutospacing="0" w:after="0" w:afterAutospacing="0"/>
                    <w:ind w:left="0" w:right="0"/>
                    <w:jc w:val="both"/>
                    <w:rPr>
                      <w:rFonts w:hint="eastAsia" w:eastAsia="宋体"/>
                      <w:color w:val="auto"/>
                      <w:lang w:eastAsia="zh-CN"/>
                    </w:rPr>
                  </w:pPr>
                  <w:r>
                    <w:rPr>
                      <w:rFonts w:hint="eastAsia"/>
                      <w:color w:val="auto"/>
                      <w:lang w:eastAsia="zh-CN"/>
                    </w:rPr>
                    <w:t>本项目无使用溶剂型涂料的生产工序。</w:t>
                  </w:r>
                </w:p>
              </w:tc>
              <w:tc>
                <w:tcPr>
                  <w:tcW w:w="557" w:type="pct"/>
                  <w:tcBorders>
                    <w:top w:val="single" w:color="auto" w:sz="4" w:space="0"/>
                    <w:left w:val="single" w:color="auto" w:sz="4" w:space="0"/>
                    <w:bottom w:val="single" w:color="auto" w:sz="4" w:space="0"/>
                    <w:right w:val="nil"/>
                  </w:tcBorders>
                  <w:vAlign w:val="center"/>
                </w:tcPr>
                <w:p w14:paraId="18AD3202">
                  <w:pPr>
                    <w:keepNext w:val="0"/>
                    <w:keepLines w:val="0"/>
                    <w:suppressLineNumbers w:val="0"/>
                    <w:spacing w:before="0" w:beforeAutospacing="0" w:after="0" w:afterAutospacing="0"/>
                    <w:ind w:left="0" w:right="0"/>
                    <w:jc w:val="center"/>
                    <w:rPr>
                      <w:rFonts w:hint="eastAsia" w:eastAsia="宋体"/>
                      <w:color w:val="auto"/>
                      <w:lang w:eastAsia="zh-CN"/>
                    </w:rPr>
                  </w:pPr>
                  <w:r>
                    <w:rPr>
                      <w:rFonts w:hint="eastAsia"/>
                      <w:color w:val="auto"/>
                      <w:lang w:eastAsia="zh-CN"/>
                    </w:rPr>
                    <w:t>相符</w:t>
                  </w:r>
                </w:p>
              </w:tc>
            </w:tr>
            <w:tr w14:paraId="65E0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5163D3F9">
                  <w:pPr>
                    <w:pStyle w:val="74"/>
                    <w:keepNext w:val="0"/>
                    <w:keepLines w:val="0"/>
                    <w:suppressLineNumbers w:val="0"/>
                    <w:spacing w:before="0" w:beforeAutospacing="0" w:after="0" w:afterAutospacing="0"/>
                    <w:ind w:left="0" w:right="0"/>
                    <w:jc w:val="both"/>
                    <w:rPr>
                      <w:rFonts w:hint="eastAsia"/>
                      <w:color w:val="auto"/>
                    </w:rPr>
                  </w:pPr>
                </w:p>
              </w:tc>
              <w:tc>
                <w:tcPr>
                  <w:tcW w:w="2181" w:type="pct"/>
                  <w:tcBorders>
                    <w:top w:val="single" w:color="auto" w:sz="4" w:space="0"/>
                    <w:left w:val="single" w:color="auto" w:sz="4" w:space="0"/>
                    <w:bottom w:val="single" w:color="auto" w:sz="4" w:space="0"/>
                    <w:right w:val="single" w:color="auto" w:sz="4" w:space="0"/>
                  </w:tcBorders>
                  <w:vAlign w:val="center"/>
                </w:tcPr>
                <w:p w14:paraId="5994F5B2">
                  <w:pPr>
                    <w:pStyle w:val="74"/>
                    <w:keepNext w:val="0"/>
                    <w:keepLines w:val="0"/>
                    <w:suppressLineNumbers w:val="0"/>
                    <w:spacing w:before="0" w:beforeAutospacing="0" w:after="0" w:afterAutospacing="0"/>
                    <w:ind w:left="0" w:right="0"/>
                    <w:jc w:val="both"/>
                    <w:rPr>
                      <w:rFonts w:hint="eastAsia"/>
                      <w:color w:val="auto"/>
                    </w:rPr>
                  </w:pPr>
                  <w:r>
                    <w:rPr>
                      <w:rFonts w:hint="eastAsia"/>
                      <w:color w:val="auto"/>
                      <w:lang w:val="en-US" w:eastAsia="zh-CN"/>
                    </w:rPr>
                    <w:t>3、</w:t>
                  </w:r>
                  <w:r>
                    <w:rPr>
                      <w:rFonts w:hint="eastAsia"/>
                      <w:color w:val="auto"/>
                    </w:rPr>
                    <w:t>涉及重点重金属（铬、镍、铅、镉除外）排放的企业需进行等量置换或减量置换，满足安阳市重金属排放总量控制要求；</w:t>
                  </w:r>
                </w:p>
              </w:tc>
              <w:tc>
                <w:tcPr>
                  <w:tcW w:w="1724" w:type="pct"/>
                  <w:tcBorders>
                    <w:top w:val="single" w:color="auto" w:sz="4" w:space="0"/>
                    <w:left w:val="single" w:color="auto" w:sz="4" w:space="0"/>
                    <w:bottom w:val="single" w:color="auto" w:sz="4" w:space="0"/>
                    <w:right w:val="single" w:color="auto" w:sz="4" w:space="0"/>
                  </w:tcBorders>
                  <w:vAlign w:val="center"/>
                </w:tcPr>
                <w:p w14:paraId="125144E8">
                  <w:pPr>
                    <w:pStyle w:val="74"/>
                    <w:keepNext w:val="0"/>
                    <w:keepLines w:val="0"/>
                    <w:suppressLineNumbers w:val="0"/>
                    <w:spacing w:before="0" w:beforeAutospacing="0" w:after="0" w:afterAutospacing="0"/>
                    <w:ind w:left="0" w:right="0"/>
                    <w:jc w:val="both"/>
                    <w:rPr>
                      <w:rFonts w:hint="eastAsia" w:eastAsia="宋体"/>
                      <w:color w:val="auto"/>
                      <w:lang w:eastAsia="zh-CN"/>
                    </w:rPr>
                  </w:pPr>
                  <w:r>
                    <w:rPr>
                      <w:rFonts w:hint="eastAsia"/>
                      <w:color w:val="auto"/>
                      <w:lang w:eastAsia="zh-CN"/>
                    </w:rPr>
                    <w:t>本项目无重点重金属排放。</w:t>
                  </w:r>
                </w:p>
              </w:tc>
              <w:tc>
                <w:tcPr>
                  <w:tcW w:w="557" w:type="pct"/>
                  <w:tcBorders>
                    <w:top w:val="single" w:color="auto" w:sz="4" w:space="0"/>
                    <w:left w:val="single" w:color="auto" w:sz="4" w:space="0"/>
                    <w:bottom w:val="single" w:color="auto" w:sz="4" w:space="0"/>
                    <w:right w:val="nil"/>
                  </w:tcBorders>
                  <w:vAlign w:val="center"/>
                </w:tcPr>
                <w:p w14:paraId="25D10EA2">
                  <w:pPr>
                    <w:keepNext w:val="0"/>
                    <w:keepLines w:val="0"/>
                    <w:suppressLineNumbers w:val="0"/>
                    <w:spacing w:before="0" w:beforeAutospacing="0" w:after="0" w:afterAutospacing="0"/>
                    <w:ind w:left="0" w:right="0"/>
                    <w:jc w:val="center"/>
                    <w:rPr>
                      <w:rFonts w:hint="eastAsia"/>
                      <w:color w:val="auto"/>
                    </w:rPr>
                  </w:pPr>
                  <w:r>
                    <w:rPr>
                      <w:rFonts w:hint="eastAsia"/>
                      <w:color w:val="auto"/>
                      <w:lang w:eastAsia="zh-CN"/>
                    </w:rPr>
                    <w:t>相符</w:t>
                  </w:r>
                </w:p>
              </w:tc>
            </w:tr>
            <w:tr w14:paraId="222E0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blHeader/>
                <w:jc w:val="center"/>
              </w:trPr>
              <w:tc>
                <w:tcPr>
                  <w:tcW w:w="536" w:type="pct"/>
                  <w:vMerge w:val="continue"/>
                  <w:tcBorders>
                    <w:top w:val="single" w:color="auto" w:sz="4" w:space="0"/>
                    <w:left w:val="nil"/>
                    <w:bottom w:val="single" w:color="auto" w:sz="4" w:space="0"/>
                    <w:right w:val="single" w:color="auto" w:sz="4" w:space="0"/>
                  </w:tcBorders>
                  <w:vAlign w:val="center"/>
                </w:tcPr>
                <w:p w14:paraId="6F6A1D9A">
                  <w:pPr>
                    <w:pStyle w:val="74"/>
                    <w:keepNext w:val="0"/>
                    <w:keepLines w:val="0"/>
                    <w:suppressLineNumbers w:val="0"/>
                    <w:spacing w:before="0" w:beforeAutospacing="0" w:after="0" w:afterAutospacing="0"/>
                    <w:ind w:left="0" w:right="0"/>
                    <w:jc w:val="both"/>
                    <w:rPr>
                      <w:rFonts w:hint="eastAsia"/>
                      <w:color w:val="auto"/>
                    </w:rPr>
                  </w:pPr>
                </w:p>
              </w:tc>
              <w:tc>
                <w:tcPr>
                  <w:tcW w:w="2181" w:type="pct"/>
                  <w:tcBorders>
                    <w:top w:val="single" w:color="auto" w:sz="4" w:space="0"/>
                    <w:left w:val="single" w:color="auto" w:sz="4" w:space="0"/>
                    <w:bottom w:val="single" w:color="auto" w:sz="4" w:space="0"/>
                    <w:right w:val="single" w:color="auto" w:sz="4" w:space="0"/>
                  </w:tcBorders>
                  <w:vAlign w:val="center"/>
                </w:tcPr>
                <w:p w14:paraId="62EDE86D">
                  <w:pPr>
                    <w:pStyle w:val="74"/>
                    <w:keepNext w:val="0"/>
                    <w:keepLines w:val="0"/>
                    <w:suppressLineNumbers w:val="0"/>
                    <w:spacing w:before="0" w:beforeAutospacing="0" w:after="0" w:afterAutospacing="0"/>
                    <w:ind w:left="0" w:right="0"/>
                    <w:jc w:val="both"/>
                    <w:rPr>
                      <w:rFonts w:hint="eastAsia"/>
                      <w:color w:val="auto"/>
                    </w:rPr>
                  </w:pPr>
                  <w:r>
                    <w:rPr>
                      <w:rFonts w:hint="eastAsia"/>
                      <w:color w:val="auto"/>
                      <w:lang w:val="en-US" w:eastAsia="zh-CN"/>
                    </w:rPr>
                    <w:t>4、</w:t>
                  </w:r>
                  <w:r>
                    <w:rPr>
                      <w:rFonts w:hint="eastAsia"/>
                      <w:color w:val="auto"/>
                    </w:rPr>
                    <w:t>新建涉</w:t>
                  </w:r>
                  <w:r>
                    <w:rPr>
                      <w:rFonts w:hint="default"/>
                      <w:color w:val="auto"/>
                    </w:rPr>
                    <w:t>VOCs</w:t>
                  </w:r>
                  <w:r>
                    <w:rPr>
                      <w:rFonts w:hint="eastAsia"/>
                      <w:color w:val="auto"/>
                    </w:rPr>
                    <w:t>排放的工业，需进行区域内</w:t>
                  </w:r>
                  <w:r>
                    <w:rPr>
                      <w:rFonts w:hint="default"/>
                      <w:color w:val="auto"/>
                    </w:rPr>
                    <w:t>VOCs</w:t>
                  </w:r>
                  <w:r>
                    <w:rPr>
                      <w:rFonts w:hint="eastAsia"/>
                      <w:color w:val="auto"/>
                    </w:rPr>
                    <w:t>排放等量或倍量削减替代。</w:t>
                  </w:r>
                </w:p>
              </w:tc>
              <w:tc>
                <w:tcPr>
                  <w:tcW w:w="1724" w:type="pct"/>
                  <w:tcBorders>
                    <w:top w:val="single" w:color="auto" w:sz="4" w:space="0"/>
                    <w:left w:val="single" w:color="auto" w:sz="4" w:space="0"/>
                    <w:bottom w:val="single" w:color="auto" w:sz="4" w:space="0"/>
                    <w:right w:val="single" w:color="auto" w:sz="4" w:space="0"/>
                  </w:tcBorders>
                  <w:vAlign w:val="center"/>
                </w:tcPr>
                <w:p w14:paraId="5A543D8B">
                  <w:pPr>
                    <w:pStyle w:val="74"/>
                    <w:keepNext w:val="0"/>
                    <w:keepLines w:val="0"/>
                    <w:suppressLineNumbers w:val="0"/>
                    <w:spacing w:before="0" w:beforeAutospacing="0" w:after="0" w:afterAutospacing="0"/>
                    <w:ind w:left="0" w:right="0"/>
                    <w:jc w:val="both"/>
                    <w:rPr>
                      <w:rFonts w:hint="default" w:eastAsia="宋体"/>
                      <w:color w:val="auto"/>
                      <w:lang w:val="en-US" w:eastAsia="zh-CN"/>
                    </w:rPr>
                  </w:pPr>
                  <w:r>
                    <w:rPr>
                      <w:rFonts w:hint="eastAsia"/>
                      <w:b w:val="0"/>
                      <w:bCs w:val="0"/>
                      <w:color w:val="auto"/>
                      <w:szCs w:val="24"/>
                      <w:u w:val="none"/>
                      <w:lang w:eastAsia="zh-CN"/>
                    </w:rPr>
                    <w:t>本项目采用酸洗磷化后弹簧钢盘圆，进厂时无附着物，在拉拔处理过程中使用的拉丝粉成分为硬脂酸钙与氢氧化钙，此物质在热处理时无</w:t>
                  </w:r>
                  <w:r>
                    <w:rPr>
                      <w:rFonts w:hint="eastAsia"/>
                      <w:b w:val="0"/>
                      <w:bCs w:val="0"/>
                      <w:color w:val="auto"/>
                      <w:szCs w:val="24"/>
                      <w:u w:val="none"/>
                      <w:lang w:val="en-US" w:eastAsia="zh-CN"/>
                    </w:rPr>
                    <w:t>VOCs产生</w:t>
                  </w:r>
                  <w:r>
                    <w:rPr>
                      <w:rFonts w:hint="eastAsia"/>
                      <w:b w:val="0"/>
                      <w:bCs w:val="0"/>
                      <w:color w:val="auto"/>
                      <w:u w:val="none"/>
                      <w:lang w:eastAsia="zh-CN"/>
                    </w:rPr>
                    <w:t>。</w:t>
                  </w:r>
                </w:p>
              </w:tc>
              <w:tc>
                <w:tcPr>
                  <w:tcW w:w="557" w:type="pct"/>
                  <w:tcBorders>
                    <w:top w:val="single" w:color="auto" w:sz="4" w:space="0"/>
                    <w:left w:val="single" w:color="auto" w:sz="4" w:space="0"/>
                    <w:bottom w:val="single" w:color="auto" w:sz="4" w:space="0"/>
                    <w:right w:val="nil"/>
                  </w:tcBorders>
                  <w:vAlign w:val="center"/>
                </w:tcPr>
                <w:p w14:paraId="19595D74">
                  <w:pPr>
                    <w:keepNext w:val="0"/>
                    <w:keepLines w:val="0"/>
                    <w:suppressLineNumbers w:val="0"/>
                    <w:spacing w:before="0" w:beforeAutospacing="0" w:after="0" w:afterAutospacing="0"/>
                    <w:ind w:left="0" w:right="0"/>
                    <w:jc w:val="center"/>
                    <w:rPr>
                      <w:rFonts w:hint="eastAsia" w:eastAsia="宋体"/>
                      <w:color w:val="auto"/>
                      <w:lang w:eastAsia="zh-CN"/>
                    </w:rPr>
                  </w:pPr>
                  <w:r>
                    <w:rPr>
                      <w:rFonts w:hint="eastAsia"/>
                      <w:color w:val="auto"/>
                      <w:lang w:eastAsia="zh-CN"/>
                    </w:rPr>
                    <w:t>相符</w:t>
                  </w:r>
                </w:p>
              </w:tc>
            </w:tr>
            <w:tr w14:paraId="75254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blHeader/>
                <w:jc w:val="center"/>
              </w:trPr>
              <w:tc>
                <w:tcPr>
                  <w:tcW w:w="536" w:type="pct"/>
                  <w:vMerge w:val="restart"/>
                  <w:tcBorders>
                    <w:top w:val="single" w:color="auto" w:sz="4" w:space="0"/>
                    <w:left w:val="nil"/>
                    <w:bottom w:val="single" w:color="auto" w:sz="4" w:space="0"/>
                    <w:right w:val="single" w:color="auto" w:sz="4" w:space="0"/>
                  </w:tcBorders>
                  <w:vAlign w:val="center"/>
                </w:tcPr>
                <w:p w14:paraId="5E57FD1D">
                  <w:pPr>
                    <w:pStyle w:val="74"/>
                    <w:keepNext w:val="0"/>
                    <w:keepLines w:val="0"/>
                    <w:suppressLineNumbers w:val="0"/>
                    <w:spacing w:before="0" w:beforeAutospacing="0" w:after="0" w:afterAutospacing="0"/>
                    <w:ind w:left="0" w:right="0"/>
                    <w:rPr>
                      <w:rFonts w:hint="default"/>
                      <w:color w:val="auto"/>
                    </w:rPr>
                  </w:pPr>
                  <w:r>
                    <w:rPr>
                      <w:rFonts w:hint="eastAsia"/>
                      <w:color w:val="auto"/>
                    </w:rPr>
                    <w:t>环境管理要求</w:t>
                  </w:r>
                </w:p>
              </w:tc>
              <w:tc>
                <w:tcPr>
                  <w:tcW w:w="2181" w:type="pct"/>
                  <w:tcBorders>
                    <w:top w:val="single" w:color="auto" w:sz="4" w:space="0"/>
                    <w:left w:val="single" w:color="auto" w:sz="4" w:space="0"/>
                    <w:bottom w:val="single" w:color="auto" w:sz="4" w:space="0"/>
                    <w:right w:val="single" w:color="auto" w:sz="4" w:space="0"/>
                  </w:tcBorders>
                  <w:vAlign w:val="center"/>
                </w:tcPr>
                <w:p w14:paraId="3DFE7EAF">
                  <w:pPr>
                    <w:pStyle w:val="74"/>
                    <w:keepNext w:val="0"/>
                    <w:keepLines w:val="0"/>
                    <w:suppressLineNumbers w:val="0"/>
                    <w:spacing w:before="0" w:beforeAutospacing="0" w:after="0" w:afterAutospacing="0"/>
                    <w:ind w:left="0" w:right="0"/>
                    <w:jc w:val="left"/>
                    <w:rPr>
                      <w:rFonts w:hint="default"/>
                      <w:color w:val="auto"/>
                    </w:rPr>
                  </w:pPr>
                  <w:r>
                    <w:rPr>
                      <w:rFonts w:hint="eastAsia"/>
                      <w:color w:val="auto"/>
                      <w:lang w:val="en-US" w:eastAsia="zh-CN"/>
                    </w:rPr>
                    <w:t>1、</w:t>
                  </w:r>
                  <w:r>
                    <w:rPr>
                      <w:rFonts w:hint="eastAsia"/>
                      <w:color w:val="auto"/>
                      <w:lang w:eastAsia="zh-CN"/>
                    </w:rPr>
                    <w:t>入驻</w:t>
                  </w:r>
                  <w:r>
                    <w:rPr>
                      <w:rFonts w:hint="eastAsia"/>
                      <w:color w:val="auto"/>
                    </w:rPr>
                    <w:t>企业必须严格按照产业集聚区空间结构规划进行布局；</w:t>
                  </w:r>
                </w:p>
              </w:tc>
              <w:tc>
                <w:tcPr>
                  <w:tcW w:w="1724" w:type="pct"/>
                  <w:tcBorders>
                    <w:top w:val="single" w:color="auto" w:sz="4" w:space="0"/>
                    <w:left w:val="single" w:color="auto" w:sz="4" w:space="0"/>
                    <w:bottom w:val="single" w:color="auto" w:sz="4" w:space="0"/>
                    <w:right w:val="single" w:color="auto" w:sz="4" w:space="0"/>
                  </w:tcBorders>
                  <w:vAlign w:val="center"/>
                </w:tcPr>
                <w:p w14:paraId="0EF5C16A">
                  <w:pPr>
                    <w:pStyle w:val="74"/>
                    <w:keepNext w:val="0"/>
                    <w:keepLines w:val="0"/>
                    <w:suppressLineNumbers w:val="0"/>
                    <w:spacing w:before="0" w:beforeAutospacing="0" w:after="0" w:afterAutospacing="0"/>
                    <w:ind w:left="0" w:right="0"/>
                    <w:jc w:val="left"/>
                    <w:rPr>
                      <w:rFonts w:hint="eastAsia" w:eastAsia="宋体"/>
                      <w:color w:val="auto"/>
                      <w:lang w:eastAsia="zh-CN"/>
                    </w:rPr>
                  </w:pPr>
                  <w:r>
                    <w:rPr>
                      <w:rFonts w:hint="eastAsia"/>
                      <w:color w:val="auto"/>
                      <w:lang w:eastAsia="zh-CN"/>
                    </w:rPr>
                    <w:t>本项目属于工业类项目，符合园区入驻要求。</w:t>
                  </w:r>
                </w:p>
              </w:tc>
              <w:tc>
                <w:tcPr>
                  <w:tcW w:w="557" w:type="pct"/>
                  <w:tcBorders>
                    <w:top w:val="single" w:color="auto" w:sz="4" w:space="0"/>
                    <w:left w:val="single" w:color="auto" w:sz="4" w:space="0"/>
                    <w:bottom w:val="single" w:color="auto" w:sz="4" w:space="0"/>
                    <w:right w:val="nil"/>
                  </w:tcBorders>
                  <w:vAlign w:val="center"/>
                </w:tcPr>
                <w:p w14:paraId="2906CD6B">
                  <w:pPr>
                    <w:keepNext w:val="0"/>
                    <w:keepLines w:val="0"/>
                    <w:suppressLineNumbers w:val="0"/>
                    <w:spacing w:before="0" w:beforeAutospacing="0" w:after="0" w:afterAutospacing="0"/>
                    <w:ind w:left="0" w:right="0"/>
                    <w:jc w:val="center"/>
                    <w:rPr>
                      <w:rFonts w:hint="eastAsia"/>
                      <w:color w:val="auto"/>
                    </w:rPr>
                  </w:pPr>
                  <w:r>
                    <w:rPr>
                      <w:rFonts w:hint="eastAsia"/>
                      <w:color w:val="auto"/>
                      <w:lang w:eastAsia="zh-CN"/>
                    </w:rPr>
                    <w:t>相符</w:t>
                  </w:r>
                </w:p>
              </w:tc>
            </w:tr>
            <w:tr w14:paraId="6AD02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tblHeader/>
                <w:jc w:val="center"/>
              </w:trPr>
              <w:tc>
                <w:tcPr>
                  <w:tcW w:w="536" w:type="pct"/>
                  <w:vMerge w:val="continue"/>
                  <w:tcBorders>
                    <w:top w:val="single" w:color="auto" w:sz="4" w:space="0"/>
                    <w:left w:val="nil"/>
                    <w:bottom w:val="single" w:color="auto" w:sz="12" w:space="0"/>
                    <w:right w:val="single" w:color="auto" w:sz="4" w:space="0"/>
                  </w:tcBorders>
                  <w:vAlign w:val="center"/>
                </w:tcPr>
                <w:p w14:paraId="6CF945B0">
                  <w:pPr>
                    <w:pStyle w:val="74"/>
                    <w:keepNext w:val="0"/>
                    <w:keepLines w:val="0"/>
                    <w:suppressLineNumbers w:val="0"/>
                    <w:spacing w:before="0" w:beforeAutospacing="0" w:after="0" w:afterAutospacing="0"/>
                    <w:ind w:left="0" w:right="0"/>
                    <w:rPr>
                      <w:rFonts w:hint="default"/>
                      <w:color w:val="auto"/>
                    </w:rPr>
                  </w:pPr>
                </w:p>
              </w:tc>
              <w:tc>
                <w:tcPr>
                  <w:tcW w:w="2181" w:type="pct"/>
                  <w:tcBorders>
                    <w:top w:val="single" w:color="auto" w:sz="4" w:space="0"/>
                    <w:left w:val="single" w:color="auto" w:sz="4" w:space="0"/>
                    <w:bottom w:val="single" w:color="auto" w:sz="12" w:space="0"/>
                    <w:right w:val="single" w:color="auto" w:sz="4" w:space="0"/>
                  </w:tcBorders>
                  <w:vAlign w:val="center"/>
                </w:tcPr>
                <w:p w14:paraId="20BCC276">
                  <w:pPr>
                    <w:pStyle w:val="74"/>
                    <w:keepNext w:val="0"/>
                    <w:keepLines w:val="0"/>
                    <w:suppressLineNumbers w:val="0"/>
                    <w:spacing w:before="0" w:beforeAutospacing="0" w:after="0" w:afterAutospacing="0"/>
                    <w:ind w:left="0" w:right="0"/>
                    <w:jc w:val="left"/>
                    <w:rPr>
                      <w:rFonts w:hint="eastAsia"/>
                      <w:color w:val="auto"/>
                    </w:rPr>
                  </w:pPr>
                  <w:bookmarkStart w:id="9" w:name="_Hlk5844814"/>
                  <w:r>
                    <w:rPr>
                      <w:rFonts w:hint="eastAsia"/>
                      <w:color w:val="auto"/>
                      <w:lang w:val="en-US" w:eastAsia="zh-CN"/>
                    </w:rPr>
                    <w:t>2、</w:t>
                  </w:r>
                  <w:r>
                    <w:rPr>
                      <w:rFonts w:hint="eastAsia"/>
                      <w:color w:val="auto"/>
                      <w:lang w:eastAsia="zh-CN"/>
                    </w:rPr>
                    <w:t>入驻</w:t>
                  </w:r>
                  <w:r>
                    <w:rPr>
                      <w:rFonts w:hint="eastAsia"/>
                      <w:color w:val="auto"/>
                    </w:rPr>
                    <w:t>企业</w:t>
                  </w:r>
                  <w:bookmarkEnd w:id="9"/>
                  <w:r>
                    <w:rPr>
                      <w:rFonts w:hint="eastAsia"/>
                      <w:color w:val="auto"/>
                    </w:rPr>
                    <w:t>必须满足</w:t>
                  </w:r>
                  <w:bookmarkStart w:id="10" w:name="_Hlk5844828"/>
                  <w:r>
                    <w:rPr>
                      <w:rFonts w:hint="eastAsia"/>
                      <w:color w:val="auto"/>
                    </w:rPr>
                    <w:t>单位工业增加值新鲜水耗</w:t>
                  </w:r>
                  <w:bookmarkEnd w:id="10"/>
                  <w:r>
                    <w:rPr>
                      <w:rFonts w:hint="eastAsia"/>
                      <w:color w:val="auto"/>
                    </w:rPr>
                    <w:t>≤</w:t>
                  </w:r>
                  <w:r>
                    <w:rPr>
                      <w:rFonts w:hint="default"/>
                      <w:color w:val="auto"/>
                    </w:rPr>
                    <w:t>8</w:t>
                  </w:r>
                  <w:r>
                    <w:rPr>
                      <w:rFonts w:hint="eastAsia"/>
                      <w:color w:val="auto"/>
                    </w:rPr>
                    <w:t>吨</w:t>
                  </w:r>
                  <w:r>
                    <w:rPr>
                      <w:rFonts w:hint="default"/>
                      <w:color w:val="auto"/>
                    </w:rPr>
                    <w:t>/</w:t>
                  </w:r>
                  <w:r>
                    <w:rPr>
                      <w:rFonts w:hint="eastAsia"/>
                      <w:color w:val="auto"/>
                    </w:rPr>
                    <w:t>万元。</w:t>
                  </w:r>
                </w:p>
              </w:tc>
              <w:tc>
                <w:tcPr>
                  <w:tcW w:w="1724" w:type="pct"/>
                  <w:tcBorders>
                    <w:top w:val="single" w:color="auto" w:sz="4" w:space="0"/>
                    <w:left w:val="single" w:color="auto" w:sz="4" w:space="0"/>
                    <w:bottom w:val="single" w:color="auto" w:sz="12" w:space="0"/>
                    <w:right w:val="single" w:color="auto" w:sz="4" w:space="0"/>
                  </w:tcBorders>
                  <w:vAlign w:val="center"/>
                </w:tcPr>
                <w:p w14:paraId="6DA2AAD8">
                  <w:pPr>
                    <w:pStyle w:val="74"/>
                    <w:keepNext w:val="0"/>
                    <w:keepLines w:val="0"/>
                    <w:suppressLineNumbers w:val="0"/>
                    <w:spacing w:before="0" w:beforeAutospacing="0" w:after="0" w:afterAutospacing="0"/>
                    <w:ind w:left="0" w:right="0"/>
                    <w:jc w:val="left"/>
                    <w:rPr>
                      <w:rFonts w:hint="eastAsia" w:eastAsia="宋体"/>
                      <w:color w:val="auto"/>
                      <w:lang w:val="en-US" w:eastAsia="zh-CN"/>
                    </w:rPr>
                  </w:pPr>
                  <w:r>
                    <w:rPr>
                      <w:rFonts w:hint="eastAsia"/>
                      <w:color w:val="auto"/>
                      <w:highlight w:val="none"/>
                      <w:lang w:eastAsia="zh-CN"/>
                    </w:rPr>
                    <w:t>本项目</w:t>
                  </w:r>
                  <w:r>
                    <w:rPr>
                      <w:rFonts w:hint="eastAsia"/>
                      <w:color w:val="auto"/>
                      <w:highlight w:val="none"/>
                    </w:rPr>
                    <w:t>工业增加值新鲜水耗</w:t>
                  </w:r>
                  <w:r>
                    <w:rPr>
                      <w:rFonts w:hint="eastAsia"/>
                      <w:color w:val="auto"/>
                    </w:rPr>
                    <w:t>≤</w:t>
                  </w:r>
                  <w:r>
                    <w:rPr>
                      <w:rFonts w:hint="default"/>
                      <w:color w:val="auto"/>
                      <w:highlight w:val="none"/>
                    </w:rPr>
                    <w:t>8</w:t>
                  </w:r>
                  <w:r>
                    <w:rPr>
                      <w:rFonts w:hint="eastAsia"/>
                      <w:color w:val="auto"/>
                      <w:highlight w:val="none"/>
                    </w:rPr>
                    <w:t>吨</w:t>
                  </w:r>
                  <w:r>
                    <w:rPr>
                      <w:rFonts w:hint="default"/>
                      <w:color w:val="auto"/>
                      <w:highlight w:val="none"/>
                    </w:rPr>
                    <w:t>/</w:t>
                  </w:r>
                  <w:r>
                    <w:rPr>
                      <w:rFonts w:hint="eastAsia"/>
                      <w:color w:val="auto"/>
                      <w:highlight w:val="none"/>
                    </w:rPr>
                    <w:t>万元</w:t>
                  </w:r>
                  <w:r>
                    <w:rPr>
                      <w:rFonts w:hint="eastAsia"/>
                      <w:color w:val="auto"/>
                      <w:highlight w:val="none"/>
                      <w:lang w:eastAsia="zh-CN"/>
                    </w:rPr>
                    <w:t>。</w:t>
                  </w:r>
                </w:p>
              </w:tc>
              <w:tc>
                <w:tcPr>
                  <w:tcW w:w="557" w:type="pct"/>
                  <w:tcBorders>
                    <w:top w:val="single" w:color="auto" w:sz="4" w:space="0"/>
                    <w:left w:val="single" w:color="auto" w:sz="4" w:space="0"/>
                    <w:bottom w:val="single" w:color="auto" w:sz="12" w:space="0"/>
                    <w:right w:val="nil"/>
                  </w:tcBorders>
                  <w:vAlign w:val="center"/>
                </w:tcPr>
                <w:p w14:paraId="38246BC3">
                  <w:pPr>
                    <w:keepNext w:val="0"/>
                    <w:keepLines w:val="0"/>
                    <w:suppressLineNumbers w:val="0"/>
                    <w:spacing w:before="0" w:beforeAutospacing="0" w:after="0" w:afterAutospacing="0"/>
                    <w:ind w:left="0" w:right="0"/>
                    <w:jc w:val="center"/>
                    <w:rPr>
                      <w:rFonts w:hint="eastAsia"/>
                      <w:color w:val="auto"/>
                    </w:rPr>
                  </w:pPr>
                  <w:r>
                    <w:rPr>
                      <w:rFonts w:hint="eastAsia"/>
                      <w:color w:val="auto"/>
                      <w:lang w:eastAsia="zh-CN"/>
                    </w:rPr>
                    <w:t>相符</w:t>
                  </w:r>
                </w:p>
              </w:tc>
            </w:tr>
          </w:tbl>
          <w:p w14:paraId="7ACB2BA0">
            <w:pPr>
              <w:keepNext/>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0" w:firstLineChars="200"/>
              <w:jc w:val="left"/>
              <w:textAlignment w:val="auto"/>
              <w:outlineLvl w:val="9"/>
              <w:rPr>
                <w:rFonts w:hint="default"/>
                <w:color w:val="auto"/>
                <w:lang w:val="en-US" w:eastAsia="zh-CN"/>
              </w:rPr>
            </w:pPr>
            <w:r>
              <w:rPr>
                <w:rFonts w:hint="eastAsia" w:ascii="宋体" w:hAnsi="宋体" w:eastAsia="宋体" w:cs="宋体"/>
                <w:b w:val="0"/>
                <w:bCs w:val="0"/>
                <w:color w:val="auto"/>
                <w:sz w:val="24"/>
                <w:szCs w:val="24"/>
                <w:lang w:val="en-US" w:eastAsia="zh-CN"/>
              </w:rPr>
              <w:t>综上，本项目满足</w:t>
            </w:r>
            <w:r>
              <w:rPr>
                <w:rFonts w:hint="eastAsia" w:ascii="宋体" w:hAnsi="宋体" w:eastAsia="宋体" w:cs="宋体"/>
                <w:b w:val="0"/>
                <w:bCs w:val="0"/>
                <w:color w:val="auto"/>
                <w:kern w:val="0"/>
                <w:sz w:val="24"/>
                <w:szCs w:val="24"/>
                <w:highlight w:val="none"/>
                <w:u w:val="none"/>
                <w:lang w:val="en-US" w:eastAsia="zh-CN"/>
              </w:rPr>
              <w:t>《</w:t>
            </w:r>
            <w:r>
              <w:rPr>
                <w:rFonts w:hint="eastAsia" w:ascii="宋体" w:hAnsi="宋体" w:eastAsia="宋体" w:cs="宋体"/>
                <w:b w:val="0"/>
                <w:bCs w:val="0"/>
                <w:color w:val="auto"/>
                <w:kern w:val="0"/>
                <w:sz w:val="24"/>
                <w:szCs w:val="24"/>
                <w:highlight w:val="none"/>
                <w:u w:val="none"/>
                <w:lang w:eastAsia="zh-CN"/>
              </w:rPr>
              <w:t>安阳市新型制造业产业园区跟踪评价</w:t>
            </w:r>
            <w:r>
              <w:rPr>
                <w:rFonts w:hint="eastAsia" w:ascii="宋体" w:hAnsi="宋体" w:eastAsia="宋体" w:cs="宋体"/>
                <w:b w:val="0"/>
                <w:bCs w:val="0"/>
                <w:color w:val="auto"/>
                <w:kern w:val="0"/>
                <w:sz w:val="24"/>
                <w:szCs w:val="24"/>
                <w:highlight w:val="none"/>
                <w:u w:val="none"/>
                <w:lang w:val="en-US" w:eastAsia="zh-CN"/>
              </w:rPr>
              <w:t>》产业负面清单与准入条件要求。</w:t>
            </w:r>
          </w:p>
        </w:tc>
      </w:tr>
      <w:tr w14:paraId="4CB2A7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93" w:hRule="atLeast"/>
          <w:jc w:val="center"/>
        </w:trPr>
        <w:tc>
          <w:tcPr>
            <w:tcW w:w="677" w:type="dxa"/>
            <w:noWrap w:val="0"/>
            <w:vAlign w:val="center"/>
          </w:tcPr>
          <w:p w14:paraId="11F9C546">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color w:val="auto"/>
                <w:sz w:val="24"/>
                <w:szCs w:val="24"/>
                <w:highlight w:val="none"/>
                <w:u w:val="none" w:color="auto"/>
              </w:rPr>
            </w:pPr>
            <w:r>
              <w:rPr>
                <w:rFonts w:hint="default" w:ascii="Times New Roman" w:hAnsi="Times New Roman" w:eastAsia="宋体" w:cs="Times New Roman"/>
                <w:b w:val="0"/>
                <w:bCs w:val="0"/>
                <w:color w:val="auto"/>
                <w:kern w:val="0"/>
                <w:sz w:val="24"/>
                <w:szCs w:val="24"/>
                <w:highlight w:val="none"/>
                <w:u w:val="none" w:color="auto"/>
              </w:rPr>
              <w:t>其他符合性分析</w:t>
            </w:r>
          </w:p>
        </w:tc>
        <w:tc>
          <w:tcPr>
            <w:tcW w:w="8285" w:type="dxa"/>
            <w:gridSpan w:val="4"/>
            <w:noWrap w:val="0"/>
            <w:vAlign w:val="center"/>
          </w:tcPr>
          <w:p w14:paraId="5136C8AF">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jc w:val="both"/>
              <w:textAlignment w:val="auto"/>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1.产业政策相符性分析</w:t>
            </w:r>
          </w:p>
          <w:p w14:paraId="07DCE02C">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rPr>
            </w:pPr>
            <w:r>
              <w:rPr>
                <w:rFonts w:hint="default" w:ascii="Times New Roman" w:hAnsi="Times New Roman" w:eastAsia="宋体" w:cs="Times New Roman"/>
                <w:b w:val="0"/>
                <w:bCs w:val="0"/>
                <w:color w:val="auto"/>
                <w:kern w:val="2"/>
                <w:sz w:val="24"/>
                <w:szCs w:val="24"/>
                <w:lang w:val="en-US" w:eastAsia="zh-CN" w:bidi="ar"/>
              </w:rPr>
              <w:t>根据《建设项目环境影响评价分类管理名录》（</w:t>
            </w:r>
            <w:r>
              <w:rPr>
                <w:rFonts w:hint="eastAsia" w:ascii="Times New Roman" w:hAnsi="Times New Roman" w:eastAsia="宋体" w:cs="Times New Roman"/>
                <w:b w:val="0"/>
                <w:bCs w:val="0"/>
                <w:color w:val="auto"/>
                <w:kern w:val="2"/>
                <w:sz w:val="24"/>
                <w:szCs w:val="24"/>
                <w:lang w:val="en-US" w:eastAsia="zh-CN" w:bidi="ar"/>
              </w:rPr>
              <w:t>2021年版</w:t>
            </w:r>
            <w:r>
              <w:rPr>
                <w:rFonts w:hint="default" w:ascii="Times New Roman" w:hAnsi="Times New Roman" w:eastAsia="宋体" w:cs="Times New Roman"/>
                <w:b w:val="0"/>
                <w:bCs w:val="0"/>
                <w:color w:val="auto"/>
                <w:kern w:val="2"/>
                <w:sz w:val="24"/>
                <w:szCs w:val="24"/>
                <w:lang w:val="en-US" w:eastAsia="zh-CN" w:bidi="ar"/>
              </w:rPr>
              <w:t>），本项目</w:t>
            </w:r>
            <w:r>
              <w:rPr>
                <w:rFonts w:hint="eastAsia" w:cs="Times New Roman"/>
                <w:b w:val="0"/>
                <w:bCs w:val="0"/>
                <w:color w:val="auto"/>
                <w:kern w:val="2"/>
                <w:sz w:val="24"/>
                <w:szCs w:val="24"/>
                <w:lang w:val="en-US" w:eastAsia="zh-CN" w:bidi="ar"/>
              </w:rPr>
              <w:t>采用</w:t>
            </w:r>
            <w:r>
              <w:rPr>
                <w:rFonts w:hint="eastAsia" w:ascii="Times New Roman" w:hAnsi="Times New Roman" w:eastAsia="宋体" w:cs="Times New Roman"/>
                <w:b w:val="0"/>
                <w:bCs w:val="0"/>
                <w:color w:val="auto"/>
                <w:kern w:val="2"/>
                <w:sz w:val="24"/>
                <w:szCs w:val="24"/>
                <w:lang w:val="en-US" w:eastAsia="zh-CN" w:bidi="ar"/>
              </w:rPr>
              <w:t>淬火炉、拉丝机等设备对钢丝</w:t>
            </w:r>
            <w:r>
              <w:rPr>
                <w:rFonts w:hint="eastAsia" w:cs="Times New Roman"/>
                <w:b w:val="0"/>
                <w:bCs w:val="0"/>
                <w:color w:val="auto"/>
                <w:kern w:val="2"/>
                <w:sz w:val="24"/>
                <w:szCs w:val="24"/>
                <w:lang w:val="en-US" w:eastAsia="zh-CN" w:bidi="ar"/>
              </w:rPr>
              <w:t>进行</w:t>
            </w:r>
            <w:r>
              <w:rPr>
                <w:rFonts w:hint="eastAsia" w:ascii="Times New Roman" w:hAnsi="Times New Roman" w:eastAsia="宋体" w:cs="Times New Roman"/>
                <w:b w:val="0"/>
                <w:bCs w:val="0"/>
                <w:color w:val="auto"/>
                <w:kern w:val="2"/>
                <w:sz w:val="24"/>
                <w:szCs w:val="24"/>
                <w:lang w:val="en-US" w:eastAsia="zh-CN" w:bidi="ar"/>
              </w:rPr>
              <w:t>加工</w:t>
            </w:r>
            <w:r>
              <w:rPr>
                <w:rFonts w:hint="default" w:ascii="Times New Roman" w:hAnsi="Times New Roman" w:eastAsia="宋体" w:cs="Times New Roman"/>
                <w:b w:val="0"/>
                <w:bCs w:val="0"/>
                <w:color w:val="auto"/>
                <w:kern w:val="2"/>
                <w:sz w:val="24"/>
                <w:szCs w:val="24"/>
                <w:lang w:val="en-US" w:eastAsia="zh-CN" w:bidi="ar"/>
              </w:rPr>
              <w:t>，</w:t>
            </w:r>
            <w:r>
              <w:rPr>
                <w:rFonts w:hint="eastAsia" w:ascii="Times New Roman" w:hAnsi="Times New Roman" w:eastAsia="宋体" w:cs="Times New Roman"/>
                <w:b w:val="0"/>
                <w:bCs w:val="0"/>
                <w:color w:val="auto"/>
                <w:kern w:val="2"/>
                <w:sz w:val="24"/>
                <w:szCs w:val="24"/>
                <w:lang w:val="en-US" w:eastAsia="zh-CN" w:bidi="ar"/>
              </w:rPr>
              <w:t>属于“</w:t>
            </w:r>
            <w:r>
              <w:rPr>
                <w:rFonts w:hint="default" w:ascii="Times New Roman" w:hAnsi="Times New Roman" w:eastAsia="宋体" w:cs="Times New Roman"/>
                <w:color w:val="auto"/>
                <w:sz w:val="24"/>
                <w:szCs w:val="24"/>
                <w:u w:val="none" w:color="auto"/>
                <w:lang w:val="en-US" w:eastAsia="zh-CN"/>
              </w:rPr>
              <w:t>三十、</w:t>
            </w:r>
            <w:r>
              <w:rPr>
                <w:rFonts w:hint="eastAsia" w:ascii="Times New Roman" w:hAnsi="Times New Roman" w:eastAsia="宋体" w:cs="Times New Roman"/>
                <w:color w:val="auto"/>
                <w:sz w:val="24"/>
                <w:szCs w:val="24"/>
                <w:u w:val="none" w:color="auto"/>
                <w:lang w:val="en-US" w:eastAsia="zh-CN"/>
              </w:rPr>
              <w:t>金属制品业 33-66金属丝绳及其制品制造</w:t>
            </w:r>
            <w:r>
              <w:rPr>
                <w:rFonts w:hint="eastAsia" w:cs="Times New Roman"/>
                <w:color w:val="auto"/>
                <w:sz w:val="24"/>
                <w:szCs w:val="24"/>
                <w:u w:val="none" w:color="auto"/>
                <w:lang w:val="en-US" w:eastAsia="zh-CN"/>
              </w:rPr>
              <w:t>334</w:t>
            </w:r>
            <w:r>
              <w:rPr>
                <w:rFonts w:hint="eastAsia" w:ascii="Times New Roman" w:hAnsi="Times New Roman" w:eastAsia="宋体" w:cs="Times New Roman"/>
                <w:b w:val="0"/>
                <w:bCs w:val="0"/>
                <w:color w:val="auto"/>
                <w:kern w:val="2"/>
                <w:sz w:val="24"/>
                <w:szCs w:val="24"/>
                <w:lang w:val="en-US" w:eastAsia="zh-CN" w:bidi="ar"/>
              </w:rPr>
              <w:t>”</w:t>
            </w:r>
            <w:r>
              <w:rPr>
                <w:rFonts w:hint="default" w:ascii="Times New Roman" w:hAnsi="Times New Roman" w:eastAsia="宋体" w:cs="Times New Roman"/>
                <w:b w:val="0"/>
                <w:bCs w:val="0"/>
                <w:color w:val="auto"/>
                <w:kern w:val="2"/>
                <w:sz w:val="24"/>
                <w:szCs w:val="24"/>
                <w:lang w:val="en-US" w:eastAsia="zh-CN" w:bidi="ar"/>
              </w:rPr>
              <w:t>，</w:t>
            </w:r>
            <w:r>
              <w:rPr>
                <w:rFonts w:hint="default" w:ascii="Times New Roman" w:hAnsi="Times New Roman" w:eastAsia="宋体" w:cs="Times New Roman"/>
                <w:b w:val="0"/>
                <w:bCs w:val="0"/>
                <w:color w:val="auto"/>
                <w:kern w:val="2"/>
                <w:sz w:val="24"/>
                <w:szCs w:val="24"/>
                <w:highlight w:val="none"/>
                <w:lang w:val="en-US" w:eastAsia="zh-CN" w:bidi="ar"/>
              </w:rPr>
              <w:t>经对照《产业结构调整指导目录（2024年本）》，本项目不属于鼓励类、限制类及淘汰类，为允许类项目</w:t>
            </w:r>
            <w:r>
              <w:rPr>
                <w:rFonts w:hint="default" w:ascii="Times New Roman" w:hAnsi="Times New Roman" w:eastAsia="宋体" w:cs="Times New Roman"/>
                <w:b w:val="0"/>
                <w:bCs w:val="0"/>
                <w:color w:val="auto"/>
                <w:kern w:val="2"/>
                <w:sz w:val="24"/>
                <w:szCs w:val="24"/>
                <w:lang w:val="en-US" w:eastAsia="zh-CN" w:bidi="ar"/>
              </w:rPr>
              <w:t>，其建设符合国家产业政策。项目工艺、产品及</w:t>
            </w:r>
            <w:r>
              <w:rPr>
                <w:rFonts w:hint="eastAsia" w:cs="Times New Roman"/>
                <w:b w:val="0"/>
                <w:bCs w:val="0"/>
                <w:color w:val="auto"/>
                <w:kern w:val="2"/>
                <w:sz w:val="24"/>
                <w:szCs w:val="24"/>
                <w:lang w:val="en-US" w:eastAsia="zh-CN" w:bidi="ar"/>
              </w:rPr>
              <w:t>生产</w:t>
            </w:r>
            <w:r>
              <w:rPr>
                <w:rFonts w:hint="default" w:ascii="Times New Roman" w:hAnsi="Times New Roman" w:eastAsia="宋体" w:cs="Times New Roman"/>
                <w:b w:val="0"/>
                <w:bCs w:val="0"/>
                <w:color w:val="auto"/>
                <w:kern w:val="2"/>
                <w:sz w:val="24"/>
                <w:szCs w:val="24"/>
                <w:lang w:val="en-US" w:eastAsia="zh-CN" w:bidi="ar"/>
              </w:rPr>
              <w:t>设备未列入《淘汰落后生产能力、工艺和产品的目录（全四批）》，项目所用设备均不在淘汰类之列，项目符合当前国家产业政策。</w:t>
            </w:r>
          </w:p>
          <w:p w14:paraId="5312094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2"/>
                <w:sz w:val="24"/>
                <w:szCs w:val="24"/>
              </w:rPr>
            </w:pPr>
            <w:r>
              <w:rPr>
                <w:rFonts w:hint="default" w:ascii="Times New Roman" w:hAnsi="Times New Roman" w:eastAsia="宋体" w:cs="Times New Roman"/>
                <w:b w:val="0"/>
                <w:bCs w:val="0"/>
                <w:color w:val="auto"/>
                <w:kern w:val="2"/>
                <w:sz w:val="24"/>
                <w:szCs w:val="24"/>
                <w:lang w:val="en-US" w:eastAsia="zh-CN" w:bidi="ar"/>
              </w:rPr>
              <w:t>安阳市</w:t>
            </w:r>
            <w:r>
              <w:rPr>
                <w:rFonts w:hint="eastAsia" w:ascii="Times New Roman" w:hAnsi="Times New Roman" w:eastAsia="宋体" w:cs="Times New Roman"/>
                <w:b w:val="0"/>
                <w:bCs w:val="0"/>
                <w:color w:val="auto"/>
                <w:kern w:val="2"/>
                <w:sz w:val="24"/>
                <w:szCs w:val="24"/>
                <w:lang w:val="en-US" w:eastAsia="zh-CN" w:bidi="ar"/>
              </w:rPr>
              <w:t>汤阴县</w:t>
            </w:r>
            <w:r>
              <w:rPr>
                <w:rFonts w:hint="default" w:ascii="Times New Roman" w:hAnsi="Times New Roman" w:eastAsia="宋体" w:cs="Times New Roman"/>
                <w:b w:val="0"/>
                <w:bCs w:val="0"/>
                <w:color w:val="auto"/>
                <w:kern w:val="2"/>
                <w:sz w:val="24"/>
                <w:szCs w:val="24"/>
                <w:lang w:val="en-US" w:eastAsia="zh-CN" w:bidi="ar"/>
              </w:rPr>
              <w:t>发展和改革委员会同意项目备案，项目代码为250</w:t>
            </w:r>
            <w:r>
              <w:rPr>
                <w:rFonts w:hint="eastAsia" w:ascii="Times New Roman" w:hAnsi="Times New Roman" w:eastAsia="宋体" w:cs="Times New Roman"/>
                <w:b w:val="0"/>
                <w:bCs w:val="0"/>
                <w:color w:val="auto"/>
                <w:kern w:val="2"/>
                <w:sz w:val="24"/>
                <w:szCs w:val="24"/>
                <w:lang w:val="en-US" w:eastAsia="zh-CN" w:bidi="ar"/>
              </w:rPr>
              <w:t>6</w:t>
            </w:r>
            <w:r>
              <w:rPr>
                <w:rFonts w:hint="default" w:ascii="Times New Roman" w:hAnsi="Times New Roman" w:eastAsia="宋体" w:cs="Times New Roman"/>
                <w:b w:val="0"/>
                <w:bCs w:val="0"/>
                <w:color w:val="auto"/>
                <w:kern w:val="2"/>
                <w:sz w:val="24"/>
                <w:szCs w:val="24"/>
                <w:lang w:val="en-US" w:eastAsia="zh-CN" w:bidi="ar"/>
              </w:rPr>
              <w:t>-410</w:t>
            </w:r>
            <w:r>
              <w:rPr>
                <w:rFonts w:hint="eastAsia" w:ascii="Times New Roman" w:hAnsi="Times New Roman" w:eastAsia="宋体" w:cs="Times New Roman"/>
                <w:b w:val="0"/>
                <w:bCs w:val="0"/>
                <w:color w:val="auto"/>
                <w:kern w:val="2"/>
                <w:sz w:val="24"/>
                <w:szCs w:val="24"/>
                <w:lang w:val="en-US" w:eastAsia="zh-CN" w:bidi="ar"/>
              </w:rPr>
              <w:t>523</w:t>
            </w:r>
            <w:r>
              <w:rPr>
                <w:rFonts w:hint="default" w:ascii="Times New Roman" w:hAnsi="Times New Roman" w:eastAsia="宋体" w:cs="Times New Roman"/>
                <w:b w:val="0"/>
                <w:bCs w:val="0"/>
                <w:color w:val="auto"/>
                <w:kern w:val="2"/>
                <w:sz w:val="24"/>
                <w:szCs w:val="24"/>
                <w:lang w:val="en-US" w:eastAsia="zh-CN" w:bidi="ar"/>
              </w:rPr>
              <w:t>-04-0</w:t>
            </w:r>
            <w:r>
              <w:rPr>
                <w:rFonts w:hint="eastAsia" w:ascii="Times New Roman" w:hAnsi="Times New Roman" w:eastAsia="宋体" w:cs="Times New Roman"/>
                <w:b w:val="0"/>
                <w:bCs w:val="0"/>
                <w:color w:val="auto"/>
                <w:kern w:val="2"/>
                <w:sz w:val="24"/>
                <w:szCs w:val="24"/>
                <w:lang w:val="en-US" w:eastAsia="zh-CN" w:bidi="ar"/>
              </w:rPr>
              <w:t>1</w:t>
            </w:r>
            <w:r>
              <w:rPr>
                <w:rFonts w:hint="default" w:ascii="Times New Roman" w:hAnsi="Times New Roman" w:eastAsia="宋体" w:cs="Times New Roman"/>
                <w:b w:val="0"/>
                <w:bCs w:val="0"/>
                <w:color w:val="auto"/>
                <w:kern w:val="2"/>
                <w:sz w:val="24"/>
                <w:szCs w:val="24"/>
                <w:lang w:val="en-US" w:eastAsia="zh-CN" w:bidi="ar"/>
              </w:rPr>
              <w:t>-</w:t>
            </w:r>
            <w:r>
              <w:rPr>
                <w:rFonts w:hint="eastAsia" w:ascii="Times New Roman" w:hAnsi="Times New Roman" w:eastAsia="宋体" w:cs="Times New Roman"/>
                <w:b w:val="0"/>
                <w:bCs w:val="0"/>
                <w:color w:val="auto"/>
                <w:kern w:val="2"/>
                <w:sz w:val="24"/>
                <w:szCs w:val="24"/>
                <w:lang w:val="en-US" w:eastAsia="zh-CN" w:bidi="ar"/>
              </w:rPr>
              <w:t>123477</w:t>
            </w:r>
            <w:r>
              <w:rPr>
                <w:rFonts w:hint="default" w:ascii="Times New Roman" w:hAnsi="Times New Roman" w:eastAsia="宋体" w:cs="Times New Roman"/>
                <w:b w:val="0"/>
                <w:bCs w:val="0"/>
                <w:color w:val="auto"/>
                <w:kern w:val="2"/>
                <w:sz w:val="24"/>
                <w:szCs w:val="24"/>
                <w:lang w:val="en-US" w:eastAsia="zh-CN" w:bidi="ar"/>
              </w:rPr>
              <w:t>（</w:t>
            </w:r>
            <w:r>
              <w:rPr>
                <w:rFonts w:hint="default" w:ascii="Times New Roman" w:hAnsi="Times New Roman" w:eastAsia="宋体" w:cs="Times New Roman"/>
                <w:b w:val="0"/>
                <w:bCs w:val="0"/>
                <w:color w:val="auto"/>
                <w:kern w:val="2"/>
                <w:sz w:val="24"/>
                <w:szCs w:val="24"/>
                <w:highlight w:val="none"/>
                <w:lang w:val="en-US" w:eastAsia="zh-CN" w:bidi="ar"/>
              </w:rPr>
              <w:t>见附件</w:t>
            </w:r>
            <w:r>
              <w:rPr>
                <w:rFonts w:hint="eastAsia" w:cs="Times New Roman"/>
                <w:b w:val="0"/>
                <w:bCs w:val="0"/>
                <w:color w:val="auto"/>
                <w:kern w:val="2"/>
                <w:sz w:val="24"/>
                <w:szCs w:val="24"/>
                <w:highlight w:val="none"/>
                <w:lang w:val="en-US" w:eastAsia="zh-CN" w:bidi="ar"/>
              </w:rPr>
              <w:t>3</w:t>
            </w:r>
            <w:r>
              <w:rPr>
                <w:rFonts w:hint="default" w:ascii="Times New Roman" w:hAnsi="Times New Roman" w:eastAsia="宋体" w:cs="Times New Roman"/>
                <w:b w:val="0"/>
                <w:bCs w:val="0"/>
                <w:color w:val="auto"/>
                <w:kern w:val="2"/>
                <w:sz w:val="24"/>
                <w:szCs w:val="24"/>
                <w:lang w:val="en-US" w:eastAsia="zh-CN" w:bidi="ar"/>
              </w:rPr>
              <w:t>）。</w:t>
            </w:r>
          </w:p>
          <w:p w14:paraId="01671A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bCs/>
                <w:color w:val="auto"/>
                <w:kern w:val="0"/>
                <w:sz w:val="24"/>
                <w:szCs w:val="24"/>
                <w:lang w:val="en-US" w:eastAsia="zh-CN" w:bidi="ar"/>
              </w:rPr>
              <w:t>2.土地、规划手续</w:t>
            </w:r>
          </w:p>
          <w:p w14:paraId="70FD2A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Cs/>
                <w:color w:val="auto"/>
                <w:kern w:val="2"/>
                <w:sz w:val="24"/>
                <w:szCs w:val="24"/>
                <w:highlight w:val="none"/>
                <w:u w:val="none" w:color="auto"/>
                <w:lang w:val="en-US" w:eastAsia="zh-CN" w:bidi="ar-SA"/>
              </w:rPr>
              <w:t>本项目建设地点位于安阳市</w:t>
            </w:r>
            <w:r>
              <w:rPr>
                <w:rFonts w:hint="eastAsia" w:ascii="Times New Roman" w:hAnsi="Times New Roman" w:eastAsia="宋体" w:cs="Times New Roman"/>
                <w:bCs/>
                <w:color w:val="auto"/>
                <w:kern w:val="2"/>
                <w:sz w:val="24"/>
                <w:szCs w:val="24"/>
                <w:highlight w:val="none"/>
                <w:u w:val="none" w:color="auto"/>
                <w:lang w:val="en-US" w:eastAsia="zh-CN" w:bidi="ar-SA"/>
              </w:rPr>
              <w:t>汤阴县宜沟镇安阳市新型制造业产业园区</w:t>
            </w:r>
            <w:r>
              <w:rPr>
                <w:rFonts w:hint="eastAsia" w:cs="Times New Roman"/>
                <w:bCs/>
                <w:color w:val="auto"/>
                <w:kern w:val="2"/>
                <w:sz w:val="24"/>
                <w:szCs w:val="24"/>
                <w:highlight w:val="none"/>
                <w:u w:val="none" w:color="auto"/>
                <w:lang w:val="en-US" w:eastAsia="zh-CN" w:bidi="ar-SA"/>
              </w:rPr>
              <w:t>中兴路</w:t>
            </w:r>
            <w:r>
              <w:rPr>
                <w:rFonts w:hint="eastAsia" w:ascii="Times New Roman" w:hAnsi="Times New Roman" w:eastAsia="宋体" w:cs="Times New Roman"/>
                <w:bCs/>
                <w:color w:val="auto"/>
                <w:kern w:val="2"/>
                <w:sz w:val="24"/>
                <w:szCs w:val="24"/>
                <w:highlight w:val="none"/>
                <w:u w:val="none" w:color="auto"/>
                <w:lang w:val="en-US" w:eastAsia="zh-CN" w:bidi="ar-SA"/>
              </w:rPr>
              <w:t>南头</w:t>
            </w:r>
            <w:r>
              <w:rPr>
                <w:rFonts w:hint="default" w:ascii="Times New Roman" w:hAnsi="Times New Roman" w:eastAsia="宋体" w:cs="Times New Roman"/>
                <w:bCs/>
                <w:color w:val="auto"/>
                <w:kern w:val="2"/>
                <w:sz w:val="24"/>
                <w:szCs w:val="24"/>
                <w:highlight w:val="none"/>
                <w:u w:val="none" w:color="auto"/>
                <w:lang w:val="en-US" w:eastAsia="zh-CN" w:bidi="ar-SA"/>
              </w:rPr>
              <w:t>，</w:t>
            </w:r>
            <w:r>
              <w:rPr>
                <w:rFonts w:hint="eastAsia" w:ascii="Times New Roman" w:hAnsi="Times New Roman" w:eastAsia="宋体" w:cs="Times New Roman"/>
                <w:bCs/>
                <w:color w:val="auto"/>
                <w:kern w:val="2"/>
                <w:sz w:val="24"/>
                <w:szCs w:val="24"/>
                <w:highlight w:val="none"/>
                <w:u w:val="none" w:color="auto"/>
                <w:lang w:val="en-US" w:eastAsia="zh-CN" w:bidi="ar-SA"/>
              </w:rPr>
              <w:t>根据安阳</w:t>
            </w:r>
            <w:r>
              <w:rPr>
                <w:rFonts w:hint="eastAsia" w:cs="Times New Roman"/>
                <w:bCs/>
                <w:color w:val="auto"/>
                <w:kern w:val="2"/>
                <w:sz w:val="24"/>
                <w:szCs w:val="24"/>
                <w:highlight w:val="none"/>
                <w:u w:val="none" w:color="auto"/>
                <w:lang w:val="en-US" w:eastAsia="zh-CN" w:bidi="ar-SA"/>
              </w:rPr>
              <w:t>双兴线材制品有限公司房产</w:t>
            </w:r>
            <w:r>
              <w:rPr>
                <w:rFonts w:hint="eastAsia" w:ascii="Times New Roman" w:hAnsi="Times New Roman" w:eastAsia="宋体" w:cs="Times New Roman"/>
                <w:bCs/>
                <w:color w:val="auto"/>
                <w:kern w:val="2"/>
                <w:sz w:val="24"/>
                <w:szCs w:val="24"/>
                <w:highlight w:val="none"/>
                <w:u w:val="none" w:color="auto"/>
                <w:lang w:val="en-US" w:eastAsia="zh-CN" w:bidi="ar-SA"/>
              </w:rPr>
              <w:t>证</w:t>
            </w:r>
            <w:r>
              <w:rPr>
                <w:rFonts w:hint="eastAsia" w:cs="Times New Roman"/>
                <w:bCs/>
                <w:color w:val="auto"/>
                <w:kern w:val="2"/>
                <w:sz w:val="24"/>
                <w:szCs w:val="24"/>
                <w:highlight w:val="none"/>
                <w:u w:val="none" w:color="auto"/>
                <w:lang w:val="en-US" w:eastAsia="zh-CN" w:bidi="ar-SA"/>
              </w:rPr>
              <w:t>、</w:t>
            </w:r>
            <w:r>
              <w:rPr>
                <w:rFonts w:hint="eastAsia" w:cs="Times New Roman"/>
                <w:b w:val="0"/>
                <w:bCs/>
                <w:color w:val="auto"/>
                <w:kern w:val="2"/>
                <w:sz w:val="24"/>
                <w:szCs w:val="24"/>
                <w:highlight w:val="none"/>
                <w:u w:val="none" w:color="auto"/>
                <w:lang w:val="en-US" w:eastAsia="zh-CN" w:bidi="ar-SA"/>
              </w:rPr>
              <w:t>入驻证明</w:t>
            </w:r>
            <w:r>
              <w:rPr>
                <w:rFonts w:hint="eastAsia" w:ascii="Times New Roman" w:hAnsi="Times New Roman" w:eastAsia="宋体" w:cs="Times New Roman"/>
                <w:bCs/>
                <w:color w:val="auto"/>
                <w:kern w:val="2"/>
                <w:sz w:val="24"/>
                <w:szCs w:val="24"/>
                <w:highlight w:val="none"/>
                <w:u w:val="none" w:color="auto"/>
                <w:lang w:val="en-US" w:eastAsia="zh-CN" w:bidi="ar-SA"/>
              </w:rPr>
              <w:t>（见附件</w:t>
            </w:r>
            <w:r>
              <w:rPr>
                <w:rFonts w:hint="eastAsia" w:cs="Times New Roman"/>
                <w:bCs/>
                <w:color w:val="auto"/>
                <w:kern w:val="2"/>
                <w:sz w:val="24"/>
                <w:szCs w:val="24"/>
                <w:highlight w:val="none"/>
                <w:u w:val="none" w:color="auto"/>
                <w:lang w:val="en-US" w:eastAsia="zh-CN" w:bidi="ar-SA"/>
              </w:rPr>
              <w:t>5</w:t>
            </w:r>
            <w:r>
              <w:rPr>
                <w:rFonts w:hint="eastAsia" w:ascii="Times New Roman" w:hAnsi="Times New Roman" w:eastAsia="宋体" w:cs="Times New Roman"/>
                <w:bCs/>
                <w:color w:val="auto"/>
                <w:kern w:val="2"/>
                <w:sz w:val="24"/>
                <w:szCs w:val="24"/>
                <w:highlight w:val="none"/>
                <w:u w:val="none" w:color="auto"/>
                <w:lang w:val="en-US" w:eastAsia="zh-CN" w:bidi="ar-SA"/>
              </w:rPr>
              <w:t>），本项目为工业用地，</w:t>
            </w:r>
            <w:r>
              <w:rPr>
                <w:rFonts w:hint="eastAsia" w:ascii="Times New Roman" w:hAnsi="Times New Roman" w:eastAsia="宋体" w:cs="Times New Roman"/>
                <w:b w:val="0"/>
                <w:bCs w:val="0"/>
                <w:color w:val="auto"/>
                <w:sz w:val="24"/>
                <w:szCs w:val="24"/>
                <w:highlight w:val="none"/>
                <w:u w:val="none" w:color="auto"/>
                <w:lang w:val="en-US" w:eastAsia="zh-CN"/>
              </w:rPr>
              <w:t>根据《安阳市新型制造业产业园区空间发展规划（2010-2020）环境影响报告书》和规划图（见附图3），本项目所在地用地为工业用地，</w:t>
            </w:r>
            <w:r>
              <w:rPr>
                <w:rFonts w:hint="eastAsia" w:ascii="Times New Roman" w:hAnsi="Times New Roman" w:eastAsia="宋体" w:cs="Times New Roman"/>
                <w:bCs/>
                <w:color w:val="auto"/>
                <w:kern w:val="2"/>
                <w:sz w:val="24"/>
                <w:szCs w:val="24"/>
                <w:highlight w:val="none"/>
                <w:u w:val="none" w:color="auto"/>
                <w:lang w:val="en-US" w:eastAsia="zh-CN" w:bidi="ar-SA"/>
              </w:rPr>
              <w:t>本项目建设符合土地利用总体规划。</w:t>
            </w:r>
          </w:p>
          <w:p w14:paraId="3E22DEB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3.</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三线一单</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相符性分析</w:t>
            </w:r>
          </w:p>
          <w:p w14:paraId="59FD349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Cs/>
                <w:color w:val="auto"/>
                <w:kern w:val="2"/>
                <w:sz w:val="24"/>
                <w:szCs w:val="24"/>
                <w:highlight w:val="none"/>
                <w:u w:val="none" w:color="auto"/>
                <w:lang w:val="en-US" w:eastAsia="zh-CN" w:bidi="ar-SA"/>
              </w:rPr>
            </w:pPr>
            <w:r>
              <w:rPr>
                <w:rFonts w:hint="default" w:ascii="Times New Roman" w:hAnsi="Times New Roman" w:eastAsia="宋体" w:cs="Times New Roman"/>
                <w:b/>
                <w:bCs w:val="0"/>
                <w:color w:val="auto"/>
                <w:kern w:val="2"/>
                <w:sz w:val="24"/>
                <w:szCs w:val="24"/>
                <w:highlight w:val="none"/>
                <w:u w:val="none" w:color="auto"/>
                <w:lang w:val="en-US" w:eastAsia="zh-CN" w:bidi="ar-SA"/>
              </w:rPr>
              <w:t>3.1生态红线</w:t>
            </w:r>
          </w:p>
          <w:p w14:paraId="09EC6F2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auto"/>
                <w:kern w:val="2"/>
                <w:sz w:val="24"/>
                <w:szCs w:val="24"/>
                <w:highlight w:val="none"/>
                <w:u w:val="none" w:color="auto"/>
                <w:lang w:val="en-US" w:eastAsia="zh-CN" w:bidi="ar-SA"/>
              </w:rPr>
            </w:pPr>
            <w:r>
              <w:rPr>
                <w:rFonts w:hint="default" w:ascii="Times New Roman" w:hAnsi="Times New Roman" w:eastAsia="宋体" w:cs="Times New Roman"/>
                <w:bCs/>
                <w:color w:val="auto"/>
                <w:kern w:val="2"/>
                <w:sz w:val="24"/>
                <w:szCs w:val="24"/>
                <w:highlight w:val="none"/>
                <w:u w:val="none" w:color="auto"/>
                <w:lang w:val="en-US" w:eastAsia="zh-CN" w:bidi="ar-SA"/>
              </w:rPr>
              <w:t>根据安阳市生态环境局关于调整《安阳市</w:t>
            </w:r>
            <w:r>
              <w:rPr>
                <w:rFonts w:hint="eastAsia" w:ascii="Times New Roman" w:hAnsi="Times New Roman" w:eastAsia="宋体" w:cs="Times New Roman"/>
                <w:bCs/>
                <w:color w:val="auto"/>
                <w:kern w:val="2"/>
                <w:sz w:val="24"/>
                <w:szCs w:val="24"/>
                <w:highlight w:val="none"/>
                <w:u w:val="none" w:color="auto"/>
                <w:lang w:val="en-US" w:eastAsia="zh-CN" w:bidi="ar-SA"/>
              </w:rPr>
              <w:t>“</w:t>
            </w:r>
            <w:r>
              <w:rPr>
                <w:rFonts w:hint="default" w:ascii="Times New Roman" w:hAnsi="Times New Roman" w:eastAsia="宋体" w:cs="Times New Roman"/>
                <w:bCs/>
                <w:color w:val="auto"/>
                <w:kern w:val="2"/>
                <w:sz w:val="24"/>
                <w:szCs w:val="24"/>
                <w:highlight w:val="none"/>
                <w:u w:val="none" w:color="auto"/>
                <w:lang w:val="en-US" w:eastAsia="zh-CN" w:bidi="ar-SA"/>
              </w:rPr>
              <w:t>三线一单</w:t>
            </w:r>
            <w:r>
              <w:rPr>
                <w:rFonts w:hint="eastAsia" w:ascii="Times New Roman" w:hAnsi="Times New Roman" w:eastAsia="宋体" w:cs="Times New Roman"/>
                <w:bCs/>
                <w:color w:val="auto"/>
                <w:kern w:val="2"/>
                <w:sz w:val="24"/>
                <w:szCs w:val="24"/>
                <w:highlight w:val="none"/>
                <w:u w:val="none" w:color="auto"/>
                <w:lang w:val="en-US" w:eastAsia="zh-CN" w:bidi="ar-SA"/>
              </w:rPr>
              <w:t>”</w:t>
            </w:r>
            <w:r>
              <w:rPr>
                <w:rFonts w:hint="default" w:ascii="Times New Roman" w:hAnsi="Times New Roman" w:eastAsia="宋体" w:cs="Times New Roman"/>
                <w:bCs/>
                <w:color w:val="auto"/>
                <w:kern w:val="2"/>
                <w:sz w:val="24"/>
                <w:szCs w:val="24"/>
                <w:highlight w:val="none"/>
                <w:u w:val="none" w:color="auto"/>
                <w:lang w:val="en-US" w:eastAsia="zh-CN" w:bidi="ar-SA"/>
              </w:rPr>
              <w:t>生态环境分区管控准入清单（2023年版）》的函（安环函〔2023〕60号），本项目位于安阳市</w:t>
            </w:r>
            <w:r>
              <w:rPr>
                <w:rFonts w:hint="eastAsia" w:ascii="Times New Roman" w:hAnsi="Times New Roman" w:eastAsia="宋体" w:cs="Times New Roman"/>
                <w:bCs/>
                <w:color w:val="auto"/>
                <w:kern w:val="2"/>
                <w:sz w:val="24"/>
                <w:szCs w:val="24"/>
                <w:highlight w:val="none"/>
                <w:u w:val="none" w:color="auto"/>
                <w:lang w:val="en-US" w:eastAsia="zh-CN" w:bidi="ar-SA"/>
              </w:rPr>
              <w:t>汤阴县宜沟镇安阳市新型制造业产业园区</w:t>
            </w:r>
            <w:r>
              <w:rPr>
                <w:rFonts w:hint="eastAsia" w:cs="Times New Roman"/>
                <w:bCs/>
                <w:color w:val="auto"/>
                <w:kern w:val="2"/>
                <w:sz w:val="24"/>
                <w:szCs w:val="24"/>
                <w:highlight w:val="none"/>
                <w:u w:val="none" w:color="auto"/>
                <w:lang w:val="en-US" w:eastAsia="zh-CN" w:bidi="ar-SA"/>
              </w:rPr>
              <w:t>中兴</w:t>
            </w:r>
            <w:r>
              <w:rPr>
                <w:rFonts w:hint="eastAsia" w:ascii="Times New Roman" w:hAnsi="Times New Roman" w:eastAsia="宋体" w:cs="Times New Roman"/>
                <w:bCs/>
                <w:color w:val="auto"/>
                <w:kern w:val="2"/>
                <w:sz w:val="24"/>
                <w:szCs w:val="24"/>
                <w:highlight w:val="none"/>
                <w:u w:val="none" w:color="auto"/>
                <w:lang w:val="en-US" w:eastAsia="zh-CN" w:bidi="ar-SA"/>
              </w:rPr>
              <w:t>路南头</w:t>
            </w:r>
            <w:r>
              <w:rPr>
                <w:rFonts w:hint="default" w:ascii="Times New Roman" w:hAnsi="Times New Roman" w:eastAsia="宋体" w:cs="Times New Roman"/>
                <w:bCs/>
                <w:color w:val="auto"/>
                <w:kern w:val="2"/>
                <w:sz w:val="24"/>
                <w:szCs w:val="24"/>
                <w:highlight w:val="none"/>
                <w:u w:val="none" w:color="auto"/>
                <w:lang w:val="en-US" w:eastAsia="zh-CN" w:bidi="ar-SA"/>
              </w:rPr>
              <w:t>，属于重点管控单元——</w:t>
            </w:r>
            <w:r>
              <w:rPr>
                <w:rFonts w:hint="eastAsia" w:ascii="Times New Roman" w:hAnsi="Times New Roman" w:eastAsia="宋体" w:cs="Times New Roman"/>
                <w:bCs/>
                <w:color w:val="auto"/>
                <w:kern w:val="2"/>
                <w:sz w:val="24"/>
                <w:szCs w:val="24"/>
                <w:highlight w:val="none"/>
                <w:u w:val="none" w:color="auto"/>
                <w:lang w:val="en-US" w:eastAsia="zh-CN" w:bidi="ar-SA"/>
              </w:rPr>
              <w:t>汤阴县</w:t>
            </w:r>
            <w:r>
              <w:rPr>
                <w:rFonts w:hint="default" w:ascii="Times New Roman" w:hAnsi="Times New Roman" w:eastAsia="宋体" w:cs="Times New Roman"/>
                <w:bCs/>
                <w:color w:val="auto"/>
                <w:kern w:val="2"/>
                <w:sz w:val="24"/>
                <w:szCs w:val="24"/>
                <w:highlight w:val="none"/>
                <w:u w:val="none" w:color="auto"/>
                <w:lang w:val="en-US" w:eastAsia="zh-CN" w:bidi="ar-SA"/>
              </w:rPr>
              <w:t>大气布局敏感区（编码：ZH41052320004），未在生态保护红线范围内。</w:t>
            </w:r>
          </w:p>
          <w:p w14:paraId="44E3CE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val="0"/>
                <w:bCs/>
                <w:color w:val="auto"/>
                <w:kern w:val="2"/>
                <w:sz w:val="24"/>
                <w:szCs w:val="24"/>
                <w:highlight w:val="none"/>
                <w:u w:val="none" w:color="auto"/>
                <w:lang w:val="en-US" w:eastAsia="zh-CN" w:bidi="ar-SA"/>
              </w:rPr>
            </w:pPr>
            <w:r>
              <w:rPr>
                <w:rFonts w:hint="default" w:ascii="Times New Roman" w:hAnsi="Times New Roman" w:eastAsia="宋体" w:cs="Times New Roman"/>
                <w:b/>
                <w:bCs w:val="0"/>
                <w:color w:val="auto"/>
                <w:kern w:val="2"/>
                <w:sz w:val="24"/>
                <w:szCs w:val="24"/>
                <w:highlight w:val="none"/>
                <w:u w:val="none" w:color="auto"/>
                <w:lang w:val="en-US" w:eastAsia="zh-CN" w:bidi="ar-SA"/>
              </w:rPr>
              <w:t>3.2环境质量底线</w:t>
            </w:r>
          </w:p>
          <w:p w14:paraId="51BD406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color w:val="auto"/>
                <w:kern w:val="2"/>
                <w:sz w:val="24"/>
                <w:szCs w:val="24"/>
                <w:highlight w:val="none"/>
                <w:u w:val="none" w:color="auto"/>
                <w:lang w:val="en-US" w:eastAsia="zh-CN" w:bidi="ar-SA"/>
              </w:rPr>
            </w:pPr>
            <w:r>
              <w:rPr>
                <w:rFonts w:hint="default" w:ascii="Times New Roman" w:hAnsi="Times New Roman" w:eastAsia="宋体" w:cs="Times New Roman"/>
                <w:b w:val="0"/>
                <w:bCs/>
                <w:color w:val="auto"/>
                <w:kern w:val="2"/>
                <w:sz w:val="24"/>
                <w:szCs w:val="24"/>
                <w:highlight w:val="none"/>
                <w:u w:val="none" w:color="auto"/>
                <w:lang w:val="en-US" w:eastAsia="zh-CN" w:bidi="ar-SA"/>
              </w:rPr>
              <w:t>本项目在</w:t>
            </w:r>
            <w:r>
              <w:rPr>
                <w:rFonts w:hint="eastAsia" w:ascii="Times New Roman" w:hAnsi="Times New Roman" w:eastAsia="宋体" w:cs="Times New Roman"/>
                <w:b w:val="0"/>
                <w:bCs/>
                <w:color w:val="auto"/>
                <w:kern w:val="2"/>
                <w:sz w:val="24"/>
                <w:szCs w:val="24"/>
                <w:highlight w:val="none"/>
                <w:u w:val="none" w:color="auto"/>
                <w:lang w:val="en-US" w:eastAsia="zh-CN" w:bidi="ar-SA"/>
              </w:rPr>
              <w:t>“</w:t>
            </w:r>
            <w:r>
              <w:rPr>
                <w:rFonts w:hint="default" w:ascii="Times New Roman" w:hAnsi="Times New Roman" w:eastAsia="宋体" w:cs="Times New Roman"/>
                <w:b w:val="0"/>
                <w:bCs/>
                <w:color w:val="auto"/>
                <w:kern w:val="2"/>
                <w:sz w:val="24"/>
                <w:szCs w:val="24"/>
                <w:highlight w:val="none"/>
                <w:u w:val="none" w:color="auto"/>
                <w:lang w:val="en-US" w:eastAsia="zh-CN" w:bidi="ar-SA"/>
              </w:rPr>
              <w:t>三线一单</w:t>
            </w:r>
            <w:r>
              <w:rPr>
                <w:rFonts w:hint="eastAsia" w:ascii="Times New Roman" w:hAnsi="Times New Roman" w:eastAsia="宋体" w:cs="Times New Roman"/>
                <w:b w:val="0"/>
                <w:bCs/>
                <w:color w:val="auto"/>
                <w:kern w:val="2"/>
                <w:sz w:val="24"/>
                <w:szCs w:val="24"/>
                <w:highlight w:val="none"/>
                <w:u w:val="none" w:color="auto"/>
                <w:lang w:val="en-US" w:eastAsia="zh-CN" w:bidi="ar-SA"/>
              </w:rPr>
              <w:t>”</w:t>
            </w:r>
            <w:r>
              <w:rPr>
                <w:rFonts w:hint="default" w:ascii="Times New Roman" w:hAnsi="Times New Roman" w:eastAsia="宋体" w:cs="Times New Roman"/>
                <w:b w:val="0"/>
                <w:bCs/>
                <w:color w:val="auto"/>
                <w:kern w:val="2"/>
                <w:sz w:val="24"/>
                <w:szCs w:val="24"/>
                <w:highlight w:val="none"/>
                <w:u w:val="none" w:color="auto"/>
                <w:lang w:val="en-US" w:eastAsia="zh-CN" w:bidi="ar-SA"/>
              </w:rPr>
              <w:t>划定的安阳市重点管控单元——</w:t>
            </w:r>
            <w:r>
              <w:rPr>
                <w:rFonts w:hint="eastAsia" w:ascii="Times New Roman" w:hAnsi="Times New Roman" w:eastAsia="宋体" w:cs="Times New Roman"/>
                <w:bCs/>
                <w:color w:val="auto"/>
                <w:kern w:val="2"/>
                <w:sz w:val="24"/>
                <w:szCs w:val="24"/>
                <w:highlight w:val="none"/>
                <w:u w:val="none" w:color="auto"/>
                <w:lang w:val="en-US" w:eastAsia="zh-CN" w:bidi="ar-SA"/>
              </w:rPr>
              <w:t>汤阴县</w:t>
            </w:r>
            <w:r>
              <w:rPr>
                <w:rFonts w:hint="default" w:ascii="Times New Roman" w:hAnsi="Times New Roman" w:eastAsia="宋体" w:cs="Times New Roman"/>
                <w:bCs/>
                <w:color w:val="auto"/>
                <w:kern w:val="2"/>
                <w:sz w:val="24"/>
                <w:szCs w:val="24"/>
                <w:highlight w:val="none"/>
                <w:u w:val="none" w:color="auto"/>
                <w:lang w:val="en-US" w:eastAsia="zh-CN" w:bidi="ar-SA"/>
              </w:rPr>
              <w:t>大气布局敏感区</w:t>
            </w:r>
            <w:r>
              <w:rPr>
                <w:rFonts w:hint="default" w:ascii="Times New Roman" w:hAnsi="Times New Roman" w:eastAsia="宋体" w:cs="Times New Roman"/>
                <w:b w:val="0"/>
                <w:bCs/>
                <w:color w:val="auto"/>
                <w:kern w:val="2"/>
                <w:sz w:val="24"/>
                <w:szCs w:val="24"/>
                <w:highlight w:val="none"/>
                <w:u w:val="none" w:color="auto"/>
                <w:lang w:val="en-US" w:eastAsia="zh-CN" w:bidi="ar-SA"/>
              </w:rPr>
              <w:t>（编码：ZH41052320004）。</w:t>
            </w:r>
          </w:p>
          <w:p w14:paraId="20747B2F">
            <w:pPr>
              <w:pStyle w:val="71"/>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 w:val="0"/>
                <w:bCs/>
                <w:color w:val="auto"/>
                <w:kern w:val="0"/>
                <w:sz w:val="24"/>
                <w:szCs w:val="24"/>
              </w:rPr>
            </w:pPr>
            <w:r>
              <w:rPr>
                <w:rFonts w:hint="default" w:ascii="Times New Roman" w:hAnsi="Times New Roman" w:eastAsia="宋体" w:cs="Times New Roman"/>
                <w:b w:val="0"/>
                <w:bCs w:val="0"/>
                <w:color w:val="auto"/>
                <w:sz w:val="24"/>
                <w:szCs w:val="24"/>
                <w:highlight w:val="none"/>
                <w:u w:val="none" w:color="auto"/>
                <w:lang w:val="en-US" w:eastAsia="zh-CN"/>
              </w:rPr>
              <w:t>根据《202</w:t>
            </w:r>
            <w:r>
              <w:rPr>
                <w:rFonts w:hint="eastAsia" w:cs="Times New Roman"/>
                <w:b w:val="0"/>
                <w:bCs w:val="0"/>
                <w:color w:val="auto"/>
                <w:sz w:val="24"/>
                <w:szCs w:val="24"/>
                <w:highlight w:val="none"/>
                <w:u w:val="none" w:color="auto"/>
                <w:lang w:val="en-US" w:eastAsia="zh-CN"/>
              </w:rPr>
              <w:t>4</w:t>
            </w:r>
            <w:r>
              <w:rPr>
                <w:rFonts w:hint="default" w:ascii="Times New Roman" w:hAnsi="Times New Roman" w:eastAsia="宋体" w:cs="Times New Roman"/>
                <w:b w:val="0"/>
                <w:bCs w:val="0"/>
                <w:color w:val="auto"/>
                <w:sz w:val="24"/>
                <w:szCs w:val="24"/>
                <w:highlight w:val="none"/>
                <w:u w:val="none" w:color="auto"/>
                <w:lang w:val="en-US" w:eastAsia="zh-CN"/>
              </w:rPr>
              <w:t>安阳市生态环境状况公报》，</w:t>
            </w:r>
            <w:r>
              <w:rPr>
                <w:rFonts w:hint="eastAsia" w:cs="Times New Roman"/>
                <w:b w:val="0"/>
                <w:bCs w:val="0"/>
                <w:color w:val="auto"/>
                <w:sz w:val="24"/>
                <w:szCs w:val="24"/>
                <w:highlight w:val="none"/>
                <w:u w:val="none" w:color="auto"/>
                <w:lang w:val="en-US" w:eastAsia="zh-CN"/>
              </w:rPr>
              <w:t>2024年，</w:t>
            </w:r>
            <w:r>
              <w:rPr>
                <w:rFonts w:hint="default" w:ascii="Times New Roman" w:hAnsi="Times New Roman" w:eastAsia="宋体" w:cs="Times New Roman"/>
                <w:b w:val="0"/>
                <w:bCs w:val="0"/>
                <w:color w:val="auto"/>
                <w:sz w:val="24"/>
                <w:szCs w:val="24"/>
                <w:highlight w:val="none"/>
                <w:u w:val="none" w:color="auto"/>
                <w:lang w:val="en-US" w:eastAsia="zh-CN"/>
              </w:rPr>
              <w:t>城市环境空气质量综合指数4.808，同比下降4.5％。可吸入颗粒物（PM</w:t>
            </w:r>
            <w:r>
              <w:rPr>
                <w:rFonts w:hint="default" w:ascii="Times New Roman" w:hAnsi="Times New Roman" w:eastAsia="宋体" w:cs="Times New Roman"/>
                <w:b w:val="0"/>
                <w:bCs w:val="0"/>
                <w:color w:val="auto"/>
                <w:sz w:val="24"/>
                <w:szCs w:val="24"/>
                <w:highlight w:val="none"/>
                <w:u w:val="none" w:color="auto"/>
                <w:vertAlign w:val="subscript"/>
                <w:lang w:val="en-US" w:eastAsia="zh-CN"/>
              </w:rPr>
              <w:t>10</w:t>
            </w:r>
            <w:r>
              <w:rPr>
                <w:rFonts w:hint="default" w:ascii="Times New Roman" w:hAnsi="Times New Roman" w:eastAsia="宋体" w:cs="Times New Roman"/>
                <w:b w:val="0"/>
                <w:bCs w:val="0"/>
                <w:color w:val="auto"/>
                <w:sz w:val="24"/>
                <w:szCs w:val="24"/>
                <w:highlight w:val="none"/>
                <w:u w:val="none" w:color="auto"/>
                <w:lang w:val="en-US" w:eastAsia="zh-CN"/>
              </w:rPr>
              <w:t>）、细颗粒物（PM</w:t>
            </w:r>
            <w:r>
              <w:rPr>
                <w:rFonts w:hint="default" w:ascii="Times New Roman" w:hAnsi="Times New Roman" w:eastAsia="宋体" w:cs="Times New Roman"/>
                <w:b w:val="0"/>
                <w:bCs w:val="0"/>
                <w:color w:val="auto"/>
                <w:sz w:val="24"/>
                <w:szCs w:val="24"/>
                <w:highlight w:val="none"/>
                <w:u w:val="none" w:color="auto"/>
                <w:vertAlign w:val="subscript"/>
                <w:lang w:val="en-US" w:eastAsia="zh-CN"/>
              </w:rPr>
              <w:t>2.5</w:t>
            </w:r>
            <w:r>
              <w:rPr>
                <w:rFonts w:hint="default" w:ascii="Times New Roman" w:hAnsi="Times New Roman" w:eastAsia="宋体" w:cs="Times New Roman"/>
                <w:b w:val="0"/>
                <w:bCs w:val="0"/>
                <w:color w:val="auto"/>
                <w:sz w:val="24"/>
                <w:szCs w:val="24"/>
                <w:highlight w:val="none"/>
                <w:u w:val="none" w:color="auto"/>
                <w:lang w:val="en-US" w:eastAsia="zh-CN"/>
              </w:rPr>
              <w:t>）二氧化硫、二氧化氮、一氧化碳、臭氧分别为82微克/立方米、51微克/立方米、7微克/立方米、23微克/立方米、1.4毫克/立方米、182微克/立方米。同比可吸入颗粒物浓度（PM</w:t>
            </w:r>
            <w:r>
              <w:rPr>
                <w:rFonts w:hint="default" w:ascii="Times New Roman" w:hAnsi="Times New Roman" w:eastAsia="宋体" w:cs="Times New Roman"/>
                <w:b w:val="0"/>
                <w:bCs w:val="0"/>
                <w:color w:val="auto"/>
                <w:sz w:val="24"/>
                <w:szCs w:val="24"/>
                <w:highlight w:val="none"/>
                <w:u w:val="none" w:color="auto"/>
                <w:vertAlign w:val="subscript"/>
                <w:lang w:val="en-US" w:eastAsia="zh-CN"/>
              </w:rPr>
              <w:t>10</w:t>
            </w:r>
            <w:r>
              <w:rPr>
                <w:rFonts w:hint="default" w:ascii="Times New Roman" w:hAnsi="Times New Roman" w:eastAsia="宋体" w:cs="Times New Roman"/>
                <w:b w:val="0"/>
                <w:bCs w:val="0"/>
                <w:color w:val="auto"/>
                <w:sz w:val="24"/>
                <w:szCs w:val="24"/>
                <w:highlight w:val="none"/>
                <w:u w:val="none" w:color="auto"/>
                <w:lang w:val="en-US" w:eastAsia="zh-CN"/>
              </w:rPr>
              <w:t>）下降2.4％、二氧化硫下降30.0％，二氧化氮下降20.7％、一氧化碳下降12.5％。细颗粒物（PM</w:t>
            </w:r>
            <w:r>
              <w:rPr>
                <w:rFonts w:hint="default" w:ascii="Times New Roman" w:hAnsi="Times New Roman" w:eastAsia="宋体" w:cs="Times New Roman"/>
                <w:b w:val="0"/>
                <w:bCs w:val="0"/>
                <w:color w:val="auto"/>
                <w:sz w:val="24"/>
                <w:szCs w:val="24"/>
                <w:highlight w:val="none"/>
                <w:u w:val="none" w:color="auto"/>
                <w:vertAlign w:val="subscript"/>
                <w:lang w:val="en-US" w:eastAsia="zh-CN"/>
              </w:rPr>
              <w:t>2.5</w:t>
            </w:r>
            <w:r>
              <w:rPr>
                <w:rFonts w:hint="default" w:ascii="Times New Roman" w:hAnsi="Times New Roman" w:eastAsia="宋体" w:cs="Times New Roman"/>
                <w:b w:val="0"/>
                <w:bCs w:val="0"/>
                <w:color w:val="auto"/>
                <w:sz w:val="24"/>
                <w:szCs w:val="24"/>
                <w:highlight w:val="none"/>
                <w:u w:val="none" w:color="auto"/>
                <w:lang w:val="en-US" w:eastAsia="zh-CN"/>
              </w:rPr>
              <w:t>）上升2.0％、臭氧上升2.2％。全市城市环境空气质量优良天数226天，同比增加14天。重污染天气11天，同比持平。酸雨发生率为0。本项目噪声、废水均达标排放，固废均得到合理处置，项目实施不会降低区域环境质量。因此，建设项目满足环境质量底线的要求。</w:t>
            </w:r>
          </w:p>
          <w:p w14:paraId="3D1D104B">
            <w:pPr>
              <w:pStyle w:val="71"/>
              <w:keepNext w:val="0"/>
              <w:keepLines w:val="0"/>
              <w:pageBreakBefore w:val="0"/>
              <w:widowControl/>
              <w:suppressLineNumbers w:val="0"/>
              <w:kinsoku/>
              <w:wordWrap/>
              <w:overflowPunct/>
              <w:topLinePunct w:val="0"/>
              <w:autoSpaceDE/>
              <w:autoSpaceDN/>
              <w:bidi w:val="0"/>
              <w:adjustRightInd/>
              <w:snapToGrid/>
              <w:spacing w:line="360" w:lineRule="auto"/>
              <w:ind w:firstLine="241" w:firstLineChars="100"/>
              <w:jc w:val="both"/>
              <w:textAlignment w:val="auto"/>
              <w:rPr>
                <w:rFonts w:hint="default" w:ascii="Times New Roman" w:hAnsi="Times New Roman" w:eastAsia="宋体" w:cs="Times New Roman"/>
                <w:b/>
                <w:bCs w:val="0"/>
                <w:color w:val="auto"/>
                <w:kern w:val="0"/>
                <w:sz w:val="24"/>
                <w:szCs w:val="24"/>
              </w:rPr>
            </w:pPr>
            <w:r>
              <w:rPr>
                <w:rFonts w:hint="default" w:ascii="Times New Roman" w:hAnsi="Times New Roman" w:cs="Times New Roman"/>
                <w:b/>
                <w:bCs w:val="0"/>
                <w:color w:val="auto"/>
                <w:kern w:val="0"/>
                <w:sz w:val="24"/>
                <w:szCs w:val="24"/>
                <w:lang w:val="en-US" w:eastAsia="zh-CN"/>
              </w:rPr>
              <w:t>3</w:t>
            </w:r>
            <w:r>
              <w:rPr>
                <w:rFonts w:hint="default" w:ascii="Times New Roman" w:hAnsi="Times New Roman" w:eastAsia="宋体" w:cs="Times New Roman"/>
                <w:b/>
                <w:bCs w:val="0"/>
                <w:color w:val="auto"/>
                <w:kern w:val="0"/>
                <w:sz w:val="24"/>
                <w:szCs w:val="24"/>
              </w:rPr>
              <w:t>.3资源利用上线</w:t>
            </w:r>
          </w:p>
          <w:p w14:paraId="4B7DC02D">
            <w:pPr>
              <w:pStyle w:val="71"/>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b w:val="0"/>
                <w:bCs/>
                <w:color w:val="auto"/>
                <w:kern w:val="0"/>
                <w:sz w:val="24"/>
                <w:szCs w:val="24"/>
              </w:rPr>
            </w:pPr>
            <w:r>
              <w:rPr>
                <w:rFonts w:hint="default" w:ascii="Times New Roman" w:hAnsi="Times New Roman" w:eastAsia="宋体" w:cs="Times New Roman"/>
                <w:b w:val="0"/>
                <w:bCs/>
                <w:color w:val="auto"/>
                <w:kern w:val="0"/>
                <w:sz w:val="24"/>
                <w:szCs w:val="24"/>
              </w:rPr>
              <w:t>根据《河南省</w:t>
            </w:r>
            <w:r>
              <w:rPr>
                <w:rFonts w:hint="eastAsia" w:ascii="Times New Roman" w:hAnsi="Times New Roman" w:cs="Times New Roman"/>
                <w:b w:val="0"/>
                <w:bCs/>
                <w:color w:val="auto"/>
                <w:kern w:val="0"/>
                <w:sz w:val="24"/>
                <w:szCs w:val="24"/>
                <w:lang w:eastAsia="zh-CN"/>
              </w:rPr>
              <w:t>“</w:t>
            </w:r>
            <w:r>
              <w:rPr>
                <w:rFonts w:hint="default" w:ascii="Times New Roman" w:hAnsi="Times New Roman" w:eastAsia="宋体" w:cs="Times New Roman"/>
                <w:b w:val="0"/>
                <w:bCs/>
                <w:color w:val="auto"/>
                <w:kern w:val="0"/>
                <w:sz w:val="24"/>
                <w:szCs w:val="24"/>
              </w:rPr>
              <w:t>三线一单</w:t>
            </w:r>
            <w:r>
              <w:rPr>
                <w:rFonts w:hint="eastAsia" w:ascii="Times New Roman" w:hAnsi="Times New Roman" w:cs="Times New Roman"/>
                <w:b w:val="0"/>
                <w:bCs/>
                <w:color w:val="auto"/>
                <w:kern w:val="0"/>
                <w:sz w:val="24"/>
                <w:szCs w:val="24"/>
                <w:lang w:eastAsia="zh-CN"/>
              </w:rPr>
              <w:t>”</w:t>
            </w:r>
            <w:r>
              <w:rPr>
                <w:rFonts w:hint="default" w:ascii="Times New Roman" w:hAnsi="Times New Roman" w:eastAsia="宋体" w:cs="Times New Roman"/>
                <w:b w:val="0"/>
                <w:bCs/>
                <w:color w:val="auto"/>
                <w:kern w:val="0"/>
                <w:sz w:val="24"/>
                <w:szCs w:val="24"/>
              </w:rPr>
              <w:t>研究报告》，2025年安阳市用水总量目标是18.09亿m</w:t>
            </w:r>
            <w:r>
              <w:rPr>
                <w:rFonts w:hint="default" w:ascii="Times New Roman" w:hAnsi="Times New Roman" w:eastAsia="宋体" w:cs="Times New Roman"/>
                <w:b w:val="0"/>
                <w:bCs/>
                <w:color w:val="auto"/>
                <w:kern w:val="0"/>
                <w:sz w:val="24"/>
                <w:szCs w:val="24"/>
                <w:vertAlign w:val="superscript"/>
              </w:rPr>
              <w:t>3</w:t>
            </w:r>
            <w:r>
              <w:rPr>
                <w:rFonts w:hint="default" w:ascii="Times New Roman" w:hAnsi="Times New Roman" w:eastAsia="宋体" w:cs="Times New Roman"/>
                <w:b w:val="0"/>
                <w:bCs/>
                <w:color w:val="auto"/>
                <w:kern w:val="0"/>
                <w:sz w:val="24"/>
                <w:szCs w:val="24"/>
              </w:rPr>
              <w:t>，根据企业提供资料，本项目主要利用资源为</w:t>
            </w:r>
            <w:r>
              <w:rPr>
                <w:rFonts w:hint="eastAsia" w:ascii="Times New Roman" w:hAnsi="Times New Roman" w:cs="Times New Roman"/>
                <w:b w:val="0"/>
                <w:bCs/>
                <w:color w:val="auto"/>
                <w:kern w:val="0"/>
                <w:sz w:val="24"/>
                <w:szCs w:val="24"/>
                <w:lang w:eastAsia="zh-CN"/>
              </w:rPr>
              <w:t>水和</w:t>
            </w:r>
            <w:r>
              <w:rPr>
                <w:rFonts w:hint="default" w:ascii="Times New Roman" w:hAnsi="Times New Roman" w:eastAsia="宋体" w:cs="Times New Roman"/>
                <w:b w:val="0"/>
                <w:bCs/>
                <w:color w:val="auto"/>
                <w:kern w:val="0"/>
                <w:sz w:val="24"/>
                <w:szCs w:val="24"/>
              </w:rPr>
              <w:t>电。</w:t>
            </w:r>
            <w:r>
              <w:rPr>
                <w:rFonts w:hint="default" w:ascii="Times New Roman" w:hAnsi="Times New Roman" w:eastAsia="宋体" w:cs="Times New Roman"/>
                <w:b w:val="0"/>
                <w:bCs/>
                <w:color w:val="auto"/>
                <w:kern w:val="0"/>
                <w:sz w:val="24"/>
                <w:szCs w:val="24"/>
                <w:highlight w:val="none"/>
              </w:rPr>
              <w:t>用水</w:t>
            </w:r>
            <w:r>
              <w:rPr>
                <w:rFonts w:hint="default" w:ascii="Times New Roman" w:hAnsi="Times New Roman" w:cs="Times New Roman"/>
                <w:b w:val="0"/>
                <w:bCs/>
                <w:color w:val="auto"/>
                <w:kern w:val="0"/>
                <w:sz w:val="24"/>
                <w:szCs w:val="24"/>
                <w:highlight w:val="none"/>
                <w:lang w:eastAsia="zh-CN"/>
              </w:rPr>
              <w:t>由</w:t>
            </w:r>
            <w:r>
              <w:rPr>
                <w:rFonts w:hint="eastAsia" w:ascii="Times New Roman" w:hAnsi="Times New Roman" w:cs="Times New Roman"/>
                <w:b w:val="0"/>
                <w:bCs/>
                <w:color w:val="auto"/>
                <w:kern w:val="0"/>
                <w:sz w:val="24"/>
                <w:szCs w:val="24"/>
                <w:highlight w:val="none"/>
                <w:lang w:eastAsia="zh-CN"/>
              </w:rPr>
              <w:t>公司自备井</w:t>
            </w:r>
            <w:r>
              <w:rPr>
                <w:rFonts w:hint="default" w:ascii="Times New Roman" w:hAnsi="Times New Roman" w:cs="Times New Roman"/>
                <w:b w:val="0"/>
                <w:bCs/>
                <w:color w:val="auto"/>
                <w:kern w:val="0"/>
                <w:sz w:val="24"/>
                <w:szCs w:val="24"/>
                <w:highlight w:val="none"/>
                <w:lang w:eastAsia="zh-CN"/>
              </w:rPr>
              <w:t>提供</w:t>
            </w:r>
            <w:r>
              <w:rPr>
                <w:rFonts w:hint="eastAsia" w:cs="Times New Roman"/>
                <w:b w:val="0"/>
                <w:bCs/>
                <w:color w:val="auto"/>
                <w:kern w:val="0"/>
                <w:sz w:val="24"/>
                <w:szCs w:val="24"/>
                <w:highlight w:val="none"/>
                <w:lang w:eastAsia="zh-CN"/>
              </w:rPr>
              <w:t>，年用量为</w:t>
            </w:r>
            <w:r>
              <w:rPr>
                <w:rFonts w:hint="eastAsia" w:cs="Times New Roman"/>
                <w:b w:val="0"/>
                <w:bCs/>
                <w:color w:val="auto"/>
                <w:kern w:val="0"/>
                <w:sz w:val="24"/>
                <w:szCs w:val="24"/>
                <w:highlight w:val="none"/>
                <w:lang w:val="en-US" w:eastAsia="zh-CN"/>
              </w:rPr>
              <w:t>12.5m</w:t>
            </w:r>
            <w:r>
              <w:rPr>
                <w:rFonts w:hint="eastAsia" w:cs="Times New Roman"/>
                <w:b w:val="0"/>
                <w:bCs/>
                <w:color w:val="auto"/>
                <w:kern w:val="0"/>
                <w:sz w:val="24"/>
                <w:szCs w:val="24"/>
                <w:highlight w:val="none"/>
                <w:vertAlign w:val="superscript"/>
                <w:lang w:val="en-US" w:eastAsia="zh-CN"/>
              </w:rPr>
              <w:t>3</w:t>
            </w:r>
            <w:r>
              <w:rPr>
                <w:rFonts w:hint="eastAsia" w:cs="Times New Roman"/>
                <w:b w:val="0"/>
                <w:bCs/>
                <w:color w:val="auto"/>
                <w:kern w:val="0"/>
                <w:sz w:val="24"/>
                <w:szCs w:val="24"/>
                <w:highlight w:val="none"/>
                <w:lang w:val="en-US" w:eastAsia="zh-CN"/>
              </w:rPr>
              <w:t>/a</w:t>
            </w:r>
            <w:r>
              <w:rPr>
                <w:rFonts w:hint="default" w:ascii="Times New Roman" w:hAnsi="Times New Roman" w:cs="Times New Roman"/>
                <w:b w:val="0"/>
                <w:bCs/>
                <w:color w:val="auto"/>
                <w:kern w:val="0"/>
                <w:sz w:val="24"/>
                <w:szCs w:val="24"/>
                <w:lang w:eastAsia="zh-CN"/>
              </w:rPr>
              <w:t>，用电</w:t>
            </w:r>
            <w:r>
              <w:rPr>
                <w:rFonts w:hint="default" w:ascii="Times New Roman" w:hAnsi="Times New Roman" w:eastAsia="宋体" w:cs="Times New Roman"/>
                <w:b w:val="0"/>
                <w:bCs/>
                <w:color w:val="auto"/>
                <w:kern w:val="0"/>
                <w:sz w:val="24"/>
                <w:szCs w:val="24"/>
              </w:rPr>
              <w:t>由</w:t>
            </w:r>
            <w:r>
              <w:rPr>
                <w:rFonts w:hint="default" w:ascii="Times New Roman" w:hAnsi="Times New Roman" w:cs="Times New Roman"/>
                <w:b w:val="0"/>
                <w:bCs/>
                <w:color w:val="auto"/>
                <w:kern w:val="0"/>
                <w:sz w:val="24"/>
                <w:szCs w:val="24"/>
                <w:lang w:eastAsia="zh-CN"/>
              </w:rPr>
              <w:t>市政</w:t>
            </w:r>
            <w:r>
              <w:rPr>
                <w:rFonts w:hint="default" w:ascii="Times New Roman" w:hAnsi="Times New Roman" w:eastAsia="宋体" w:cs="Times New Roman"/>
                <w:b w:val="0"/>
                <w:bCs/>
                <w:color w:val="auto"/>
                <w:kern w:val="0"/>
                <w:sz w:val="24"/>
                <w:szCs w:val="24"/>
              </w:rPr>
              <w:t>提供，总体来讲，本项目不会突破资源利用</w:t>
            </w:r>
            <w:r>
              <w:rPr>
                <w:rFonts w:hint="eastAsia" w:cs="Times New Roman"/>
                <w:b w:val="0"/>
                <w:bCs/>
                <w:color w:val="auto"/>
                <w:kern w:val="0"/>
                <w:sz w:val="24"/>
                <w:szCs w:val="24"/>
                <w:lang w:eastAsia="zh-CN"/>
              </w:rPr>
              <w:t>上限</w:t>
            </w:r>
            <w:r>
              <w:rPr>
                <w:rFonts w:hint="default" w:ascii="Times New Roman" w:hAnsi="Times New Roman" w:eastAsia="宋体" w:cs="Times New Roman"/>
                <w:b w:val="0"/>
                <w:bCs/>
                <w:color w:val="auto"/>
                <w:kern w:val="0"/>
                <w:sz w:val="24"/>
                <w:szCs w:val="24"/>
              </w:rPr>
              <w:t>要求。</w:t>
            </w:r>
          </w:p>
          <w:p w14:paraId="535B044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val="0"/>
                <w:bCs/>
                <w:color w:val="auto"/>
                <w:kern w:val="2"/>
                <w:sz w:val="24"/>
                <w:szCs w:val="24"/>
                <w:highlight w:val="none"/>
                <w:u w:val="none" w:color="auto"/>
                <w:lang w:val="en-US" w:eastAsia="zh-CN" w:bidi="ar-SA"/>
              </w:rPr>
            </w:pPr>
            <w:r>
              <w:rPr>
                <w:rFonts w:hint="default" w:ascii="Times New Roman" w:hAnsi="Times New Roman" w:eastAsia="宋体" w:cs="Times New Roman"/>
                <w:b/>
                <w:bCs w:val="0"/>
                <w:color w:val="auto"/>
                <w:kern w:val="2"/>
                <w:sz w:val="24"/>
                <w:szCs w:val="24"/>
                <w:highlight w:val="none"/>
                <w:u w:val="none" w:color="auto"/>
                <w:lang w:val="en-US" w:eastAsia="zh-CN" w:bidi="ar-SA"/>
              </w:rPr>
              <w:t>3.4环境准入清单</w:t>
            </w:r>
          </w:p>
          <w:p w14:paraId="0830BF6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color w:val="auto"/>
                <w:kern w:val="2"/>
                <w:sz w:val="24"/>
                <w:szCs w:val="24"/>
                <w:highlight w:val="none"/>
                <w:u w:val="none" w:color="auto"/>
                <w:lang w:val="en-US" w:eastAsia="zh-CN" w:bidi="ar-SA"/>
              </w:rPr>
            </w:pPr>
            <w:r>
              <w:rPr>
                <w:rFonts w:hint="default" w:ascii="Times New Roman" w:hAnsi="Times New Roman" w:eastAsia="宋体" w:cs="Times New Roman"/>
                <w:b w:val="0"/>
                <w:bCs/>
                <w:color w:val="auto"/>
                <w:kern w:val="2"/>
                <w:sz w:val="24"/>
                <w:szCs w:val="24"/>
                <w:highlight w:val="none"/>
                <w:u w:val="none" w:color="auto"/>
                <w:lang w:val="en-US" w:eastAsia="zh-CN" w:bidi="ar-SA"/>
              </w:rPr>
              <w:t>根据河南省三线一单管控要求，从安阳市生态环境总体准入要求和各县区分区管控单元生态环境准入清单分别对项目相符性进行分析。</w:t>
            </w:r>
          </w:p>
          <w:p w14:paraId="0E03B8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2"/>
                <w:sz w:val="24"/>
                <w:szCs w:val="24"/>
                <w:highlight w:val="none"/>
                <w:u w:val="none" w:color="auto"/>
                <w:lang w:val="en-US" w:eastAsia="zh-CN" w:bidi="ar-SA"/>
              </w:rPr>
            </w:pPr>
            <w:r>
              <w:rPr>
                <w:rFonts w:hint="eastAsia"/>
                <w:b/>
                <w:bCs/>
                <w:color w:val="auto"/>
                <w:sz w:val="24"/>
                <w:szCs w:val="32"/>
                <w:lang w:eastAsia="zh-CN"/>
              </w:rPr>
              <w:t>表</w:t>
            </w:r>
            <w:r>
              <w:rPr>
                <w:rFonts w:hint="eastAsia"/>
                <w:b/>
                <w:bCs/>
                <w:color w:val="auto"/>
                <w:sz w:val="24"/>
                <w:szCs w:val="32"/>
                <w:lang w:val="en-US" w:eastAsia="zh-CN"/>
              </w:rPr>
              <w:t xml:space="preserve">4  </w:t>
            </w:r>
            <w:r>
              <w:rPr>
                <w:rFonts w:hint="eastAsia"/>
                <w:b/>
                <w:bCs/>
                <w:color w:val="auto"/>
                <w:sz w:val="24"/>
                <w:szCs w:val="32"/>
                <w:lang w:eastAsia="zh-CN"/>
              </w:rPr>
              <w:t>本项目</w:t>
            </w:r>
            <w:r>
              <w:rPr>
                <w:rFonts w:hint="default"/>
                <w:b/>
                <w:bCs/>
                <w:color w:val="auto"/>
                <w:sz w:val="24"/>
                <w:szCs w:val="32"/>
                <w:lang w:eastAsia="zh-CN"/>
              </w:rPr>
              <w:t>与</w:t>
            </w:r>
            <w:r>
              <w:rPr>
                <w:rFonts w:hint="default"/>
                <w:b/>
                <w:bCs/>
                <w:color w:val="auto"/>
                <w:sz w:val="24"/>
                <w:szCs w:val="32"/>
                <w:lang w:val="en-US" w:eastAsia="zh-CN"/>
              </w:rPr>
              <w:t>河南省生态环境分区管控总体</w:t>
            </w:r>
            <w:r>
              <w:rPr>
                <w:rFonts w:hint="default"/>
                <w:b/>
                <w:bCs/>
                <w:color w:val="auto"/>
                <w:sz w:val="24"/>
                <w:szCs w:val="32"/>
              </w:rPr>
              <w:t>要求</w:t>
            </w:r>
            <w:r>
              <w:rPr>
                <w:rFonts w:hint="default"/>
                <w:b/>
                <w:bCs/>
                <w:color w:val="auto"/>
                <w:sz w:val="24"/>
                <w:szCs w:val="32"/>
                <w:lang w:eastAsia="zh-CN"/>
              </w:rPr>
              <w:t>相符性分析一览表</w:t>
            </w:r>
          </w:p>
          <w:tbl>
            <w:tblPr>
              <w:tblStyle w:val="27"/>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8"/>
              <w:gridCol w:w="448"/>
              <w:gridCol w:w="4644"/>
              <w:gridCol w:w="1952"/>
              <w:gridCol w:w="684"/>
            </w:tblGrid>
            <w:tr w14:paraId="23BD4A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7" w:type="pct"/>
                  <w:gridSpan w:val="2"/>
                  <w:noWrap w:val="0"/>
                  <w:vAlign w:val="center"/>
                </w:tcPr>
                <w:p w14:paraId="0F4A8B7B">
                  <w:pPr>
                    <w:pStyle w:val="75"/>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维度</w:t>
                  </w:r>
                </w:p>
              </w:tc>
              <w:tc>
                <w:tcPr>
                  <w:tcW w:w="2878" w:type="pct"/>
                  <w:noWrap w:val="0"/>
                  <w:vAlign w:val="center"/>
                </w:tcPr>
                <w:p w14:paraId="729838CF">
                  <w:pPr>
                    <w:pStyle w:val="75"/>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管控要求</w:t>
                  </w:r>
                </w:p>
              </w:tc>
              <w:tc>
                <w:tcPr>
                  <w:tcW w:w="1209" w:type="pct"/>
                  <w:noWrap w:val="0"/>
                  <w:vAlign w:val="center"/>
                </w:tcPr>
                <w:p w14:paraId="563DF76B">
                  <w:pPr>
                    <w:pStyle w:val="75"/>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本项目情况</w:t>
                  </w:r>
                </w:p>
              </w:tc>
              <w:tc>
                <w:tcPr>
                  <w:tcW w:w="424" w:type="pct"/>
                  <w:noWrap w:val="0"/>
                  <w:vAlign w:val="center"/>
                </w:tcPr>
                <w:p w14:paraId="66872A89">
                  <w:pPr>
                    <w:pStyle w:val="75"/>
                    <w:bidi w:val="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相符性</w:t>
                  </w:r>
                </w:p>
              </w:tc>
            </w:tr>
            <w:tr w14:paraId="59CE40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restart"/>
                  <w:noWrap w:val="0"/>
                  <w:vAlign w:val="center"/>
                </w:tcPr>
                <w:p w14:paraId="1D3F5F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000000"/>
                      <w:kern w:val="0"/>
                      <w:sz w:val="21"/>
                      <w:szCs w:val="21"/>
                      <w:lang w:val="en-US" w:eastAsia="zh-CN" w:bidi="ar"/>
                    </w:rPr>
                    <w:t>全</w:t>
                  </w:r>
                  <w:r>
                    <w:rPr>
                      <w:rFonts w:hint="default" w:ascii="Times New Roman" w:hAnsi="Times New Roman" w:eastAsia="宋体" w:cs="Times New Roman"/>
                      <w:color w:val="auto"/>
                      <w:kern w:val="2"/>
                      <w:sz w:val="21"/>
                      <w:szCs w:val="21"/>
                      <w:lang w:val="en-US" w:eastAsia="zh-CN" w:bidi="ar"/>
                    </w:rPr>
                    <w:t>省生态环境总体准入要求</w:t>
                  </w:r>
                </w:p>
                <w:p w14:paraId="1D53AC4E">
                  <w:pPr>
                    <w:pStyle w:val="75"/>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p>
              </w:tc>
              <w:tc>
                <w:tcPr>
                  <w:tcW w:w="277" w:type="pct"/>
                  <w:vMerge w:val="restart"/>
                  <w:noWrap w:val="0"/>
                  <w:vAlign w:val="center"/>
                </w:tcPr>
                <w:p w14:paraId="2B9833F0">
                  <w:pPr>
                    <w:pStyle w:val="75"/>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空间布局约束</w:t>
                  </w:r>
                </w:p>
              </w:tc>
              <w:tc>
                <w:tcPr>
                  <w:tcW w:w="2878" w:type="pct"/>
                  <w:noWrap w:val="0"/>
                  <w:vAlign w:val="center"/>
                </w:tcPr>
                <w:p w14:paraId="5ECD50B2">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1、根据国家产业政策、区域定位及环境特征等，建立差别化的产业准入要求，鼓励建设符合规划环评的项目。</w:t>
                  </w:r>
                </w:p>
              </w:tc>
              <w:tc>
                <w:tcPr>
                  <w:tcW w:w="1209" w:type="pct"/>
                  <w:noWrap w:val="0"/>
                  <w:vAlign w:val="center"/>
                </w:tcPr>
                <w:p w14:paraId="171DFDD5">
                  <w:pPr>
                    <w:pStyle w:val="75"/>
                    <w:bidi w:val="0"/>
                    <w:jc w:val="both"/>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本项目原料为酸洗磷化后的弹簧钢盘圆，成品后用于大型设备的配套组件，属于装备制造业上下游产业链</w:t>
                  </w:r>
                  <w:r>
                    <w:rPr>
                      <w:rFonts w:hint="eastAsia" w:ascii="Times New Roman" w:hAnsi="Times New Roman" w:eastAsia="宋体" w:cs="Times New Roman"/>
                      <w:color w:val="auto"/>
                      <w:sz w:val="21"/>
                      <w:szCs w:val="21"/>
                      <w:lang w:eastAsia="zh-CN"/>
                    </w:rPr>
                    <w:t>。</w:t>
                  </w:r>
                </w:p>
              </w:tc>
              <w:tc>
                <w:tcPr>
                  <w:tcW w:w="424" w:type="pct"/>
                  <w:noWrap w:val="0"/>
                  <w:vAlign w:val="center"/>
                </w:tcPr>
                <w:p w14:paraId="22602DFE">
                  <w:pPr>
                    <w:pStyle w:val="75"/>
                    <w:bidi w:val="0"/>
                    <w:jc w:val="both"/>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相符</w:t>
                  </w:r>
                </w:p>
              </w:tc>
            </w:tr>
            <w:tr w14:paraId="1E01D3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2DB548B0">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39256BA5">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1D113D38">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2、推行绿色制造，支持创建绿色工厂、绿色园区、绿色供应链。</w:t>
                  </w:r>
                </w:p>
              </w:tc>
              <w:tc>
                <w:tcPr>
                  <w:tcW w:w="1209" w:type="pct"/>
                  <w:noWrap w:val="0"/>
                  <w:vAlign w:val="center"/>
                </w:tcPr>
                <w:p w14:paraId="6EBA8513">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本项目</w:t>
                  </w:r>
                  <w:r>
                    <w:rPr>
                      <w:rFonts w:hint="eastAsia" w:ascii="Times New Roman" w:hAnsi="Times New Roman" w:eastAsia="宋体" w:cs="Times New Roman"/>
                      <w:color w:val="auto"/>
                      <w:sz w:val="21"/>
                      <w:szCs w:val="21"/>
                      <w:lang w:eastAsia="zh-CN"/>
                    </w:rPr>
                    <w:t>无废气、废水排放</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0AD5E666">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相符</w:t>
                  </w:r>
                </w:p>
              </w:tc>
            </w:tr>
            <w:tr w14:paraId="29FDC6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1D4BC3FD">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2D25BB84">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78D72991">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3、推进新建石化化工项目向资源环境优势基地集中，引导化工项目进区入园，促进高水平集聚发展。</w:t>
                  </w:r>
                </w:p>
              </w:tc>
              <w:tc>
                <w:tcPr>
                  <w:tcW w:w="1209" w:type="pct"/>
                  <w:noWrap w:val="0"/>
                  <w:vAlign w:val="center"/>
                </w:tcPr>
                <w:p w14:paraId="25C034BC">
                  <w:pPr>
                    <w:pStyle w:val="75"/>
                    <w:bidi w:val="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本项目不属于</w:t>
                  </w:r>
                  <w:r>
                    <w:rPr>
                      <w:rFonts w:hint="eastAsia" w:ascii="Times New Roman" w:hAnsi="Times New Roman" w:eastAsia="宋体" w:cs="Times New Roman"/>
                      <w:color w:val="auto"/>
                      <w:sz w:val="21"/>
                      <w:szCs w:val="21"/>
                      <w:lang w:eastAsia="zh-CN"/>
                    </w:rPr>
                    <w:t>石化化工项目</w:t>
                  </w:r>
                  <w:r>
                    <w:rPr>
                      <w:rFonts w:hint="default" w:ascii="Times New Roman" w:hAnsi="Times New Roman" w:eastAsia="宋体" w:cs="Times New Roman"/>
                      <w:color w:val="auto"/>
                      <w:sz w:val="21"/>
                      <w:szCs w:val="21"/>
                      <w:lang w:eastAsia="zh-CN"/>
                    </w:rPr>
                    <w:t>。</w:t>
                  </w:r>
                </w:p>
              </w:tc>
              <w:tc>
                <w:tcPr>
                  <w:tcW w:w="424" w:type="pct"/>
                  <w:noWrap w:val="0"/>
                  <w:vAlign w:val="center"/>
                </w:tcPr>
                <w:p w14:paraId="0A531463">
                  <w:pPr>
                    <w:pStyle w:val="75"/>
                    <w:bidi w:val="0"/>
                    <w:jc w:val="both"/>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无关项</w:t>
                  </w:r>
                </w:p>
              </w:tc>
            </w:tr>
            <w:tr w14:paraId="2C8B60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09" w:type="pct"/>
                  <w:vMerge w:val="continue"/>
                  <w:noWrap w:val="0"/>
                  <w:vAlign w:val="center"/>
                </w:tcPr>
                <w:p w14:paraId="3F210340">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18FC0204">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04EE97A7">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000000"/>
                      <w:kern w:val="0"/>
                      <w:sz w:val="21"/>
                      <w:szCs w:val="21"/>
                      <w:lang w:val="en-US" w:eastAsia="zh-CN" w:bidi="ar"/>
                    </w:rPr>
                    <w:t>强化环境准入约束，坚决遏制“两高一低”项目盲目发展，对不符合规定的项目坚决停批停建。</w:t>
                  </w:r>
                </w:p>
              </w:tc>
              <w:tc>
                <w:tcPr>
                  <w:tcW w:w="1209" w:type="pct"/>
                  <w:noWrap w:val="0"/>
                  <w:vAlign w:val="center"/>
                </w:tcPr>
                <w:p w14:paraId="6FF2CBE3">
                  <w:pPr>
                    <w:pStyle w:val="75"/>
                    <w:bidi w:val="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4、本项目不属于</w:t>
                  </w:r>
                  <w:r>
                    <w:rPr>
                      <w:rFonts w:hint="default" w:ascii="Times New Roman" w:hAnsi="Times New Roman" w:eastAsia="宋体" w:cs="Times New Roman"/>
                      <w:color w:val="000000"/>
                      <w:kern w:val="0"/>
                      <w:sz w:val="21"/>
                      <w:szCs w:val="21"/>
                      <w:lang w:val="en-US" w:eastAsia="zh-CN" w:bidi="ar"/>
                    </w:rPr>
                    <w:t>“两高一低”项目</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64562ABD">
                  <w:pPr>
                    <w:pStyle w:val="75"/>
                    <w:bidi w:val="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相符</w:t>
                  </w:r>
                </w:p>
              </w:tc>
            </w:tr>
            <w:tr w14:paraId="3A69ED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58EC5950">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64D101CB">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60F9A567">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000000"/>
                      <w:kern w:val="0"/>
                      <w:sz w:val="21"/>
                      <w:szCs w:val="21"/>
                      <w:lang w:val="en-US" w:eastAsia="zh-CN" w:bidi="ar"/>
                    </w:rPr>
                    <w:t>涉及产能置换的项目，被置换产能及其配套设施关停后，新建项目方可投产</w:t>
                  </w:r>
                  <w:r>
                    <w:rPr>
                      <w:rFonts w:hint="default" w:ascii="Times New Roman" w:hAnsi="Times New Roman" w:eastAsia="宋体" w:cs="Times New Roman"/>
                      <w:color w:val="auto"/>
                      <w:sz w:val="21"/>
                      <w:szCs w:val="21"/>
                      <w:lang w:val="en-US" w:eastAsia="zh-CN"/>
                    </w:rPr>
                    <w:t>。</w:t>
                  </w:r>
                </w:p>
              </w:tc>
              <w:tc>
                <w:tcPr>
                  <w:tcW w:w="1209" w:type="pct"/>
                  <w:noWrap w:val="0"/>
                  <w:vAlign w:val="center"/>
                </w:tcPr>
                <w:p w14:paraId="748178ED">
                  <w:pPr>
                    <w:pStyle w:val="75"/>
                    <w:bidi w:val="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5、</w:t>
                  </w:r>
                  <w:r>
                    <w:rPr>
                      <w:rFonts w:hint="eastAsia" w:ascii="Times New Roman" w:hAnsi="Times New Roman" w:eastAsia="宋体" w:cs="Times New Roman"/>
                      <w:color w:val="auto"/>
                      <w:sz w:val="21"/>
                      <w:szCs w:val="21"/>
                      <w:lang w:val="en-US" w:eastAsia="zh-CN"/>
                    </w:rPr>
                    <w:t>本项目不涉及。</w:t>
                  </w:r>
                </w:p>
              </w:tc>
              <w:tc>
                <w:tcPr>
                  <w:tcW w:w="424" w:type="pct"/>
                  <w:noWrap w:val="0"/>
                  <w:vAlign w:val="center"/>
                </w:tcPr>
                <w:p w14:paraId="370AD454">
                  <w:pPr>
                    <w:pStyle w:val="75"/>
                    <w:bidi w:val="0"/>
                    <w:jc w:val="both"/>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无关项</w:t>
                  </w:r>
                </w:p>
              </w:tc>
            </w:tr>
            <w:tr w14:paraId="5D7B46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2B212176">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0E7700A8">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17F2825B">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6、加快城市建成区内重污染企业就地改造、退城入园、转型转产或关闭退出。</w:t>
                  </w:r>
                </w:p>
              </w:tc>
              <w:tc>
                <w:tcPr>
                  <w:tcW w:w="1209" w:type="pct"/>
                  <w:noWrap w:val="0"/>
                  <w:vAlign w:val="center"/>
                </w:tcPr>
                <w:p w14:paraId="075F754A">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6、本项目</w:t>
                  </w:r>
                  <w:r>
                    <w:rPr>
                      <w:rFonts w:hint="eastAsia" w:ascii="Times New Roman" w:hAnsi="Times New Roman" w:eastAsia="宋体" w:cs="Times New Roman"/>
                      <w:color w:val="auto"/>
                      <w:sz w:val="21"/>
                      <w:szCs w:val="21"/>
                      <w:lang w:val="en-US" w:eastAsia="zh-CN"/>
                    </w:rPr>
                    <w:t>不涉及</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69E8C6EA">
                  <w:pPr>
                    <w:pStyle w:val="75"/>
                    <w:bidi w:val="0"/>
                    <w:jc w:val="both"/>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无关项</w:t>
                  </w:r>
                </w:p>
              </w:tc>
            </w:tr>
            <w:tr w14:paraId="1F723B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19F13B9F">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231A2AEE">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72D31E21">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将土壤环境要求纳入国土空间规划，根据土壤污染状况和风险合理规划土地用途。对列入建设用地土壤污染风险管控和修复名录的地块，不得作为住宅、公共管理与公共服务用地；不得办理土地征收、回购、收购、土地供应以及改变土地用途等手续。</w:t>
                  </w:r>
                </w:p>
              </w:tc>
              <w:tc>
                <w:tcPr>
                  <w:tcW w:w="1209" w:type="pct"/>
                  <w:noWrap w:val="0"/>
                  <w:vAlign w:val="center"/>
                </w:tcPr>
                <w:p w14:paraId="3A39DC37">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7、本项目属于金属丝绳及其制品制造项目，</w:t>
                  </w:r>
                  <w:r>
                    <w:rPr>
                      <w:rFonts w:hint="eastAsia" w:ascii="Times New Roman" w:hAnsi="Times New Roman" w:eastAsia="宋体" w:cs="Times New Roman"/>
                      <w:color w:val="auto"/>
                      <w:sz w:val="21"/>
                      <w:szCs w:val="21"/>
                      <w:lang w:val="en-US" w:eastAsia="zh-CN"/>
                    </w:rPr>
                    <w:t>对土壤影响，本项目利用现有厂房，不新增用地</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005CCE27">
                  <w:pPr>
                    <w:pStyle w:val="75"/>
                    <w:bidi w:val="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相符</w:t>
                  </w:r>
                </w:p>
              </w:tc>
            </w:tr>
            <w:tr w14:paraId="33CFE3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5C33B2AD">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6D5420EE">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47D29A40">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8、在集中供热管网覆盖地区，禁止新建、扩建分散燃煤供热锅炉。</w:t>
                  </w:r>
                </w:p>
              </w:tc>
              <w:tc>
                <w:tcPr>
                  <w:tcW w:w="1209" w:type="pct"/>
                  <w:noWrap w:val="0"/>
                  <w:vAlign w:val="center"/>
                </w:tcPr>
                <w:p w14:paraId="49097528">
                  <w:pPr>
                    <w:pStyle w:val="75"/>
                    <w:bidi w:val="0"/>
                    <w:jc w:val="both"/>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8、本项目</w:t>
                  </w:r>
                  <w:r>
                    <w:rPr>
                      <w:rFonts w:hint="eastAsia" w:ascii="Times New Roman" w:hAnsi="Times New Roman" w:eastAsia="宋体" w:cs="Times New Roman"/>
                      <w:color w:val="auto"/>
                      <w:sz w:val="21"/>
                      <w:szCs w:val="21"/>
                      <w:lang w:val="en-US" w:eastAsia="zh-CN"/>
                    </w:rPr>
                    <w:t>使用电热炉加热，未建设分散燃煤供热锅炉。</w:t>
                  </w:r>
                </w:p>
              </w:tc>
              <w:tc>
                <w:tcPr>
                  <w:tcW w:w="424" w:type="pct"/>
                  <w:noWrap w:val="0"/>
                  <w:vAlign w:val="center"/>
                </w:tcPr>
                <w:p w14:paraId="20600172">
                  <w:pPr>
                    <w:pStyle w:val="75"/>
                    <w:bidi w:val="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相符</w:t>
                  </w:r>
                </w:p>
              </w:tc>
            </w:tr>
            <w:tr w14:paraId="4A47A7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textDirection w:val="tbLrV"/>
                  <w:vAlign w:val="center"/>
                </w:tcPr>
                <w:p w14:paraId="42A9C16F">
                  <w:pPr>
                    <w:pStyle w:val="75"/>
                    <w:bidi w:val="0"/>
                    <w:jc w:val="center"/>
                    <w:rPr>
                      <w:rFonts w:hint="default" w:ascii="Times New Roman" w:hAnsi="Times New Roman" w:eastAsia="宋体" w:cs="Times New Roman"/>
                      <w:color w:val="auto"/>
                      <w:sz w:val="21"/>
                      <w:szCs w:val="21"/>
                    </w:rPr>
                  </w:pPr>
                </w:p>
              </w:tc>
              <w:tc>
                <w:tcPr>
                  <w:tcW w:w="277" w:type="pct"/>
                  <w:vMerge w:val="restart"/>
                  <w:noWrap w:val="0"/>
                  <w:textDirection w:val="tbLrV"/>
                  <w:vAlign w:val="center"/>
                </w:tcPr>
                <w:p w14:paraId="441C12A7">
                  <w:pPr>
                    <w:pStyle w:val="75"/>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2878" w:type="pct"/>
                  <w:noWrap w:val="0"/>
                  <w:vAlign w:val="center"/>
                </w:tcPr>
                <w:p w14:paraId="3B26D791">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000000"/>
                      <w:kern w:val="0"/>
                      <w:sz w:val="21"/>
                      <w:szCs w:val="21"/>
                      <w:lang w:val="en-US" w:eastAsia="zh-CN" w:bidi="ar"/>
                    </w:rPr>
                    <w:t>重点行业建设项目应满足区域、流域控制单元环境质量改善目标管理要求</w:t>
                  </w:r>
                  <w:r>
                    <w:rPr>
                      <w:rFonts w:hint="default" w:ascii="Times New Roman" w:hAnsi="Times New Roman" w:eastAsia="宋体" w:cs="Times New Roman"/>
                      <w:color w:val="auto"/>
                      <w:sz w:val="21"/>
                      <w:szCs w:val="21"/>
                    </w:rPr>
                    <w:t>。</w:t>
                  </w:r>
                </w:p>
              </w:tc>
              <w:tc>
                <w:tcPr>
                  <w:tcW w:w="1209" w:type="pct"/>
                  <w:noWrap w:val="0"/>
                  <w:vAlign w:val="center"/>
                </w:tcPr>
                <w:p w14:paraId="1DDCDF31">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eastAsia="zh-CN"/>
                    </w:rPr>
                    <w:t>本项目满足区域、流域控制单元环境质量改善目标管理要求。</w:t>
                  </w:r>
                </w:p>
              </w:tc>
              <w:tc>
                <w:tcPr>
                  <w:tcW w:w="424" w:type="pct"/>
                  <w:noWrap w:val="0"/>
                  <w:vAlign w:val="center"/>
                </w:tcPr>
                <w:p w14:paraId="26A42756">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相符</w:t>
                  </w:r>
                </w:p>
              </w:tc>
            </w:tr>
            <w:tr w14:paraId="29004E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60C6A5C7">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59EF1DC6">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6C34928C">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000000"/>
                      <w:kern w:val="0"/>
                      <w:sz w:val="21"/>
                      <w:szCs w:val="21"/>
                      <w:lang w:val="en-US" w:eastAsia="zh-CN" w:bidi="ar"/>
                    </w:rPr>
                    <w:t>强化项目环评及“三同时”管理。新建、扩建“两高”项目应采用先进的工艺技术和装备，单位产品污染物排放强度应达到清洁生产先进水平，其中，国家、省绩效分级重点行业新建、扩建项目达到A级水平，改建项目达到B级以上水平。</w:t>
                  </w:r>
                </w:p>
              </w:tc>
              <w:tc>
                <w:tcPr>
                  <w:tcW w:w="1209" w:type="pct"/>
                  <w:noWrap w:val="0"/>
                  <w:vAlign w:val="center"/>
                </w:tcPr>
                <w:p w14:paraId="43ED1EDB">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b w:val="0"/>
                      <w:bCs w:val="0"/>
                      <w:color w:val="auto"/>
                      <w:sz w:val="21"/>
                      <w:szCs w:val="21"/>
                      <w:u w:val="none"/>
                      <w:lang w:eastAsia="zh-CN"/>
                    </w:rPr>
                    <w:t>本项目</w:t>
                  </w:r>
                  <w:r>
                    <w:rPr>
                      <w:rFonts w:hint="eastAsia" w:ascii="Times New Roman" w:hAnsi="Times New Roman" w:eastAsia="宋体" w:cs="Times New Roman"/>
                      <w:b w:val="0"/>
                      <w:bCs w:val="0"/>
                      <w:color w:val="auto"/>
                      <w:sz w:val="21"/>
                      <w:szCs w:val="21"/>
                      <w:u w:val="none"/>
                      <w:lang w:eastAsia="zh-CN"/>
                    </w:rPr>
                    <w:t>不属于“两高”项目。</w:t>
                  </w:r>
                </w:p>
              </w:tc>
              <w:tc>
                <w:tcPr>
                  <w:tcW w:w="424" w:type="pct"/>
                  <w:noWrap w:val="0"/>
                  <w:vAlign w:val="center"/>
                </w:tcPr>
                <w:p w14:paraId="7C869D0B">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相符</w:t>
                  </w:r>
                </w:p>
              </w:tc>
            </w:tr>
            <w:tr w14:paraId="43FC25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351F251D">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6F371D1E">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7313CD37">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default" w:ascii="Times New Roman" w:hAnsi="Times New Roman" w:eastAsia="宋体" w:cs="Times New Roman"/>
                      <w:color w:val="000000"/>
                      <w:kern w:val="0"/>
                      <w:sz w:val="21"/>
                      <w:szCs w:val="21"/>
                      <w:lang w:val="en-US" w:eastAsia="zh-CN" w:bidi="ar"/>
                    </w:rPr>
                    <w:t>以钢铁、焦化、铸造、建材、有色、石化、化工、工业涂装、包装印刷、电镀、制革、石油开采、造纸、纺织印染、农副食品加工等行业为重点，开展全流程清洁化、循环化、低碳化改造；加快推进钢铁、水泥、焦化行业超低排放改造。</w:t>
                  </w:r>
                </w:p>
              </w:tc>
              <w:tc>
                <w:tcPr>
                  <w:tcW w:w="1209" w:type="pct"/>
                  <w:noWrap w:val="0"/>
                  <w:vAlign w:val="center"/>
                </w:tcPr>
                <w:p w14:paraId="455CDE0E">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highlight w:val="none"/>
                      <w:lang w:val="en-US" w:eastAsia="zh-CN"/>
                    </w:rPr>
                    <w:t>3、本项目</w:t>
                  </w:r>
                  <w:r>
                    <w:rPr>
                      <w:rFonts w:hint="eastAsia" w:ascii="Times New Roman" w:hAnsi="Times New Roman" w:eastAsia="宋体" w:cs="Times New Roman"/>
                      <w:color w:val="auto"/>
                      <w:sz w:val="21"/>
                      <w:szCs w:val="21"/>
                      <w:highlight w:val="none"/>
                      <w:lang w:val="en-US" w:eastAsia="zh-CN"/>
                    </w:rPr>
                    <w:t>使用电能，颗粒物排放量很少可以忽略不计，无其他废气产生，无废水排放；本项目不属于钢铁、水泥、焦化行业。</w:t>
                  </w:r>
                </w:p>
              </w:tc>
              <w:tc>
                <w:tcPr>
                  <w:tcW w:w="424" w:type="pct"/>
                  <w:noWrap w:val="0"/>
                  <w:vAlign w:val="center"/>
                </w:tcPr>
                <w:p w14:paraId="4DB99404">
                  <w:pPr>
                    <w:pStyle w:val="75"/>
                    <w:bidi w:val="0"/>
                    <w:jc w:val="both"/>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6D3B1D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5F0D9451">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353C24B2">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18FAEF78">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000000"/>
                      <w:kern w:val="0"/>
                      <w:sz w:val="21"/>
                      <w:szCs w:val="21"/>
                      <w:lang w:val="en-US" w:eastAsia="zh-CN" w:bidi="ar"/>
                    </w:rPr>
                    <w:t>深入推进低挥发性有机物含量原辅材料源头替代，全面推广使用低挥发性有机物含量的涂料、油墨、胶粘剂、清洗剂等新兴原辅材料。</w:t>
                  </w:r>
                </w:p>
              </w:tc>
              <w:tc>
                <w:tcPr>
                  <w:tcW w:w="1209" w:type="pct"/>
                  <w:noWrap w:val="0"/>
                  <w:vAlign w:val="center"/>
                </w:tcPr>
                <w:p w14:paraId="56D7BAAA">
                  <w:pPr>
                    <w:pStyle w:val="75"/>
                    <w:bidi w:val="0"/>
                    <w:jc w:val="both"/>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4、</w:t>
                  </w:r>
                  <w:r>
                    <w:rPr>
                      <w:rFonts w:hint="eastAsia" w:ascii="Times New Roman" w:hAnsi="Times New Roman" w:eastAsia="宋体" w:cs="Times New Roman"/>
                      <w:color w:val="auto"/>
                      <w:sz w:val="21"/>
                      <w:szCs w:val="21"/>
                      <w:lang w:val="en-US" w:eastAsia="zh-CN"/>
                    </w:rPr>
                    <w:t>本项目无挥发性有机物产生。</w:t>
                  </w:r>
                </w:p>
              </w:tc>
              <w:tc>
                <w:tcPr>
                  <w:tcW w:w="424" w:type="pct"/>
                  <w:noWrap w:val="0"/>
                  <w:vAlign w:val="center"/>
                </w:tcPr>
                <w:p w14:paraId="0B1E49E4">
                  <w:pPr>
                    <w:pStyle w:val="75"/>
                    <w:bidi w:val="0"/>
                    <w:jc w:val="both"/>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相符</w:t>
                  </w:r>
                </w:p>
              </w:tc>
            </w:tr>
            <w:tr w14:paraId="45659E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5D64B2C7">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5D90ED09">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26EE054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000000"/>
                      <w:kern w:val="0"/>
                      <w:sz w:val="21"/>
                      <w:szCs w:val="21"/>
                      <w:lang w:val="en-US" w:eastAsia="zh-CN" w:bidi="ar"/>
                    </w:rPr>
                    <w:t>采矿项目矿井涌水应尽可能回用生产或综合利用，外排矿井涌水应满足受纳水体水功能区划和控制断面水质要求；选厂的生产废水及初期雨水、矿石及废石场的淋溶水、尾矿库澄清水及渗滤水应收集回用，不外排。</w:t>
                  </w:r>
                </w:p>
              </w:tc>
              <w:tc>
                <w:tcPr>
                  <w:tcW w:w="1209" w:type="pct"/>
                  <w:noWrap w:val="0"/>
                  <w:vAlign w:val="center"/>
                </w:tcPr>
                <w:p w14:paraId="1FC1B165">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5、本项目</w:t>
                  </w:r>
                  <w:r>
                    <w:rPr>
                      <w:rFonts w:hint="eastAsia" w:ascii="Times New Roman" w:hAnsi="Times New Roman" w:eastAsia="宋体" w:cs="Times New Roman"/>
                      <w:color w:val="auto"/>
                      <w:sz w:val="21"/>
                      <w:szCs w:val="21"/>
                      <w:lang w:val="en-US" w:eastAsia="zh-CN"/>
                    </w:rPr>
                    <w:t>不属于采矿项目</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22D91B5C">
                  <w:pPr>
                    <w:pStyle w:val="75"/>
                    <w:bidi w:val="0"/>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不涉及</w:t>
                  </w:r>
                </w:p>
              </w:tc>
            </w:tr>
            <w:tr w14:paraId="1A4310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54D5D1AC">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161FCF12">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4658A5A3">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000000"/>
                      <w:kern w:val="0"/>
                      <w:sz w:val="21"/>
                      <w:szCs w:val="21"/>
                      <w:lang w:val="en-US" w:eastAsia="zh-CN" w:bidi="ar"/>
                    </w:rPr>
                    <w:t>新建、扩建开发区、工业园区同步规划建设污水收集和集中处理设施，强化工业废水处理设施运行管理，确保稳定达标排放；按照“减量化、稳定化、无害化、资源化”要求，加快城镇污水处理厂污泥处理设施建设，新建污水处理厂必须有明确的污泥处置途径；依法查处取缔非法污泥堆放点，禁止重金属等污染物不达标的污泥进行土地利用。</w:t>
                  </w:r>
                </w:p>
              </w:tc>
              <w:tc>
                <w:tcPr>
                  <w:tcW w:w="1209" w:type="pct"/>
                  <w:noWrap w:val="0"/>
                  <w:vAlign w:val="center"/>
                </w:tcPr>
                <w:p w14:paraId="17FF045E">
                  <w:pPr>
                    <w:pStyle w:val="75"/>
                    <w:bidi w:val="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6、本项目不涉及。</w:t>
                  </w:r>
                </w:p>
              </w:tc>
              <w:tc>
                <w:tcPr>
                  <w:tcW w:w="424" w:type="pct"/>
                  <w:noWrap w:val="0"/>
                  <w:vAlign w:val="center"/>
                </w:tcPr>
                <w:p w14:paraId="2EF37F82">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不涉及</w:t>
                  </w:r>
                </w:p>
              </w:tc>
            </w:tr>
            <w:tr w14:paraId="428509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4CB39069">
                  <w:pPr>
                    <w:pStyle w:val="75"/>
                    <w:bidi w:val="0"/>
                    <w:jc w:val="center"/>
                    <w:rPr>
                      <w:rFonts w:hint="default" w:ascii="Times New Roman" w:hAnsi="Times New Roman" w:eastAsia="宋体" w:cs="Times New Roman"/>
                      <w:color w:val="auto"/>
                      <w:sz w:val="21"/>
                      <w:szCs w:val="21"/>
                    </w:rPr>
                  </w:pPr>
                </w:p>
              </w:tc>
              <w:tc>
                <w:tcPr>
                  <w:tcW w:w="277" w:type="pct"/>
                  <w:vMerge w:val="continue"/>
                  <w:noWrap w:val="0"/>
                  <w:vAlign w:val="center"/>
                </w:tcPr>
                <w:p w14:paraId="5F29B7EB">
                  <w:pPr>
                    <w:pStyle w:val="75"/>
                    <w:bidi w:val="0"/>
                    <w:jc w:val="center"/>
                    <w:rPr>
                      <w:rFonts w:hint="default" w:ascii="Times New Roman" w:hAnsi="Times New Roman" w:eastAsia="宋体" w:cs="Times New Roman"/>
                      <w:color w:val="auto"/>
                      <w:sz w:val="21"/>
                      <w:szCs w:val="21"/>
                    </w:rPr>
                  </w:pPr>
                </w:p>
              </w:tc>
              <w:tc>
                <w:tcPr>
                  <w:tcW w:w="2878" w:type="pct"/>
                  <w:noWrap w:val="0"/>
                  <w:vAlign w:val="center"/>
                </w:tcPr>
                <w:p w14:paraId="0E065ECC">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kern w:val="0"/>
                      <w:sz w:val="21"/>
                      <w:szCs w:val="21"/>
                      <w:lang w:val="en-US" w:eastAsia="zh-CN" w:bidi="ar"/>
                    </w:rPr>
                    <w:t>7、鼓励企业采用先进治理技术，打造行业噪声污染治理示范典型。排放噪声的工业企业应切实采取减振降噪措施，加强厂区内固定设备、运输工具、货物装卸等噪声源管理，同时避免突发噪声扰民。</w:t>
                  </w:r>
                </w:p>
              </w:tc>
              <w:tc>
                <w:tcPr>
                  <w:tcW w:w="1209" w:type="pct"/>
                  <w:noWrap w:val="0"/>
                  <w:vAlign w:val="center"/>
                </w:tcPr>
                <w:p w14:paraId="68FBBB12">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lang w:val="en-US" w:eastAsia="zh-CN"/>
                    </w:rPr>
                    <w:t>、本项目</w:t>
                  </w:r>
                  <w:r>
                    <w:rPr>
                      <w:rFonts w:hint="default" w:ascii="Times New Roman" w:hAnsi="Times New Roman" w:eastAsia="宋体" w:cs="Times New Roman"/>
                      <w:color w:val="000000"/>
                      <w:kern w:val="0"/>
                      <w:sz w:val="21"/>
                      <w:szCs w:val="21"/>
                      <w:lang w:val="en-US" w:eastAsia="zh-CN" w:bidi="ar"/>
                    </w:rPr>
                    <w:t>采取减振降噪措施</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加强固定设备、运输工具、货物装卸等噪声源管理</w:t>
                  </w:r>
                  <w:r>
                    <w:rPr>
                      <w:rFonts w:hint="eastAsia" w:ascii="Times New Roman" w:hAnsi="Times New Roman" w:eastAsia="宋体" w:cs="Times New Roman"/>
                      <w:color w:val="000000"/>
                      <w:kern w:val="0"/>
                      <w:sz w:val="21"/>
                      <w:szCs w:val="21"/>
                      <w:lang w:val="en-US" w:eastAsia="zh-CN" w:bidi="ar"/>
                    </w:rPr>
                    <w:t>。</w:t>
                  </w:r>
                </w:p>
              </w:tc>
              <w:tc>
                <w:tcPr>
                  <w:tcW w:w="424" w:type="pct"/>
                  <w:noWrap w:val="0"/>
                  <w:vAlign w:val="center"/>
                </w:tcPr>
                <w:p w14:paraId="6A710D3B">
                  <w:pPr>
                    <w:pStyle w:val="75"/>
                    <w:bidi w:val="0"/>
                    <w:jc w:val="both"/>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相符</w:t>
                  </w:r>
                </w:p>
              </w:tc>
            </w:tr>
            <w:tr w14:paraId="6C01B5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3" w:hRule="atLeast"/>
              </w:trPr>
              <w:tc>
                <w:tcPr>
                  <w:tcW w:w="209" w:type="pct"/>
                  <w:vMerge w:val="continue"/>
                  <w:noWrap w:val="0"/>
                  <w:vAlign w:val="center"/>
                </w:tcPr>
                <w:p w14:paraId="3E7197E2">
                  <w:pPr>
                    <w:pStyle w:val="75"/>
                    <w:bidi w:val="0"/>
                    <w:jc w:val="center"/>
                    <w:rPr>
                      <w:rFonts w:hint="default" w:ascii="Times New Roman" w:hAnsi="Times New Roman" w:eastAsia="宋体" w:cs="Times New Roman"/>
                      <w:color w:val="auto"/>
                      <w:sz w:val="21"/>
                      <w:szCs w:val="21"/>
                    </w:rPr>
                  </w:pPr>
                </w:p>
              </w:tc>
              <w:tc>
                <w:tcPr>
                  <w:tcW w:w="277" w:type="pct"/>
                  <w:vMerge w:val="restart"/>
                  <w:noWrap w:val="0"/>
                  <w:vAlign w:val="center"/>
                </w:tcPr>
                <w:p w14:paraId="25D2805F">
                  <w:pPr>
                    <w:pStyle w:val="75"/>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2878" w:type="pct"/>
                  <w:noWrap w:val="0"/>
                  <w:vAlign w:val="center"/>
                </w:tcPr>
                <w:p w14:paraId="6A382401">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1、依法推行农用地分类管理制度，强化受污染耕地安全利用和风险管控；用途变更为住宅、公共管理与公共服务用地及有土壤污染风险的建设用地地块，应当依法开展土壤污染状况调查；污染地块经治理与修复，并符合相应规划用地土壤环境质量要求后，方可进入用地程序；合理规划污染地块土地用途，鼓励农药、化工等行业中重度污染地块优先规划用于拓展生态空间。</w:t>
                  </w:r>
                </w:p>
              </w:tc>
              <w:tc>
                <w:tcPr>
                  <w:tcW w:w="1209" w:type="pct"/>
                  <w:noWrap w:val="0"/>
                  <w:vAlign w:val="center"/>
                </w:tcPr>
                <w:p w14:paraId="7B514335">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eastAsia="zh-CN"/>
                    </w:rPr>
                    <w:t>本项目利用现有厂房，未占用耕地</w:t>
                  </w:r>
                  <w:r>
                    <w:rPr>
                      <w:rFonts w:hint="default" w:ascii="Times New Roman" w:hAnsi="Times New Roman" w:eastAsia="宋体" w:cs="Times New Roman"/>
                      <w:color w:val="auto"/>
                      <w:sz w:val="21"/>
                      <w:szCs w:val="21"/>
                    </w:rPr>
                    <w:t>。</w:t>
                  </w:r>
                </w:p>
              </w:tc>
              <w:tc>
                <w:tcPr>
                  <w:tcW w:w="424" w:type="pct"/>
                  <w:noWrap w:val="0"/>
                  <w:vAlign w:val="center"/>
                </w:tcPr>
                <w:p w14:paraId="5DBF4A9A">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相符</w:t>
                  </w:r>
                </w:p>
              </w:tc>
            </w:tr>
            <w:tr w14:paraId="779DA1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2" w:hRule="atLeast"/>
              </w:trPr>
              <w:tc>
                <w:tcPr>
                  <w:tcW w:w="209" w:type="pct"/>
                  <w:vMerge w:val="continue"/>
                  <w:noWrap w:val="0"/>
                  <w:vAlign w:val="center"/>
                </w:tcPr>
                <w:p w14:paraId="20417553">
                  <w:pPr>
                    <w:pStyle w:val="75"/>
                    <w:bidi w:val="0"/>
                    <w:jc w:val="both"/>
                    <w:rPr>
                      <w:rFonts w:hint="default" w:ascii="Times New Roman" w:hAnsi="Times New Roman" w:eastAsia="宋体" w:cs="Times New Roman"/>
                      <w:sz w:val="21"/>
                      <w:szCs w:val="21"/>
                    </w:rPr>
                  </w:pPr>
                </w:p>
              </w:tc>
              <w:tc>
                <w:tcPr>
                  <w:tcW w:w="277" w:type="pct"/>
                  <w:vMerge w:val="continue"/>
                  <w:noWrap w:val="0"/>
                  <w:vAlign w:val="center"/>
                </w:tcPr>
                <w:p w14:paraId="03AE4461">
                  <w:pPr>
                    <w:pStyle w:val="75"/>
                    <w:bidi w:val="0"/>
                    <w:jc w:val="both"/>
                    <w:rPr>
                      <w:rFonts w:hint="default" w:ascii="Times New Roman" w:hAnsi="Times New Roman" w:eastAsia="宋体" w:cs="Times New Roman"/>
                      <w:sz w:val="21"/>
                      <w:szCs w:val="21"/>
                    </w:rPr>
                  </w:pPr>
                </w:p>
              </w:tc>
              <w:tc>
                <w:tcPr>
                  <w:tcW w:w="2878" w:type="pct"/>
                  <w:noWrap w:val="0"/>
                  <w:vAlign w:val="center"/>
                </w:tcPr>
                <w:p w14:paraId="62062B5C">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2、以涉重涉危及有毒有害等行业企业为重点，加强水环境风险日常监管；推进涉水企业的环境风险排查整治、风险预防设施设备建设；制定水环境污染事故处置应急预案，加强上下游联防联控，防范跨界水环境风险，提升环境应急处置能力。</w:t>
                  </w:r>
                </w:p>
              </w:tc>
              <w:tc>
                <w:tcPr>
                  <w:tcW w:w="1209" w:type="pct"/>
                  <w:noWrap w:val="0"/>
                  <w:vAlign w:val="center"/>
                </w:tcPr>
                <w:p w14:paraId="337C8604">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lang w:eastAsia="zh-CN"/>
                    </w:rPr>
                    <w:t>本项目未涉重涉危及有毒有害物质，同时本项目未废水外排，不会对水环境造成影响。</w:t>
                  </w:r>
                </w:p>
              </w:tc>
              <w:tc>
                <w:tcPr>
                  <w:tcW w:w="424" w:type="pct"/>
                  <w:noWrap w:val="0"/>
                  <w:vAlign w:val="center"/>
                </w:tcPr>
                <w:p w14:paraId="096EF2B8">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542631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3" w:hRule="atLeast"/>
              </w:trPr>
              <w:tc>
                <w:tcPr>
                  <w:tcW w:w="209" w:type="pct"/>
                  <w:vMerge w:val="continue"/>
                  <w:noWrap w:val="0"/>
                  <w:vAlign w:val="center"/>
                </w:tcPr>
                <w:p w14:paraId="5EB42593">
                  <w:pPr>
                    <w:pStyle w:val="75"/>
                    <w:bidi w:val="0"/>
                    <w:jc w:val="both"/>
                    <w:rPr>
                      <w:rFonts w:hint="default" w:ascii="Times New Roman" w:hAnsi="Times New Roman" w:eastAsia="宋体" w:cs="Times New Roman"/>
                      <w:color w:val="auto"/>
                      <w:sz w:val="21"/>
                      <w:szCs w:val="21"/>
                    </w:rPr>
                  </w:pPr>
                </w:p>
              </w:tc>
              <w:tc>
                <w:tcPr>
                  <w:tcW w:w="277" w:type="pct"/>
                  <w:vMerge w:val="continue"/>
                  <w:noWrap w:val="0"/>
                  <w:vAlign w:val="center"/>
                </w:tcPr>
                <w:p w14:paraId="21077432">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4D275C9D">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3、化工园区内涉及有毒有害物质的重点场所或者重点设施设备（特别是地下储罐、管网等）应进行防渗漏设计和建设，消除土壤和地下水污染隐患；建立完善的生态环境监测监控和风险预警体系，相关监测监控数据应接入地方监测预警系统；建立满足突发环境事件情形下应急处置需求的应急救援体系、预案、平台和专职应急救援队伍，配备符合相关国家标准、行业标准要求的人员和装备。</w:t>
                  </w:r>
                </w:p>
              </w:tc>
              <w:tc>
                <w:tcPr>
                  <w:tcW w:w="1209" w:type="pct"/>
                  <w:noWrap w:val="0"/>
                  <w:vAlign w:val="center"/>
                </w:tcPr>
                <w:p w14:paraId="581107E7">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3、</w:t>
                  </w:r>
                  <w:r>
                    <w:rPr>
                      <w:rFonts w:hint="eastAsia" w:ascii="Times New Roman" w:hAnsi="Times New Roman" w:eastAsia="宋体" w:cs="Times New Roman"/>
                      <w:color w:val="auto"/>
                      <w:sz w:val="21"/>
                      <w:szCs w:val="21"/>
                      <w:lang w:eastAsia="zh-CN"/>
                    </w:rPr>
                    <w:t>本项目不涉及。</w:t>
                  </w:r>
                </w:p>
              </w:tc>
              <w:tc>
                <w:tcPr>
                  <w:tcW w:w="424" w:type="pct"/>
                  <w:noWrap w:val="0"/>
                  <w:vAlign w:val="center"/>
                </w:tcPr>
                <w:p w14:paraId="5C6A5F36">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1D5705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textDirection w:val="tbLrV"/>
                  <w:vAlign w:val="center"/>
                </w:tcPr>
                <w:p w14:paraId="52A169F6">
                  <w:pPr>
                    <w:pStyle w:val="75"/>
                    <w:bidi w:val="0"/>
                    <w:jc w:val="center"/>
                    <w:rPr>
                      <w:rFonts w:hint="default" w:ascii="Times New Roman" w:hAnsi="Times New Roman" w:eastAsia="宋体" w:cs="Times New Roman"/>
                      <w:color w:val="auto"/>
                      <w:sz w:val="21"/>
                      <w:szCs w:val="21"/>
                    </w:rPr>
                  </w:pPr>
                </w:p>
              </w:tc>
              <w:tc>
                <w:tcPr>
                  <w:tcW w:w="277" w:type="pct"/>
                  <w:vMerge w:val="restart"/>
                  <w:noWrap w:val="0"/>
                  <w:textDirection w:val="tbLrV"/>
                  <w:vAlign w:val="center"/>
                </w:tcPr>
                <w:p w14:paraId="0F35FF08">
                  <w:pPr>
                    <w:pStyle w:val="75"/>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资源开发效率要求</w:t>
                  </w:r>
                </w:p>
              </w:tc>
              <w:tc>
                <w:tcPr>
                  <w:tcW w:w="2878" w:type="pct"/>
                  <w:noWrap w:val="0"/>
                  <w:vAlign w:val="center"/>
                </w:tcPr>
                <w:p w14:paraId="6DE014D8">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1、“十四五”时期，规模以上工业单位增加值能耗下降18%，万元工业增加值用水量下降10%。</w:t>
                  </w:r>
                </w:p>
              </w:tc>
              <w:tc>
                <w:tcPr>
                  <w:tcW w:w="1209" w:type="pct"/>
                  <w:noWrap w:val="0"/>
                  <w:vAlign w:val="center"/>
                </w:tcPr>
                <w:p w14:paraId="351A0CEE">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1、本项</w:t>
                  </w:r>
                  <w:r>
                    <w:rPr>
                      <w:rFonts w:hint="eastAsia" w:ascii="Times New Roman" w:hAnsi="Times New Roman" w:eastAsia="宋体" w:cs="Times New Roman"/>
                      <w:color w:val="auto"/>
                      <w:sz w:val="21"/>
                      <w:szCs w:val="21"/>
                      <w:lang w:val="en-US" w:eastAsia="zh-CN"/>
                    </w:rPr>
                    <w:t>目不涉及</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2CD97EF8">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不涉及</w:t>
                  </w:r>
                </w:p>
              </w:tc>
            </w:tr>
            <w:tr w14:paraId="7D939C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602A2421">
                  <w:pPr>
                    <w:pStyle w:val="75"/>
                    <w:bidi w:val="0"/>
                    <w:jc w:val="both"/>
                    <w:rPr>
                      <w:rFonts w:hint="default" w:ascii="Times New Roman" w:hAnsi="Times New Roman" w:eastAsia="宋体" w:cs="Times New Roman"/>
                      <w:color w:val="auto"/>
                      <w:sz w:val="21"/>
                      <w:szCs w:val="21"/>
                    </w:rPr>
                  </w:pPr>
                </w:p>
              </w:tc>
              <w:tc>
                <w:tcPr>
                  <w:tcW w:w="277" w:type="pct"/>
                  <w:vMerge w:val="continue"/>
                  <w:noWrap w:val="0"/>
                  <w:vAlign w:val="center"/>
                </w:tcPr>
                <w:p w14:paraId="5B6EE702">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354267C6">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2、新建、扩建“两高”项目单位产品物耗、能耗、水耗等达到清洁生产先进水平。</w:t>
                  </w:r>
                </w:p>
              </w:tc>
              <w:tc>
                <w:tcPr>
                  <w:tcW w:w="1209" w:type="pct"/>
                  <w:noWrap w:val="0"/>
                  <w:vAlign w:val="center"/>
                </w:tcPr>
                <w:p w14:paraId="519D6FCD">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2、本项目</w:t>
                  </w:r>
                  <w:r>
                    <w:rPr>
                      <w:rFonts w:hint="eastAsia" w:ascii="Times New Roman" w:hAnsi="Times New Roman" w:eastAsia="宋体" w:cs="Times New Roman"/>
                      <w:color w:val="auto"/>
                      <w:sz w:val="21"/>
                      <w:szCs w:val="21"/>
                      <w:lang w:val="en-US" w:eastAsia="zh-CN"/>
                    </w:rPr>
                    <w:t>不属“两高”项目</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7EBA79C2">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不涉及</w:t>
                  </w:r>
                </w:p>
              </w:tc>
            </w:tr>
            <w:tr w14:paraId="75D7DD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209" w:type="pct"/>
                  <w:vMerge w:val="continue"/>
                  <w:noWrap w:val="0"/>
                  <w:vAlign w:val="center"/>
                </w:tcPr>
                <w:p w14:paraId="63608962">
                  <w:pPr>
                    <w:pStyle w:val="75"/>
                    <w:bidi w:val="0"/>
                    <w:jc w:val="both"/>
                    <w:rPr>
                      <w:rFonts w:hint="default" w:ascii="Times New Roman" w:hAnsi="Times New Roman" w:eastAsia="宋体" w:cs="Times New Roman"/>
                      <w:color w:val="auto"/>
                      <w:sz w:val="21"/>
                      <w:szCs w:val="21"/>
                    </w:rPr>
                  </w:pPr>
                </w:p>
              </w:tc>
              <w:tc>
                <w:tcPr>
                  <w:tcW w:w="277" w:type="pct"/>
                  <w:vMerge w:val="continue"/>
                  <w:noWrap w:val="0"/>
                  <w:vAlign w:val="center"/>
                </w:tcPr>
                <w:p w14:paraId="27670B87">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61C04693">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000000"/>
                      <w:kern w:val="0"/>
                      <w:sz w:val="21"/>
                      <w:szCs w:val="21"/>
                      <w:lang w:val="en-US" w:eastAsia="zh-CN" w:bidi="ar"/>
                    </w:rPr>
                    <w:t>实施重点领域节能降碳改造，到2025年钢铁、电解铝、水泥、炼油、乙烯、焦化等重点行业产能达到能效标杆水平的比例超过30%，行业整体能效水平明显提升，碳排放强度明显下降，绿色低碳发展能力显著增强。</w:t>
                  </w:r>
                </w:p>
              </w:tc>
              <w:tc>
                <w:tcPr>
                  <w:tcW w:w="1209" w:type="pct"/>
                  <w:noWrap w:val="0"/>
                  <w:vAlign w:val="center"/>
                </w:tcPr>
                <w:p w14:paraId="71D44012">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3、本项目</w:t>
                  </w:r>
                  <w:r>
                    <w:rPr>
                      <w:rFonts w:hint="eastAsia" w:ascii="Times New Roman" w:hAnsi="Times New Roman" w:eastAsia="宋体" w:cs="Times New Roman"/>
                      <w:color w:val="auto"/>
                      <w:sz w:val="21"/>
                      <w:szCs w:val="21"/>
                      <w:lang w:val="en-US" w:eastAsia="zh-CN"/>
                    </w:rPr>
                    <w:t>未使用碳煤炭</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3A7C4E41">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不涉及</w:t>
                  </w:r>
                </w:p>
              </w:tc>
            </w:tr>
            <w:tr w14:paraId="0DDB0F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09" w:type="pct"/>
                  <w:vMerge w:val="continue"/>
                  <w:noWrap w:val="0"/>
                  <w:vAlign w:val="center"/>
                </w:tcPr>
                <w:p w14:paraId="36D1CD7B">
                  <w:pPr>
                    <w:pStyle w:val="75"/>
                    <w:bidi w:val="0"/>
                    <w:jc w:val="both"/>
                    <w:rPr>
                      <w:rFonts w:hint="default" w:ascii="Times New Roman" w:hAnsi="Times New Roman" w:eastAsia="宋体" w:cs="Times New Roman"/>
                      <w:color w:val="auto"/>
                      <w:sz w:val="21"/>
                      <w:szCs w:val="21"/>
                    </w:rPr>
                  </w:pPr>
                </w:p>
              </w:tc>
              <w:tc>
                <w:tcPr>
                  <w:tcW w:w="277" w:type="pct"/>
                  <w:vMerge w:val="continue"/>
                  <w:noWrap w:val="0"/>
                  <w:vAlign w:val="center"/>
                </w:tcPr>
                <w:p w14:paraId="39887030">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1E17C8EC">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000000"/>
                      <w:kern w:val="0"/>
                      <w:sz w:val="21"/>
                      <w:szCs w:val="21"/>
                      <w:lang w:val="en-US" w:eastAsia="zh-CN" w:bidi="ar"/>
                    </w:rPr>
                    <w:t>对以煤、石油焦、渣油、重油等为燃料的锅炉和工业炉窑，加快使用工业余热、电厂热力、清洁能源等进行替代。</w:t>
                  </w:r>
                </w:p>
              </w:tc>
              <w:tc>
                <w:tcPr>
                  <w:tcW w:w="1209" w:type="pct"/>
                  <w:noWrap w:val="0"/>
                  <w:vAlign w:val="center"/>
                </w:tcPr>
                <w:p w14:paraId="0CC845D3">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4、本项</w:t>
                  </w:r>
                  <w:r>
                    <w:rPr>
                      <w:rFonts w:hint="eastAsia" w:ascii="Times New Roman" w:hAnsi="Times New Roman" w:eastAsia="宋体" w:cs="Times New Roman"/>
                      <w:color w:val="auto"/>
                      <w:sz w:val="21"/>
                      <w:szCs w:val="21"/>
                      <w:lang w:val="en-US" w:eastAsia="zh-CN"/>
                    </w:rPr>
                    <w:t>目未使用</w:t>
                  </w:r>
                  <w:r>
                    <w:rPr>
                      <w:rFonts w:hint="default" w:ascii="Times New Roman" w:hAnsi="Times New Roman" w:eastAsia="宋体" w:cs="Times New Roman"/>
                      <w:color w:val="000000"/>
                      <w:kern w:val="0"/>
                      <w:sz w:val="21"/>
                      <w:szCs w:val="21"/>
                      <w:lang w:val="en-US" w:eastAsia="zh-CN" w:bidi="ar"/>
                    </w:rPr>
                    <w:t>煤、石油焦、渣油、重油等为燃料的锅炉和工业炉窑</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78A1CFA2">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相符</w:t>
                  </w:r>
                </w:p>
              </w:tc>
            </w:tr>
            <w:tr w14:paraId="280124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209" w:type="pct"/>
                  <w:vMerge w:val="continue"/>
                  <w:noWrap w:val="0"/>
                  <w:vAlign w:val="center"/>
                </w:tcPr>
                <w:p w14:paraId="1A337123">
                  <w:pPr>
                    <w:pStyle w:val="75"/>
                    <w:bidi w:val="0"/>
                    <w:jc w:val="both"/>
                    <w:rPr>
                      <w:rFonts w:hint="default" w:ascii="Times New Roman" w:hAnsi="Times New Roman" w:eastAsia="宋体" w:cs="Times New Roman"/>
                      <w:color w:val="auto"/>
                      <w:sz w:val="21"/>
                      <w:szCs w:val="21"/>
                    </w:rPr>
                  </w:pPr>
                </w:p>
              </w:tc>
              <w:tc>
                <w:tcPr>
                  <w:tcW w:w="277" w:type="pct"/>
                  <w:vMerge w:val="continue"/>
                  <w:noWrap w:val="0"/>
                  <w:vAlign w:val="center"/>
                </w:tcPr>
                <w:p w14:paraId="6F2F2954">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50631DEC">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5、除应急取（排）水、地下水监测外，在地下水禁采区内，禁止取用地下水；在地下水限采区内，禁止开凿新的取水井或者增加地下水取水量。</w:t>
                  </w:r>
                </w:p>
              </w:tc>
              <w:tc>
                <w:tcPr>
                  <w:tcW w:w="1209" w:type="pct"/>
                  <w:noWrap w:val="0"/>
                  <w:vAlign w:val="center"/>
                </w:tcPr>
                <w:p w14:paraId="16D616D5">
                  <w:pPr>
                    <w:pStyle w:val="7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5、本项目</w:t>
                  </w:r>
                  <w:r>
                    <w:rPr>
                      <w:rFonts w:hint="eastAsia" w:ascii="Times New Roman" w:hAnsi="Times New Roman" w:eastAsia="宋体" w:cs="Times New Roman"/>
                      <w:color w:val="auto"/>
                      <w:sz w:val="21"/>
                      <w:szCs w:val="21"/>
                      <w:lang w:val="en-US" w:eastAsia="zh-CN"/>
                    </w:rPr>
                    <w:t>使用自备井，拥有取水证，若接通供水管网，停止使用自备井</w:t>
                  </w:r>
                  <w:r>
                    <w:rPr>
                      <w:rFonts w:hint="default" w:ascii="Times New Roman" w:hAnsi="Times New Roman" w:eastAsia="宋体" w:cs="Times New Roman"/>
                      <w:color w:val="auto"/>
                      <w:sz w:val="21"/>
                      <w:szCs w:val="21"/>
                      <w:lang w:val="en-US" w:eastAsia="zh-CN"/>
                    </w:rPr>
                    <w:t>。</w:t>
                  </w:r>
                </w:p>
              </w:tc>
              <w:tc>
                <w:tcPr>
                  <w:tcW w:w="424" w:type="pct"/>
                  <w:noWrap w:val="0"/>
                  <w:vAlign w:val="center"/>
                </w:tcPr>
                <w:p w14:paraId="4D871205">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相符</w:t>
                  </w:r>
                </w:p>
              </w:tc>
            </w:tr>
            <w:tr w14:paraId="2E7569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09" w:type="pct"/>
                  <w:vMerge w:val="restart"/>
                  <w:noWrap w:val="0"/>
                  <w:vAlign w:val="center"/>
                </w:tcPr>
                <w:p w14:paraId="7DB94429">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重点区域生态环境管控要求</w:t>
                  </w:r>
                </w:p>
                <w:p w14:paraId="5E9B73CF">
                  <w:pPr>
                    <w:pStyle w:val="75"/>
                    <w:bidi w:val="0"/>
                    <w:jc w:val="both"/>
                    <w:rPr>
                      <w:rFonts w:hint="default" w:ascii="Times New Roman" w:hAnsi="Times New Roman" w:eastAsia="宋体" w:cs="Times New Roman"/>
                      <w:color w:val="auto"/>
                      <w:sz w:val="21"/>
                      <w:szCs w:val="21"/>
                    </w:rPr>
                  </w:pPr>
                </w:p>
              </w:tc>
              <w:tc>
                <w:tcPr>
                  <w:tcW w:w="277" w:type="pct"/>
                  <w:vMerge w:val="restart"/>
                  <w:noWrap w:val="0"/>
                  <w:vAlign w:val="center"/>
                </w:tcPr>
                <w:p w14:paraId="6DB8F603">
                  <w:pPr>
                    <w:pStyle w:val="75"/>
                    <w:keepNext w:val="0"/>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空间布局约束</w:t>
                  </w:r>
                </w:p>
              </w:tc>
              <w:tc>
                <w:tcPr>
                  <w:tcW w:w="2878" w:type="pct"/>
                  <w:noWrap w:val="0"/>
                  <w:vAlign w:val="center"/>
                </w:tcPr>
                <w:p w14:paraId="3D43352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1</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坚决遏制“两高”项目盲目发展，落实《中共河南省委河南省人民政府 关于深入打好污染防治攻坚战的实施意见》中关于空间布局约束的相关要求。</w:t>
                  </w:r>
                </w:p>
              </w:tc>
              <w:tc>
                <w:tcPr>
                  <w:tcW w:w="1209" w:type="pct"/>
                  <w:noWrap w:val="0"/>
                  <w:vAlign w:val="center"/>
                </w:tcPr>
                <w:p w14:paraId="538AC4DF">
                  <w:pPr>
                    <w:pStyle w:val="75"/>
                    <w:bidi w:val="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本项目不属于“两高”项目。</w:t>
                  </w:r>
                </w:p>
              </w:tc>
              <w:tc>
                <w:tcPr>
                  <w:tcW w:w="424" w:type="pct"/>
                  <w:noWrap w:val="0"/>
                  <w:vAlign w:val="center"/>
                </w:tcPr>
                <w:p w14:paraId="08589FA0">
                  <w:pPr>
                    <w:pStyle w:val="75"/>
                    <w:bidi w:val="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4AF9E4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09" w:type="pct"/>
                  <w:vMerge w:val="continue"/>
                  <w:noWrap w:val="0"/>
                  <w:vAlign w:val="center"/>
                </w:tcPr>
                <w:p w14:paraId="384E6CEE">
                  <w:pPr>
                    <w:pStyle w:val="75"/>
                    <w:bidi w:val="0"/>
                    <w:jc w:val="both"/>
                    <w:rPr>
                      <w:rFonts w:hint="default" w:ascii="Times New Roman" w:hAnsi="Times New Roman" w:eastAsia="宋体" w:cs="Times New Roman"/>
                      <w:sz w:val="21"/>
                      <w:szCs w:val="21"/>
                    </w:rPr>
                  </w:pPr>
                </w:p>
              </w:tc>
              <w:tc>
                <w:tcPr>
                  <w:tcW w:w="277" w:type="pct"/>
                  <w:vMerge w:val="continue"/>
                  <w:noWrap w:val="0"/>
                  <w:vAlign w:val="center"/>
                </w:tcPr>
                <w:p w14:paraId="77DA0EAE">
                  <w:pPr>
                    <w:pStyle w:val="75"/>
                    <w:bidi w:val="0"/>
                    <w:jc w:val="both"/>
                    <w:rPr>
                      <w:rFonts w:hint="default" w:ascii="Times New Roman" w:hAnsi="Times New Roman" w:eastAsia="宋体" w:cs="Times New Roman"/>
                      <w:sz w:val="21"/>
                      <w:szCs w:val="21"/>
                    </w:rPr>
                  </w:pPr>
                </w:p>
              </w:tc>
              <w:tc>
                <w:tcPr>
                  <w:tcW w:w="2878" w:type="pct"/>
                  <w:noWrap w:val="0"/>
                  <w:vAlign w:val="center"/>
                </w:tcPr>
                <w:p w14:paraId="1D9CC4DB">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严控磷铵、电石、黄磷等行业新增产能，禁止新建用汞的（聚）氯乙烯产能，加快低效落后产能退出。</w:t>
                  </w:r>
                </w:p>
              </w:tc>
              <w:tc>
                <w:tcPr>
                  <w:tcW w:w="1209" w:type="pct"/>
                  <w:noWrap w:val="0"/>
                  <w:vAlign w:val="center"/>
                </w:tcPr>
                <w:p w14:paraId="24188B63">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2、</w:t>
                  </w:r>
                  <w:r>
                    <w:rPr>
                      <w:rFonts w:hint="eastAsia" w:ascii="Times New Roman" w:hAnsi="Times New Roman" w:eastAsia="宋体" w:cs="Times New Roman"/>
                      <w:color w:val="000000"/>
                      <w:kern w:val="0"/>
                      <w:sz w:val="21"/>
                      <w:szCs w:val="21"/>
                      <w:lang w:val="en-US" w:eastAsia="zh-CN" w:bidi="ar"/>
                    </w:rPr>
                    <w:t>本项目不属于磷铵、电石、黄磷等业，不属于用汞的（聚）氯乙烯产能。</w:t>
                  </w:r>
                </w:p>
              </w:tc>
              <w:tc>
                <w:tcPr>
                  <w:tcW w:w="424" w:type="pct"/>
                  <w:noWrap w:val="0"/>
                  <w:vAlign w:val="center"/>
                </w:tcPr>
                <w:p w14:paraId="14850A1C">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不涉及</w:t>
                  </w:r>
                </w:p>
              </w:tc>
            </w:tr>
            <w:tr w14:paraId="35D3C6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09" w:type="pct"/>
                  <w:vMerge w:val="continue"/>
                  <w:noWrap w:val="0"/>
                  <w:vAlign w:val="center"/>
                </w:tcPr>
                <w:p w14:paraId="2A81AE28">
                  <w:pPr>
                    <w:pStyle w:val="75"/>
                    <w:bidi w:val="0"/>
                    <w:jc w:val="both"/>
                    <w:rPr>
                      <w:rFonts w:hint="default" w:ascii="Times New Roman" w:hAnsi="Times New Roman" w:eastAsia="宋体" w:cs="Times New Roman"/>
                      <w:color w:val="000000"/>
                      <w:kern w:val="0"/>
                      <w:sz w:val="21"/>
                      <w:szCs w:val="21"/>
                      <w:lang w:val="en-US" w:eastAsia="zh-CN" w:bidi="ar"/>
                    </w:rPr>
                  </w:pPr>
                </w:p>
              </w:tc>
              <w:tc>
                <w:tcPr>
                  <w:tcW w:w="277" w:type="pct"/>
                  <w:vMerge w:val="continue"/>
                  <w:noWrap w:val="0"/>
                  <w:vAlign w:val="center"/>
                </w:tcPr>
                <w:p w14:paraId="78656950">
                  <w:pPr>
                    <w:pStyle w:val="75"/>
                    <w:bidi w:val="0"/>
                    <w:jc w:val="both"/>
                    <w:rPr>
                      <w:rFonts w:hint="default" w:ascii="Times New Roman" w:hAnsi="Times New Roman" w:eastAsia="宋体" w:cs="Times New Roman"/>
                      <w:color w:val="000000"/>
                      <w:kern w:val="0"/>
                      <w:sz w:val="21"/>
                      <w:szCs w:val="21"/>
                      <w:lang w:val="en-US" w:eastAsia="zh-CN" w:bidi="ar"/>
                    </w:rPr>
                  </w:pPr>
                </w:p>
              </w:tc>
              <w:tc>
                <w:tcPr>
                  <w:tcW w:w="2878" w:type="pct"/>
                  <w:noWrap w:val="0"/>
                  <w:vAlign w:val="center"/>
                </w:tcPr>
                <w:p w14:paraId="32099E42">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3</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原则上禁止新建企业自备燃煤机组，有序关停整合30万千瓦以上热电联产机组供热合理半径范围内的落后燃煤小热电机组（含自备电厂）。</w:t>
                  </w:r>
                </w:p>
              </w:tc>
              <w:tc>
                <w:tcPr>
                  <w:tcW w:w="1209" w:type="pct"/>
                  <w:noWrap w:val="0"/>
                  <w:vAlign w:val="center"/>
                </w:tcPr>
                <w:p w14:paraId="5F420AC9">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3、</w:t>
                  </w:r>
                  <w:r>
                    <w:rPr>
                      <w:rFonts w:hint="eastAsia" w:ascii="Times New Roman" w:hAnsi="Times New Roman" w:eastAsia="宋体" w:cs="Times New Roman"/>
                      <w:color w:val="000000"/>
                      <w:kern w:val="0"/>
                      <w:sz w:val="21"/>
                      <w:szCs w:val="21"/>
                      <w:lang w:val="en-US" w:eastAsia="zh-CN" w:bidi="ar"/>
                    </w:rPr>
                    <w:t>本项目不涉及自备燃煤机组。</w:t>
                  </w:r>
                </w:p>
              </w:tc>
              <w:tc>
                <w:tcPr>
                  <w:tcW w:w="424" w:type="pct"/>
                  <w:noWrap w:val="0"/>
                  <w:vAlign w:val="center"/>
                </w:tcPr>
                <w:p w14:paraId="18A22860">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不涉及</w:t>
                  </w:r>
                </w:p>
              </w:tc>
            </w:tr>
            <w:tr w14:paraId="3FBCBF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09" w:type="pct"/>
                  <w:vMerge w:val="continue"/>
                  <w:noWrap w:val="0"/>
                  <w:vAlign w:val="center"/>
                </w:tcPr>
                <w:p w14:paraId="2B5E602C">
                  <w:pPr>
                    <w:pStyle w:val="75"/>
                    <w:bidi w:val="0"/>
                    <w:jc w:val="both"/>
                    <w:rPr>
                      <w:rFonts w:hint="default" w:ascii="Times New Roman" w:hAnsi="Times New Roman" w:eastAsia="宋体" w:cs="Times New Roman"/>
                      <w:color w:val="000000"/>
                      <w:kern w:val="0"/>
                      <w:sz w:val="21"/>
                      <w:szCs w:val="21"/>
                      <w:lang w:val="en-US" w:eastAsia="zh-CN" w:bidi="ar"/>
                    </w:rPr>
                  </w:pPr>
                </w:p>
              </w:tc>
              <w:tc>
                <w:tcPr>
                  <w:tcW w:w="277" w:type="pct"/>
                  <w:vMerge w:val="continue"/>
                  <w:noWrap w:val="0"/>
                  <w:vAlign w:val="center"/>
                </w:tcPr>
                <w:p w14:paraId="3346AEFE">
                  <w:pPr>
                    <w:pStyle w:val="75"/>
                    <w:bidi w:val="0"/>
                    <w:jc w:val="both"/>
                    <w:rPr>
                      <w:rFonts w:hint="default" w:ascii="Times New Roman" w:hAnsi="Times New Roman" w:eastAsia="宋体" w:cs="Times New Roman"/>
                      <w:color w:val="000000"/>
                      <w:kern w:val="0"/>
                      <w:sz w:val="21"/>
                      <w:szCs w:val="21"/>
                      <w:lang w:val="en-US" w:eastAsia="zh-CN" w:bidi="ar"/>
                    </w:rPr>
                  </w:pPr>
                </w:p>
              </w:tc>
              <w:tc>
                <w:tcPr>
                  <w:tcW w:w="2878" w:type="pct"/>
                  <w:noWrap w:val="0"/>
                  <w:vAlign w:val="center"/>
                </w:tcPr>
                <w:p w14:paraId="13433681">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4</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优化危险化学品生产布局，禁止在化工园区外新建、扩建危险化学品生产项目。新建危险化学品生产项目必须进入通过认定的一般或较低安全风险的化工园区（与其他行业生产装置配套建设的项目除外）。</w:t>
                  </w:r>
                </w:p>
              </w:tc>
              <w:tc>
                <w:tcPr>
                  <w:tcW w:w="1209" w:type="pct"/>
                  <w:noWrap w:val="0"/>
                  <w:vAlign w:val="center"/>
                </w:tcPr>
                <w:p w14:paraId="6BE6B818">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4、</w:t>
                  </w:r>
                  <w:r>
                    <w:rPr>
                      <w:rFonts w:hint="eastAsia" w:ascii="Times New Roman" w:hAnsi="Times New Roman" w:eastAsia="宋体" w:cs="Times New Roman"/>
                      <w:color w:val="000000"/>
                      <w:kern w:val="0"/>
                      <w:sz w:val="21"/>
                      <w:szCs w:val="21"/>
                      <w:lang w:val="en-US" w:eastAsia="zh-CN" w:bidi="ar"/>
                    </w:rPr>
                    <w:t>本项目不属于危险化学品生产项目。</w:t>
                  </w:r>
                </w:p>
              </w:tc>
              <w:tc>
                <w:tcPr>
                  <w:tcW w:w="424" w:type="pct"/>
                  <w:noWrap w:val="0"/>
                  <w:vAlign w:val="center"/>
                </w:tcPr>
                <w:p w14:paraId="49E9102B">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不涉及</w:t>
                  </w:r>
                </w:p>
              </w:tc>
            </w:tr>
            <w:tr w14:paraId="3AA622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09" w:type="pct"/>
                  <w:vMerge w:val="continue"/>
                  <w:noWrap w:val="0"/>
                  <w:vAlign w:val="center"/>
                </w:tcPr>
                <w:p w14:paraId="018FA363">
                  <w:pPr>
                    <w:pStyle w:val="75"/>
                    <w:bidi w:val="0"/>
                    <w:jc w:val="both"/>
                    <w:rPr>
                      <w:rFonts w:hint="default" w:ascii="Times New Roman" w:hAnsi="Times New Roman" w:eastAsia="宋体" w:cs="Times New Roman"/>
                      <w:color w:val="000000"/>
                      <w:kern w:val="0"/>
                      <w:sz w:val="21"/>
                      <w:szCs w:val="21"/>
                      <w:lang w:val="en-US" w:eastAsia="zh-CN" w:bidi="ar"/>
                    </w:rPr>
                  </w:pPr>
                </w:p>
              </w:tc>
              <w:tc>
                <w:tcPr>
                  <w:tcW w:w="277" w:type="pct"/>
                  <w:vMerge w:val="continue"/>
                  <w:noWrap w:val="0"/>
                  <w:vAlign w:val="center"/>
                </w:tcPr>
                <w:p w14:paraId="12163DA8">
                  <w:pPr>
                    <w:pStyle w:val="75"/>
                    <w:bidi w:val="0"/>
                    <w:jc w:val="both"/>
                    <w:rPr>
                      <w:rFonts w:hint="default" w:ascii="Times New Roman" w:hAnsi="Times New Roman" w:eastAsia="宋体" w:cs="Times New Roman"/>
                      <w:color w:val="000000"/>
                      <w:kern w:val="0"/>
                      <w:sz w:val="21"/>
                      <w:szCs w:val="21"/>
                      <w:lang w:val="en-US" w:eastAsia="zh-CN" w:bidi="ar"/>
                    </w:rPr>
                  </w:pPr>
                </w:p>
              </w:tc>
              <w:tc>
                <w:tcPr>
                  <w:tcW w:w="2878" w:type="pct"/>
                  <w:noWrap w:val="0"/>
                  <w:vAlign w:val="center"/>
                </w:tcPr>
                <w:p w14:paraId="07B61B35">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5</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新建、扩建石化项目不得位于黄河干支流岸线管控范围内等法律法规明令禁止的区域，尽可能远离居民集中区、医院、学校等环境敏感区。</w:t>
                  </w:r>
                </w:p>
              </w:tc>
              <w:tc>
                <w:tcPr>
                  <w:tcW w:w="1209" w:type="pct"/>
                  <w:noWrap w:val="0"/>
                  <w:vAlign w:val="center"/>
                </w:tcPr>
                <w:p w14:paraId="073DCF4F">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5、</w:t>
                  </w:r>
                  <w:r>
                    <w:rPr>
                      <w:rFonts w:hint="eastAsia" w:ascii="Times New Roman" w:hAnsi="Times New Roman" w:eastAsia="宋体" w:cs="Times New Roman"/>
                      <w:color w:val="000000"/>
                      <w:kern w:val="0"/>
                      <w:sz w:val="21"/>
                      <w:szCs w:val="21"/>
                      <w:lang w:val="en-US" w:eastAsia="zh-CN" w:bidi="ar"/>
                    </w:rPr>
                    <w:t>本项目不涉及石化项目。</w:t>
                  </w:r>
                </w:p>
              </w:tc>
              <w:tc>
                <w:tcPr>
                  <w:tcW w:w="424" w:type="pct"/>
                  <w:noWrap w:val="0"/>
                  <w:vAlign w:val="center"/>
                </w:tcPr>
                <w:p w14:paraId="6A19B0CE">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不涉及</w:t>
                  </w:r>
                </w:p>
              </w:tc>
            </w:tr>
            <w:tr w14:paraId="4D3ADC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209" w:type="pct"/>
                  <w:vMerge w:val="continue"/>
                  <w:noWrap w:val="0"/>
                  <w:vAlign w:val="center"/>
                </w:tcPr>
                <w:p w14:paraId="06C4E99E">
                  <w:pPr>
                    <w:pStyle w:val="75"/>
                    <w:bidi w:val="0"/>
                    <w:jc w:val="both"/>
                    <w:rPr>
                      <w:rFonts w:hint="default" w:ascii="Times New Roman" w:hAnsi="Times New Roman" w:eastAsia="宋体" w:cs="Times New Roman"/>
                      <w:color w:val="000000"/>
                      <w:kern w:val="0"/>
                      <w:sz w:val="21"/>
                      <w:szCs w:val="21"/>
                      <w:lang w:val="en-US" w:eastAsia="zh-CN" w:bidi="ar"/>
                    </w:rPr>
                  </w:pPr>
                </w:p>
              </w:tc>
              <w:tc>
                <w:tcPr>
                  <w:tcW w:w="277" w:type="pct"/>
                  <w:vMerge w:val="continue"/>
                  <w:noWrap w:val="0"/>
                  <w:vAlign w:val="center"/>
                </w:tcPr>
                <w:p w14:paraId="60086524">
                  <w:pPr>
                    <w:pStyle w:val="75"/>
                    <w:bidi w:val="0"/>
                    <w:jc w:val="both"/>
                    <w:rPr>
                      <w:rFonts w:hint="default" w:ascii="Times New Roman" w:hAnsi="Times New Roman" w:eastAsia="宋体" w:cs="Times New Roman"/>
                      <w:color w:val="000000"/>
                      <w:kern w:val="0"/>
                      <w:sz w:val="21"/>
                      <w:szCs w:val="21"/>
                      <w:lang w:val="en-US" w:eastAsia="zh-CN" w:bidi="ar"/>
                    </w:rPr>
                  </w:pPr>
                </w:p>
              </w:tc>
              <w:tc>
                <w:tcPr>
                  <w:tcW w:w="2878" w:type="pct"/>
                  <w:noWrap w:val="0"/>
                  <w:vAlign w:val="center"/>
                </w:tcPr>
                <w:p w14:paraId="68757FE0">
                  <w:pPr>
                    <w:pStyle w:val="75"/>
                    <w:bidi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6</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严格采矿权准入管理，新建露天矿山项目原则上必须位于省级矿产资源规划划定的重点开采区内，鼓励集中连片规模化开发。</w:t>
                  </w:r>
                </w:p>
              </w:tc>
              <w:tc>
                <w:tcPr>
                  <w:tcW w:w="1209" w:type="pct"/>
                  <w:noWrap w:val="0"/>
                  <w:vAlign w:val="center"/>
                </w:tcPr>
                <w:p w14:paraId="6346748C">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6、</w:t>
                  </w:r>
                  <w:r>
                    <w:rPr>
                      <w:rFonts w:hint="eastAsia" w:ascii="Times New Roman" w:hAnsi="Times New Roman" w:eastAsia="宋体" w:cs="Times New Roman"/>
                      <w:color w:val="000000"/>
                      <w:kern w:val="0"/>
                      <w:sz w:val="21"/>
                      <w:szCs w:val="21"/>
                      <w:lang w:val="en-US" w:eastAsia="zh-CN" w:bidi="ar"/>
                    </w:rPr>
                    <w:t>本项目不属于漏填采矿项目。</w:t>
                  </w:r>
                </w:p>
              </w:tc>
              <w:tc>
                <w:tcPr>
                  <w:tcW w:w="424" w:type="pct"/>
                  <w:noWrap w:val="0"/>
                  <w:vAlign w:val="center"/>
                </w:tcPr>
                <w:p w14:paraId="401B0FA1">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不涉及</w:t>
                  </w:r>
                </w:p>
              </w:tc>
            </w:tr>
            <w:tr w14:paraId="6C3C9E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209" w:type="pct"/>
                  <w:vMerge w:val="continue"/>
                  <w:noWrap w:val="0"/>
                  <w:vAlign w:val="center"/>
                </w:tcPr>
                <w:p w14:paraId="74692D4B">
                  <w:pPr>
                    <w:pStyle w:val="75"/>
                    <w:bidi w:val="0"/>
                    <w:jc w:val="both"/>
                    <w:rPr>
                      <w:rFonts w:hint="default" w:ascii="Times New Roman" w:hAnsi="Times New Roman" w:eastAsia="宋体" w:cs="Times New Roman"/>
                      <w:sz w:val="21"/>
                      <w:szCs w:val="21"/>
                    </w:rPr>
                  </w:pPr>
                </w:p>
              </w:tc>
              <w:tc>
                <w:tcPr>
                  <w:tcW w:w="277" w:type="pct"/>
                  <w:vMerge w:val="restart"/>
                  <w:noWrap w:val="0"/>
                  <w:textDirection w:val="tbLrV"/>
                  <w:vAlign w:val="center"/>
                </w:tcPr>
                <w:p w14:paraId="32EC04C0">
                  <w:pPr>
                    <w:pStyle w:val="75"/>
                    <w:bidi w:val="0"/>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2878" w:type="pct"/>
                  <w:noWrap w:val="0"/>
                  <w:vAlign w:val="center"/>
                </w:tcPr>
                <w:p w14:paraId="2F2A4C6E">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1</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落实超低排放要求、无组织排放特别控制要求。</w:t>
                  </w:r>
                </w:p>
              </w:tc>
              <w:tc>
                <w:tcPr>
                  <w:tcW w:w="1209" w:type="pct"/>
                  <w:noWrap w:val="0"/>
                  <w:vAlign w:val="center"/>
                </w:tcPr>
                <w:p w14:paraId="0FAF5E4D">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1、</w:t>
                  </w:r>
                  <w:r>
                    <w:rPr>
                      <w:rFonts w:hint="eastAsia" w:ascii="Times New Roman" w:hAnsi="Times New Roman" w:eastAsia="宋体" w:cs="Times New Roman"/>
                      <w:color w:val="auto"/>
                      <w:sz w:val="21"/>
                      <w:szCs w:val="21"/>
                      <w:lang w:eastAsia="zh-CN"/>
                    </w:rPr>
                    <w:t>本项目颗粒物颗粒物排放量极少，可以忽略列不计，无组织排放满足特别控制要求。</w:t>
                  </w:r>
                </w:p>
              </w:tc>
              <w:tc>
                <w:tcPr>
                  <w:tcW w:w="424" w:type="pct"/>
                  <w:noWrap w:val="0"/>
                  <w:vAlign w:val="center"/>
                </w:tcPr>
                <w:p w14:paraId="5082115B">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2F77E4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209" w:type="pct"/>
                  <w:vMerge w:val="continue"/>
                  <w:noWrap w:val="0"/>
                  <w:vAlign w:val="center"/>
                </w:tcPr>
                <w:p w14:paraId="37390E50">
                  <w:pPr>
                    <w:pStyle w:val="75"/>
                    <w:bidi w:val="0"/>
                    <w:jc w:val="both"/>
                    <w:rPr>
                      <w:rFonts w:hint="default" w:ascii="Times New Roman" w:hAnsi="Times New Roman" w:eastAsia="宋体" w:cs="Times New Roman"/>
                      <w:sz w:val="21"/>
                      <w:szCs w:val="21"/>
                    </w:rPr>
                  </w:pPr>
                </w:p>
              </w:tc>
              <w:tc>
                <w:tcPr>
                  <w:tcW w:w="277" w:type="pct"/>
                  <w:vMerge w:val="continue"/>
                  <w:noWrap w:val="0"/>
                  <w:textDirection w:val="tbLrV"/>
                  <w:vAlign w:val="center"/>
                </w:tcPr>
                <w:p w14:paraId="1340EC99">
                  <w:pPr>
                    <w:pStyle w:val="75"/>
                    <w:bidi w:val="0"/>
                    <w:jc w:val="both"/>
                    <w:rPr>
                      <w:rFonts w:hint="default" w:ascii="Times New Roman" w:hAnsi="Times New Roman" w:eastAsia="宋体" w:cs="Times New Roman"/>
                      <w:sz w:val="21"/>
                      <w:szCs w:val="21"/>
                    </w:rPr>
                  </w:pPr>
                </w:p>
              </w:tc>
              <w:tc>
                <w:tcPr>
                  <w:tcW w:w="2878" w:type="pct"/>
                  <w:noWrap w:val="0"/>
                  <w:vAlign w:val="center"/>
                </w:tcPr>
                <w:p w14:paraId="672FA50F">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2</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聚焦夏秋季臭氧污染，推进挥发性有机物和氮氧化物协同减排。以石化、化工、涂装、医药、包装印刷、油品储运销等行业领域为重点，推进挥发性有机物综合治理，实施原辅材料和产品源头替代工程。</w:t>
                  </w:r>
                </w:p>
              </w:tc>
              <w:tc>
                <w:tcPr>
                  <w:tcW w:w="1209" w:type="pct"/>
                  <w:noWrap w:val="0"/>
                  <w:vAlign w:val="center"/>
                </w:tcPr>
                <w:p w14:paraId="27583236">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2、</w:t>
                  </w:r>
                  <w:r>
                    <w:rPr>
                      <w:rFonts w:hint="eastAsia" w:ascii="Times New Roman" w:hAnsi="Times New Roman" w:eastAsia="宋体" w:cs="Times New Roman"/>
                      <w:color w:val="auto"/>
                      <w:sz w:val="21"/>
                      <w:szCs w:val="21"/>
                      <w:lang w:eastAsia="zh-CN"/>
                    </w:rPr>
                    <w:t>本项目不涉及挥发性有机物和氮氧化物排放，本项目不属于石化、化工、涂装、医药、包装印刷、油品储运销等行业。</w:t>
                  </w:r>
                </w:p>
              </w:tc>
              <w:tc>
                <w:tcPr>
                  <w:tcW w:w="424" w:type="pct"/>
                  <w:noWrap w:val="0"/>
                  <w:vAlign w:val="center"/>
                </w:tcPr>
                <w:p w14:paraId="61A7C4B2">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不涉及。</w:t>
                  </w:r>
                </w:p>
              </w:tc>
            </w:tr>
            <w:tr w14:paraId="1CAC9B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209" w:type="pct"/>
                  <w:vMerge w:val="continue"/>
                  <w:noWrap w:val="0"/>
                  <w:vAlign w:val="center"/>
                </w:tcPr>
                <w:p w14:paraId="5A0BCA3F">
                  <w:pPr>
                    <w:pStyle w:val="75"/>
                    <w:bidi w:val="0"/>
                    <w:jc w:val="both"/>
                    <w:rPr>
                      <w:rFonts w:hint="default" w:ascii="Times New Roman" w:hAnsi="Times New Roman" w:eastAsia="宋体" w:cs="Times New Roman"/>
                      <w:color w:val="auto"/>
                      <w:sz w:val="21"/>
                      <w:szCs w:val="21"/>
                    </w:rPr>
                  </w:pPr>
                </w:p>
              </w:tc>
              <w:tc>
                <w:tcPr>
                  <w:tcW w:w="277" w:type="pct"/>
                  <w:vMerge w:val="continue"/>
                  <w:noWrap w:val="0"/>
                  <w:textDirection w:val="tbLrV"/>
                  <w:vAlign w:val="center"/>
                </w:tcPr>
                <w:p w14:paraId="79978D68">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05ED8C4A">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3</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全面淘汰国三及以下排放标准营运中重型柴油货车；推进大宗货物“公转铁”“公转水”。</w:t>
                  </w:r>
                </w:p>
              </w:tc>
              <w:tc>
                <w:tcPr>
                  <w:tcW w:w="1209" w:type="pct"/>
                  <w:noWrap w:val="0"/>
                  <w:vAlign w:val="center"/>
                </w:tcPr>
                <w:p w14:paraId="14732C4E">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3、</w:t>
                  </w:r>
                  <w:r>
                    <w:rPr>
                      <w:rFonts w:hint="eastAsia" w:ascii="Times New Roman" w:hAnsi="Times New Roman" w:eastAsia="宋体" w:cs="Times New Roman"/>
                      <w:color w:val="auto"/>
                      <w:sz w:val="21"/>
                      <w:szCs w:val="21"/>
                      <w:lang w:eastAsia="zh-CN"/>
                    </w:rPr>
                    <w:t>本项目未使用</w:t>
                  </w:r>
                  <w:r>
                    <w:rPr>
                      <w:rFonts w:hint="default" w:ascii="Times New Roman" w:hAnsi="Times New Roman" w:eastAsia="宋体" w:cs="Times New Roman"/>
                      <w:color w:val="000000"/>
                      <w:kern w:val="0"/>
                      <w:sz w:val="21"/>
                      <w:szCs w:val="21"/>
                      <w:lang w:val="en-US" w:eastAsia="zh-CN" w:bidi="ar"/>
                    </w:rPr>
                    <w:t>国三及以下排放标准营运中重型柴油货车</w:t>
                  </w:r>
                  <w:r>
                    <w:rPr>
                      <w:rFonts w:hint="eastAsia" w:ascii="Times New Roman" w:hAnsi="Times New Roman" w:eastAsia="宋体" w:cs="Times New Roman"/>
                      <w:color w:val="000000"/>
                      <w:kern w:val="0"/>
                      <w:sz w:val="21"/>
                      <w:szCs w:val="21"/>
                      <w:lang w:val="en-US" w:eastAsia="zh-CN" w:bidi="ar"/>
                    </w:rPr>
                    <w:t>。</w:t>
                  </w:r>
                </w:p>
              </w:tc>
              <w:tc>
                <w:tcPr>
                  <w:tcW w:w="424" w:type="pct"/>
                  <w:noWrap w:val="0"/>
                  <w:vAlign w:val="center"/>
                </w:tcPr>
                <w:p w14:paraId="4F252BAC">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6FB29A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209" w:type="pct"/>
                  <w:vMerge w:val="continue"/>
                  <w:noWrap w:val="0"/>
                  <w:vAlign w:val="center"/>
                </w:tcPr>
                <w:p w14:paraId="6BB4B6A7">
                  <w:pPr>
                    <w:pStyle w:val="75"/>
                    <w:bidi w:val="0"/>
                    <w:jc w:val="both"/>
                    <w:rPr>
                      <w:rFonts w:hint="default" w:ascii="Times New Roman" w:hAnsi="Times New Roman" w:eastAsia="宋体" w:cs="Times New Roman"/>
                      <w:color w:val="auto"/>
                      <w:sz w:val="21"/>
                      <w:szCs w:val="21"/>
                    </w:rPr>
                  </w:pPr>
                </w:p>
              </w:tc>
              <w:tc>
                <w:tcPr>
                  <w:tcW w:w="277" w:type="pct"/>
                  <w:vMerge w:val="continue"/>
                  <w:noWrap w:val="0"/>
                  <w:textDirection w:val="tbLrV"/>
                  <w:vAlign w:val="center"/>
                </w:tcPr>
                <w:p w14:paraId="10044245">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4C99CF09">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4</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全面推广绿色化工制造技术，实现化工原料和反应介质、生产工艺和制造过程绿色化，从源头上控制和减少污染。</w:t>
                  </w:r>
                </w:p>
              </w:tc>
              <w:tc>
                <w:tcPr>
                  <w:tcW w:w="1209" w:type="pct"/>
                  <w:noWrap w:val="0"/>
                  <w:vAlign w:val="center"/>
                </w:tcPr>
                <w:p w14:paraId="5EE19FAC">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4、</w:t>
                  </w:r>
                  <w:r>
                    <w:rPr>
                      <w:rFonts w:hint="eastAsia" w:ascii="Times New Roman" w:hAnsi="Times New Roman" w:eastAsia="宋体" w:cs="Times New Roman"/>
                      <w:color w:val="auto"/>
                      <w:sz w:val="21"/>
                      <w:szCs w:val="21"/>
                      <w:lang w:eastAsia="zh-CN"/>
                    </w:rPr>
                    <w:t>本项目采用电能，冷却循环水循环使用。</w:t>
                  </w:r>
                </w:p>
              </w:tc>
              <w:tc>
                <w:tcPr>
                  <w:tcW w:w="424" w:type="pct"/>
                  <w:noWrap w:val="0"/>
                  <w:vAlign w:val="center"/>
                </w:tcPr>
                <w:p w14:paraId="7BD63C12">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123DE9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209" w:type="pct"/>
                  <w:vMerge w:val="continue"/>
                  <w:noWrap w:val="0"/>
                  <w:vAlign w:val="center"/>
                </w:tcPr>
                <w:p w14:paraId="7B28AA80">
                  <w:pPr>
                    <w:pStyle w:val="75"/>
                    <w:bidi w:val="0"/>
                    <w:jc w:val="both"/>
                    <w:rPr>
                      <w:rFonts w:hint="default" w:ascii="Times New Roman" w:hAnsi="Times New Roman" w:eastAsia="宋体" w:cs="Times New Roman"/>
                      <w:color w:val="auto"/>
                      <w:sz w:val="21"/>
                      <w:szCs w:val="21"/>
                    </w:rPr>
                  </w:pPr>
                </w:p>
              </w:tc>
              <w:tc>
                <w:tcPr>
                  <w:tcW w:w="277" w:type="pct"/>
                  <w:vMerge w:val="continue"/>
                  <w:noWrap w:val="0"/>
                  <w:textDirection w:val="tbLrV"/>
                  <w:vAlign w:val="center"/>
                </w:tcPr>
                <w:p w14:paraId="7B361589">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3A2BCB33">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5</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推行农业绿色生产方式，协同推进种植业、养殖业节能减排与污染治理；推广生物质能、太阳能等绿色用能模式，加快农业及农产品加工设施等可再生能源替代。</w:t>
                  </w:r>
                </w:p>
              </w:tc>
              <w:tc>
                <w:tcPr>
                  <w:tcW w:w="1209" w:type="pct"/>
                  <w:noWrap w:val="0"/>
                  <w:vAlign w:val="center"/>
                </w:tcPr>
                <w:p w14:paraId="3C8A6417">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5、</w:t>
                  </w:r>
                  <w:r>
                    <w:rPr>
                      <w:rFonts w:hint="eastAsia" w:ascii="Times New Roman" w:hAnsi="Times New Roman" w:eastAsia="宋体" w:cs="Times New Roman"/>
                      <w:color w:val="auto"/>
                      <w:sz w:val="21"/>
                      <w:szCs w:val="21"/>
                      <w:lang w:eastAsia="zh-CN"/>
                    </w:rPr>
                    <w:t>本项目不属于农业。</w:t>
                  </w:r>
                </w:p>
              </w:tc>
              <w:tc>
                <w:tcPr>
                  <w:tcW w:w="424" w:type="pct"/>
                  <w:noWrap w:val="0"/>
                  <w:vAlign w:val="center"/>
                </w:tcPr>
                <w:p w14:paraId="19B1D956">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无关项</w:t>
                  </w:r>
                </w:p>
              </w:tc>
            </w:tr>
            <w:tr w14:paraId="6D3F49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209" w:type="pct"/>
                  <w:vMerge w:val="continue"/>
                  <w:noWrap w:val="0"/>
                  <w:vAlign w:val="center"/>
                </w:tcPr>
                <w:p w14:paraId="787F8C6F">
                  <w:pPr>
                    <w:pStyle w:val="75"/>
                    <w:bidi w:val="0"/>
                    <w:jc w:val="both"/>
                    <w:rPr>
                      <w:rFonts w:hint="default" w:ascii="Times New Roman" w:hAnsi="Times New Roman" w:eastAsia="宋体" w:cs="Times New Roman"/>
                      <w:color w:val="auto"/>
                      <w:sz w:val="21"/>
                      <w:szCs w:val="21"/>
                    </w:rPr>
                  </w:pPr>
                </w:p>
              </w:tc>
              <w:tc>
                <w:tcPr>
                  <w:tcW w:w="277" w:type="pct"/>
                  <w:vMerge w:val="restart"/>
                  <w:noWrap w:val="0"/>
                  <w:vAlign w:val="center"/>
                </w:tcPr>
                <w:p w14:paraId="1FF68E21">
                  <w:pPr>
                    <w:pStyle w:val="75"/>
                    <w:bidi w:val="0"/>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2878" w:type="pct"/>
                  <w:noWrap w:val="0"/>
                  <w:vAlign w:val="center"/>
                </w:tcPr>
                <w:p w14:paraId="1BE6C3E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1</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对无法实现低VOCs原辅材料替代的工序，在保证安全情况下，应在密闭设备、密闭空间作业或安装二次密闭设施</w:t>
                  </w:r>
                  <w:r>
                    <w:rPr>
                      <w:rFonts w:hint="eastAsia" w:ascii="Times New Roman" w:hAnsi="Times New Roman" w:eastAsia="宋体" w:cs="Times New Roman"/>
                      <w:color w:val="000000"/>
                      <w:kern w:val="0"/>
                      <w:sz w:val="21"/>
                      <w:szCs w:val="21"/>
                      <w:lang w:val="en-US" w:eastAsia="zh-CN" w:bidi="ar"/>
                    </w:rPr>
                    <w:t>。</w:t>
                  </w:r>
                </w:p>
              </w:tc>
              <w:tc>
                <w:tcPr>
                  <w:tcW w:w="1209" w:type="pct"/>
                  <w:noWrap w:val="0"/>
                  <w:vAlign w:val="center"/>
                </w:tcPr>
                <w:p w14:paraId="22A39075">
                  <w:pPr>
                    <w:pStyle w:val="75"/>
                    <w:bidi w:val="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r>
                    <w:rPr>
                      <w:rFonts w:hint="eastAsia" w:ascii="Times New Roman" w:hAnsi="Times New Roman" w:eastAsia="宋体" w:cs="Times New Roman"/>
                      <w:color w:val="auto"/>
                      <w:sz w:val="21"/>
                      <w:szCs w:val="21"/>
                      <w:lang w:eastAsia="zh-CN"/>
                    </w:rPr>
                    <w:t>本项目不涉及</w:t>
                  </w:r>
                  <w:r>
                    <w:rPr>
                      <w:rFonts w:hint="eastAsia" w:ascii="Times New Roman" w:hAnsi="Times New Roman" w:eastAsia="宋体" w:cs="Times New Roman"/>
                      <w:color w:val="auto"/>
                      <w:sz w:val="21"/>
                      <w:szCs w:val="21"/>
                      <w:lang w:val="en-US" w:eastAsia="zh-CN"/>
                    </w:rPr>
                    <w:t>VOCs排放。</w:t>
                  </w:r>
                </w:p>
              </w:tc>
              <w:tc>
                <w:tcPr>
                  <w:tcW w:w="424" w:type="pct"/>
                  <w:noWrap w:val="0"/>
                  <w:vAlign w:val="center"/>
                </w:tcPr>
                <w:p w14:paraId="554755C3">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无关项</w:t>
                  </w:r>
                </w:p>
              </w:tc>
            </w:tr>
            <w:tr w14:paraId="38E5A9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209" w:type="pct"/>
                  <w:vMerge w:val="continue"/>
                  <w:noWrap w:val="0"/>
                  <w:vAlign w:val="center"/>
                </w:tcPr>
                <w:p w14:paraId="1FE383CB">
                  <w:pPr>
                    <w:pStyle w:val="75"/>
                    <w:bidi w:val="0"/>
                    <w:jc w:val="both"/>
                    <w:rPr>
                      <w:rFonts w:hint="default" w:ascii="Times New Roman" w:hAnsi="Times New Roman" w:eastAsia="宋体" w:cs="Times New Roman"/>
                      <w:sz w:val="21"/>
                      <w:szCs w:val="21"/>
                    </w:rPr>
                  </w:pPr>
                </w:p>
              </w:tc>
              <w:tc>
                <w:tcPr>
                  <w:tcW w:w="277" w:type="pct"/>
                  <w:vMerge w:val="continue"/>
                  <w:noWrap w:val="0"/>
                  <w:vAlign w:val="center"/>
                </w:tcPr>
                <w:p w14:paraId="411AAFE4">
                  <w:pPr>
                    <w:pStyle w:val="75"/>
                    <w:bidi w:val="0"/>
                    <w:jc w:val="both"/>
                    <w:rPr>
                      <w:rFonts w:hint="default" w:ascii="Times New Roman" w:hAnsi="Times New Roman" w:eastAsia="宋体" w:cs="Times New Roman"/>
                      <w:sz w:val="21"/>
                      <w:szCs w:val="21"/>
                    </w:rPr>
                  </w:pPr>
                </w:p>
              </w:tc>
              <w:tc>
                <w:tcPr>
                  <w:tcW w:w="2878" w:type="pct"/>
                  <w:noWrap w:val="0"/>
                  <w:vAlign w:val="center"/>
                </w:tcPr>
                <w:p w14:paraId="41DF0577">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2</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矿山开采、选矿、运输过程中，应采取相应的防尘措施，化学矿、有色金属矿石及产品堆场应采取“三防”措施。</w:t>
                  </w:r>
                </w:p>
              </w:tc>
              <w:tc>
                <w:tcPr>
                  <w:tcW w:w="1209" w:type="pct"/>
                  <w:noWrap w:val="0"/>
                  <w:vAlign w:val="center"/>
                </w:tcPr>
                <w:p w14:paraId="398D9EB3">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2、</w:t>
                  </w:r>
                  <w:r>
                    <w:rPr>
                      <w:rFonts w:hint="eastAsia" w:ascii="Times New Roman" w:hAnsi="Times New Roman" w:eastAsia="宋体" w:cs="Times New Roman"/>
                      <w:color w:val="auto"/>
                      <w:sz w:val="21"/>
                      <w:szCs w:val="21"/>
                      <w:lang w:eastAsia="zh-CN"/>
                    </w:rPr>
                    <w:t>本项目属于采矿项目。</w:t>
                  </w:r>
                </w:p>
              </w:tc>
              <w:tc>
                <w:tcPr>
                  <w:tcW w:w="424" w:type="pct"/>
                  <w:noWrap w:val="0"/>
                  <w:vAlign w:val="center"/>
                </w:tcPr>
                <w:p w14:paraId="290DC9CB">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无关项</w:t>
                  </w:r>
                </w:p>
              </w:tc>
            </w:tr>
            <w:tr w14:paraId="6AD8EA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209" w:type="pct"/>
                  <w:vMerge w:val="continue"/>
                  <w:noWrap w:val="0"/>
                  <w:vAlign w:val="center"/>
                </w:tcPr>
                <w:p w14:paraId="73329B87">
                  <w:pPr>
                    <w:pStyle w:val="75"/>
                    <w:bidi w:val="0"/>
                    <w:jc w:val="both"/>
                    <w:rPr>
                      <w:rFonts w:hint="default" w:ascii="Times New Roman" w:hAnsi="Times New Roman" w:eastAsia="宋体" w:cs="Times New Roman"/>
                      <w:color w:val="auto"/>
                      <w:sz w:val="21"/>
                      <w:szCs w:val="21"/>
                    </w:rPr>
                  </w:pPr>
                </w:p>
              </w:tc>
              <w:tc>
                <w:tcPr>
                  <w:tcW w:w="277" w:type="pct"/>
                  <w:vMerge w:val="continue"/>
                  <w:noWrap w:val="0"/>
                  <w:vAlign w:val="center"/>
                </w:tcPr>
                <w:p w14:paraId="35336B5D">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1F6E1DEE">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3</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加强空气质量预测预报能力，完善联动应急响应体系，强化区域联防联控。</w:t>
                  </w:r>
                </w:p>
              </w:tc>
              <w:tc>
                <w:tcPr>
                  <w:tcW w:w="1209" w:type="pct"/>
                  <w:noWrap w:val="0"/>
                  <w:vAlign w:val="center"/>
                </w:tcPr>
                <w:p w14:paraId="6B24E96D">
                  <w:pPr>
                    <w:pStyle w:val="75"/>
                    <w:bidi w:val="0"/>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w:t>
                  </w:r>
                  <w:r>
                    <w:rPr>
                      <w:rFonts w:hint="eastAsia" w:ascii="Times New Roman" w:hAnsi="Times New Roman" w:eastAsia="宋体" w:cs="Times New Roman"/>
                      <w:color w:val="auto"/>
                      <w:sz w:val="21"/>
                      <w:szCs w:val="21"/>
                      <w:lang w:eastAsia="zh-CN"/>
                    </w:rPr>
                    <w:t>本项目不涉及。</w:t>
                  </w:r>
                </w:p>
              </w:tc>
              <w:tc>
                <w:tcPr>
                  <w:tcW w:w="424" w:type="pct"/>
                  <w:noWrap w:val="0"/>
                  <w:vAlign w:val="center"/>
                </w:tcPr>
                <w:p w14:paraId="5F29711C">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无关项</w:t>
                  </w:r>
                </w:p>
              </w:tc>
            </w:tr>
            <w:tr w14:paraId="7D0E41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09" w:type="pct"/>
                  <w:vMerge w:val="continue"/>
                  <w:noWrap w:val="0"/>
                  <w:vAlign w:val="center"/>
                </w:tcPr>
                <w:p w14:paraId="5078A19E">
                  <w:pPr>
                    <w:pStyle w:val="75"/>
                    <w:bidi w:val="0"/>
                    <w:jc w:val="both"/>
                    <w:rPr>
                      <w:rFonts w:hint="default" w:ascii="Times New Roman" w:hAnsi="Times New Roman" w:eastAsia="宋体" w:cs="Times New Roman"/>
                      <w:color w:val="auto"/>
                      <w:sz w:val="21"/>
                      <w:szCs w:val="21"/>
                    </w:rPr>
                  </w:pPr>
                </w:p>
              </w:tc>
              <w:tc>
                <w:tcPr>
                  <w:tcW w:w="277" w:type="pct"/>
                  <w:vMerge w:val="restart"/>
                  <w:noWrap w:val="0"/>
                  <w:textDirection w:val="tbLrV"/>
                  <w:vAlign w:val="center"/>
                </w:tcPr>
                <w:p w14:paraId="73535DE3">
                  <w:pPr>
                    <w:pStyle w:val="75"/>
                    <w:bidi w:val="0"/>
                    <w:ind w:left="0" w:leftChars="0" w:right="0" w:righ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资源开发效率要求</w:t>
                  </w:r>
                </w:p>
              </w:tc>
              <w:tc>
                <w:tcPr>
                  <w:tcW w:w="2878" w:type="pct"/>
                  <w:noWrap w:val="0"/>
                  <w:vAlign w:val="center"/>
                </w:tcPr>
                <w:p w14:paraId="5A2F1796">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000000"/>
                      <w:kern w:val="0"/>
                      <w:sz w:val="21"/>
                      <w:szCs w:val="21"/>
                      <w:lang w:val="en-US" w:eastAsia="zh-CN" w:bidi="ar"/>
                    </w:rPr>
                    <w:t>1</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严格合理控制煤炭消费，“十四五”期间完成省定煤炭消费总量控制目标。</w:t>
                  </w:r>
                </w:p>
              </w:tc>
              <w:tc>
                <w:tcPr>
                  <w:tcW w:w="1209" w:type="pct"/>
                  <w:noWrap w:val="0"/>
                  <w:vAlign w:val="center"/>
                </w:tcPr>
                <w:p w14:paraId="0DCED71C">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1、</w:t>
                  </w:r>
                  <w:r>
                    <w:rPr>
                      <w:rFonts w:hint="eastAsia" w:ascii="Times New Roman" w:hAnsi="Times New Roman" w:eastAsia="宋体" w:cs="Times New Roman"/>
                      <w:color w:val="auto"/>
                      <w:sz w:val="21"/>
                      <w:szCs w:val="21"/>
                      <w:lang w:eastAsia="zh-CN"/>
                    </w:rPr>
                    <w:t>本项目无煤炭消费。</w:t>
                  </w:r>
                </w:p>
              </w:tc>
              <w:tc>
                <w:tcPr>
                  <w:tcW w:w="424" w:type="pct"/>
                  <w:noWrap w:val="0"/>
                  <w:vAlign w:val="center"/>
                </w:tcPr>
                <w:p w14:paraId="068E4998">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6F296E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09" w:type="pct"/>
                  <w:vMerge w:val="continue"/>
                  <w:noWrap w:val="0"/>
                  <w:vAlign w:val="center"/>
                </w:tcPr>
                <w:p w14:paraId="5D293973">
                  <w:pPr>
                    <w:pStyle w:val="75"/>
                    <w:bidi w:val="0"/>
                    <w:jc w:val="both"/>
                    <w:rPr>
                      <w:rFonts w:hint="default" w:ascii="Times New Roman" w:hAnsi="Times New Roman" w:eastAsia="宋体" w:cs="Times New Roman"/>
                      <w:sz w:val="21"/>
                      <w:szCs w:val="21"/>
                    </w:rPr>
                  </w:pPr>
                </w:p>
              </w:tc>
              <w:tc>
                <w:tcPr>
                  <w:tcW w:w="277" w:type="pct"/>
                  <w:vMerge w:val="continue"/>
                  <w:noWrap w:val="0"/>
                  <w:textDirection w:val="tbLrV"/>
                  <w:vAlign w:val="center"/>
                </w:tcPr>
                <w:p w14:paraId="2DB3A1E7">
                  <w:pPr>
                    <w:pStyle w:val="75"/>
                    <w:bidi w:val="0"/>
                    <w:jc w:val="both"/>
                    <w:rPr>
                      <w:rFonts w:hint="default" w:ascii="Times New Roman" w:hAnsi="Times New Roman" w:eastAsia="宋体" w:cs="Times New Roman"/>
                      <w:sz w:val="21"/>
                      <w:szCs w:val="21"/>
                    </w:rPr>
                  </w:pPr>
                </w:p>
              </w:tc>
              <w:tc>
                <w:tcPr>
                  <w:tcW w:w="2878" w:type="pct"/>
                  <w:noWrap w:val="0"/>
                  <w:vAlign w:val="center"/>
                </w:tcPr>
                <w:p w14:paraId="5554BA29">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000000"/>
                      <w:kern w:val="0"/>
                      <w:sz w:val="21"/>
                      <w:szCs w:val="21"/>
                      <w:lang w:val="en-US" w:eastAsia="zh-CN" w:bidi="ar"/>
                    </w:rPr>
                    <w:t>2</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到2025年，吨钢综合能耗达到国内先进水平。 </w:t>
                  </w:r>
                </w:p>
              </w:tc>
              <w:tc>
                <w:tcPr>
                  <w:tcW w:w="1209" w:type="pct"/>
                  <w:noWrap w:val="0"/>
                  <w:vAlign w:val="center"/>
                </w:tcPr>
                <w:p w14:paraId="35775048">
                  <w:pPr>
                    <w:pStyle w:val="75"/>
                    <w:bidi w:val="0"/>
                    <w:jc w:val="both"/>
                    <w:rPr>
                      <w:rFonts w:hint="eastAsia" w:ascii="Times New Roman" w:hAnsi="Times New Roman" w:eastAsia="宋体" w:cs="Times New Roman"/>
                      <w:b/>
                      <w:bCs/>
                      <w:color w:val="auto"/>
                      <w:sz w:val="21"/>
                      <w:szCs w:val="21"/>
                      <w:lang w:eastAsia="zh-CN"/>
                    </w:rPr>
                  </w:pPr>
                  <w:r>
                    <w:rPr>
                      <w:rFonts w:hint="eastAsia"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lang w:eastAsia="zh-CN"/>
                    </w:rPr>
                    <w:t>本项目不涉及。</w:t>
                  </w:r>
                </w:p>
              </w:tc>
              <w:tc>
                <w:tcPr>
                  <w:tcW w:w="424" w:type="pct"/>
                  <w:noWrap w:val="0"/>
                  <w:vAlign w:val="center"/>
                </w:tcPr>
                <w:p w14:paraId="2ACE136F">
                  <w:pPr>
                    <w:pStyle w:val="75"/>
                    <w:bidi w:val="0"/>
                    <w:jc w:val="both"/>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val="0"/>
                      <w:bCs w:val="0"/>
                      <w:color w:val="auto"/>
                      <w:sz w:val="21"/>
                      <w:szCs w:val="21"/>
                      <w:lang w:eastAsia="zh-CN"/>
                    </w:rPr>
                    <w:t>相符</w:t>
                  </w:r>
                </w:p>
              </w:tc>
            </w:tr>
            <w:tr w14:paraId="3F5C47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09" w:type="pct"/>
                  <w:vMerge w:val="continue"/>
                  <w:noWrap w:val="0"/>
                  <w:vAlign w:val="center"/>
                </w:tcPr>
                <w:p w14:paraId="3CC6A126">
                  <w:pPr>
                    <w:pStyle w:val="75"/>
                    <w:bidi w:val="0"/>
                    <w:jc w:val="both"/>
                    <w:rPr>
                      <w:rFonts w:hint="default" w:ascii="Times New Roman" w:hAnsi="Times New Roman" w:eastAsia="宋体" w:cs="Times New Roman"/>
                      <w:b/>
                      <w:bCs/>
                      <w:color w:val="auto"/>
                      <w:sz w:val="21"/>
                      <w:szCs w:val="21"/>
                    </w:rPr>
                  </w:pPr>
                </w:p>
              </w:tc>
              <w:tc>
                <w:tcPr>
                  <w:tcW w:w="277" w:type="pct"/>
                  <w:vMerge w:val="continue"/>
                  <w:noWrap w:val="0"/>
                  <w:textDirection w:val="tbLrV"/>
                  <w:vAlign w:val="center"/>
                </w:tcPr>
                <w:p w14:paraId="07A647B1">
                  <w:pPr>
                    <w:pStyle w:val="75"/>
                    <w:bidi w:val="0"/>
                    <w:jc w:val="both"/>
                    <w:rPr>
                      <w:rFonts w:hint="default" w:ascii="Times New Roman" w:hAnsi="Times New Roman" w:eastAsia="宋体" w:cs="Times New Roman"/>
                      <w:b/>
                      <w:bCs/>
                      <w:color w:val="auto"/>
                      <w:sz w:val="21"/>
                      <w:szCs w:val="21"/>
                    </w:rPr>
                  </w:pPr>
                </w:p>
              </w:tc>
              <w:tc>
                <w:tcPr>
                  <w:tcW w:w="2878" w:type="pct"/>
                  <w:noWrap w:val="0"/>
                  <w:vAlign w:val="center"/>
                </w:tcPr>
                <w:p w14:paraId="2A35F8A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000000"/>
                      <w:kern w:val="0"/>
                      <w:sz w:val="21"/>
                      <w:szCs w:val="21"/>
                      <w:lang w:val="en-US" w:eastAsia="zh-CN" w:bidi="ar"/>
                    </w:rPr>
                    <w:t>3</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到2025年，钢铁、石化化工、有色金属、建材等行业重点产品能效达到国际先进水平，规模以上工业单位增加值能耗比2020年下降13.5%。</w:t>
                  </w:r>
                </w:p>
              </w:tc>
              <w:tc>
                <w:tcPr>
                  <w:tcW w:w="1209" w:type="pct"/>
                  <w:noWrap w:val="0"/>
                  <w:vAlign w:val="center"/>
                </w:tcPr>
                <w:p w14:paraId="377D17BA">
                  <w:pPr>
                    <w:pStyle w:val="75"/>
                    <w:bidi w:val="0"/>
                    <w:jc w:val="both"/>
                    <w:rPr>
                      <w:rFonts w:hint="eastAsia" w:ascii="Times New Roman" w:hAnsi="Times New Roman" w:eastAsia="宋体" w:cs="Times New Roman"/>
                      <w:b/>
                      <w:bCs/>
                      <w:color w:val="auto"/>
                      <w:sz w:val="21"/>
                      <w:szCs w:val="21"/>
                      <w:lang w:eastAsia="zh-CN"/>
                    </w:rPr>
                  </w:pPr>
                  <w:r>
                    <w:rPr>
                      <w:rFonts w:hint="eastAsia" w:cs="Times New Roman"/>
                      <w:b w:val="0"/>
                      <w:bCs w:val="0"/>
                      <w:color w:val="auto"/>
                      <w:sz w:val="21"/>
                      <w:szCs w:val="21"/>
                      <w:lang w:val="en-US" w:eastAsia="zh-CN"/>
                    </w:rPr>
                    <w:t>3、</w:t>
                  </w:r>
                  <w:r>
                    <w:rPr>
                      <w:rFonts w:hint="eastAsia" w:ascii="Times New Roman" w:hAnsi="Times New Roman" w:eastAsia="宋体" w:cs="Times New Roman"/>
                      <w:b w:val="0"/>
                      <w:bCs w:val="0"/>
                      <w:color w:val="auto"/>
                      <w:sz w:val="21"/>
                      <w:szCs w:val="21"/>
                      <w:lang w:eastAsia="zh-CN"/>
                    </w:rPr>
                    <w:t>本项目不涉及。</w:t>
                  </w:r>
                </w:p>
              </w:tc>
              <w:tc>
                <w:tcPr>
                  <w:tcW w:w="424" w:type="pct"/>
                  <w:noWrap w:val="0"/>
                  <w:vAlign w:val="center"/>
                </w:tcPr>
                <w:p w14:paraId="38D76C9E">
                  <w:pPr>
                    <w:pStyle w:val="75"/>
                    <w:bidi w:val="0"/>
                    <w:jc w:val="both"/>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val="0"/>
                      <w:bCs w:val="0"/>
                      <w:color w:val="auto"/>
                      <w:sz w:val="21"/>
                      <w:szCs w:val="21"/>
                      <w:lang w:eastAsia="zh-CN"/>
                    </w:rPr>
                    <w:t>相符</w:t>
                  </w:r>
                </w:p>
              </w:tc>
            </w:tr>
            <w:tr w14:paraId="4D0B07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209" w:type="pct"/>
                  <w:vMerge w:val="restart"/>
                  <w:noWrap w:val="0"/>
                  <w:vAlign w:val="center"/>
                </w:tcPr>
                <w:p w14:paraId="43BADC9C">
                  <w:pPr>
                    <w:pStyle w:val="75"/>
                    <w:bidi w:val="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重点流域生态环境管控要求</w:t>
                  </w:r>
                </w:p>
                <w:p w14:paraId="4A757F0C">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（（海河流域</w:t>
                  </w:r>
                </w:p>
              </w:tc>
              <w:tc>
                <w:tcPr>
                  <w:tcW w:w="277" w:type="pct"/>
                  <w:vMerge w:val="restart"/>
                  <w:shd w:val="clear" w:color="auto" w:fill="auto"/>
                  <w:noWrap w:val="0"/>
                  <w:vAlign w:val="center"/>
                </w:tcPr>
                <w:p w14:paraId="1F8BECEF">
                  <w:pPr>
                    <w:pStyle w:val="75"/>
                    <w:keepNext w:val="0"/>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rPr>
                    <w:t>空间布局约束</w:t>
                  </w:r>
                </w:p>
              </w:tc>
              <w:tc>
                <w:tcPr>
                  <w:tcW w:w="2878" w:type="pct"/>
                  <w:noWrap w:val="0"/>
                  <w:vAlign w:val="center"/>
                </w:tcPr>
                <w:p w14:paraId="2EEC5F35">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1</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严格限制造纸、印染等高耗水、重污染产业发展。</w:t>
                  </w:r>
                </w:p>
              </w:tc>
              <w:tc>
                <w:tcPr>
                  <w:tcW w:w="1209" w:type="pct"/>
                  <w:noWrap w:val="0"/>
                  <w:vAlign w:val="center"/>
                </w:tcPr>
                <w:p w14:paraId="00078D65">
                  <w:pPr>
                    <w:pStyle w:val="75"/>
                    <w:bidi w:val="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r>
                    <w:rPr>
                      <w:rFonts w:hint="eastAsia" w:ascii="Times New Roman" w:hAnsi="Times New Roman" w:eastAsia="宋体" w:cs="Times New Roman"/>
                      <w:color w:val="auto"/>
                      <w:sz w:val="21"/>
                      <w:szCs w:val="21"/>
                      <w:lang w:val="en-US" w:eastAsia="zh-CN"/>
                    </w:rPr>
                    <w:t>本项目冷却水循环使用，淬火用水直接蒸发损耗，无废水外排。</w:t>
                  </w:r>
                </w:p>
              </w:tc>
              <w:tc>
                <w:tcPr>
                  <w:tcW w:w="424" w:type="pct"/>
                  <w:noWrap w:val="0"/>
                  <w:vAlign w:val="center"/>
                </w:tcPr>
                <w:p w14:paraId="77A1F140">
                  <w:pPr>
                    <w:pStyle w:val="75"/>
                    <w:bidi w:val="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46DC88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209" w:type="pct"/>
                  <w:vMerge w:val="continue"/>
                  <w:noWrap w:val="0"/>
                  <w:vAlign w:val="center"/>
                </w:tcPr>
                <w:p w14:paraId="13ABB643">
                  <w:pPr>
                    <w:pStyle w:val="75"/>
                    <w:bidi w:val="0"/>
                    <w:jc w:val="both"/>
                    <w:rPr>
                      <w:rFonts w:hint="default" w:ascii="Times New Roman" w:hAnsi="Times New Roman" w:eastAsia="宋体" w:cs="Times New Roman"/>
                      <w:sz w:val="21"/>
                      <w:szCs w:val="21"/>
                    </w:rPr>
                  </w:pPr>
                </w:p>
              </w:tc>
              <w:tc>
                <w:tcPr>
                  <w:tcW w:w="277" w:type="pct"/>
                  <w:vMerge w:val="continue"/>
                  <w:shd w:val="clear" w:color="auto" w:fill="auto"/>
                  <w:noWrap w:val="0"/>
                  <w:vAlign w:val="center"/>
                </w:tcPr>
                <w:p w14:paraId="6D4CC600">
                  <w:pPr>
                    <w:pStyle w:val="75"/>
                    <w:bidi w:val="0"/>
                    <w:jc w:val="both"/>
                    <w:rPr>
                      <w:rFonts w:hint="default" w:ascii="Times New Roman" w:hAnsi="Times New Roman" w:eastAsia="宋体" w:cs="Times New Roman"/>
                      <w:sz w:val="21"/>
                      <w:szCs w:val="21"/>
                    </w:rPr>
                  </w:pPr>
                </w:p>
              </w:tc>
              <w:tc>
                <w:tcPr>
                  <w:tcW w:w="2878" w:type="pct"/>
                  <w:noWrap w:val="0"/>
                  <w:vAlign w:val="center"/>
                </w:tcPr>
                <w:p w14:paraId="46BAFF7A">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严格落实南水北调干渠水源地保护的有关规定，避免水体受到污染。</w:t>
                  </w:r>
                </w:p>
              </w:tc>
              <w:tc>
                <w:tcPr>
                  <w:tcW w:w="1209" w:type="pct"/>
                  <w:noWrap w:val="0"/>
                  <w:vAlign w:val="center"/>
                </w:tcPr>
                <w:p w14:paraId="38C9EA6F">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5、</w:t>
                  </w:r>
                  <w:r>
                    <w:rPr>
                      <w:rFonts w:hint="eastAsia" w:ascii="Times New Roman" w:hAnsi="Times New Roman" w:eastAsia="宋体" w:cs="Times New Roman"/>
                      <w:color w:val="000000"/>
                      <w:kern w:val="0"/>
                      <w:sz w:val="21"/>
                      <w:szCs w:val="21"/>
                      <w:lang w:val="en-US" w:eastAsia="zh-CN" w:bidi="ar"/>
                    </w:rPr>
                    <w:t>本项目无废水外排，未在</w:t>
                  </w:r>
                  <w:r>
                    <w:rPr>
                      <w:rFonts w:hint="default" w:ascii="Times New Roman" w:hAnsi="Times New Roman" w:eastAsia="宋体" w:cs="Times New Roman"/>
                      <w:color w:val="000000"/>
                      <w:kern w:val="0"/>
                      <w:sz w:val="21"/>
                      <w:szCs w:val="21"/>
                      <w:lang w:val="en-US" w:eastAsia="zh-CN" w:bidi="ar"/>
                    </w:rPr>
                    <w:t>南水北调干渠水源地保护</w:t>
                  </w:r>
                  <w:r>
                    <w:rPr>
                      <w:rFonts w:hint="eastAsia" w:ascii="Times New Roman" w:hAnsi="Times New Roman" w:eastAsia="宋体" w:cs="Times New Roman"/>
                      <w:color w:val="000000"/>
                      <w:kern w:val="0"/>
                      <w:sz w:val="21"/>
                      <w:szCs w:val="21"/>
                      <w:lang w:val="en-US" w:eastAsia="zh-CN" w:bidi="ar"/>
                    </w:rPr>
                    <w:t>区。</w:t>
                  </w:r>
                </w:p>
              </w:tc>
              <w:tc>
                <w:tcPr>
                  <w:tcW w:w="424" w:type="pct"/>
                  <w:noWrap w:val="0"/>
                  <w:vAlign w:val="center"/>
                </w:tcPr>
                <w:p w14:paraId="4001C5A4">
                  <w:pPr>
                    <w:pStyle w:val="75"/>
                    <w:bidi w:val="0"/>
                    <w:jc w:val="both"/>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相符</w:t>
                  </w:r>
                </w:p>
              </w:tc>
            </w:tr>
            <w:tr w14:paraId="054C6A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209" w:type="pct"/>
                  <w:vMerge w:val="continue"/>
                  <w:noWrap w:val="0"/>
                  <w:vAlign w:val="center"/>
                </w:tcPr>
                <w:p w14:paraId="6320FD3E">
                  <w:pPr>
                    <w:pStyle w:val="75"/>
                    <w:bidi w:val="0"/>
                    <w:jc w:val="both"/>
                    <w:rPr>
                      <w:rFonts w:hint="default" w:ascii="Times New Roman" w:hAnsi="Times New Roman" w:eastAsia="宋体" w:cs="Times New Roman"/>
                      <w:sz w:val="21"/>
                      <w:szCs w:val="21"/>
                    </w:rPr>
                  </w:pPr>
                </w:p>
              </w:tc>
              <w:tc>
                <w:tcPr>
                  <w:tcW w:w="277" w:type="pct"/>
                  <w:shd w:val="clear" w:color="auto" w:fill="auto"/>
                  <w:noWrap w:val="0"/>
                  <w:vAlign w:val="center"/>
                </w:tcPr>
                <w:p w14:paraId="67027D21">
                  <w:pPr>
                    <w:pStyle w:val="75"/>
                    <w:bidi w:val="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rPr>
                    <w:t>污染物排放管控</w:t>
                  </w:r>
                </w:p>
              </w:tc>
              <w:tc>
                <w:tcPr>
                  <w:tcW w:w="2878" w:type="pct"/>
                  <w:noWrap w:val="0"/>
                  <w:vAlign w:val="center"/>
                </w:tcPr>
                <w:p w14:paraId="3A09A40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加快补齐城镇污水处理短板，推进污水处理设施及配套管网建设，实施雨污分流系统改造，尽快实现管网全覆盖。</w:t>
                  </w:r>
                </w:p>
              </w:tc>
              <w:tc>
                <w:tcPr>
                  <w:tcW w:w="1209" w:type="pct"/>
                  <w:noWrap w:val="0"/>
                  <w:vAlign w:val="center"/>
                </w:tcPr>
                <w:p w14:paraId="37932D8F">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本项目冷却水循环使用，淬火用水直接蒸发损耗，无废水外排。</w:t>
                  </w:r>
                </w:p>
              </w:tc>
              <w:tc>
                <w:tcPr>
                  <w:tcW w:w="424" w:type="pct"/>
                  <w:noWrap w:val="0"/>
                  <w:vAlign w:val="center"/>
                </w:tcPr>
                <w:p w14:paraId="54FFF756">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2D2463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209" w:type="pct"/>
                  <w:vMerge w:val="continue"/>
                  <w:noWrap w:val="0"/>
                  <w:vAlign w:val="center"/>
                </w:tcPr>
                <w:p w14:paraId="12CA2ED2">
                  <w:pPr>
                    <w:pStyle w:val="75"/>
                    <w:bidi w:val="0"/>
                    <w:jc w:val="both"/>
                    <w:rPr>
                      <w:rFonts w:hint="default" w:ascii="Times New Roman" w:hAnsi="Times New Roman" w:eastAsia="宋体" w:cs="Times New Roman"/>
                      <w:color w:val="auto"/>
                      <w:sz w:val="21"/>
                      <w:szCs w:val="21"/>
                    </w:rPr>
                  </w:pPr>
                </w:p>
              </w:tc>
              <w:tc>
                <w:tcPr>
                  <w:tcW w:w="277" w:type="pct"/>
                  <w:shd w:val="clear" w:color="auto" w:fill="auto"/>
                  <w:noWrap w:val="0"/>
                  <w:vAlign w:val="center"/>
                </w:tcPr>
                <w:p w14:paraId="7DB3CADE">
                  <w:pPr>
                    <w:pStyle w:val="75"/>
                    <w:bidi w:val="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rPr>
                    <w:t>环境风险防控</w:t>
                  </w:r>
                </w:p>
              </w:tc>
              <w:tc>
                <w:tcPr>
                  <w:tcW w:w="2878" w:type="pct"/>
                  <w:noWrap w:val="0"/>
                  <w:vAlign w:val="center"/>
                </w:tcPr>
                <w:p w14:paraId="1ACC6738">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加强水环境风险源日常管理，以化工园区污水处理厂和化工、制药、造纸等主要排污企业为重点，加强日常监测监控。</w:t>
                  </w:r>
                </w:p>
              </w:tc>
              <w:tc>
                <w:tcPr>
                  <w:tcW w:w="1209" w:type="pct"/>
                  <w:noWrap w:val="0"/>
                  <w:vAlign w:val="center"/>
                </w:tcPr>
                <w:p w14:paraId="1573FCB8">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本项目不属于</w:t>
                  </w:r>
                  <w:r>
                    <w:rPr>
                      <w:rFonts w:hint="default" w:ascii="Times New Roman" w:hAnsi="Times New Roman" w:eastAsia="宋体" w:cs="Times New Roman"/>
                      <w:color w:val="000000"/>
                      <w:kern w:val="0"/>
                      <w:sz w:val="21"/>
                      <w:szCs w:val="21"/>
                      <w:lang w:val="en-US" w:eastAsia="zh-CN" w:bidi="ar"/>
                    </w:rPr>
                    <w:t>化工、制药、造纸等主要排污企业</w:t>
                  </w:r>
                  <w:r>
                    <w:rPr>
                      <w:rFonts w:hint="eastAsia" w:ascii="Times New Roman" w:hAnsi="Times New Roman" w:eastAsia="宋体" w:cs="Times New Roman"/>
                      <w:color w:val="000000"/>
                      <w:kern w:val="0"/>
                      <w:sz w:val="21"/>
                      <w:szCs w:val="21"/>
                      <w:lang w:val="en-US" w:eastAsia="zh-CN" w:bidi="ar"/>
                    </w:rPr>
                    <w:t>。</w:t>
                  </w:r>
                </w:p>
              </w:tc>
              <w:tc>
                <w:tcPr>
                  <w:tcW w:w="424" w:type="pct"/>
                  <w:noWrap w:val="0"/>
                  <w:vAlign w:val="center"/>
                </w:tcPr>
                <w:p w14:paraId="6079305A">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无关项</w:t>
                  </w:r>
                </w:p>
              </w:tc>
            </w:tr>
            <w:tr w14:paraId="71DE61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209" w:type="pct"/>
                  <w:vMerge w:val="continue"/>
                  <w:noWrap w:val="0"/>
                  <w:vAlign w:val="center"/>
                </w:tcPr>
                <w:p w14:paraId="6F247B96">
                  <w:pPr>
                    <w:pStyle w:val="75"/>
                    <w:bidi w:val="0"/>
                    <w:jc w:val="both"/>
                    <w:rPr>
                      <w:rFonts w:hint="default" w:ascii="Times New Roman" w:hAnsi="Times New Roman" w:eastAsia="宋体" w:cs="Times New Roman"/>
                      <w:color w:val="auto"/>
                      <w:sz w:val="21"/>
                      <w:szCs w:val="21"/>
                    </w:rPr>
                  </w:pPr>
                </w:p>
              </w:tc>
              <w:tc>
                <w:tcPr>
                  <w:tcW w:w="277" w:type="pct"/>
                  <w:vMerge w:val="restart"/>
                  <w:shd w:val="clear" w:color="auto" w:fill="auto"/>
                  <w:noWrap w:val="0"/>
                  <w:textDirection w:val="tbLrV"/>
                  <w:vAlign w:val="center"/>
                </w:tcPr>
                <w:p w14:paraId="3A6C7EEA">
                  <w:pPr>
                    <w:pStyle w:val="75"/>
                    <w:bidi w:val="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rPr>
                    <w:t>资源开发效率要求</w:t>
                  </w:r>
                </w:p>
              </w:tc>
              <w:tc>
                <w:tcPr>
                  <w:tcW w:w="2878" w:type="pct"/>
                  <w:noWrap w:val="0"/>
                  <w:vAlign w:val="center"/>
                </w:tcPr>
                <w:p w14:paraId="594C5E8F">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1</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按照合理有序使用地表水、控制使用地下水、积极利用非常规水的要求，做好区域水资源统筹调配工作，逐步降低部分过度开发河流和区域的水资源开发利用强度，退减被挤占的生态用水。</w:t>
                  </w:r>
                </w:p>
              </w:tc>
              <w:tc>
                <w:tcPr>
                  <w:tcW w:w="1209" w:type="pct"/>
                  <w:noWrap w:val="0"/>
                  <w:vAlign w:val="center"/>
                </w:tcPr>
                <w:p w14:paraId="2FE76351">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1、</w:t>
                  </w:r>
                  <w:r>
                    <w:rPr>
                      <w:rFonts w:hint="eastAsia" w:ascii="Times New Roman" w:hAnsi="Times New Roman" w:eastAsia="宋体" w:cs="Times New Roman"/>
                      <w:color w:val="auto"/>
                      <w:sz w:val="21"/>
                      <w:szCs w:val="21"/>
                      <w:lang w:eastAsia="zh-CN"/>
                    </w:rPr>
                    <w:t>本项目严格控制使用地下水，接通供水管网</w:t>
                  </w:r>
                  <w:r>
                    <w:rPr>
                      <w:rFonts w:hint="eastAsia" w:cs="Times New Roman"/>
                      <w:color w:val="auto"/>
                      <w:sz w:val="21"/>
                      <w:szCs w:val="21"/>
                      <w:lang w:eastAsia="zh-CN"/>
                    </w:rPr>
                    <w:t>时</w:t>
                  </w:r>
                  <w:r>
                    <w:rPr>
                      <w:rFonts w:hint="eastAsia" w:ascii="Times New Roman" w:hAnsi="Times New Roman" w:eastAsia="宋体" w:cs="Times New Roman"/>
                      <w:color w:val="auto"/>
                      <w:sz w:val="21"/>
                      <w:szCs w:val="21"/>
                      <w:lang w:eastAsia="zh-CN"/>
                    </w:rPr>
                    <w:t>，停止使用</w:t>
                  </w:r>
                  <w:r>
                    <w:rPr>
                      <w:rFonts w:hint="eastAsia" w:cs="Times New Roman"/>
                      <w:color w:val="auto"/>
                      <w:sz w:val="21"/>
                      <w:szCs w:val="21"/>
                      <w:lang w:eastAsia="zh-CN"/>
                    </w:rPr>
                    <w:t>自备井</w:t>
                  </w:r>
                  <w:r>
                    <w:rPr>
                      <w:rFonts w:hint="eastAsia" w:ascii="Times New Roman" w:hAnsi="Times New Roman" w:eastAsia="宋体" w:cs="Times New Roman"/>
                      <w:color w:val="auto"/>
                      <w:sz w:val="21"/>
                      <w:szCs w:val="21"/>
                      <w:lang w:eastAsia="zh-CN"/>
                    </w:rPr>
                    <w:t>。</w:t>
                  </w:r>
                </w:p>
              </w:tc>
              <w:tc>
                <w:tcPr>
                  <w:tcW w:w="424" w:type="pct"/>
                  <w:noWrap w:val="0"/>
                  <w:vAlign w:val="center"/>
                </w:tcPr>
                <w:p w14:paraId="38149FCD">
                  <w:pPr>
                    <w:pStyle w:val="75"/>
                    <w:bidi w:val="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相符</w:t>
                  </w:r>
                </w:p>
              </w:tc>
            </w:tr>
            <w:tr w14:paraId="4FF78B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209" w:type="pct"/>
                  <w:vMerge w:val="continue"/>
                  <w:noWrap w:val="0"/>
                  <w:vAlign w:val="center"/>
                </w:tcPr>
                <w:p w14:paraId="35E6540C">
                  <w:pPr>
                    <w:pStyle w:val="75"/>
                    <w:bidi w:val="0"/>
                    <w:jc w:val="both"/>
                    <w:rPr>
                      <w:rFonts w:hint="default" w:ascii="Times New Roman" w:hAnsi="Times New Roman" w:eastAsia="宋体" w:cs="Times New Roman"/>
                      <w:sz w:val="21"/>
                      <w:szCs w:val="21"/>
                    </w:rPr>
                  </w:pPr>
                </w:p>
              </w:tc>
              <w:tc>
                <w:tcPr>
                  <w:tcW w:w="277" w:type="pct"/>
                  <w:vMerge w:val="continue"/>
                  <w:shd w:val="clear" w:color="auto" w:fill="auto"/>
                  <w:noWrap w:val="0"/>
                  <w:textDirection w:val="tbLrV"/>
                  <w:vAlign w:val="center"/>
                </w:tcPr>
                <w:p w14:paraId="4628EAF7">
                  <w:pPr>
                    <w:pStyle w:val="75"/>
                    <w:bidi w:val="0"/>
                    <w:jc w:val="both"/>
                    <w:rPr>
                      <w:rFonts w:hint="default" w:ascii="Times New Roman" w:hAnsi="Times New Roman" w:eastAsia="宋体" w:cs="Times New Roman"/>
                      <w:sz w:val="21"/>
                      <w:szCs w:val="21"/>
                    </w:rPr>
                  </w:pPr>
                </w:p>
              </w:tc>
              <w:tc>
                <w:tcPr>
                  <w:tcW w:w="2878" w:type="pct"/>
                  <w:noWrap w:val="0"/>
                  <w:vAlign w:val="center"/>
                </w:tcPr>
                <w:p w14:paraId="129B2FD5">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2</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在粮食核心区规模化推行高效节水灌溉；实施工业节水减排行动，大力推进工业水循环利用，推进节水型企业、节水型工业园区建设</w:t>
                  </w:r>
                  <w:r>
                    <w:rPr>
                      <w:rFonts w:hint="eastAsia" w:ascii="Times New Roman" w:hAnsi="Times New Roman" w:eastAsia="宋体" w:cs="Times New Roman"/>
                      <w:color w:val="000000"/>
                      <w:kern w:val="0"/>
                      <w:sz w:val="21"/>
                      <w:szCs w:val="21"/>
                      <w:lang w:val="en-US" w:eastAsia="zh-CN" w:bidi="ar"/>
                    </w:rPr>
                    <w:t>。</w:t>
                  </w:r>
                </w:p>
              </w:tc>
              <w:tc>
                <w:tcPr>
                  <w:tcW w:w="1209" w:type="pct"/>
                  <w:noWrap w:val="0"/>
                  <w:vAlign w:val="center"/>
                </w:tcPr>
                <w:p w14:paraId="14E3C2AF">
                  <w:pPr>
                    <w:pStyle w:val="75"/>
                    <w:bidi w:val="0"/>
                    <w:jc w:val="both"/>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2、</w:t>
                  </w:r>
                  <w:r>
                    <w:rPr>
                      <w:rFonts w:hint="eastAsia" w:ascii="Times New Roman" w:hAnsi="Times New Roman" w:eastAsia="宋体" w:cs="Times New Roman"/>
                      <w:color w:val="auto"/>
                      <w:sz w:val="21"/>
                      <w:szCs w:val="21"/>
                      <w:lang w:eastAsia="zh-CN"/>
                    </w:rPr>
                    <w:t>本项目不涉及。</w:t>
                  </w:r>
                </w:p>
              </w:tc>
              <w:tc>
                <w:tcPr>
                  <w:tcW w:w="424" w:type="pct"/>
                  <w:noWrap w:val="0"/>
                  <w:vAlign w:val="center"/>
                </w:tcPr>
                <w:p w14:paraId="5EC733EF">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相符</w:t>
                  </w:r>
                </w:p>
              </w:tc>
            </w:tr>
            <w:tr w14:paraId="3F1040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209" w:type="pct"/>
                  <w:vMerge w:val="continue"/>
                  <w:noWrap w:val="0"/>
                  <w:vAlign w:val="center"/>
                </w:tcPr>
                <w:p w14:paraId="3F3CA40C">
                  <w:pPr>
                    <w:pStyle w:val="75"/>
                    <w:bidi w:val="0"/>
                    <w:jc w:val="both"/>
                    <w:rPr>
                      <w:rFonts w:hint="default" w:ascii="Times New Roman" w:hAnsi="Times New Roman" w:eastAsia="宋体" w:cs="Times New Roman"/>
                      <w:color w:val="auto"/>
                      <w:sz w:val="21"/>
                      <w:szCs w:val="21"/>
                    </w:rPr>
                  </w:pPr>
                </w:p>
              </w:tc>
              <w:tc>
                <w:tcPr>
                  <w:tcW w:w="277" w:type="pct"/>
                  <w:vMerge w:val="continue"/>
                  <w:shd w:val="clear" w:color="auto" w:fill="auto"/>
                  <w:noWrap w:val="0"/>
                  <w:textDirection w:val="tbLrV"/>
                  <w:vAlign w:val="center"/>
                </w:tcPr>
                <w:p w14:paraId="484A4B74">
                  <w:pPr>
                    <w:pStyle w:val="75"/>
                    <w:bidi w:val="0"/>
                    <w:jc w:val="both"/>
                    <w:rPr>
                      <w:rFonts w:hint="default" w:ascii="Times New Roman" w:hAnsi="Times New Roman" w:eastAsia="宋体" w:cs="Times New Roman"/>
                      <w:color w:val="auto"/>
                      <w:sz w:val="21"/>
                      <w:szCs w:val="21"/>
                    </w:rPr>
                  </w:pPr>
                </w:p>
              </w:tc>
              <w:tc>
                <w:tcPr>
                  <w:tcW w:w="2878" w:type="pct"/>
                  <w:noWrap w:val="0"/>
                  <w:vAlign w:val="center"/>
                </w:tcPr>
                <w:p w14:paraId="0CF9ED5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000000"/>
                      <w:kern w:val="0"/>
                      <w:sz w:val="21"/>
                      <w:szCs w:val="21"/>
                      <w:lang w:val="en-US" w:eastAsia="zh-CN" w:bidi="ar"/>
                    </w:rPr>
                    <w:t>3</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重点推进南水北调受水区地下水压采工作，加快公共供水管网建设，逐步关停自备井。</w:t>
                  </w:r>
                </w:p>
              </w:tc>
              <w:tc>
                <w:tcPr>
                  <w:tcW w:w="1209" w:type="pct"/>
                  <w:noWrap w:val="0"/>
                  <w:vAlign w:val="center"/>
                </w:tcPr>
                <w:p w14:paraId="485E903E">
                  <w:pPr>
                    <w:pStyle w:val="75"/>
                    <w:bidi w:val="0"/>
                    <w:jc w:val="both"/>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3、</w:t>
                  </w:r>
                  <w:r>
                    <w:rPr>
                      <w:rFonts w:hint="eastAsia" w:ascii="Times New Roman" w:hAnsi="Times New Roman" w:eastAsia="宋体" w:cs="Times New Roman"/>
                      <w:color w:val="auto"/>
                      <w:sz w:val="21"/>
                      <w:szCs w:val="21"/>
                      <w:lang w:eastAsia="zh-CN"/>
                    </w:rPr>
                    <w:t>本项目拥有取水正，接通供水管网</w:t>
                  </w:r>
                  <w:r>
                    <w:rPr>
                      <w:rFonts w:hint="eastAsia" w:cs="Times New Roman"/>
                      <w:color w:val="auto"/>
                      <w:sz w:val="21"/>
                      <w:szCs w:val="21"/>
                      <w:lang w:eastAsia="zh-CN"/>
                    </w:rPr>
                    <w:t>时</w:t>
                  </w:r>
                  <w:r>
                    <w:rPr>
                      <w:rFonts w:hint="eastAsia" w:ascii="Times New Roman" w:hAnsi="Times New Roman" w:eastAsia="宋体" w:cs="Times New Roman"/>
                      <w:color w:val="auto"/>
                      <w:sz w:val="21"/>
                      <w:szCs w:val="21"/>
                      <w:lang w:eastAsia="zh-CN"/>
                    </w:rPr>
                    <w:t>，停止使用</w:t>
                  </w:r>
                  <w:r>
                    <w:rPr>
                      <w:rFonts w:hint="eastAsia" w:cs="Times New Roman"/>
                      <w:color w:val="auto"/>
                      <w:sz w:val="21"/>
                      <w:szCs w:val="21"/>
                      <w:lang w:eastAsia="zh-CN"/>
                    </w:rPr>
                    <w:t>自备井。</w:t>
                  </w:r>
                </w:p>
              </w:tc>
              <w:tc>
                <w:tcPr>
                  <w:tcW w:w="424" w:type="pct"/>
                  <w:noWrap w:val="0"/>
                  <w:vAlign w:val="center"/>
                </w:tcPr>
                <w:p w14:paraId="7AE61037">
                  <w:pPr>
                    <w:pStyle w:val="75"/>
                    <w:bidi w:val="0"/>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相符</w:t>
                  </w:r>
                </w:p>
              </w:tc>
            </w:tr>
          </w:tbl>
          <w:p w14:paraId="3B1FAD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cs="Times New Roman"/>
                <w:b w:val="0"/>
                <w:bCs/>
                <w:color w:val="auto"/>
                <w:kern w:val="2"/>
                <w:sz w:val="24"/>
                <w:szCs w:val="24"/>
                <w:highlight w:val="none"/>
                <w:u w:val="none" w:color="auto"/>
                <w:lang w:val="en-US" w:eastAsia="zh-CN" w:bidi="ar-SA"/>
              </w:rPr>
            </w:pPr>
          </w:p>
          <w:p w14:paraId="7C18C0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bCs/>
                <w:color w:val="auto"/>
                <w:sz w:val="24"/>
                <w:szCs w:val="32"/>
                <w:lang w:eastAsia="zh-CN"/>
              </w:rPr>
            </w:pPr>
            <w:r>
              <w:rPr>
                <w:rFonts w:hint="eastAsia"/>
                <w:b/>
                <w:bCs/>
                <w:color w:val="auto"/>
                <w:sz w:val="24"/>
                <w:szCs w:val="32"/>
                <w:lang w:val="en-US" w:eastAsia="zh-CN"/>
              </w:rPr>
              <w:t xml:space="preserve">表5  </w:t>
            </w:r>
            <w:r>
              <w:rPr>
                <w:rFonts w:hint="eastAsia"/>
                <w:b/>
                <w:bCs/>
                <w:color w:val="auto"/>
                <w:sz w:val="24"/>
                <w:szCs w:val="32"/>
                <w:lang w:eastAsia="zh-CN"/>
              </w:rPr>
              <w:t>本项目</w:t>
            </w:r>
            <w:r>
              <w:rPr>
                <w:rFonts w:hint="default"/>
                <w:b/>
                <w:bCs/>
                <w:color w:val="auto"/>
                <w:sz w:val="24"/>
                <w:szCs w:val="32"/>
                <w:lang w:eastAsia="zh-CN"/>
              </w:rPr>
              <w:t>与</w:t>
            </w:r>
            <w:r>
              <w:rPr>
                <w:rFonts w:hint="default"/>
                <w:b/>
                <w:bCs/>
                <w:color w:val="auto"/>
                <w:sz w:val="24"/>
                <w:szCs w:val="32"/>
              </w:rPr>
              <w:t>安阳市生态环境总体准入要求</w:t>
            </w:r>
            <w:r>
              <w:rPr>
                <w:rFonts w:hint="default"/>
                <w:b/>
                <w:bCs/>
                <w:color w:val="auto"/>
                <w:sz w:val="24"/>
                <w:szCs w:val="32"/>
                <w:lang w:eastAsia="zh-CN"/>
              </w:rPr>
              <w:t>相符性分析一览表</w:t>
            </w:r>
          </w:p>
          <w:tbl>
            <w:tblPr>
              <w:tblStyle w:val="27"/>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4130"/>
              <w:gridCol w:w="2273"/>
              <w:gridCol w:w="876"/>
            </w:tblGrid>
            <w:tr w14:paraId="1AB470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8" w:type="dxa"/>
                  <w:noWrap w:val="0"/>
                  <w:vAlign w:val="center"/>
                </w:tcPr>
                <w:p w14:paraId="578D8172">
                  <w:pPr>
                    <w:pStyle w:val="75"/>
                    <w:bidi w:val="0"/>
                    <w:jc w:val="center"/>
                    <w:rPr>
                      <w:rFonts w:hint="default"/>
                      <w:b/>
                      <w:bCs/>
                      <w:color w:val="auto"/>
                    </w:rPr>
                  </w:pPr>
                  <w:r>
                    <w:rPr>
                      <w:rFonts w:hint="default"/>
                      <w:b/>
                      <w:bCs/>
                      <w:color w:val="auto"/>
                    </w:rPr>
                    <w:t>维度</w:t>
                  </w:r>
                </w:p>
              </w:tc>
              <w:tc>
                <w:tcPr>
                  <w:tcW w:w="4130" w:type="dxa"/>
                  <w:noWrap w:val="0"/>
                  <w:vAlign w:val="center"/>
                </w:tcPr>
                <w:p w14:paraId="748F32CB">
                  <w:pPr>
                    <w:pStyle w:val="75"/>
                    <w:bidi w:val="0"/>
                    <w:jc w:val="center"/>
                    <w:rPr>
                      <w:rFonts w:hint="default"/>
                      <w:b/>
                      <w:bCs/>
                      <w:color w:val="auto"/>
                    </w:rPr>
                  </w:pPr>
                  <w:r>
                    <w:rPr>
                      <w:rFonts w:hint="default"/>
                      <w:b/>
                      <w:bCs/>
                      <w:color w:val="auto"/>
                    </w:rPr>
                    <w:t>管控要求</w:t>
                  </w:r>
                </w:p>
              </w:tc>
              <w:tc>
                <w:tcPr>
                  <w:tcW w:w="2273" w:type="dxa"/>
                  <w:noWrap w:val="0"/>
                  <w:vAlign w:val="center"/>
                </w:tcPr>
                <w:p w14:paraId="4313F1BF">
                  <w:pPr>
                    <w:pStyle w:val="75"/>
                    <w:bidi w:val="0"/>
                    <w:jc w:val="center"/>
                    <w:rPr>
                      <w:rFonts w:hint="default"/>
                      <w:b/>
                      <w:bCs/>
                      <w:color w:val="auto"/>
                    </w:rPr>
                  </w:pPr>
                  <w:r>
                    <w:rPr>
                      <w:rFonts w:hint="default"/>
                      <w:b/>
                      <w:bCs/>
                      <w:color w:val="auto"/>
                    </w:rPr>
                    <w:t>本项目情况</w:t>
                  </w:r>
                </w:p>
              </w:tc>
              <w:tc>
                <w:tcPr>
                  <w:tcW w:w="876" w:type="dxa"/>
                  <w:noWrap w:val="0"/>
                  <w:vAlign w:val="center"/>
                </w:tcPr>
                <w:p w14:paraId="034AC1FF">
                  <w:pPr>
                    <w:pStyle w:val="75"/>
                    <w:bidi w:val="0"/>
                    <w:jc w:val="center"/>
                    <w:rPr>
                      <w:rFonts w:hint="default"/>
                      <w:b/>
                      <w:bCs/>
                      <w:color w:val="auto"/>
                    </w:rPr>
                  </w:pPr>
                  <w:r>
                    <w:rPr>
                      <w:rFonts w:hint="default"/>
                      <w:b/>
                      <w:bCs/>
                      <w:color w:val="auto"/>
                    </w:rPr>
                    <w:t>相符性</w:t>
                  </w:r>
                </w:p>
              </w:tc>
            </w:tr>
            <w:tr w14:paraId="440857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restart"/>
                  <w:noWrap w:val="0"/>
                  <w:vAlign w:val="center"/>
                </w:tcPr>
                <w:p w14:paraId="2004C7EE">
                  <w:pPr>
                    <w:pStyle w:val="75"/>
                    <w:bidi w:val="0"/>
                    <w:jc w:val="center"/>
                    <w:rPr>
                      <w:rFonts w:hint="default"/>
                      <w:color w:val="auto"/>
                    </w:rPr>
                  </w:pPr>
                  <w:r>
                    <w:rPr>
                      <w:rFonts w:hint="default"/>
                      <w:color w:val="auto"/>
                    </w:rPr>
                    <w:t>空间布局约束</w:t>
                  </w:r>
                </w:p>
              </w:tc>
              <w:tc>
                <w:tcPr>
                  <w:tcW w:w="4130" w:type="dxa"/>
                  <w:noWrap w:val="0"/>
                  <w:vAlign w:val="center"/>
                </w:tcPr>
                <w:p w14:paraId="5712E600">
                  <w:pPr>
                    <w:pStyle w:val="75"/>
                    <w:bidi w:val="0"/>
                    <w:jc w:val="both"/>
                    <w:rPr>
                      <w:rFonts w:hint="default"/>
                      <w:color w:val="auto"/>
                    </w:rPr>
                  </w:pPr>
                  <w:r>
                    <w:rPr>
                      <w:rFonts w:hint="default"/>
                      <w:color w:val="auto"/>
                    </w:rPr>
                    <w:t>1、</w:t>
                  </w:r>
                  <w:r>
                    <w:rPr>
                      <w:rFonts w:hint="default"/>
                      <w:color w:val="auto"/>
                      <w:lang w:val="en-US" w:eastAsia="zh-CN"/>
                    </w:rPr>
                    <w:t>严格控制高耗能、高排放项目准入，新建、改建、扩建“两高”项目须符合生态环境保护法律法规和相关法定规划，满足重点污染物排放总量控制、碳排放达峰目标、相关规划环评和相应行业建设项目环境准入条件、环评文件审批原则要求。</w:t>
                  </w:r>
                </w:p>
              </w:tc>
              <w:tc>
                <w:tcPr>
                  <w:tcW w:w="2273" w:type="dxa"/>
                  <w:noWrap w:val="0"/>
                  <w:vAlign w:val="center"/>
                </w:tcPr>
                <w:p w14:paraId="543D05FB">
                  <w:pPr>
                    <w:pStyle w:val="75"/>
                    <w:bidi w:val="0"/>
                    <w:jc w:val="both"/>
                    <w:rPr>
                      <w:rFonts w:hint="default"/>
                      <w:color w:val="auto"/>
                    </w:rPr>
                  </w:pPr>
                  <w:r>
                    <w:rPr>
                      <w:rFonts w:hint="default"/>
                      <w:color w:val="auto"/>
                    </w:rPr>
                    <w:t>1、</w:t>
                  </w:r>
                  <w:r>
                    <w:rPr>
                      <w:rFonts w:hint="default"/>
                      <w:color w:val="auto"/>
                      <w:lang w:val="en-US" w:eastAsia="zh-CN"/>
                    </w:rPr>
                    <w:t>本项目不属于“两高”项目。</w:t>
                  </w:r>
                </w:p>
              </w:tc>
              <w:tc>
                <w:tcPr>
                  <w:tcW w:w="876" w:type="dxa"/>
                  <w:noWrap w:val="0"/>
                  <w:vAlign w:val="center"/>
                </w:tcPr>
                <w:p w14:paraId="03F50D4D">
                  <w:pPr>
                    <w:pStyle w:val="75"/>
                    <w:bidi w:val="0"/>
                    <w:jc w:val="both"/>
                    <w:rPr>
                      <w:rFonts w:hint="default"/>
                      <w:color w:val="auto"/>
                      <w:lang w:eastAsia="zh-CN"/>
                    </w:rPr>
                  </w:pPr>
                  <w:r>
                    <w:rPr>
                      <w:rFonts w:hint="eastAsia"/>
                      <w:color w:val="auto"/>
                      <w:lang w:val="en-US" w:eastAsia="zh-CN"/>
                    </w:rPr>
                    <w:t>不涉及</w:t>
                  </w:r>
                </w:p>
              </w:tc>
            </w:tr>
            <w:tr w14:paraId="4B3C64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6732D429">
                  <w:pPr>
                    <w:pStyle w:val="75"/>
                    <w:bidi w:val="0"/>
                    <w:jc w:val="center"/>
                    <w:rPr>
                      <w:rFonts w:hint="default"/>
                      <w:color w:val="auto"/>
                    </w:rPr>
                  </w:pPr>
                </w:p>
              </w:tc>
              <w:tc>
                <w:tcPr>
                  <w:tcW w:w="4130" w:type="dxa"/>
                  <w:noWrap w:val="0"/>
                  <w:vAlign w:val="center"/>
                </w:tcPr>
                <w:p w14:paraId="70E56A26">
                  <w:pPr>
                    <w:pStyle w:val="75"/>
                    <w:bidi w:val="0"/>
                    <w:jc w:val="both"/>
                    <w:rPr>
                      <w:rFonts w:hint="default"/>
                      <w:color w:val="auto"/>
                      <w:lang w:val="en-US" w:eastAsia="zh-CN"/>
                    </w:rPr>
                  </w:pPr>
                  <w:r>
                    <w:rPr>
                      <w:rFonts w:hint="default"/>
                      <w:color w:val="auto"/>
                      <w:lang w:val="en-US" w:eastAsia="zh-CN"/>
                    </w:rPr>
                    <w:t>2、新建、扩建、搬迁的化学原料药和生物生化制品建设项目应位于产业园区，并符合园区产业定位、园区规划、规划环评及审查意见要求。</w:t>
                  </w:r>
                </w:p>
              </w:tc>
              <w:tc>
                <w:tcPr>
                  <w:tcW w:w="2273" w:type="dxa"/>
                  <w:noWrap w:val="0"/>
                  <w:vAlign w:val="center"/>
                </w:tcPr>
                <w:p w14:paraId="78B98C23">
                  <w:pPr>
                    <w:pStyle w:val="75"/>
                    <w:bidi w:val="0"/>
                    <w:jc w:val="both"/>
                    <w:rPr>
                      <w:rFonts w:hint="default"/>
                      <w:color w:val="auto"/>
                    </w:rPr>
                  </w:pPr>
                  <w:r>
                    <w:rPr>
                      <w:rFonts w:hint="eastAsia"/>
                      <w:color w:val="auto"/>
                      <w:lang w:val="en-US" w:eastAsia="zh-CN"/>
                    </w:rPr>
                    <w:t>2、</w:t>
                  </w:r>
                  <w:r>
                    <w:rPr>
                      <w:rFonts w:hint="default"/>
                      <w:color w:val="auto"/>
                    </w:rPr>
                    <w:t>本项目不属于</w:t>
                  </w:r>
                  <w:r>
                    <w:rPr>
                      <w:rFonts w:hint="default"/>
                      <w:color w:val="auto"/>
                      <w:lang w:val="en-US" w:eastAsia="zh-CN"/>
                    </w:rPr>
                    <w:t>化学原料药和生物生化制品建设项目</w:t>
                  </w:r>
                  <w:r>
                    <w:rPr>
                      <w:rFonts w:hint="eastAsia"/>
                      <w:color w:val="auto"/>
                      <w:lang w:val="en-US" w:eastAsia="zh-CN"/>
                    </w:rPr>
                    <w:t>。</w:t>
                  </w:r>
                </w:p>
              </w:tc>
              <w:tc>
                <w:tcPr>
                  <w:tcW w:w="876" w:type="dxa"/>
                  <w:noWrap w:val="0"/>
                  <w:vAlign w:val="center"/>
                </w:tcPr>
                <w:p w14:paraId="45693AC7">
                  <w:pPr>
                    <w:pStyle w:val="75"/>
                    <w:bidi w:val="0"/>
                    <w:jc w:val="both"/>
                    <w:rPr>
                      <w:rFonts w:hint="default"/>
                      <w:color w:val="auto"/>
                    </w:rPr>
                  </w:pPr>
                  <w:r>
                    <w:rPr>
                      <w:rFonts w:hint="default"/>
                      <w:color w:val="auto"/>
                      <w:lang w:val="en-US" w:eastAsia="zh-CN"/>
                    </w:rPr>
                    <w:t>不涉及</w:t>
                  </w:r>
                </w:p>
              </w:tc>
            </w:tr>
            <w:tr w14:paraId="3BC879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7747FA55">
                  <w:pPr>
                    <w:pStyle w:val="75"/>
                    <w:bidi w:val="0"/>
                    <w:jc w:val="center"/>
                    <w:rPr>
                      <w:rFonts w:hint="default"/>
                      <w:color w:val="auto"/>
                    </w:rPr>
                  </w:pPr>
                </w:p>
              </w:tc>
              <w:tc>
                <w:tcPr>
                  <w:tcW w:w="4130" w:type="dxa"/>
                  <w:noWrap w:val="0"/>
                  <w:vAlign w:val="center"/>
                </w:tcPr>
                <w:p w14:paraId="1A4430A6">
                  <w:pPr>
                    <w:pStyle w:val="75"/>
                    <w:bidi w:val="0"/>
                    <w:jc w:val="both"/>
                    <w:rPr>
                      <w:rFonts w:hint="default"/>
                      <w:color w:val="auto"/>
                      <w:lang w:val="en-US" w:eastAsia="zh-CN"/>
                    </w:rPr>
                  </w:pPr>
                  <w:r>
                    <w:rPr>
                      <w:rFonts w:hint="default"/>
                      <w:color w:val="auto"/>
                      <w:lang w:val="en-US" w:eastAsia="zh-CN"/>
                    </w:rPr>
                    <w:t>3、铸造企业不得采用无芯工频感应电炉、无磁轭（≥0.25吨）铝壳中频感应电炉、水玻璃熔模精密铸造氯化铵硬化模壳、铝合金六氯乙烷精炼等淘汰类工艺和装备。严格区分锻压行业和钢铁行业生产工艺特征特点，避免锻压配套的炼钢判定为钢铁冶炼生产，也严禁以铸造和锻压名义违规新增钢铁产能、违规生产钢坯钢锭及上市销售。</w:t>
                  </w:r>
                </w:p>
              </w:tc>
              <w:tc>
                <w:tcPr>
                  <w:tcW w:w="2273" w:type="dxa"/>
                  <w:noWrap w:val="0"/>
                  <w:vAlign w:val="center"/>
                </w:tcPr>
                <w:p w14:paraId="5F18E214">
                  <w:pPr>
                    <w:pStyle w:val="75"/>
                    <w:bidi w:val="0"/>
                    <w:jc w:val="both"/>
                    <w:rPr>
                      <w:rFonts w:hint="eastAsia"/>
                      <w:color w:val="auto"/>
                      <w:lang w:eastAsia="zh-CN"/>
                    </w:rPr>
                  </w:pPr>
                  <w:r>
                    <w:rPr>
                      <w:rFonts w:hint="eastAsia"/>
                      <w:color w:val="auto"/>
                      <w:lang w:val="en-US" w:eastAsia="zh-CN"/>
                    </w:rPr>
                    <w:t>3、</w:t>
                  </w:r>
                  <w:r>
                    <w:rPr>
                      <w:rFonts w:hint="eastAsia"/>
                      <w:color w:val="auto"/>
                      <w:lang w:eastAsia="zh-CN"/>
                    </w:rPr>
                    <w:t>本项目不属于铸造企业。</w:t>
                  </w:r>
                </w:p>
              </w:tc>
              <w:tc>
                <w:tcPr>
                  <w:tcW w:w="876" w:type="dxa"/>
                  <w:noWrap w:val="0"/>
                  <w:vAlign w:val="center"/>
                </w:tcPr>
                <w:p w14:paraId="440254B6">
                  <w:pPr>
                    <w:pStyle w:val="75"/>
                    <w:bidi w:val="0"/>
                    <w:jc w:val="both"/>
                    <w:rPr>
                      <w:rFonts w:hint="default"/>
                      <w:color w:val="auto"/>
                      <w:lang w:eastAsia="zh-CN"/>
                    </w:rPr>
                  </w:pPr>
                  <w:r>
                    <w:rPr>
                      <w:rFonts w:hint="eastAsia"/>
                      <w:color w:val="auto"/>
                      <w:lang w:eastAsia="zh-CN"/>
                    </w:rPr>
                    <w:t>相符</w:t>
                  </w:r>
                </w:p>
              </w:tc>
            </w:tr>
            <w:tr w14:paraId="490060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533B6490">
                  <w:pPr>
                    <w:pStyle w:val="75"/>
                    <w:bidi w:val="0"/>
                    <w:jc w:val="center"/>
                    <w:rPr>
                      <w:rFonts w:hint="default"/>
                      <w:color w:val="auto"/>
                    </w:rPr>
                  </w:pPr>
                </w:p>
              </w:tc>
              <w:tc>
                <w:tcPr>
                  <w:tcW w:w="4130" w:type="dxa"/>
                  <w:noWrap w:val="0"/>
                  <w:vAlign w:val="center"/>
                </w:tcPr>
                <w:p w14:paraId="44971E08">
                  <w:pPr>
                    <w:pStyle w:val="75"/>
                    <w:bidi w:val="0"/>
                    <w:jc w:val="both"/>
                    <w:rPr>
                      <w:rFonts w:hint="default"/>
                      <w:color w:val="auto"/>
                      <w:lang w:val="en-US" w:eastAsia="zh-CN"/>
                    </w:rPr>
                  </w:pPr>
                  <w:r>
                    <w:rPr>
                      <w:rFonts w:hint="default"/>
                      <w:color w:val="auto"/>
                      <w:lang w:val="en-US" w:eastAsia="zh-CN"/>
                    </w:rPr>
                    <w:t>4、严控磷铵、电石、黄磷等行业新增产能。</w:t>
                  </w:r>
                </w:p>
              </w:tc>
              <w:tc>
                <w:tcPr>
                  <w:tcW w:w="2273" w:type="dxa"/>
                  <w:noWrap w:val="0"/>
                  <w:vAlign w:val="center"/>
                </w:tcPr>
                <w:p w14:paraId="40FD8258">
                  <w:pPr>
                    <w:pStyle w:val="75"/>
                    <w:bidi w:val="0"/>
                    <w:jc w:val="both"/>
                    <w:rPr>
                      <w:rFonts w:hint="eastAsia"/>
                      <w:color w:val="auto"/>
                      <w:lang w:eastAsia="zh-CN"/>
                    </w:rPr>
                  </w:pPr>
                  <w:r>
                    <w:rPr>
                      <w:rFonts w:hint="default"/>
                      <w:color w:val="auto"/>
                      <w:lang w:val="en-US" w:eastAsia="zh-CN"/>
                    </w:rPr>
                    <w:t>4、本项目不属于磷铵、电石、黄磷等行业。</w:t>
                  </w:r>
                </w:p>
              </w:tc>
              <w:tc>
                <w:tcPr>
                  <w:tcW w:w="876" w:type="dxa"/>
                  <w:noWrap w:val="0"/>
                  <w:vAlign w:val="center"/>
                </w:tcPr>
                <w:p w14:paraId="68854096">
                  <w:pPr>
                    <w:pStyle w:val="75"/>
                    <w:bidi w:val="0"/>
                    <w:jc w:val="both"/>
                    <w:rPr>
                      <w:rFonts w:hint="default"/>
                      <w:color w:val="auto"/>
                      <w:lang w:eastAsia="zh-CN"/>
                    </w:rPr>
                  </w:pPr>
                  <w:r>
                    <w:rPr>
                      <w:rFonts w:hint="eastAsia"/>
                      <w:color w:val="auto"/>
                      <w:lang w:val="en-US" w:eastAsia="zh-CN"/>
                    </w:rPr>
                    <w:t>相符</w:t>
                  </w:r>
                </w:p>
              </w:tc>
            </w:tr>
            <w:tr w14:paraId="212FFC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16196671">
                  <w:pPr>
                    <w:pStyle w:val="75"/>
                    <w:bidi w:val="0"/>
                    <w:jc w:val="center"/>
                    <w:rPr>
                      <w:rFonts w:hint="default"/>
                      <w:color w:val="auto"/>
                    </w:rPr>
                  </w:pPr>
                </w:p>
              </w:tc>
              <w:tc>
                <w:tcPr>
                  <w:tcW w:w="4130" w:type="dxa"/>
                  <w:noWrap w:val="0"/>
                  <w:vAlign w:val="center"/>
                </w:tcPr>
                <w:p w14:paraId="2F6DF503">
                  <w:pPr>
                    <w:pStyle w:val="75"/>
                    <w:bidi w:val="0"/>
                    <w:jc w:val="both"/>
                    <w:rPr>
                      <w:rFonts w:hint="default"/>
                      <w:color w:val="auto"/>
                      <w:lang w:val="en-US" w:eastAsia="zh-CN"/>
                    </w:rPr>
                  </w:pPr>
                  <w:r>
                    <w:rPr>
                      <w:rFonts w:hint="default"/>
                      <w:color w:val="auto"/>
                      <w:lang w:val="en-US" w:eastAsia="zh-CN"/>
                    </w:rPr>
                    <w:t>5、禁止在黄河干支流岸线管控范围内新建、扩建化工园区和化工项目。新建危险化学品生产项目必须进入通过认定的一般或较低安全风险的化工园区（与其他行业生产装置配套建设的项目除外，配套建设项目由工业和信息化部门会同应急管理部门认定），引导其他化工项目在化工园区发展。</w:t>
                  </w:r>
                </w:p>
              </w:tc>
              <w:tc>
                <w:tcPr>
                  <w:tcW w:w="2273" w:type="dxa"/>
                  <w:noWrap w:val="0"/>
                  <w:vAlign w:val="center"/>
                </w:tcPr>
                <w:p w14:paraId="0E4C35C6">
                  <w:pPr>
                    <w:pStyle w:val="75"/>
                    <w:bidi w:val="0"/>
                    <w:jc w:val="both"/>
                    <w:rPr>
                      <w:rFonts w:hint="eastAsia"/>
                      <w:color w:val="auto"/>
                      <w:lang w:eastAsia="zh-CN"/>
                    </w:rPr>
                  </w:pPr>
                  <w:r>
                    <w:rPr>
                      <w:rFonts w:hint="default"/>
                      <w:color w:val="auto"/>
                      <w:lang w:val="en-US" w:eastAsia="zh-CN"/>
                    </w:rPr>
                    <w:t>5、本项目属于</w:t>
                  </w:r>
                  <w:r>
                    <w:rPr>
                      <w:rFonts w:hint="eastAsia"/>
                      <w:color w:val="auto"/>
                      <w:lang w:val="en-US" w:eastAsia="zh-CN"/>
                    </w:rPr>
                    <w:t>金属丝绳及其制品制造项目</w:t>
                  </w:r>
                  <w:r>
                    <w:rPr>
                      <w:rFonts w:hint="default"/>
                      <w:color w:val="auto"/>
                      <w:lang w:val="en-US" w:eastAsia="zh-CN"/>
                    </w:rPr>
                    <w:t>，不属于化工项目</w:t>
                  </w:r>
                  <w:r>
                    <w:rPr>
                      <w:rFonts w:hint="eastAsia"/>
                      <w:color w:val="auto"/>
                      <w:lang w:val="en-US" w:eastAsia="zh-CN"/>
                    </w:rPr>
                    <w:t>，没有位于黄河干支流岸线管控范围内。</w:t>
                  </w:r>
                </w:p>
              </w:tc>
              <w:tc>
                <w:tcPr>
                  <w:tcW w:w="876" w:type="dxa"/>
                  <w:noWrap w:val="0"/>
                  <w:vAlign w:val="center"/>
                </w:tcPr>
                <w:p w14:paraId="179D10C6">
                  <w:pPr>
                    <w:pStyle w:val="75"/>
                    <w:bidi w:val="0"/>
                    <w:jc w:val="both"/>
                    <w:rPr>
                      <w:rFonts w:hint="default"/>
                      <w:color w:val="auto"/>
                      <w:lang w:eastAsia="zh-CN"/>
                    </w:rPr>
                  </w:pPr>
                  <w:r>
                    <w:rPr>
                      <w:rFonts w:hint="eastAsia"/>
                      <w:color w:val="auto"/>
                      <w:lang w:eastAsia="zh-CN"/>
                    </w:rPr>
                    <w:t>相符</w:t>
                  </w:r>
                </w:p>
              </w:tc>
            </w:tr>
            <w:tr w14:paraId="2A8803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552A5173">
                  <w:pPr>
                    <w:pStyle w:val="75"/>
                    <w:bidi w:val="0"/>
                    <w:jc w:val="center"/>
                    <w:rPr>
                      <w:rFonts w:hint="default"/>
                      <w:color w:val="auto"/>
                    </w:rPr>
                  </w:pPr>
                </w:p>
              </w:tc>
              <w:tc>
                <w:tcPr>
                  <w:tcW w:w="4130" w:type="dxa"/>
                  <w:noWrap w:val="0"/>
                  <w:vAlign w:val="center"/>
                </w:tcPr>
                <w:p w14:paraId="2295A0EC">
                  <w:pPr>
                    <w:pStyle w:val="75"/>
                    <w:bidi w:val="0"/>
                    <w:jc w:val="both"/>
                    <w:rPr>
                      <w:rFonts w:hint="default"/>
                      <w:color w:val="auto"/>
                      <w:lang w:val="en-US" w:eastAsia="zh-CN"/>
                    </w:rPr>
                  </w:pPr>
                  <w:r>
                    <w:rPr>
                      <w:rFonts w:hint="default"/>
                      <w:color w:val="auto"/>
                      <w:lang w:val="en-US" w:eastAsia="zh-CN"/>
                    </w:rPr>
                    <w:t>6、禁止承接不符合国家石化、现代煤化工等产业布局规划的项目。禁止承接包含《安阳市承接化工产业转移“禁限控”目录》中所列工艺装备或产品的项目。禁止承接煤化工产能。禁止承接一次性固定资产投资额低于3亿元（不含土地费用）的危险化学品生产建设项目（列入国家战略性新兴产业重点产品和服务指导目录的项目除外）。禁止在化工园区外承接化工项目。</w:t>
                  </w:r>
                </w:p>
              </w:tc>
              <w:tc>
                <w:tcPr>
                  <w:tcW w:w="2273" w:type="dxa"/>
                  <w:noWrap w:val="0"/>
                  <w:vAlign w:val="center"/>
                </w:tcPr>
                <w:p w14:paraId="38829C7B">
                  <w:pPr>
                    <w:pStyle w:val="75"/>
                    <w:bidi w:val="0"/>
                    <w:jc w:val="both"/>
                    <w:rPr>
                      <w:rFonts w:hint="default"/>
                      <w:color w:val="auto"/>
                    </w:rPr>
                  </w:pPr>
                  <w:r>
                    <w:rPr>
                      <w:rFonts w:hint="eastAsia"/>
                      <w:color w:val="auto"/>
                      <w:lang w:val="en-US" w:eastAsia="zh-CN"/>
                    </w:rPr>
                    <w:t>6、</w:t>
                  </w:r>
                  <w:r>
                    <w:rPr>
                      <w:rFonts w:hint="default"/>
                      <w:color w:val="auto"/>
                      <w:lang w:val="en-US" w:eastAsia="zh-CN"/>
                    </w:rPr>
                    <w:t>本项目属于</w:t>
                  </w:r>
                  <w:r>
                    <w:rPr>
                      <w:rFonts w:hint="eastAsia"/>
                      <w:color w:val="auto"/>
                      <w:lang w:val="en-US" w:eastAsia="zh-CN"/>
                    </w:rPr>
                    <w:t>金属丝绳及其制品制造项目</w:t>
                  </w:r>
                  <w:r>
                    <w:rPr>
                      <w:rFonts w:hint="default"/>
                      <w:color w:val="auto"/>
                      <w:lang w:val="en-US" w:eastAsia="zh-CN"/>
                    </w:rPr>
                    <w:t>，不属于化工项目。</w:t>
                  </w:r>
                </w:p>
              </w:tc>
              <w:tc>
                <w:tcPr>
                  <w:tcW w:w="876" w:type="dxa"/>
                  <w:noWrap w:val="0"/>
                  <w:vAlign w:val="center"/>
                </w:tcPr>
                <w:p w14:paraId="2AA94ADF">
                  <w:pPr>
                    <w:pStyle w:val="75"/>
                    <w:bidi w:val="0"/>
                    <w:jc w:val="both"/>
                    <w:rPr>
                      <w:rFonts w:hint="default"/>
                      <w:color w:val="auto"/>
                      <w:lang w:eastAsia="zh-CN"/>
                    </w:rPr>
                  </w:pPr>
                  <w:r>
                    <w:rPr>
                      <w:rFonts w:hint="eastAsia"/>
                      <w:color w:val="auto"/>
                      <w:lang w:val="en-US" w:eastAsia="zh-CN"/>
                    </w:rPr>
                    <w:t>相符</w:t>
                  </w:r>
                </w:p>
              </w:tc>
            </w:tr>
            <w:tr w14:paraId="739108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69626A5D">
                  <w:pPr>
                    <w:pStyle w:val="75"/>
                    <w:bidi w:val="0"/>
                    <w:jc w:val="center"/>
                    <w:rPr>
                      <w:rFonts w:hint="default"/>
                      <w:color w:val="auto"/>
                    </w:rPr>
                  </w:pPr>
                </w:p>
              </w:tc>
              <w:tc>
                <w:tcPr>
                  <w:tcW w:w="4130" w:type="dxa"/>
                  <w:noWrap w:val="0"/>
                  <w:vAlign w:val="center"/>
                </w:tcPr>
                <w:p w14:paraId="04B1D2D9">
                  <w:pPr>
                    <w:pStyle w:val="75"/>
                    <w:bidi w:val="0"/>
                    <w:jc w:val="both"/>
                    <w:rPr>
                      <w:rFonts w:hint="default"/>
                      <w:color w:val="auto"/>
                      <w:lang w:val="en-US" w:eastAsia="zh-CN"/>
                    </w:rPr>
                  </w:pPr>
                  <w:r>
                    <w:rPr>
                      <w:rFonts w:hint="default"/>
                      <w:color w:val="auto"/>
                      <w:lang w:val="en-US" w:eastAsia="zh-CN"/>
                    </w:rPr>
                    <w:t>7、从严从紧控制现代煤化工产能规模和新增煤炭消费量。确需新建的现代煤化工项目，应确保煤炭供应稳定，优先完成国家明确的发电供热用煤保供任务，不得通过减少保供煤用于现代煤化工项目建设，新建项目企业环保应达到绩效分级A级指标要求。新建项目应优先依托园区集中供热供汽设施，原则上不再新增自备燃煤机组。大气污染防治重点区域严禁新增煤化工产能（不含煤制油、煤制燃料）。</w:t>
                  </w:r>
                </w:p>
              </w:tc>
              <w:tc>
                <w:tcPr>
                  <w:tcW w:w="2273" w:type="dxa"/>
                  <w:noWrap w:val="0"/>
                  <w:vAlign w:val="center"/>
                </w:tcPr>
                <w:p w14:paraId="5DB9DAB2">
                  <w:pPr>
                    <w:pStyle w:val="75"/>
                    <w:bidi w:val="0"/>
                    <w:jc w:val="both"/>
                    <w:rPr>
                      <w:rFonts w:hint="default"/>
                      <w:color w:val="auto"/>
                    </w:rPr>
                  </w:pPr>
                  <w:r>
                    <w:rPr>
                      <w:rFonts w:hint="eastAsia"/>
                      <w:color w:val="auto"/>
                      <w:lang w:val="en-US" w:eastAsia="zh-CN"/>
                    </w:rPr>
                    <w:t>7</w:t>
                  </w:r>
                  <w:r>
                    <w:rPr>
                      <w:rFonts w:hint="default"/>
                      <w:color w:val="auto"/>
                      <w:lang w:val="en-US" w:eastAsia="zh-CN"/>
                    </w:rPr>
                    <w:t>、本项目属于</w:t>
                  </w:r>
                  <w:r>
                    <w:rPr>
                      <w:rFonts w:hint="eastAsia"/>
                      <w:color w:val="auto"/>
                      <w:lang w:val="en-US" w:eastAsia="zh-CN"/>
                    </w:rPr>
                    <w:t>金属丝绳及其制品制造项目</w:t>
                  </w:r>
                  <w:r>
                    <w:rPr>
                      <w:rFonts w:hint="default"/>
                      <w:color w:val="auto"/>
                      <w:lang w:val="en-US" w:eastAsia="zh-CN"/>
                    </w:rPr>
                    <w:t>，不属于</w:t>
                  </w:r>
                  <w:r>
                    <w:rPr>
                      <w:rFonts w:hint="eastAsia"/>
                      <w:color w:val="auto"/>
                      <w:lang w:val="en-US" w:eastAsia="zh-CN"/>
                    </w:rPr>
                    <w:t>煤</w:t>
                  </w:r>
                  <w:r>
                    <w:rPr>
                      <w:rFonts w:hint="default"/>
                      <w:color w:val="auto"/>
                      <w:lang w:val="en-US" w:eastAsia="zh-CN"/>
                    </w:rPr>
                    <w:t>化工项目。</w:t>
                  </w:r>
                </w:p>
              </w:tc>
              <w:tc>
                <w:tcPr>
                  <w:tcW w:w="876" w:type="dxa"/>
                  <w:noWrap w:val="0"/>
                  <w:vAlign w:val="center"/>
                </w:tcPr>
                <w:p w14:paraId="18B66A69">
                  <w:pPr>
                    <w:pStyle w:val="75"/>
                    <w:bidi w:val="0"/>
                    <w:jc w:val="both"/>
                    <w:rPr>
                      <w:rFonts w:hint="default"/>
                      <w:color w:val="auto"/>
                      <w:lang w:eastAsia="zh-CN"/>
                    </w:rPr>
                  </w:pPr>
                  <w:r>
                    <w:rPr>
                      <w:rFonts w:hint="eastAsia"/>
                      <w:color w:val="auto"/>
                      <w:lang w:val="en-US" w:eastAsia="zh-CN"/>
                    </w:rPr>
                    <w:t>相符</w:t>
                  </w:r>
                </w:p>
              </w:tc>
            </w:tr>
            <w:tr w14:paraId="34D28A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2CB3B809">
                  <w:pPr>
                    <w:pStyle w:val="75"/>
                    <w:bidi w:val="0"/>
                    <w:jc w:val="center"/>
                    <w:rPr>
                      <w:rFonts w:hint="default"/>
                      <w:color w:val="auto"/>
                    </w:rPr>
                  </w:pPr>
                </w:p>
              </w:tc>
              <w:tc>
                <w:tcPr>
                  <w:tcW w:w="4130" w:type="dxa"/>
                  <w:noWrap w:val="0"/>
                  <w:vAlign w:val="center"/>
                </w:tcPr>
                <w:p w14:paraId="7B0A4724">
                  <w:pPr>
                    <w:pStyle w:val="75"/>
                    <w:bidi w:val="0"/>
                    <w:jc w:val="both"/>
                    <w:rPr>
                      <w:rFonts w:hint="default"/>
                      <w:color w:val="auto"/>
                      <w:lang w:val="en-US" w:eastAsia="zh-CN"/>
                    </w:rPr>
                  </w:pPr>
                  <w:r>
                    <w:rPr>
                      <w:rFonts w:hint="default"/>
                      <w:color w:val="auto"/>
                      <w:lang w:val="en-US" w:eastAsia="zh-CN"/>
                    </w:rPr>
                    <w:t>8、推动涉重金属产业集中优化发展，禁止低端落后产能向我市转移。禁止新建用汞的电石法（聚）氯乙烯生产工艺。新建、扩建的重有色金属冶炼、电镀、制革企业应选择布设在依法合规设立并经规划环评的产业园区。</w:t>
                  </w:r>
                </w:p>
              </w:tc>
              <w:tc>
                <w:tcPr>
                  <w:tcW w:w="2273" w:type="dxa"/>
                  <w:noWrap w:val="0"/>
                  <w:vAlign w:val="center"/>
                </w:tcPr>
                <w:p w14:paraId="2D556CED">
                  <w:pPr>
                    <w:pStyle w:val="75"/>
                    <w:bidi w:val="0"/>
                    <w:jc w:val="both"/>
                    <w:rPr>
                      <w:rFonts w:hint="default"/>
                      <w:color w:val="auto"/>
                      <w:lang w:val="en-US"/>
                    </w:rPr>
                  </w:pPr>
                  <w:r>
                    <w:rPr>
                      <w:rFonts w:hint="eastAsia"/>
                      <w:color w:val="auto"/>
                      <w:lang w:val="en-US" w:eastAsia="zh-CN"/>
                    </w:rPr>
                    <w:t>8</w:t>
                  </w:r>
                  <w:r>
                    <w:rPr>
                      <w:rFonts w:hint="default"/>
                      <w:color w:val="auto"/>
                      <w:lang w:val="en-US" w:eastAsia="zh-CN"/>
                    </w:rPr>
                    <w:t>、本项目属于金属丝绳及其制品制造项目，不</w:t>
                  </w:r>
                  <w:r>
                    <w:rPr>
                      <w:rFonts w:hint="eastAsia"/>
                      <w:color w:val="auto"/>
                      <w:lang w:val="en-US" w:eastAsia="zh-CN"/>
                    </w:rPr>
                    <w:t>属于重金属产业、有色金属冶炼、电镀、制革企业。</w:t>
                  </w:r>
                </w:p>
              </w:tc>
              <w:tc>
                <w:tcPr>
                  <w:tcW w:w="876" w:type="dxa"/>
                  <w:noWrap w:val="0"/>
                  <w:vAlign w:val="center"/>
                </w:tcPr>
                <w:p w14:paraId="3E262C75">
                  <w:pPr>
                    <w:pStyle w:val="75"/>
                    <w:bidi w:val="0"/>
                    <w:jc w:val="both"/>
                    <w:rPr>
                      <w:rFonts w:hint="default"/>
                      <w:color w:val="auto"/>
                      <w:lang w:eastAsia="zh-CN"/>
                    </w:rPr>
                  </w:pPr>
                  <w:r>
                    <w:rPr>
                      <w:rFonts w:hint="eastAsia"/>
                      <w:color w:val="auto"/>
                      <w:lang w:val="en-US" w:eastAsia="zh-CN"/>
                    </w:rPr>
                    <w:t>相符</w:t>
                  </w:r>
                </w:p>
              </w:tc>
            </w:tr>
            <w:tr w14:paraId="13C92A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4515FD76">
                  <w:pPr>
                    <w:pStyle w:val="75"/>
                    <w:bidi w:val="0"/>
                    <w:jc w:val="center"/>
                    <w:rPr>
                      <w:rFonts w:hint="default"/>
                      <w:color w:val="auto"/>
                    </w:rPr>
                  </w:pPr>
                </w:p>
              </w:tc>
              <w:tc>
                <w:tcPr>
                  <w:tcW w:w="4130" w:type="dxa"/>
                  <w:noWrap w:val="0"/>
                  <w:vAlign w:val="center"/>
                </w:tcPr>
                <w:p w14:paraId="22C89687">
                  <w:pPr>
                    <w:pStyle w:val="75"/>
                    <w:bidi w:val="0"/>
                    <w:jc w:val="both"/>
                    <w:rPr>
                      <w:rFonts w:hint="default"/>
                      <w:color w:val="auto"/>
                      <w:lang w:val="en-US" w:eastAsia="zh-CN"/>
                    </w:rPr>
                  </w:pPr>
                  <w:r>
                    <w:rPr>
                      <w:rFonts w:hint="default"/>
                      <w:color w:val="auto"/>
                      <w:lang w:val="en-US" w:eastAsia="zh-CN"/>
                    </w:rPr>
                    <w:t>9、禁止在水土流失严重区及重点预防区、水源保护区、生态脆弱区、自然保护地、野生动植物重要栖息地等区域，开展造成或者可能造成严重水土流失、破坏水生态环境和野生动植物栖息环境的生产建设活动。确因重大发展战略和重大公共利益需要建设的，应当经科学论证，并依法办理审批手续。严禁在黄河干流和主要支流临岸一定范围内新建“两高一资”（高耗能、高污染和资源性）项目及相关产业园区，具体范围由省人民政府制定。禁止在黄河干流岸线和重要支流岸线的管控范围内新建、改建、扩建尾矿库；但是以提升安全水平、生态环境保护水平为目的的改建除外。</w:t>
                  </w:r>
                </w:p>
              </w:tc>
              <w:tc>
                <w:tcPr>
                  <w:tcW w:w="2273" w:type="dxa"/>
                  <w:noWrap w:val="0"/>
                  <w:vAlign w:val="center"/>
                </w:tcPr>
                <w:p w14:paraId="7616BC40">
                  <w:pPr>
                    <w:pStyle w:val="75"/>
                    <w:bidi w:val="0"/>
                    <w:jc w:val="both"/>
                    <w:rPr>
                      <w:rFonts w:hint="default"/>
                      <w:color w:val="auto"/>
                    </w:rPr>
                  </w:pPr>
                  <w:r>
                    <w:rPr>
                      <w:rFonts w:hint="eastAsia"/>
                      <w:color w:val="auto"/>
                      <w:lang w:val="en-US" w:eastAsia="zh-CN"/>
                    </w:rPr>
                    <w:t>9、</w:t>
                  </w:r>
                  <w:r>
                    <w:rPr>
                      <w:rFonts w:hint="default"/>
                      <w:color w:val="auto"/>
                      <w:lang w:val="en-US" w:eastAsia="zh-CN"/>
                    </w:rPr>
                    <w:t>本项目在园区内建设，不会造成严重水土流失；本项目不属于“两高一资”，也不在黄河干流和主要支流临岸一定范围内建设</w:t>
                  </w:r>
                  <w:r>
                    <w:rPr>
                      <w:rFonts w:hint="default"/>
                      <w:color w:val="auto"/>
                    </w:rPr>
                    <w:t>。</w:t>
                  </w:r>
                </w:p>
              </w:tc>
              <w:tc>
                <w:tcPr>
                  <w:tcW w:w="876" w:type="dxa"/>
                  <w:noWrap w:val="0"/>
                  <w:vAlign w:val="center"/>
                </w:tcPr>
                <w:p w14:paraId="4BB5F1F0">
                  <w:pPr>
                    <w:pStyle w:val="75"/>
                    <w:bidi w:val="0"/>
                    <w:jc w:val="both"/>
                    <w:rPr>
                      <w:rFonts w:hint="default"/>
                      <w:color w:val="auto"/>
                      <w:lang w:eastAsia="zh-CN"/>
                    </w:rPr>
                  </w:pPr>
                  <w:r>
                    <w:rPr>
                      <w:rFonts w:hint="eastAsia"/>
                      <w:color w:val="auto"/>
                      <w:lang w:val="en-US" w:eastAsia="zh-CN"/>
                    </w:rPr>
                    <w:t>相符</w:t>
                  </w:r>
                </w:p>
              </w:tc>
            </w:tr>
            <w:tr w14:paraId="318685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4249FDFE">
                  <w:pPr>
                    <w:pStyle w:val="75"/>
                    <w:bidi w:val="0"/>
                    <w:jc w:val="center"/>
                    <w:rPr>
                      <w:rFonts w:hint="default"/>
                      <w:color w:val="auto"/>
                    </w:rPr>
                  </w:pPr>
                </w:p>
              </w:tc>
              <w:tc>
                <w:tcPr>
                  <w:tcW w:w="4130" w:type="dxa"/>
                  <w:noWrap w:val="0"/>
                  <w:vAlign w:val="center"/>
                </w:tcPr>
                <w:p w14:paraId="654DAEF3">
                  <w:pPr>
                    <w:pStyle w:val="75"/>
                    <w:bidi w:val="0"/>
                    <w:jc w:val="both"/>
                    <w:rPr>
                      <w:rFonts w:hint="default"/>
                      <w:color w:val="auto"/>
                      <w:lang w:val="en-US" w:eastAsia="zh-CN"/>
                    </w:rPr>
                  </w:pPr>
                  <w:r>
                    <w:rPr>
                      <w:rFonts w:hint="default"/>
                      <w:color w:val="auto"/>
                      <w:lang w:val="en-US" w:eastAsia="zh-CN"/>
                    </w:rPr>
                    <w:t>10、原则上禁止曾用于生产、使用、贮存、回收、处置有毒有害物质的工矿用地复垦为种植食用农产品的耕地。</w:t>
                  </w:r>
                </w:p>
              </w:tc>
              <w:tc>
                <w:tcPr>
                  <w:tcW w:w="2273" w:type="dxa"/>
                  <w:noWrap w:val="0"/>
                  <w:vAlign w:val="center"/>
                </w:tcPr>
                <w:p w14:paraId="2D1A09B9">
                  <w:pPr>
                    <w:pStyle w:val="75"/>
                    <w:bidi w:val="0"/>
                    <w:jc w:val="both"/>
                    <w:rPr>
                      <w:rFonts w:hint="default"/>
                      <w:color w:val="auto"/>
                    </w:rPr>
                  </w:pPr>
                  <w:r>
                    <w:rPr>
                      <w:rFonts w:hint="eastAsia"/>
                      <w:color w:val="auto"/>
                      <w:lang w:val="en-US" w:eastAsia="zh-CN"/>
                    </w:rPr>
                    <w:t>10、</w:t>
                  </w:r>
                  <w:r>
                    <w:rPr>
                      <w:rFonts w:hint="default"/>
                      <w:color w:val="auto"/>
                    </w:rPr>
                    <w:t>本项目不涉及。</w:t>
                  </w:r>
                </w:p>
              </w:tc>
              <w:tc>
                <w:tcPr>
                  <w:tcW w:w="876" w:type="dxa"/>
                  <w:noWrap w:val="0"/>
                  <w:vAlign w:val="center"/>
                </w:tcPr>
                <w:p w14:paraId="128D0C44">
                  <w:pPr>
                    <w:pStyle w:val="75"/>
                    <w:bidi w:val="0"/>
                    <w:jc w:val="both"/>
                    <w:rPr>
                      <w:rFonts w:hint="default"/>
                      <w:color w:val="auto"/>
                      <w:lang w:eastAsia="zh-CN"/>
                    </w:rPr>
                  </w:pPr>
                  <w:r>
                    <w:rPr>
                      <w:rFonts w:hint="eastAsia"/>
                      <w:color w:val="auto"/>
                      <w:lang w:val="en-US" w:eastAsia="zh-CN"/>
                    </w:rPr>
                    <w:t>相符</w:t>
                  </w:r>
                </w:p>
              </w:tc>
            </w:tr>
            <w:tr w14:paraId="45F27F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5575202F">
                  <w:pPr>
                    <w:pStyle w:val="75"/>
                    <w:bidi w:val="0"/>
                    <w:jc w:val="center"/>
                    <w:rPr>
                      <w:rFonts w:hint="default"/>
                      <w:color w:val="auto"/>
                    </w:rPr>
                  </w:pPr>
                </w:p>
              </w:tc>
              <w:tc>
                <w:tcPr>
                  <w:tcW w:w="4130" w:type="dxa"/>
                  <w:noWrap w:val="0"/>
                  <w:vAlign w:val="center"/>
                </w:tcPr>
                <w:p w14:paraId="5E40EE73">
                  <w:pPr>
                    <w:pStyle w:val="75"/>
                    <w:bidi w:val="0"/>
                    <w:jc w:val="both"/>
                    <w:rPr>
                      <w:rFonts w:hint="default"/>
                      <w:color w:val="auto"/>
                      <w:lang w:val="en-US" w:eastAsia="zh-CN"/>
                    </w:rPr>
                  </w:pPr>
                  <w:r>
                    <w:rPr>
                      <w:rFonts w:hint="default"/>
                      <w:color w:val="auto"/>
                      <w:lang w:val="en-US" w:eastAsia="zh-CN"/>
                    </w:rPr>
                    <w:t>11、工业企业选址应对符合国土空间规划和相关规划要求，建设项目严格执行声功能区环境准入要求，禁止在0、1类声环境功能区、严格限制在城市建成区内2类声环境功能区（工业园区外）建设产生噪声污染的工业项目。严控噪声污染严重的工业企业向乡村居民区域转移。</w:t>
                  </w:r>
                </w:p>
              </w:tc>
              <w:tc>
                <w:tcPr>
                  <w:tcW w:w="2273" w:type="dxa"/>
                  <w:noWrap w:val="0"/>
                  <w:vAlign w:val="center"/>
                </w:tcPr>
                <w:p w14:paraId="35C15D02">
                  <w:pPr>
                    <w:pStyle w:val="75"/>
                    <w:bidi w:val="0"/>
                    <w:jc w:val="both"/>
                    <w:rPr>
                      <w:rFonts w:hint="default"/>
                      <w:color w:val="auto"/>
                    </w:rPr>
                  </w:pPr>
                  <w:r>
                    <w:rPr>
                      <w:rFonts w:hint="eastAsia"/>
                      <w:color w:val="auto"/>
                      <w:lang w:val="en-US" w:eastAsia="zh-CN"/>
                    </w:rPr>
                    <w:t>11、</w:t>
                  </w:r>
                  <w:r>
                    <w:rPr>
                      <w:rFonts w:hint="default"/>
                      <w:color w:val="auto"/>
                      <w:lang w:val="en-US" w:eastAsia="zh-CN"/>
                    </w:rPr>
                    <w:t>本项目位于</w:t>
                  </w:r>
                  <w:r>
                    <w:rPr>
                      <w:rFonts w:hint="eastAsia"/>
                      <w:color w:val="auto"/>
                      <w:lang w:val="en-US" w:eastAsia="zh-CN"/>
                    </w:rPr>
                    <w:t>安阳市新型制造业产业园区中兴路南头</w:t>
                  </w:r>
                  <w:r>
                    <w:rPr>
                      <w:rFonts w:hint="default"/>
                      <w:color w:val="auto"/>
                      <w:lang w:val="en-US" w:eastAsia="zh-CN"/>
                    </w:rPr>
                    <w:t>，属于</w:t>
                  </w:r>
                  <w:r>
                    <w:rPr>
                      <w:rFonts w:hint="default"/>
                      <w:color w:val="auto"/>
                      <w:lang w:eastAsia="zh-CN"/>
                    </w:rPr>
                    <w:t>2</w:t>
                  </w:r>
                  <w:r>
                    <w:rPr>
                      <w:rFonts w:hint="default"/>
                      <w:color w:val="auto"/>
                      <w:lang w:val="en-US" w:eastAsia="zh-CN"/>
                    </w:rPr>
                    <w:t>类声环境功能区，</w:t>
                  </w:r>
                  <w:r>
                    <w:rPr>
                      <w:rFonts w:hint="eastAsia"/>
                      <w:color w:val="auto"/>
                      <w:lang w:val="en-US" w:eastAsia="zh-CN"/>
                    </w:rPr>
                    <w:t>符合汤阴县新型制造产业园区规划</w:t>
                  </w:r>
                  <w:r>
                    <w:rPr>
                      <w:rFonts w:hint="default"/>
                      <w:color w:val="auto"/>
                      <w:lang w:val="en-US" w:eastAsia="zh-CN"/>
                    </w:rPr>
                    <w:t>。</w:t>
                  </w:r>
                </w:p>
              </w:tc>
              <w:tc>
                <w:tcPr>
                  <w:tcW w:w="876" w:type="dxa"/>
                  <w:noWrap w:val="0"/>
                  <w:vAlign w:val="center"/>
                </w:tcPr>
                <w:p w14:paraId="6144A69B">
                  <w:pPr>
                    <w:pStyle w:val="75"/>
                    <w:bidi w:val="0"/>
                    <w:jc w:val="both"/>
                    <w:rPr>
                      <w:rFonts w:hint="default"/>
                      <w:color w:val="auto"/>
                    </w:rPr>
                  </w:pPr>
                  <w:r>
                    <w:rPr>
                      <w:rFonts w:hint="default"/>
                      <w:color w:val="auto"/>
                      <w:lang w:val="en-US" w:eastAsia="zh-CN"/>
                    </w:rPr>
                    <w:t>相符</w:t>
                  </w:r>
                </w:p>
              </w:tc>
            </w:tr>
            <w:tr w14:paraId="6D4ACE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3F818C75">
                  <w:pPr>
                    <w:pStyle w:val="75"/>
                    <w:bidi w:val="0"/>
                    <w:jc w:val="center"/>
                    <w:rPr>
                      <w:rFonts w:hint="default"/>
                      <w:color w:val="auto"/>
                    </w:rPr>
                  </w:pPr>
                </w:p>
              </w:tc>
              <w:tc>
                <w:tcPr>
                  <w:tcW w:w="4130" w:type="dxa"/>
                  <w:noWrap w:val="0"/>
                  <w:vAlign w:val="center"/>
                </w:tcPr>
                <w:p w14:paraId="352328B5">
                  <w:pPr>
                    <w:pStyle w:val="75"/>
                    <w:bidi w:val="0"/>
                    <w:jc w:val="both"/>
                    <w:rPr>
                      <w:rFonts w:hint="default"/>
                      <w:color w:val="auto"/>
                      <w:lang w:val="en-US" w:eastAsia="zh-CN"/>
                    </w:rPr>
                  </w:pPr>
                  <w:r>
                    <w:rPr>
                      <w:rFonts w:hint="default"/>
                      <w:color w:val="auto"/>
                      <w:lang w:val="en-US" w:eastAsia="zh-CN"/>
                    </w:rPr>
                    <w:t>12、禁止在饮用水水源一级保护区内新建、改建、扩建与供水设施和保护水源无关的建设项目，且不得新建排污口。禁止在饮用水水源二级保护区内新建、改建、扩建排放污染物的建设项目，且不得新建排污口。禁止在饮用水水源准保护区内新建、扩建对水体污染严重的建设项目，改建建设项目不得增加排污量。</w:t>
                  </w:r>
                </w:p>
              </w:tc>
              <w:tc>
                <w:tcPr>
                  <w:tcW w:w="2273" w:type="dxa"/>
                  <w:noWrap w:val="0"/>
                  <w:vAlign w:val="center"/>
                </w:tcPr>
                <w:p w14:paraId="3A9FB4D0">
                  <w:pPr>
                    <w:pStyle w:val="75"/>
                    <w:bidi w:val="0"/>
                    <w:jc w:val="both"/>
                    <w:rPr>
                      <w:rFonts w:hint="default"/>
                      <w:color w:val="auto"/>
                    </w:rPr>
                  </w:pPr>
                  <w:r>
                    <w:rPr>
                      <w:rFonts w:hint="default"/>
                      <w:color w:val="auto"/>
                      <w:lang w:val="en-US" w:eastAsia="zh-CN"/>
                    </w:rPr>
                    <w:t>12、本项目</w:t>
                  </w:r>
                  <w:r>
                    <w:rPr>
                      <w:rFonts w:hint="eastAsia"/>
                      <w:color w:val="auto"/>
                      <w:lang w:val="en-US" w:eastAsia="zh-CN"/>
                    </w:rPr>
                    <w:t>不在</w:t>
                  </w:r>
                  <w:r>
                    <w:rPr>
                      <w:rFonts w:hint="default"/>
                      <w:color w:val="auto"/>
                      <w:lang w:val="en-US" w:eastAsia="zh-CN"/>
                    </w:rPr>
                    <w:t>饮用水水源一级、二级保护区及准保护区</w:t>
                  </w:r>
                  <w:r>
                    <w:rPr>
                      <w:rFonts w:hint="eastAsia"/>
                      <w:color w:val="auto"/>
                      <w:lang w:val="en-US" w:eastAsia="zh-CN"/>
                    </w:rPr>
                    <w:t>内</w:t>
                  </w:r>
                  <w:r>
                    <w:rPr>
                      <w:rFonts w:hint="default"/>
                      <w:color w:val="auto"/>
                      <w:lang w:val="en-US" w:eastAsia="zh-CN"/>
                    </w:rPr>
                    <w:t>。</w:t>
                  </w:r>
                </w:p>
              </w:tc>
              <w:tc>
                <w:tcPr>
                  <w:tcW w:w="876" w:type="dxa"/>
                  <w:noWrap w:val="0"/>
                  <w:vAlign w:val="center"/>
                </w:tcPr>
                <w:p w14:paraId="084D369D">
                  <w:pPr>
                    <w:pStyle w:val="75"/>
                    <w:bidi w:val="0"/>
                    <w:jc w:val="both"/>
                    <w:rPr>
                      <w:rFonts w:hint="default"/>
                      <w:color w:val="auto"/>
                    </w:rPr>
                  </w:pPr>
                  <w:r>
                    <w:rPr>
                      <w:rFonts w:hint="eastAsia"/>
                      <w:color w:val="auto"/>
                      <w:lang w:val="en-US" w:eastAsia="zh-CN"/>
                    </w:rPr>
                    <w:t>相符</w:t>
                  </w:r>
                </w:p>
              </w:tc>
            </w:tr>
            <w:tr w14:paraId="2B6F37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4960DFB4">
                  <w:pPr>
                    <w:pStyle w:val="75"/>
                    <w:bidi w:val="0"/>
                    <w:jc w:val="center"/>
                    <w:rPr>
                      <w:rFonts w:hint="default"/>
                      <w:color w:val="auto"/>
                    </w:rPr>
                  </w:pPr>
                </w:p>
              </w:tc>
              <w:tc>
                <w:tcPr>
                  <w:tcW w:w="4130" w:type="dxa"/>
                  <w:noWrap w:val="0"/>
                  <w:vAlign w:val="center"/>
                </w:tcPr>
                <w:p w14:paraId="25A4269E">
                  <w:pPr>
                    <w:pStyle w:val="75"/>
                    <w:bidi w:val="0"/>
                    <w:jc w:val="both"/>
                    <w:rPr>
                      <w:rFonts w:hint="default"/>
                      <w:color w:val="auto"/>
                      <w:lang w:val="en-US" w:eastAsia="zh-CN"/>
                    </w:rPr>
                  </w:pPr>
                  <w:r>
                    <w:rPr>
                      <w:rFonts w:hint="default"/>
                      <w:color w:val="auto"/>
                      <w:lang w:val="en-US" w:eastAsia="zh-CN"/>
                    </w:rPr>
                    <w:t>13</w:t>
                  </w:r>
                  <w:r>
                    <w:rPr>
                      <w:rFonts w:hint="eastAsia"/>
                      <w:color w:val="auto"/>
                      <w:lang w:val="en-US" w:eastAsia="zh-CN"/>
                    </w:rPr>
                    <w:t>-18略</w:t>
                  </w:r>
                  <w:r>
                    <w:rPr>
                      <w:rFonts w:hint="default"/>
                      <w:color w:val="auto"/>
                      <w:lang w:val="en-US" w:eastAsia="zh-CN"/>
                    </w:rPr>
                    <w:t>。</w:t>
                  </w:r>
                </w:p>
              </w:tc>
              <w:tc>
                <w:tcPr>
                  <w:tcW w:w="2273" w:type="dxa"/>
                  <w:noWrap w:val="0"/>
                  <w:vAlign w:val="center"/>
                </w:tcPr>
                <w:p w14:paraId="0EB6C8BD">
                  <w:pPr>
                    <w:pStyle w:val="75"/>
                    <w:bidi w:val="0"/>
                    <w:jc w:val="both"/>
                    <w:rPr>
                      <w:rFonts w:hint="eastAsia" w:eastAsia="宋体"/>
                      <w:color w:val="auto"/>
                      <w:lang w:val="en-US" w:eastAsia="zh-CN"/>
                    </w:rPr>
                  </w:pPr>
                  <w:r>
                    <w:rPr>
                      <w:rFonts w:hint="eastAsia"/>
                      <w:color w:val="auto"/>
                      <w:lang w:val="en-US" w:eastAsia="zh-CN"/>
                    </w:rPr>
                    <w:t>/</w:t>
                  </w:r>
                </w:p>
              </w:tc>
              <w:tc>
                <w:tcPr>
                  <w:tcW w:w="876" w:type="dxa"/>
                  <w:noWrap w:val="0"/>
                  <w:vAlign w:val="center"/>
                </w:tcPr>
                <w:p w14:paraId="7519E8FD">
                  <w:pPr>
                    <w:pStyle w:val="75"/>
                    <w:bidi w:val="0"/>
                    <w:jc w:val="both"/>
                    <w:rPr>
                      <w:rFonts w:hint="default"/>
                      <w:color w:val="auto"/>
                      <w:lang w:eastAsia="zh-CN"/>
                    </w:rPr>
                  </w:pPr>
                  <w:r>
                    <w:rPr>
                      <w:rFonts w:hint="default"/>
                      <w:color w:val="auto"/>
                      <w:lang w:val="en-US" w:eastAsia="zh-CN"/>
                    </w:rPr>
                    <w:t>不涉及</w:t>
                  </w:r>
                </w:p>
              </w:tc>
            </w:tr>
            <w:tr w14:paraId="7872F9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8" w:type="dxa"/>
                  <w:vMerge w:val="continue"/>
                  <w:noWrap w:val="0"/>
                  <w:vAlign w:val="center"/>
                </w:tcPr>
                <w:p w14:paraId="1717E974">
                  <w:pPr>
                    <w:pStyle w:val="75"/>
                    <w:bidi w:val="0"/>
                    <w:jc w:val="center"/>
                    <w:rPr>
                      <w:rFonts w:hint="default"/>
                      <w:color w:val="auto"/>
                    </w:rPr>
                  </w:pPr>
                </w:p>
              </w:tc>
              <w:tc>
                <w:tcPr>
                  <w:tcW w:w="4130" w:type="dxa"/>
                  <w:noWrap w:val="0"/>
                  <w:vAlign w:val="center"/>
                </w:tcPr>
                <w:p w14:paraId="1E123A8D">
                  <w:pPr>
                    <w:pStyle w:val="75"/>
                    <w:bidi w:val="0"/>
                    <w:jc w:val="both"/>
                    <w:rPr>
                      <w:rFonts w:hint="default"/>
                      <w:color w:val="auto"/>
                      <w:lang w:val="en-US" w:eastAsia="zh-CN"/>
                    </w:rPr>
                  </w:pPr>
                  <w:r>
                    <w:rPr>
                      <w:rFonts w:hint="default"/>
                      <w:color w:val="auto"/>
                      <w:lang w:val="en-US" w:eastAsia="zh-CN"/>
                    </w:rPr>
                    <w:t>19、禁燃区内，禁止销售和燃用国家规定的高污染燃料；禁止新建、扩建燃用高污染燃料的设施，已建成的，应当在市、县（市）人民政府规定的期限内改用天然气、液化石油气、电等清洁能源。</w:t>
                  </w:r>
                </w:p>
              </w:tc>
              <w:tc>
                <w:tcPr>
                  <w:tcW w:w="2273" w:type="dxa"/>
                  <w:noWrap w:val="0"/>
                  <w:vAlign w:val="center"/>
                </w:tcPr>
                <w:p w14:paraId="23AD5F71">
                  <w:pPr>
                    <w:pStyle w:val="75"/>
                    <w:bidi w:val="0"/>
                    <w:jc w:val="both"/>
                    <w:rPr>
                      <w:rFonts w:hint="default"/>
                      <w:color w:val="auto"/>
                    </w:rPr>
                  </w:pPr>
                  <w:r>
                    <w:rPr>
                      <w:rFonts w:hint="default"/>
                      <w:color w:val="auto"/>
                      <w:lang w:val="en-US" w:eastAsia="zh-CN"/>
                    </w:rPr>
                    <w:t>19、本项目不涉及销售和燃用国家规定的高污染燃料；本项目不涉及新建、扩建燃用高污染燃料的设施。</w:t>
                  </w:r>
                </w:p>
              </w:tc>
              <w:tc>
                <w:tcPr>
                  <w:tcW w:w="876" w:type="dxa"/>
                  <w:noWrap w:val="0"/>
                  <w:vAlign w:val="center"/>
                </w:tcPr>
                <w:p w14:paraId="66C9C63D">
                  <w:pPr>
                    <w:pStyle w:val="75"/>
                    <w:bidi w:val="0"/>
                    <w:jc w:val="both"/>
                    <w:rPr>
                      <w:rFonts w:hint="default"/>
                      <w:color w:val="auto"/>
                      <w:lang w:eastAsia="zh-CN"/>
                    </w:rPr>
                  </w:pPr>
                  <w:r>
                    <w:rPr>
                      <w:rFonts w:hint="default"/>
                      <w:color w:val="auto"/>
                      <w:lang w:val="en-US" w:eastAsia="zh-CN"/>
                    </w:rPr>
                    <w:t>不涉及</w:t>
                  </w:r>
                </w:p>
              </w:tc>
            </w:tr>
            <w:tr w14:paraId="3672ED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7326A590">
                  <w:pPr>
                    <w:pStyle w:val="75"/>
                    <w:bidi w:val="0"/>
                    <w:jc w:val="center"/>
                    <w:rPr>
                      <w:rFonts w:hint="default"/>
                      <w:color w:val="auto"/>
                    </w:rPr>
                  </w:pPr>
                </w:p>
              </w:tc>
              <w:tc>
                <w:tcPr>
                  <w:tcW w:w="4130" w:type="dxa"/>
                  <w:noWrap w:val="0"/>
                  <w:vAlign w:val="center"/>
                </w:tcPr>
                <w:p w14:paraId="17933E3B">
                  <w:pPr>
                    <w:pStyle w:val="75"/>
                    <w:bidi w:val="0"/>
                    <w:jc w:val="both"/>
                    <w:rPr>
                      <w:rFonts w:hint="default"/>
                      <w:color w:val="auto"/>
                      <w:lang w:val="en-US" w:eastAsia="zh-CN"/>
                    </w:rPr>
                  </w:pPr>
                  <w:r>
                    <w:rPr>
                      <w:rFonts w:hint="default"/>
                      <w:color w:val="auto"/>
                      <w:lang w:val="en-US" w:eastAsia="zh-CN"/>
                    </w:rPr>
                    <w:t>20、禁燃区内，禁止销售和燃用国家规定的高污染燃料；禁止新建、扩建燃用高污染燃料的设施，已建成的，应当在市、县（市）人民政府规定的期限内改用天然气、液化石油气、电等清洁能源。在高污染燃料禁燃区内，禁止新建燃烧煤炭、重油、渣油以及直接燃用生物质的锅炉，其他地区禁止新建每小时三十五蒸吨以下的燃烧煤炭、重油、渣油以及直接燃用生物质的锅炉。现有燃煤锅炉改为燃气锅炉的，应当同步实现低氮改造，氮氧化物排放应当达到本市控制要求。</w:t>
                  </w:r>
                </w:p>
              </w:tc>
              <w:tc>
                <w:tcPr>
                  <w:tcW w:w="2273" w:type="dxa"/>
                  <w:noWrap w:val="0"/>
                  <w:vAlign w:val="center"/>
                </w:tcPr>
                <w:p w14:paraId="1440948A">
                  <w:pPr>
                    <w:pStyle w:val="75"/>
                    <w:bidi w:val="0"/>
                    <w:jc w:val="both"/>
                    <w:rPr>
                      <w:rFonts w:hint="default"/>
                      <w:color w:val="auto"/>
                    </w:rPr>
                  </w:pPr>
                  <w:r>
                    <w:rPr>
                      <w:rFonts w:hint="default"/>
                      <w:color w:val="auto"/>
                      <w:lang w:val="en-US" w:eastAsia="zh-CN"/>
                    </w:rPr>
                    <w:t>20、本项目不涉及煤炭、重油、渣油以及直接燃用生物质的锅炉。</w:t>
                  </w:r>
                </w:p>
              </w:tc>
              <w:tc>
                <w:tcPr>
                  <w:tcW w:w="876" w:type="dxa"/>
                  <w:noWrap w:val="0"/>
                  <w:vAlign w:val="center"/>
                </w:tcPr>
                <w:p w14:paraId="74BC9545">
                  <w:pPr>
                    <w:pStyle w:val="75"/>
                    <w:bidi w:val="0"/>
                    <w:jc w:val="both"/>
                    <w:rPr>
                      <w:rFonts w:hint="default"/>
                      <w:color w:val="auto"/>
                      <w:lang w:eastAsia="zh-CN"/>
                    </w:rPr>
                  </w:pPr>
                  <w:r>
                    <w:rPr>
                      <w:rFonts w:hint="eastAsia"/>
                      <w:color w:val="auto"/>
                      <w:lang w:val="en-US" w:eastAsia="zh-CN"/>
                    </w:rPr>
                    <w:t>不涉及</w:t>
                  </w:r>
                </w:p>
              </w:tc>
            </w:tr>
            <w:tr w14:paraId="7F8535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7F7729F3">
                  <w:pPr>
                    <w:pStyle w:val="75"/>
                    <w:bidi w:val="0"/>
                    <w:jc w:val="center"/>
                    <w:rPr>
                      <w:rFonts w:hint="default"/>
                      <w:color w:val="auto"/>
                    </w:rPr>
                  </w:pPr>
                </w:p>
              </w:tc>
              <w:tc>
                <w:tcPr>
                  <w:tcW w:w="4130" w:type="dxa"/>
                  <w:noWrap w:val="0"/>
                  <w:vAlign w:val="center"/>
                </w:tcPr>
                <w:p w14:paraId="1DA48678">
                  <w:pPr>
                    <w:pStyle w:val="75"/>
                    <w:bidi w:val="0"/>
                    <w:jc w:val="both"/>
                    <w:rPr>
                      <w:rFonts w:hint="default"/>
                      <w:color w:val="auto"/>
                      <w:lang w:val="en-US" w:eastAsia="zh-CN"/>
                    </w:rPr>
                  </w:pPr>
                  <w:r>
                    <w:rPr>
                      <w:rFonts w:hint="default"/>
                      <w:color w:val="auto"/>
                      <w:lang w:val="en-US" w:eastAsia="zh-CN"/>
                    </w:rPr>
                    <w:t>21、禁止露天焚烧秸秆、落叶、树枝、枯草等产生烟尘污染的物质，以及非法焚烧电子废弃物、油毡、橡胶、塑料、皮革、沥青、垃圾及其他产生有毒有害烟尘、恶臭或者强烈异味气体的物质。禁止在城市建成区的道路及其两侧、广场、住宅小区等公共场所焚烧祭祀用品。任何单位和个人不得在人民政府禁止的区域内露天烧烤食品或者为露天烧烤食品提供场地。</w:t>
                  </w:r>
                </w:p>
              </w:tc>
              <w:tc>
                <w:tcPr>
                  <w:tcW w:w="2273" w:type="dxa"/>
                  <w:noWrap w:val="0"/>
                  <w:vAlign w:val="center"/>
                </w:tcPr>
                <w:p w14:paraId="087E8F44">
                  <w:pPr>
                    <w:pStyle w:val="75"/>
                    <w:bidi w:val="0"/>
                    <w:jc w:val="both"/>
                    <w:rPr>
                      <w:rFonts w:hint="default"/>
                      <w:color w:val="auto"/>
                    </w:rPr>
                  </w:pPr>
                  <w:r>
                    <w:rPr>
                      <w:rFonts w:hint="default"/>
                      <w:color w:val="auto"/>
                      <w:lang w:val="en-US" w:eastAsia="zh-CN"/>
                    </w:rPr>
                    <w:t>21、本项目不涉及露天焚烧；不涉及焚烧祭祀用品不涉及烧烤等内容。</w:t>
                  </w:r>
                </w:p>
              </w:tc>
              <w:tc>
                <w:tcPr>
                  <w:tcW w:w="876" w:type="dxa"/>
                  <w:noWrap w:val="0"/>
                  <w:vAlign w:val="center"/>
                </w:tcPr>
                <w:p w14:paraId="70C8582D">
                  <w:pPr>
                    <w:pStyle w:val="75"/>
                    <w:bidi w:val="0"/>
                    <w:jc w:val="both"/>
                    <w:rPr>
                      <w:rFonts w:hint="default"/>
                      <w:color w:val="auto"/>
                      <w:lang w:eastAsia="zh-CN"/>
                    </w:rPr>
                  </w:pPr>
                  <w:r>
                    <w:rPr>
                      <w:rFonts w:hint="default"/>
                      <w:color w:val="auto"/>
                      <w:lang w:val="en-US" w:eastAsia="zh-CN"/>
                    </w:rPr>
                    <w:t>不涉及</w:t>
                  </w:r>
                </w:p>
              </w:tc>
            </w:tr>
            <w:tr w14:paraId="206122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2D2C0430">
                  <w:pPr>
                    <w:pStyle w:val="75"/>
                    <w:bidi w:val="0"/>
                    <w:jc w:val="center"/>
                    <w:rPr>
                      <w:rFonts w:hint="default"/>
                      <w:color w:val="auto"/>
                    </w:rPr>
                  </w:pPr>
                </w:p>
              </w:tc>
              <w:tc>
                <w:tcPr>
                  <w:tcW w:w="4130" w:type="dxa"/>
                  <w:noWrap w:val="0"/>
                  <w:vAlign w:val="center"/>
                </w:tcPr>
                <w:p w14:paraId="5F30A937">
                  <w:pPr>
                    <w:pStyle w:val="75"/>
                    <w:bidi w:val="0"/>
                    <w:jc w:val="both"/>
                    <w:rPr>
                      <w:rFonts w:hint="default"/>
                      <w:color w:val="auto"/>
                      <w:lang w:val="en-US" w:eastAsia="zh-CN"/>
                    </w:rPr>
                  </w:pPr>
                  <w:r>
                    <w:rPr>
                      <w:rFonts w:hint="default"/>
                      <w:color w:val="auto"/>
                      <w:lang w:val="en-US" w:eastAsia="zh-CN"/>
                    </w:rPr>
                    <w:t>22、禁止在下列场所新建、改建、扩建排放油烟的餐饮服务项目：</w:t>
                  </w:r>
                </w:p>
                <w:p w14:paraId="0DBF5A68">
                  <w:pPr>
                    <w:pStyle w:val="75"/>
                    <w:bidi w:val="0"/>
                    <w:jc w:val="both"/>
                    <w:rPr>
                      <w:rFonts w:hint="default"/>
                      <w:color w:val="auto"/>
                      <w:lang w:val="en-US" w:eastAsia="zh-CN"/>
                    </w:rPr>
                  </w:pPr>
                  <w:r>
                    <w:rPr>
                      <w:rFonts w:hint="default"/>
                      <w:color w:val="auto"/>
                      <w:lang w:val="en-US" w:eastAsia="zh-CN"/>
                    </w:rPr>
                    <w:t>（一）居民住宅楼等非商用建筑；</w:t>
                  </w:r>
                </w:p>
                <w:p w14:paraId="5DA8A992">
                  <w:pPr>
                    <w:pStyle w:val="75"/>
                    <w:bidi w:val="0"/>
                    <w:jc w:val="both"/>
                    <w:rPr>
                      <w:rFonts w:hint="default"/>
                      <w:color w:val="auto"/>
                      <w:lang w:val="en-US" w:eastAsia="zh-CN"/>
                    </w:rPr>
                  </w:pPr>
                  <w:r>
                    <w:rPr>
                      <w:rFonts w:hint="default"/>
                      <w:color w:val="auto"/>
                      <w:lang w:val="en-US" w:eastAsia="zh-CN"/>
                    </w:rPr>
                    <w:t>（二）未设立配套规划专用烟道的商住综合楼；</w:t>
                  </w:r>
                </w:p>
                <w:p w14:paraId="2F8DB3C1">
                  <w:pPr>
                    <w:pStyle w:val="75"/>
                    <w:bidi w:val="0"/>
                    <w:jc w:val="both"/>
                    <w:rPr>
                      <w:rFonts w:hint="default"/>
                      <w:color w:val="auto"/>
                      <w:lang w:val="en-US" w:eastAsia="zh-CN"/>
                    </w:rPr>
                  </w:pPr>
                  <w:r>
                    <w:rPr>
                      <w:rFonts w:hint="default"/>
                      <w:color w:val="auto"/>
                      <w:lang w:val="en-US" w:eastAsia="zh-CN"/>
                    </w:rPr>
                    <w:t>（三）商住综合楼内与居住层相邻的楼层。</w:t>
                  </w:r>
                </w:p>
              </w:tc>
              <w:tc>
                <w:tcPr>
                  <w:tcW w:w="2273" w:type="dxa"/>
                  <w:noWrap w:val="0"/>
                  <w:vAlign w:val="center"/>
                </w:tcPr>
                <w:p w14:paraId="607D5E9A">
                  <w:pPr>
                    <w:pStyle w:val="75"/>
                    <w:bidi w:val="0"/>
                    <w:jc w:val="both"/>
                    <w:rPr>
                      <w:rFonts w:hint="default"/>
                      <w:color w:val="auto"/>
                    </w:rPr>
                  </w:pPr>
                  <w:r>
                    <w:rPr>
                      <w:rFonts w:hint="default"/>
                      <w:color w:val="auto"/>
                      <w:lang w:val="en-US" w:eastAsia="zh-CN"/>
                    </w:rPr>
                    <w:t>22、本项目不属于餐饮服务业。</w:t>
                  </w:r>
                </w:p>
              </w:tc>
              <w:tc>
                <w:tcPr>
                  <w:tcW w:w="876" w:type="dxa"/>
                  <w:noWrap w:val="0"/>
                  <w:vAlign w:val="center"/>
                </w:tcPr>
                <w:p w14:paraId="500E0039">
                  <w:pPr>
                    <w:pStyle w:val="75"/>
                    <w:bidi w:val="0"/>
                    <w:jc w:val="both"/>
                    <w:rPr>
                      <w:rFonts w:hint="default"/>
                      <w:color w:val="auto"/>
                      <w:lang w:eastAsia="zh-CN"/>
                    </w:rPr>
                  </w:pPr>
                  <w:r>
                    <w:rPr>
                      <w:rFonts w:hint="default"/>
                      <w:color w:val="auto"/>
                      <w:lang w:val="en-US" w:eastAsia="zh-CN"/>
                    </w:rPr>
                    <w:t>不涉及</w:t>
                  </w:r>
                </w:p>
              </w:tc>
            </w:tr>
            <w:tr w14:paraId="0BB79C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8" w:type="dxa"/>
                  <w:vMerge w:val="continue"/>
                  <w:noWrap w:val="0"/>
                  <w:vAlign w:val="center"/>
                </w:tcPr>
                <w:p w14:paraId="7455C43F">
                  <w:pPr>
                    <w:pStyle w:val="75"/>
                    <w:bidi w:val="0"/>
                    <w:jc w:val="center"/>
                    <w:rPr>
                      <w:rFonts w:hint="default"/>
                      <w:color w:val="auto"/>
                    </w:rPr>
                  </w:pPr>
                </w:p>
              </w:tc>
              <w:tc>
                <w:tcPr>
                  <w:tcW w:w="4130" w:type="dxa"/>
                  <w:noWrap w:val="0"/>
                  <w:vAlign w:val="center"/>
                </w:tcPr>
                <w:p w14:paraId="3BEFB651">
                  <w:pPr>
                    <w:pStyle w:val="75"/>
                    <w:bidi w:val="0"/>
                    <w:jc w:val="both"/>
                    <w:rPr>
                      <w:rFonts w:hint="default"/>
                      <w:color w:val="auto"/>
                      <w:lang w:val="en-US" w:eastAsia="zh-CN"/>
                    </w:rPr>
                  </w:pPr>
                  <w:r>
                    <w:rPr>
                      <w:rFonts w:hint="default"/>
                      <w:color w:val="auto"/>
                      <w:lang w:val="en-US" w:eastAsia="zh-CN"/>
                    </w:rPr>
                    <w:t>23、列入建设用地土壤污染风险管控和修复名录的地块，应依法采取风险管控措施，实施土壤修复或风险管控。未达到土壤污染风险评估报告确定的风险管控、修复目标的建设用地地块，禁止开工建设任何与风险管控、修复无关的项目。</w:t>
                  </w:r>
                </w:p>
              </w:tc>
              <w:tc>
                <w:tcPr>
                  <w:tcW w:w="2273" w:type="dxa"/>
                  <w:noWrap w:val="0"/>
                  <w:vAlign w:val="center"/>
                </w:tcPr>
                <w:p w14:paraId="05C6C886">
                  <w:pPr>
                    <w:pStyle w:val="75"/>
                    <w:bidi w:val="0"/>
                    <w:jc w:val="both"/>
                    <w:rPr>
                      <w:rFonts w:hint="default"/>
                      <w:color w:val="auto"/>
                    </w:rPr>
                  </w:pPr>
                  <w:r>
                    <w:rPr>
                      <w:rFonts w:hint="default"/>
                      <w:color w:val="auto"/>
                      <w:lang w:val="en-US" w:eastAsia="zh-CN"/>
                    </w:rPr>
                    <w:t>23、本项目占地未被列入土壤污染风险管控和修复名录。</w:t>
                  </w:r>
                </w:p>
              </w:tc>
              <w:tc>
                <w:tcPr>
                  <w:tcW w:w="876" w:type="dxa"/>
                  <w:noWrap w:val="0"/>
                  <w:vAlign w:val="center"/>
                </w:tcPr>
                <w:p w14:paraId="0EACA649">
                  <w:pPr>
                    <w:pStyle w:val="75"/>
                    <w:bidi w:val="0"/>
                    <w:jc w:val="both"/>
                    <w:rPr>
                      <w:rFonts w:hint="default"/>
                      <w:color w:val="auto"/>
                      <w:lang w:val="en-US" w:eastAsia="zh-CN"/>
                    </w:rPr>
                  </w:pPr>
                  <w:r>
                    <w:rPr>
                      <w:rFonts w:hint="eastAsia"/>
                      <w:color w:val="auto"/>
                      <w:lang w:val="en-US" w:eastAsia="zh-CN"/>
                    </w:rPr>
                    <w:t>相符</w:t>
                  </w:r>
                </w:p>
              </w:tc>
            </w:tr>
            <w:tr w14:paraId="6E6E7A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restart"/>
                  <w:noWrap w:val="0"/>
                  <w:textDirection w:val="tbLrV"/>
                  <w:vAlign w:val="center"/>
                </w:tcPr>
                <w:p w14:paraId="4DC1A5FA">
                  <w:pPr>
                    <w:pStyle w:val="75"/>
                    <w:bidi w:val="0"/>
                    <w:jc w:val="center"/>
                    <w:rPr>
                      <w:rFonts w:hint="default"/>
                      <w:color w:val="auto"/>
                    </w:rPr>
                  </w:pPr>
                  <w:r>
                    <w:rPr>
                      <w:rFonts w:hint="default"/>
                      <w:color w:val="auto"/>
                    </w:rPr>
                    <w:t>污染物排放管控</w:t>
                  </w:r>
                </w:p>
              </w:tc>
              <w:tc>
                <w:tcPr>
                  <w:tcW w:w="4130" w:type="dxa"/>
                  <w:noWrap w:val="0"/>
                  <w:vAlign w:val="center"/>
                </w:tcPr>
                <w:p w14:paraId="7424441A">
                  <w:pPr>
                    <w:pStyle w:val="75"/>
                    <w:bidi w:val="0"/>
                    <w:jc w:val="both"/>
                    <w:rPr>
                      <w:rFonts w:hint="default"/>
                      <w:color w:val="auto"/>
                    </w:rPr>
                  </w:pPr>
                  <w:r>
                    <w:rPr>
                      <w:rFonts w:hint="default"/>
                      <w:color w:val="auto"/>
                    </w:rPr>
                    <w:t>1、新、改、扩建项目主要污染物排放要求满足当地总量减排要求。</w:t>
                  </w:r>
                </w:p>
              </w:tc>
              <w:tc>
                <w:tcPr>
                  <w:tcW w:w="2273" w:type="dxa"/>
                  <w:noWrap w:val="0"/>
                  <w:vAlign w:val="center"/>
                </w:tcPr>
                <w:p w14:paraId="65E8C737">
                  <w:pPr>
                    <w:pStyle w:val="75"/>
                    <w:bidi w:val="0"/>
                    <w:jc w:val="both"/>
                    <w:rPr>
                      <w:rFonts w:hint="default"/>
                      <w:b w:val="0"/>
                      <w:bCs w:val="0"/>
                      <w:color w:val="auto"/>
                      <w:u w:val="none"/>
                    </w:rPr>
                  </w:pPr>
                  <w:r>
                    <w:rPr>
                      <w:rFonts w:hint="default"/>
                      <w:b w:val="0"/>
                      <w:bCs w:val="0"/>
                      <w:color w:val="auto"/>
                      <w:u w:val="none"/>
                      <w:lang w:val="en-US" w:eastAsia="zh-CN"/>
                    </w:rPr>
                    <w:t>1、</w:t>
                  </w:r>
                  <w:r>
                    <w:rPr>
                      <w:rFonts w:hint="eastAsia"/>
                      <w:b w:val="0"/>
                      <w:bCs w:val="0"/>
                      <w:color w:val="auto"/>
                      <w:szCs w:val="24"/>
                      <w:u w:val="none"/>
                      <w:lang w:eastAsia="zh-CN"/>
                    </w:rPr>
                    <w:t>本项目采用酸洗磷化后弹簧钢盘圆，表面无油污，在拉拔过程中添加拉丝粉</w:t>
                  </w:r>
                  <w:r>
                    <w:rPr>
                      <w:rFonts w:hint="eastAsia"/>
                      <w:b w:val="0"/>
                      <w:bCs w:val="0"/>
                      <w:color w:val="auto"/>
                      <w:szCs w:val="24"/>
                      <w:u w:val="none"/>
                      <w:lang w:val="en-US" w:eastAsia="zh-CN"/>
                    </w:rPr>
                    <w:t>0.03t/a</w:t>
                  </w:r>
                  <w:r>
                    <w:rPr>
                      <w:rFonts w:hint="eastAsia"/>
                      <w:b w:val="0"/>
                      <w:bCs w:val="0"/>
                      <w:color w:val="auto"/>
                      <w:szCs w:val="24"/>
                      <w:u w:val="none"/>
                      <w:lang w:eastAsia="zh-CN"/>
                    </w:rPr>
                    <w:t>，主要成分为硬脂酸钙与氢氧化钙，每次取少量拉丝粉至密闭容器，颗粒物排放量极少，可以忽略不计；在热处理时拉丝粉分解成</w:t>
                  </w:r>
                  <w:r>
                    <w:rPr>
                      <w:rFonts w:hint="eastAsia"/>
                      <w:b w:val="0"/>
                      <w:bCs w:val="0"/>
                      <w:color w:val="auto"/>
                      <w:szCs w:val="24"/>
                      <w:u w:val="none"/>
                      <w:lang w:val="en-US" w:eastAsia="zh-CN"/>
                    </w:rPr>
                    <w:t>CaO、CO</w:t>
                  </w:r>
                  <w:r>
                    <w:rPr>
                      <w:rFonts w:hint="eastAsia"/>
                      <w:b w:val="0"/>
                      <w:bCs w:val="0"/>
                      <w:color w:val="auto"/>
                      <w:szCs w:val="24"/>
                      <w:u w:val="none"/>
                      <w:vertAlign w:val="subscript"/>
                      <w:lang w:val="en-US" w:eastAsia="zh-CN"/>
                    </w:rPr>
                    <w:t>2</w:t>
                  </w:r>
                  <w:r>
                    <w:rPr>
                      <w:rFonts w:hint="eastAsia"/>
                      <w:b w:val="0"/>
                      <w:bCs w:val="0"/>
                      <w:color w:val="auto"/>
                      <w:szCs w:val="24"/>
                      <w:u w:val="none"/>
                      <w:vertAlign w:val="baseline"/>
                      <w:lang w:val="en-US" w:eastAsia="zh-CN"/>
                    </w:rPr>
                    <w:t>与水蒸气，</w:t>
                  </w:r>
                  <w:r>
                    <w:rPr>
                      <w:rFonts w:hint="eastAsia"/>
                      <w:b w:val="0"/>
                      <w:bCs w:val="0"/>
                      <w:color w:val="auto"/>
                      <w:szCs w:val="24"/>
                      <w:u w:val="none"/>
                      <w:lang w:eastAsia="zh-CN"/>
                    </w:rPr>
                    <w:t>无</w:t>
                  </w:r>
                  <w:r>
                    <w:rPr>
                      <w:rFonts w:hint="eastAsia"/>
                      <w:b w:val="0"/>
                      <w:bCs w:val="0"/>
                      <w:color w:val="auto"/>
                      <w:u w:val="none"/>
                      <w:lang w:val="en-US" w:eastAsia="zh-CN"/>
                    </w:rPr>
                    <w:t>废气产生</w:t>
                  </w:r>
                  <w:r>
                    <w:rPr>
                      <w:rFonts w:hint="default"/>
                      <w:b w:val="0"/>
                      <w:bCs w:val="0"/>
                      <w:color w:val="auto"/>
                      <w:u w:val="none"/>
                      <w:lang w:val="en-US" w:eastAsia="zh-CN"/>
                    </w:rPr>
                    <w:t>；新增废水</w:t>
                  </w:r>
                  <w:r>
                    <w:rPr>
                      <w:rFonts w:hint="eastAsia"/>
                      <w:b w:val="0"/>
                      <w:bCs w:val="0"/>
                      <w:color w:val="auto"/>
                      <w:u w:val="none"/>
                      <w:lang w:val="en-US" w:eastAsia="zh-CN"/>
                    </w:rPr>
                    <w:t>不</w:t>
                  </w:r>
                  <w:r>
                    <w:rPr>
                      <w:rFonts w:hint="default"/>
                      <w:b w:val="0"/>
                      <w:bCs w:val="0"/>
                      <w:color w:val="auto"/>
                      <w:u w:val="none"/>
                      <w:lang w:val="en-US" w:eastAsia="zh-CN"/>
                    </w:rPr>
                    <w:t>排放。</w:t>
                  </w:r>
                </w:p>
              </w:tc>
              <w:tc>
                <w:tcPr>
                  <w:tcW w:w="876" w:type="dxa"/>
                  <w:noWrap w:val="0"/>
                  <w:vAlign w:val="center"/>
                </w:tcPr>
                <w:p w14:paraId="442DD80E">
                  <w:pPr>
                    <w:pStyle w:val="75"/>
                    <w:bidi w:val="0"/>
                    <w:jc w:val="both"/>
                    <w:rPr>
                      <w:rFonts w:hint="default"/>
                      <w:color w:val="auto"/>
                    </w:rPr>
                  </w:pPr>
                  <w:r>
                    <w:rPr>
                      <w:rFonts w:hint="eastAsia"/>
                      <w:color w:val="auto"/>
                      <w:lang w:val="en-US" w:eastAsia="zh-CN"/>
                    </w:rPr>
                    <w:t>不涉及</w:t>
                  </w:r>
                </w:p>
              </w:tc>
            </w:tr>
            <w:tr w14:paraId="5A6F71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0D148D43">
                  <w:pPr>
                    <w:pStyle w:val="75"/>
                    <w:bidi w:val="0"/>
                    <w:jc w:val="center"/>
                    <w:rPr>
                      <w:rFonts w:hint="default"/>
                      <w:color w:val="auto"/>
                    </w:rPr>
                  </w:pPr>
                </w:p>
              </w:tc>
              <w:tc>
                <w:tcPr>
                  <w:tcW w:w="4130" w:type="dxa"/>
                  <w:noWrap w:val="0"/>
                  <w:vAlign w:val="center"/>
                </w:tcPr>
                <w:p w14:paraId="65BD8AC3">
                  <w:pPr>
                    <w:pStyle w:val="75"/>
                    <w:bidi w:val="0"/>
                    <w:jc w:val="both"/>
                    <w:rPr>
                      <w:rFonts w:hint="default"/>
                      <w:color w:val="auto"/>
                    </w:rPr>
                  </w:pPr>
                  <w:r>
                    <w:rPr>
                      <w:rFonts w:hint="default"/>
                      <w:color w:val="auto"/>
                    </w:rPr>
                    <w:t>2、到2025年，PM2.5浓度总体下降27%以上，低于45微克/立方米；优良天数65%以上；重污染天数2.2%以下。完成国家、省定的</w:t>
                  </w:r>
                  <w:r>
                    <w:rPr>
                      <w:rFonts w:hint="default"/>
                      <w:color w:val="auto"/>
                      <w:lang w:eastAsia="zh-CN"/>
                    </w:rPr>
                    <w:t>“</w:t>
                  </w:r>
                  <w:r>
                    <w:rPr>
                      <w:rFonts w:hint="default"/>
                      <w:color w:val="auto"/>
                    </w:rPr>
                    <w:t>十四五</w:t>
                  </w:r>
                  <w:r>
                    <w:rPr>
                      <w:rFonts w:hint="default"/>
                      <w:color w:val="auto"/>
                      <w:lang w:eastAsia="zh-CN"/>
                    </w:rPr>
                    <w:t>”</w:t>
                  </w:r>
                  <w:r>
                    <w:rPr>
                      <w:rFonts w:hint="default"/>
                      <w:color w:val="auto"/>
                    </w:rPr>
                    <w:t>地表水环境质量和饮用水水质目标，南水北调中线一期工程总干渠安阳辖区取水水质稳定达到Ⅱ类。全市土壤环境质量总体保持稳定，土壤环境风险得到管控，土壤污染防治体系基本完善。土壤安全利用进一步巩固提升，受污染耕地安全利用率实现95%以上，重点建设用地安全利用有效保障。</w:t>
                  </w:r>
                </w:p>
              </w:tc>
              <w:tc>
                <w:tcPr>
                  <w:tcW w:w="2273" w:type="dxa"/>
                  <w:noWrap w:val="0"/>
                  <w:vAlign w:val="center"/>
                </w:tcPr>
                <w:p w14:paraId="36FD5B36">
                  <w:pPr>
                    <w:pStyle w:val="75"/>
                    <w:bidi w:val="0"/>
                    <w:jc w:val="both"/>
                    <w:rPr>
                      <w:rFonts w:hint="default"/>
                      <w:b w:val="0"/>
                      <w:bCs w:val="0"/>
                      <w:color w:val="auto"/>
                      <w:u w:val="none"/>
                    </w:rPr>
                  </w:pPr>
                  <w:r>
                    <w:rPr>
                      <w:rFonts w:hint="default"/>
                      <w:b w:val="0"/>
                      <w:bCs w:val="0"/>
                      <w:color w:val="auto"/>
                      <w:u w:val="none"/>
                      <w:lang w:val="en-US" w:eastAsia="zh-CN"/>
                    </w:rPr>
                    <w:t>2、</w:t>
                  </w:r>
                  <w:r>
                    <w:rPr>
                      <w:rFonts w:hint="eastAsia"/>
                      <w:b w:val="0"/>
                      <w:bCs w:val="0"/>
                      <w:color w:val="auto"/>
                      <w:szCs w:val="24"/>
                      <w:u w:val="none"/>
                      <w:lang w:eastAsia="zh-CN"/>
                    </w:rPr>
                    <w:t>本项目采用酸洗磷化后弹簧钢盘圆，表面无油污，在拉拔时添加拉丝粉</w:t>
                  </w:r>
                  <w:r>
                    <w:rPr>
                      <w:rFonts w:hint="eastAsia"/>
                      <w:b w:val="0"/>
                      <w:bCs w:val="0"/>
                      <w:color w:val="auto"/>
                      <w:szCs w:val="24"/>
                      <w:u w:val="none"/>
                      <w:lang w:val="en-US" w:eastAsia="zh-CN"/>
                    </w:rPr>
                    <w:t>0.03t/a</w:t>
                  </w:r>
                  <w:r>
                    <w:rPr>
                      <w:rFonts w:hint="eastAsia"/>
                      <w:b w:val="0"/>
                      <w:bCs w:val="0"/>
                      <w:color w:val="auto"/>
                      <w:szCs w:val="24"/>
                      <w:u w:val="none"/>
                      <w:lang w:eastAsia="zh-CN"/>
                    </w:rPr>
                    <w:t>，主要成分为硬脂酸钙与氢氧化钙，每次取少量拉丝粉至密闭容器，颗粒物排放量极少，可以忽略不计；在热处理过程中拉丝粉分解成</w:t>
                  </w:r>
                  <w:r>
                    <w:rPr>
                      <w:rFonts w:hint="eastAsia"/>
                      <w:b w:val="0"/>
                      <w:bCs w:val="0"/>
                      <w:color w:val="auto"/>
                      <w:szCs w:val="24"/>
                      <w:u w:val="none"/>
                      <w:lang w:val="en-US" w:eastAsia="zh-CN"/>
                    </w:rPr>
                    <w:t>CaO、CO</w:t>
                  </w:r>
                  <w:r>
                    <w:rPr>
                      <w:rFonts w:hint="eastAsia"/>
                      <w:b w:val="0"/>
                      <w:bCs w:val="0"/>
                      <w:color w:val="auto"/>
                      <w:szCs w:val="24"/>
                      <w:u w:val="none"/>
                      <w:vertAlign w:val="subscript"/>
                      <w:lang w:val="en-US" w:eastAsia="zh-CN"/>
                    </w:rPr>
                    <w:t>2</w:t>
                  </w:r>
                  <w:r>
                    <w:rPr>
                      <w:rFonts w:hint="eastAsia"/>
                      <w:b w:val="0"/>
                      <w:bCs w:val="0"/>
                      <w:color w:val="auto"/>
                      <w:szCs w:val="24"/>
                      <w:u w:val="none"/>
                      <w:vertAlign w:val="baseline"/>
                      <w:lang w:val="en-US" w:eastAsia="zh-CN"/>
                    </w:rPr>
                    <w:t>与水蒸气，</w:t>
                  </w:r>
                  <w:r>
                    <w:rPr>
                      <w:rFonts w:hint="eastAsia"/>
                      <w:b w:val="0"/>
                      <w:bCs w:val="0"/>
                      <w:color w:val="auto"/>
                      <w:szCs w:val="24"/>
                      <w:u w:val="none"/>
                      <w:lang w:eastAsia="zh-CN"/>
                    </w:rPr>
                    <w:t>无</w:t>
                  </w:r>
                  <w:r>
                    <w:rPr>
                      <w:rFonts w:hint="eastAsia"/>
                      <w:b w:val="0"/>
                      <w:bCs w:val="0"/>
                      <w:color w:val="auto"/>
                      <w:u w:val="none"/>
                      <w:lang w:val="en-US" w:eastAsia="zh-CN"/>
                    </w:rPr>
                    <w:t>废气产生</w:t>
                  </w:r>
                  <w:r>
                    <w:rPr>
                      <w:rFonts w:hint="default"/>
                      <w:b w:val="0"/>
                      <w:bCs w:val="0"/>
                      <w:color w:val="auto"/>
                      <w:u w:val="none"/>
                      <w:lang w:val="en-US" w:eastAsia="zh-CN"/>
                    </w:rPr>
                    <w:t>。本项目厂区地面硬化，减少对厂区土壤环境污染，不会对全市土壤环境质量总体保持稳定的目标造成影响。</w:t>
                  </w:r>
                </w:p>
              </w:tc>
              <w:tc>
                <w:tcPr>
                  <w:tcW w:w="876" w:type="dxa"/>
                  <w:noWrap w:val="0"/>
                  <w:vAlign w:val="center"/>
                </w:tcPr>
                <w:p w14:paraId="23503DAE">
                  <w:pPr>
                    <w:pStyle w:val="75"/>
                    <w:bidi w:val="0"/>
                    <w:jc w:val="both"/>
                    <w:rPr>
                      <w:rFonts w:hint="default"/>
                      <w:color w:val="auto"/>
                    </w:rPr>
                  </w:pPr>
                  <w:r>
                    <w:rPr>
                      <w:rFonts w:hint="default"/>
                      <w:color w:val="auto"/>
                      <w:lang w:val="en-US" w:eastAsia="zh-CN"/>
                    </w:rPr>
                    <w:t>相符</w:t>
                  </w:r>
                </w:p>
              </w:tc>
            </w:tr>
            <w:tr w14:paraId="2DBEEB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530128CE">
                  <w:pPr>
                    <w:pStyle w:val="75"/>
                    <w:bidi w:val="0"/>
                    <w:jc w:val="center"/>
                    <w:rPr>
                      <w:rFonts w:hint="default"/>
                      <w:color w:val="auto"/>
                    </w:rPr>
                  </w:pPr>
                </w:p>
              </w:tc>
              <w:tc>
                <w:tcPr>
                  <w:tcW w:w="4130" w:type="dxa"/>
                  <w:noWrap w:val="0"/>
                  <w:vAlign w:val="center"/>
                </w:tcPr>
                <w:p w14:paraId="05610000">
                  <w:pPr>
                    <w:pStyle w:val="75"/>
                    <w:bidi w:val="0"/>
                    <w:jc w:val="both"/>
                    <w:rPr>
                      <w:rFonts w:hint="default"/>
                      <w:color w:val="auto"/>
                    </w:rPr>
                  </w:pPr>
                  <w:r>
                    <w:rPr>
                      <w:rFonts w:hint="default"/>
                      <w:color w:val="auto"/>
                    </w:rPr>
                    <w:t>3、鼓励现有钢铁、焦化、水泥、铁合金、铸造等重点行业及“两高”行业污染治理水平达到A级企业或引领性企业水平，其他行业污染治理水平达到B级企业水平；新建、扩建项目污染物排放限值、污染治理措施、无组织排放控制水平、运输方式等达到A级绩效水平，改建项目污染物排放限值、污染治理措施、无组织排放控制水平、运输方式等达到B级以上绩效水平。新建及迁建煤炭、矿石、焦炭等大宗货物年运量150万吨以上的物流园区、工矿企业，原则上接入铁路专用线或管道。火电、钢铁、石化、化工、煤炭、焦化、有色等行业大宗货物清洁运输比例达到80%以上。重点区域鼓励高炉—转炉长流程钢铁企业转型为电炉短流程企业。</w:t>
                  </w:r>
                </w:p>
              </w:tc>
              <w:tc>
                <w:tcPr>
                  <w:tcW w:w="2273" w:type="dxa"/>
                  <w:noWrap w:val="0"/>
                  <w:vAlign w:val="center"/>
                </w:tcPr>
                <w:p w14:paraId="5DEB1E62">
                  <w:pPr>
                    <w:pStyle w:val="75"/>
                    <w:bidi w:val="0"/>
                    <w:jc w:val="both"/>
                    <w:rPr>
                      <w:rFonts w:hint="default"/>
                      <w:color w:val="auto"/>
                    </w:rPr>
                  </w:pPr>
                  <w:r>
                    <w:rPr>
                      <w:rFonts w:hint="default"/>
                      <w:color w:val="auto"/>
                      <w:highlight w:val="none"/>
                      <w:lang w:val="en-US" w:eastAsia="zh-CN"/>
                    </w:rPr>
                    <w:t>3、</w:t>
                  </w:r>
                  <w:r>
                    <w:rPr>
                      <w:rFonts w:hint="eastAsia"/>
                      <w:color w:val="auto"/>
                      <w:highlight w:val="none"/>
                      <w:lang w:val="en-US" w:eastAsia="zh-CN"/>
                    </w:rPr>
                    <w:t>本项目属于扩建项目，无废气产生、冷却水循环使用不外排、运输方式达到A级绩效水平。</w:t>
                  </w:r>
                </w:p>
              </w:tc>
              <w:tc>
                <w:tcPr>
                  <w:tcW w:w="876" w:type="dxa"/>
                  <w:noWrap w:val="0"/>
                  <w:vAlign w:val="center"/>
                </w:tcPr>
                <w:p w14:paraId="3B0A95CE">
                  <w:pPr>
                    <w:pStyle w:val="75"/>
                    <w:bidi w:val="0"/>
                    <w:jc w:val="both"/>
                    <w:rPr>
                      <w:rFonts w:hint="default"/>
                      <w:color w:val="auto"/>
                      <w:lang w:eastAsia="zh-CN"/>
                    </w:rPr>
                  </w:pPr>
                  <w:r>
                    <w:rPr>
                      <w:rFonts w:hint="eastAsia"/>
                      <w:color w:val="auto"/>
                      <w:lang w:val="en-US" w:eastAsia="zh-CN"/>
                    </w:rPr>
                    <w:t>/</w:t>
                  </w:r>
                </w:p>
              </w:tc>
            </w:tr>
            <w:tr w14:paraId="38174F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0A4FBB85">
                  <w:pPr>
                    <w:pStyle w:val="75"/>
                    <w:bidi w:val="0"/>
                    <w:jc w:val="center"/>
                    <w:rPr>
                      <w:rFonts w:hint="default"/>
                      <w:color w:val="auto"/>
                    </w:rPr>
                  </w:pPr>
                </w:p>
              </w:tc>
              <w:tc>
                <w:tcPr>
                  <w:tcW w:w="4130" w:type="dxa"/>
                  <w:noWrap w:val="0"/>
                  <w:vAlign w:val="center"/>
                </w:tcPr>
                <w:p w14:paraId="616FA2C3">
                  <w:pPr>
                    <w:pStyle w:val="75"/>
                    <w:bidi w:val="0"/>
                    <w:jc w:val="both"/>
                    <w:rPr>
                      <w:rFonts w:hint="default"/>
                      <w:color w:val="auto"/>
                      <w:lang w:val="en-US" w:eastAsia="zh-CN"/>
                    </w:rPr>
                  </w:pPr>
                  <w:r>
                    <w:rPr>
                      <w:rFonts w:hint="default"/>
                      <w:color w:val="auto"/>
                      <w:lang w:val="en-US" w:eastAsia="zh-CN"/>
                    </w:rPr>
                    <w:t>4、医药、化工、橡胶、包装印刷、家具、金属表面涂装、合成革、制鞋等涉VOCs行业应采取密闭式作业，根据不同行业VOCs排放浓度、成分，选择燃烧、吸附、生物法、冷凝等针对性强、治理效果明显的处理技术或多种技术的组合工艺，提高VOCs治理效率；VOCs物料储存、转移和输送、工艺过程、设备与管线组件VOCs泄漏控制、敞开液面VOCs无组织排放控制，以及VOCs无组织排放废气收集处理系统和企业厂区内及周边污染监控应满足《挥发性有机物无组织排放控制标准（GB37822——2019）》相关要求。</w:t>
                  </w:r>
                </w:p>
              </w:tc>
              <w:tc>
                <w:tcPr>
                  <w:tcW w:w="2273" w:type="dxa"/>
                  <w:noWrap w:val="0"/>
                  <w:vAlign w:val="center"/>
                </w:tcPr>
                <w:p w14:paraId="0011B8E1">
                  <w:pPr>
                    <w:pStyle w:val="75"/>
                    <w:bidi w:val="0"/>
                    <w:jc w:val="both"/>
                    <w:rPr>
                      <w:rFonts w:hint="default"/>
                      <w:b w:val="0"/>
                      <w:bCs w:val="0"/>
                      <w:color w:val="auto"/>
                      <w:u w:val="none"/>
                      <w:lang w:val="en-US"/>
                    </w:rPr>
                  </w:pPr>
                  <w:r>
                    <w:rPr>
                      <w:rFonts w:hint="default"/>
                      <w:b w:val="0"/>
                      <w:bCs w:val="0"/>
                      <w:color w:val="auto"/>
                      <w:u w:val="none"/>
                      <w:lang w:val="en-US" w:eastAsia="zh-CN"/>
                    </w:rPr>
                    <w:t>4、</w:t>
                  </w:r>
                  <w:r>
                    <w:rPr>
                      <w:rFonts w:hint="eastAsia"/>
                      <w:b w:val="0"/>
                      <w:bCs w:val="0"/>
                      <w:color w:val="auto"/>
                      <w:szCs w:val="24"/>
                      <w:u w:val="none"/>
                      <w:lang w:eastAsia="zh-CN"/>
                    </w:rPr>
                    <w:t>本项目采用酸洗磷化后弹簧钢盘圆，表面无油污，拉拔使用的拉丝粉主要成分为硬脂酸钙与氢氧化钙，在热处理过程中拉丝粉分解成</w:t>
                  </w:r>
                  <w:r>
                    <w:rPr>
                      <w:rFonts w:hint="eastAsia"/>
                      <w:b w:val="0"/>
                      <w:bCs w:val="0"/>
                      <w:color w:val="auto"/>
                      <w:szCs w:val="24"/>
                      <w:u w:val="none"/>
                      <w:lang w:val="en-US" w:eastAsia="zh-CN"/>
                    </w:rPr>
                    <w:t>CaO、CO</w:t>
                  </w:r>
                  <w:r>
                    <w:rPr>
                      <w:rFonts w:hint="eastAsia"/>
                      <w:b w:val="0"/>
                      <w:bCs w:val="0"/>
                      <w:color w:val="auto"/>
                      <w:szCs w:val="24"/>
                      <w:u w:val="none"/>
                      <w:vertAlign w:val="subscript"/>
                      <w:lang w:val="en-US" w:eastAsia="zh-CN"/>
                    </w:rPr>
                    <w:t>2</w:t>
                  </w:r>
                  <w:r>
                    <w:rPr>
                      <w:rFonts w:hint="eastAsia"/>
                      <w:b w:val="0"/>
                      <w:bCs w:val="0"/>
                      <w:color w:val="auto"/>
                      <w:szCs w:val="24"/>
                      <w:u w:val="none"/>
                      <w:vertAlign w:val="baseline"/>
                      <w:lang w:val="en-US" w:eastAsia="zh-CN"/>
                    </w:rPr>
                    <w:t>与水蒸气，</w:t>
                  </w:r>
                  <w:r>
                    <w:rPr>
                      <w:rFonts w:hint="eastAsia"/>
                      <w:b w:val="0"/>
                      <w:bCs w:val="0"/>
                      <w:color w:val="auto"/>
                      <w:szCs w:val="24"/>
                      <w:u w:val="none"/>
                      <w:lang w:eastAsia="zh-CN"/>
                    </w:rPr>
                    <w:t>无</w:t>
                  </w:r>
                  <w:r>
                    <w:rPr>
                      <w:rFonts w:hint="eastAsia"/>
                      <w:b w:val="0"/>
                      <w:bCs w:val="0"/>
                      <w:color w:val="auto"/>
                      <w:szCs w:val="24"/>
                      <w:u w:val="none"/>
                      <w:lang w:val="en-US" w:eastAsia="zh-CN"/>
                    </w:rPr>
                    <w:t>VOCs产生。</w:t>
                  </w:r>
                </w:p>
              </w:tc>
              <w:tc>
                <w:tcPr>
                  <w:tcW w:w="876" w:type="dxa"/>
                  <w:noWrap w:val="0"/>
                  <w:vAlign w:val="center"/>
                </w:tcPr>
                <w:p w14:paraId="7D38445D">
                  <w:pPr>
                    <w:pStyle w:val="75"/>
                    <w:bidi w:val="0"/>
                    <w:jc w:val="both"/>
                    <w:rPr>
                      <w:rFonts w:hint="default"/>
                      <w:color w:val="auto"/>
                      <w:lang w:eastAsia="zh-CN"/>
                    </w:rPr>
                  </w:pPr>
                  <w:r>
                    <w:rPr>
                      <w:rFonts w:hint="eastAsia"/>
                      <w:color w:val="auto"/>
                      <w:lang w:val="en-US" w:eastAsia="zh-CN"/>
                    </w:rPr>
                    <w:t>/</w:t>
                  </w:r>
                </w:p>
              </w:tc>
            </w:tr>
            <w:tr w14:paraId="11B665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3F3E1D0A">
                  <w:pPr>
                    <w:pStyle w:val="75"/>
                    <w:bidi w:val="0"/>
                    <w:jc w:val="center"/>
                    <w:rPr>
                      <w:rFonts w:hint="default"/>
                      <w:color w:val="auto"/>
                    </w:rPr>
                  </w:pPr>
                </w:p>
              </w:tc>
              <w:tc>
                <w:tcPr>
                  <w:tcW w:w="4130" w:type="dxa"/>
                  <w:noWrap w:val="0"/>
                  <w:vAlign w:val="center"/>
                </w:tcPr>
                <w:p w14:paraId="1B674585">
                  <w:pPr>
                    <w:pStyle w:val="75"/>
                    <w:bidi w:val="0"/>
                    <w:jc w:val="both"/>
                    <w:rPr>
                      <w:rFonts w:hint="default"/>
                      <w:color w:val="auto"/>
                      <w:lang w:val="en-US" w:eastAsia="zh-CN"/>
                    </w:rPr>
                  </w:pPr>
                  <w:r>
                    <w:rPr>
                      <w:rFonts w:hint="default"/>
                      <w:color w:val="auto"/>
                      <w:lang w:val="en-US" w:eastAsia="zh-CN"/>
                    </w:rPr>
                    <w:t>5、向污水集中处理设施排放工业废水的，应当按照国家有关规定进行预处理，达到集中处理设施处理工艺要求后方可排放。</w:t>
                  </w:r>
                </w:p>
              </w:tc>
              <w:tc>
                <w:tcPr>
                  <w:tcW w:w="2273" w:type="dxa"/>
                  <w:noWrap w:val="0"/>
                  <w:vAlign w:val="center"/>
                </w:tcPr>
                <w:p w14:paraId="0910C312">
                  <w:pPr>
                    <w:pStyle w:val="75"/>
                    <w:bidi w:val="0"/>
                    <w:jc w:val="both"/>
                    <w:rPr>
                      <w:rFonts w:hint="default"/>
                      <w:b w:val="0"/>
                      <w:bCs w:val="0"/>
                      <w:color w:val="auto"/>
                      <w:u w:val="none"/>
                    </w:rPr>
                  </w:pPr>
                  <w:r>
                    <w:rPr>
                      <w:rFonts w:hint="default"/>
                      <w:b w:val="0"/>
                      <w:bCs w:val="0"/>
                      <w:color w:val="auto"/>
                      <w:u w:val="none"/>
                      <w:lang w:val="en-US" w:eastAsia="zh-CN"/>
                    </w:rPr>
                    <w:t>5、本项目</w:t>
                  </w:r>
                  <w:r>
                    <w:rPr>
                      <w:rFonts w:hint="eastAsia"/>
                      <w:b w:val="0"/>
                      <w:bCs w:val="0"/>
                      <w:color w:val="auto"/>
                      <w:u w:val="none"/>
                      <w:lang w:val="en-US" w:eastAsia="zh-CN"/>
                    </w:rPr>
                    <w:t>不新增生活污水，生产废水不外排。</w:t>
                  </w:r>
                </w:p>
              </w:tc>
              <w:tc>
                <w:tcPr>
                  <w:tcW w:w="876" w:type="dxa"/>
                  <w:noWrap w:val="0"/>
                  <w:vAlign w:val="center"/>
                </w:tcPr>
                <w:p w14:paraId="6F3D3547">
                  <w:pPr>
                    <w:pStyle w:val="75"/>
                    <w:bidi w:val="0"/>
                    <w:jc w:val="both"/>
                    <w:rPr>
                      <w:rFonts w:hint="default"/>
                      <w:color w:val="auto"/>
                      <w:lang w:eastAsia="zh-CN"/>
                    </w:rPr>
                  </w:pPr>
                  <w:r>
                    <w:rPr>
                      <w:rFonts w:hint="eastAsia"/>
                      <w:color w:val="auto"/>
                      <w:lang w:eastAsia="zh-CN"/>
                    </w:rPr>
                    <w:t>不涉及</w:t>
                  </w:r>
                </w:p>
              </w:tc>
            </w:tr>
            <w:tr w14:paraId="37D304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1A313F63">
                  <w:pPr>
                    <w:pStyle w:val="75"/>
                    <w:bidi w:val="0"/>
                    <w:jc w:val="center"/>
                    <w:rPr>
                      <w:rFonts w:hint="default"/>
                      <w:color w:val="auto"/>
                    </w:rPr>
                  </w:pPr>
                </w:p>
              </w:tc>
              <w:tc>
                <w:tcPr>
                  <w:tcW w:w="4130" w:type="dxa"/>
                  <w:noWrap w:val="0"/>
                  <w:vAlign w:val="center"/>
                </w:tcPr>
                <w:p w14:paraId="56F23843">
                  <w:pPr>
                    <w:pStyle w:val="75"/>
                    <w:bidi w:val="0"/>
                    <w:jc w:val="both"/>
                    <w:rPr>
                      <w:rFonts w:hint="default"/>
                      <w:color w:val="auto"/>
                      <w:lang w:val="en-US" w:eastAsia="zh-CN"/>
                    </w:rPr>
                  </w:pPr>
                  <w:r>
                    <w:rPr>
                      <w:rFonts w:hint="default"/>
                      <w:color w:val="auto"/>
                      <w:lang w:val="en-US" w:eastAsia="zh-CN"/>
                    </w:rPr>
                    <w:t>6、鼓励和支持无汞催化剂和工艺、限制或禁止的持久性有机污染物替代品和技术。</w:t>
                  </w:r>
                </w:p>
              </w:tc>
              <w:tc>
                <w:tcPr>
                  <w:tcW w:w="2273" w:type="dxa"/>
                  <w:noWrap w:val="0"/>
                  <w:vAlign w:val="center"/>
                </w:tcPr>
                <w:p w14:paraId="6F9ACAF5">
                  <w:pPr>
                    <w:pStyle w:val="75"/>
                    <w:bidi w:val="0"/>
                    <w:jc w:val="both"/>
                    <w:rPr>
                      <w:rFonts w:hint="default"/>
                      <w:b w:val="0"/>
                      <w:bCs w:val="0"/>
                      <w:color w:val="auto"/>
                      <w:u w:val="none"/>
                    </w:rPr>
                  </w:pPr>
                  <w:r>
                    <w:rPr>
                      <w:rFonts w:hint="default"/>
                      <w:b w:val="0"/>
                      <w:bCs w:val="0"/>
                      <w:color w:val="auto"/>
                      <w:u w:val="none"/>
                      <w:lang w:val="en-US" w:eastAsia="zh-CN"/>
                    </w:rPr>
                    <w:t>6、本项目不涉及。</w:t>
                  </w:r>
                </w:p>
              </w:tc>
              <w:tc>
                <w:tcPr>
                  <w:tcW w:w="876" w:type="dxa"/>
                  <w:noWrap w:val="0"/>
                  <w:vAlign w:val="center"/>
                </w:tcPr>
                <w:p w14:paraId="68ADB14A">
                  <w:pPr>
                    <w:pStyle w:val="75"/>
                    <w:bidi w:val="0"/>
                    <w:jc w:val="both"/>
                    <w:rPr>
                      <w:rFonts w:hint="default"/>
                      <w:color w:val="auto"/>
                      <w:lang w:eastAsia="zh-CN"/>
                    </w:rPr>
                  </w:pPr>
                  <w:r>
                    <w:rPr>
                      <w:rFonts w:hint="default"/>
                      <w:color w:val="auto"/>
                      <w:lang w:val="en-US" w:eastAsia="zh-CN"/>
                    </w:rPr>
                    <w:t>不涉及</w:t>
                  </w:r>
                </w:p>
              </w:tc>
            </w:tr>
            <w:tr w14:paraId="26B894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noWrap w:val="0"/>
                  <w:vAlign w:val="center"/>
                </w:tcPr>
                <w:p w14:paraId="29FD472E">
                  <w:pPr>
                    <w:pStyle w:val="75"/>
                    <w:bidi w:val="0"/>
                    <w:jc w:val="center"/>
                    <w:rPr>
                      <w:rFonts w:hint="default"/>
                      <w:color w:val="auto"/>
                    </w:rPr>
                  </w:pPr>
                  <w:r>
                    <w:rPr>
                      <w:rFonts w:hint="default"/>
                      <w:color w:val="auto"/>
                    </w:rPr>
                    <w:t>环境风险防控</w:t>
                  </w:r>
                </w:p>
              </w:tc>
              <w:tc>
                <w:tcPr>
                  <w:tcW w:w="4130" w:type="dxa"/>
                  <w:noWrap w:val="0"/>
                  <w:vAlign w:val="center"/>
                </w:tcPr>
                <w:p w14:paraId="5ACD2C85">
                  <w:pPr>
                    <w:pStyle w:val="75"/>
                    <w:bidi w:val="0"/>
                    <w:jc w:val="both"/>
                    <w:rPr>
                      <w:rFonts w:hint="default"/>
                      <w:color w:val="auto"/>
                    </w:rPr>
                  </w:pPr>
                  <w:r>
                    <w:rPr>
                      <w:rFonts w:hint="default"/>
                      <w:color w:val="auto"/>
                    </w:rPr>
                    <w:t>1、各级生态环境部门和其他负有生态环境监督管理职责的部门要加强对存在风险场所的日常环境监测，并对可能导致突发环境事件的风险信息加强收集、分析和研判。工业和信息化、公安、自然资源和规划、住房和城乡建设、交通运输、水利、农业农村、商务、卫生健康、应急、气象、地震等有关部门要按照职责分工，及时将可能导致突发环境事件的信息通报同级或事发地生态环境部门。企事业单位和其他生产经营者应当落实环境安全主体责任，定期排查环境安全隐患，开展环境风险评估和环境应急演练，健全风险防控措施。当出现可能导致突发环境事件的情况时，应当立即报告当地生态环境部门。</w:t>
                  </w:r>
                </w:p>
              </w:tc>
              <w:tc>
                <w:tcPr>
                  <w:tcW w:w="2273" w:type="dxa"/>
                  <w:noWrap w:val="0"/>
                  <w:vAlign w:val="center"/>
                </w:tcPr>
                <w:p w14:paraId="53AF312C">
                  <w:pPr>
                    <w:pStyle w:val="75"/>
                    <w:bidi w:val="0"/>
                    <w:jc w:val="both"/>
                    <w:rPr>
                      <w:rFonts w:hint="default"/>
                      <w:b w:val="0"/>
                      <w:bCs w:val="0"/>
                      <w:color w:val="auto"/>
                      <w:u w:val="none"/>
                    </w:rPr>
                  </w:pPr>
                  <w:r>
                    <w:rPr>
                      <w:rFonts w:hint="default"/>
                      <w:b w:val="0"/>
                      <w:bCs w:val="0"/>
                      <w:color w:val="auto"/>
                      <w:u w:val="none"/>
                      <w:lang w:val="en-US" w:eastAsia="zh-CN"/>
                    </w:rPr>
                    <w:t>1、</w:t>
                  </w:r>
                  <w:r>
                    <w:rPr>
                      <w:rFonts w:hint="eastAsia"/>
                      <w:b w:val="0"/>
                      <w:bCs w:val="0"/>
                      <w:color w:val="auto"/>
                      <w:u w:val="none"/>
                      <w:lang w:eastAsia="zh-CN"/>
                    </w:rPr>
                    <w:t>安阳双兴线材制品有限公司按照规定</w:t>
                  </w:r>
                  <w:r>
                    <w:rPr>
                      <w:rFonts w:hint="eastAsia"/>
                      <w:b w:val="0"/>
                      <w:bCs w:val="0"/>
                      <w:color w:val="auto"/>
                      <w:u w:val="none"/>
                    </w:rPr>
                    <w:t>落实环境安全主体责任，定期排查环境安全隐患，开展环境风险评估和环境应急演练，健全风险防控措施。当出现可能导致突发环境事件的情况时，</w:t>
                  </w:r>
                  <w:r>
                    <w:rPr>
                      <w:rFonts w:hint="eastAsia"/>
                      <w:b w:val="0"/>
                      <w:bCs w:val="0"/>
                      <w:color w:val="auto"/>
                      <w:u w:val="none"/>
                      <w:lang w:eastAsia="zh-CN"/>
                    </w:rPr>
                    <w:t>立即</w:t>
                  </w:r>
                  <w:r>
                    <w:rPr>
                      <w:rFonts w:hint="eastAsia"/>
                      <w:b w:val="0"/>
                      <w:bCs w:val="0"/>
                      <w:color w:val="auto"/>
                      <w:u w:val="none"/>
                    </w:rPr>
                    <w:t>报告当地生态环境部门</w:t>
                  </w:r>
                  <w:r>
                    <w:rPr>
                      <w:rFonts w:hint="default"/>
                      <w:b w:val="0"/>
                      <w:bCs w:val="0"/>
                      <w:color w:val="auto"/>
                      <w:u w:val="none"/>
                    </w:rPr>
                    <w:t>。</w:t>
                  </w:r>
                </w:p>
              </w:tc>
              <w:tc>
                <w:tcPr>
                  <w:tcW w:w="876" w:type="dxa"/>
                  <w:noWrap w:val="0"/>
                  <w:vAlign w:val="center"/>
                </w:tcPr>
                <w:p w14:paraId="7510416E">
                  <w:pPr>
                    <w:pStyle w:val="75"/>
                    <w:bidi w:val="0"/>
                    <w:jc w:val="both"/>
                    <w:rPr>
                      <w:rFonts w:hint="default"/>
                      <w:color w:val="auto"/>
                    </w:rPr>
                  </w:pPr>
                  <w:r>
                    <w:rPr>
                      <w:rFonts w:hint="default"/>
                      <w:color w:val="auto"/>
                      <w:lang w:val="en-US" w:eastAsia="zh-CN"/>
                    </w:rPr>
                    <w:t>相符</w:t>
                  </w:r>
                </w:p>
              </w:tc>
            </w:tr>
            <w:tr w14:paraId="5B2B40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restart"/>
                  <w:noWrap w:val="0"/>
                  <w:textDirection w:val="tbLrV"/>
                  <w:vAlign w:val="center"/>
                </w:tcPr>
                <w:p w14:paraId="0D151DA1">
                  <w:pPr>
                    <w:pStyle w:val="75"/>
                    <w:bidi w:val="0"/>
                    <w:jc w:val="center"/>
                    <w:rPr>
                      <w:rFonts w:hint="default"/>
                      <w:color w:val="auto"/>
                    </w:rPr>
                  </w:pPr>
                  <w:r>
                    <w:rPr>
                      <w:rFonts w:hint="default"/>
                      <w:color w:val="auto"/>
                    </w:rPr>
                    <w:t>资源开发效率要求</w:t>
                  </w:r>
                </w:p>
              </w:tc>
              <w:tc>
                <w:tcPr>
                  <w:tcW w:w="4130" w:type="dxa"/>
                  <w:noWrap w:val="0"/>
                  <w:vAlign w:val="center"/>
                </w:tcPr>
                <w:p w14:paraId="475BB905">
                  <w:pPr>
                    <w:pStyle w:val="75"/>
                    <w:bidi w:val="0"/>
                    <w:jc w:val="both"/>
                    <w:rPr>
                      <w:rFonts w:hint="default"/>
                      <w:color w:val="auto"/>
                    </w:rPr>
                  </w:pPr>
                  <w:r>
                    <w:rPr>
                      <w:rFonts w:hint="default"/>
                      <w:color w:val="auto"/>
                    </w:rPr>
                    <w:t>1、十四五期间，全市年用水总量控制完成国家、省、市下达目标要求。火电、钢铁、造纸、化工、食品、发酵等高耗水行业、推进企业串联用水、分质用水、一水多用和梯级循环利用，提升工业污水资源化利用效率。</w:t>
                  </w:r>
                </w:p>
              </w:tc>
              <w:tc>
                <w:tcPr>
                  <w:tcW w:w="2273" w:type="dxa"/>
                  <w:noWrap w:val="0"/>
                  <w:vAlign w:val="center"/>
                </w:tcPr>
                <w:p w14:paraId="76FABF87">
                  <w:pPr>
                    <w:pStyle w:val="75"/>
                    <w:bidi w:val="0"/>
                    <w:jc w:val="both"/>
                    <w:rPr>
                      <w:rFonts w:hint="default"/>
                      <w:color w:val="auto"/>
                    </w:rPr>
                  </w:pPr>
                  <w:r>
                    <w:rPr>
                      <w:rFonts w:hint="default"/>
                      <w:color w:val="auto"/>
                      <w:lang w:val="en-US" w:eastAsia="zh-CN"/>
                    </w:rPr>
                    <w:t>1、本项目不属</w:t>
                  </w:r>
                  <w:r>
                    <w:rPr>
                      <w:rFonts w:hint="eastAsia"/>
                      <w:color w:val="auto"/>
                      <w:lang w:val="en-US" w:eastAsia="zh-CN"/>
                    </w:rPr>
                    <w:t>于</w:t>
                  </w:r>
                  <w:r>
                    <w:rPr>
                      <w:rFonts w:hint="default"/>
                      <w:color w:val="auto"/>
                      <w:lang w:val="en-US" w:eastAsia="zh-CN"/>
                    </w:rPr>
                    <w:t>高耗水行业的建设内容，对全市年用水总量控制完成国家、省、市下达的目标要求无影响。</w:t>
                  </w:r>
                </w:p>
              </w:tc>
              <w:tc>
                <w:tcPr>
                  <w:tcW w:w="876" w:type="dxa"/>
                  <w:noWrap w:val="0"/>
                  <w:vAlign w:val="center"/>
                </w:tcPr>
                <w:p w14:paraId="3FC213BF">
                  <w:pPr>
                    <w:pStyle w:val="75"/>
                    <w:bidi w:val="0"/>
                    <w:jc w:val="both"/>
                    <w:rPr>
                      <w:rFonts w:hint="default"/>
                      <w:color w:val="auto"/>
                    </w:rPr>
                  </w:pPr>
                  <w:r>
                    <w:rPr>
                      <w:rFonts w:hint="eastAsia"/>
                      <w:color w:val="auto"/>
                      <w:lang w:val="en-US" w:eastAsia="zh-CN"/>
                    </w:rPr>
                    <w:t>不涉及</w:t>
                  </w:r>
                </w:p>
              </w:tc>
            </w:tr>
            <w:tr w14:paraId="2FD638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62D74613">
                  <w:pPr>
                    <w:pStyle w:val="75"/>
                    <w:bidi w:val="0"/>
                    <w:jc w:val="both"/>
                    <w:rPr>
                      <w:rFonts w:hint="default"/>
                      <w:color w:val="auto"/>
                    </w:rPr>
                  </w:pPr>
                </w:p>
              </w:tc>
              <w:tc>
                <w:tcPr>
                  <w:tcW w:w="4130" w:type="dxa"/>
                  <w:noWrap w:val="0"/>
                  <w:vAlign w:val="center"/>
                </w:tcPr>
                <w:p w14:paraId="74DC0B94">
                  <w:pPr>
                    <w:pStyle w:val="75"/>
                    <w:bidi w:val="0"/>
                    <w:jc w:val="both"/>
                    <w:rPr>
                      <w:rFonts w:hint="default"/>
                      <w:color w:val="auto"/>
                    </w:rPr>
                  </w:pPr>
                  <w:r>
                    <w:rPr>
                      <w:rFonts w:hint="default"/>
                      <w:color w:val="auto"/>
                    </w:rPr>
                    <w:t>2、实行严格的耕地保护制度和节约用地制度，提高土地资源利用效率，实现从扩张型发展向内涵式发展的转变。</w:t>
                  </w:r>
                </w:p>
              </w:tc>
              <w:tc>
                <w:tcPr>
                  <w:tcW w:w="2273" w:type="dxa"/>
                  <w:noWrap w:val="0"/>
                  <w:vAlign w:val="center"/>
                </w:tcPr>
                <w:p w14:paraId="4EB8A48A">
                  <w:pPr>
                    <w:pStyle w:val="75"/>
                    <w:bidi w:val="0"/>
                    <w:jc w:val="both"/>
                    <w:rPr>
                      <w:rFonts w:hint="default"/>
                      <w:color w:val="auto"/>
                    </w:rPr>
                  </w:pPr>
                  <w:r>
                    <w:rPr>
                      <w:rFonts w:hint="default"/>
                      <w:color w:val="auto"/>
                      <w:lang w:val="en-US" w:eastAsia="zh-CN"/>
                    </w:rPr>
                    <w:t>2、本项目在现有占地范围内建设，不新增用地。</w:t>
                  </w:r>
                </w:p>
              </w:tc>
              <w:tc>
                <w:tcPr>
                  <w:tcW w:w="876" w:type="dxa"/>
                  <w:noWrap w:val="0"/>
                  <w:vAlign w:val="center"/>
                </w:tcPr>
                <w:p w14:paraId="45C65BE1">
                  <w:pPr>
                    <w:pStyle w:val="75"/>
                    <w:bidi w:val="0"/>
                    <w:jc w:val="both"/>
                    <w:rPr>
                      <w:rFonts w:hint="default"/>
                      <w:color w:val="auto"/>
                    </w:rPr>
                  </w:pPr>
                  <w:r>
                    <w:rPr>
                      <w:rFonts w:hint="eastAsia"/>
                      <w:color w:val="auto"/>
                      <w:lang w:val="en-US" w:eastAsia="zh-CN"/>
                    </w:rPr>
                    <w:t>不涉及</w:t>
                  </w:r>
                </w:p>
              </w:tc>
            </w:tr>
            <w:tr w14:paraId="66F14C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783044CD">
                  <w:pPr>
                    <w:pStyle w:val="75"/>
                    <w:bidi w:val="0"/>
                    <w:jc w:val="both"/>
                    <w:rPr>
                      <w:rFonts w:hint="default"/>
                      <w:color w:val="auto"/>
                    </w:rPr>
                  </w:pPr>
                </w:p>
              </w:tc>
              <w:tc>
                <w:tcPr>
                  <w:tcW w:w="4130" w:type="dxa"/>
                  <w:noWrap w:val="0"/>
                  <w:vAlign w:val="center"/>
                </w:tcPr>
                <w:p w14:paraId="67A4E5BA">
                  <w:pPr>
                    <w:pStyle w:val="75"/>
                    <w:bidi w:val="0"/>
                    <w:jc w:val="both"/>
                    <w:rPr>
                      <w:rFonts w:hint="default"/>
                      <w:color w:val="auto"/>
                    </w:rPr>
                  </w:pPr>
                  <w:r>
                    <w:rPr>
                      <w:rFonts w:hint="default"/>
                      <w:color w:val="auto"/>
                      <w:lang w:val="en-US" w:eastAsia="zh-CN"/>
                    </w:rPr>
                    <w:t>3、积极推进“可再生能源+储能”示范项目建设；立足安阳产业基础优势，加快培育人工智能产业、氢能和储能产业和大数据融合创新产业；鼓励生物秸杆资源发电、风力发电、地热能开发用等项目建设，合理开发风能、地热能、煤层气等资源。</w:t>
                  </w:r>
                </w:p>
              </w:tc>
              <w:tc>
                <w:tcPr>
                  <w:tcW w:w="2273" w:type="dxa"/>
                  <w:noWrap w:val="0"/>
                  <w:vAlign w:val="center"/>
                </w:tcPr>
                <w:p w14:paraId="36CCE4E2">
                  <w:pPr>
                    <w:pStyle w:val="75"/>
                    <w:bidi w:val="0"/>
                    <w:jc w:val="both"/>
                    <w:rPr>
                      <w:rFonts w:hint="default"/>
                      <w:color w:val="auto"/>
                      <w:lang w:val="en-US" w:eastAsia="zh-CN"/>
                    </w:rPr>
                  </w:pPr>
                  <w:r>
                    <w:rPr>
                      <w:rFonts w:hint="default"/>
                      <w:color w:val="auto"/>
                      <w:lang w:val="en-US" w:eastAsia="zh-CN"/>
                    </w:rPr>
                    <w:t>3、本项目不涉及。</w:t>
                  </w:r>
                </w:p>
              </w:tc>
              <w:tc>
                <w:tcPr>
                  <w:tcW w:w="876" w:type="dxa"/>
                  <w:noWrap w:val="0"/>
                  <w:vAlign w:val="center"/>
                </w:tcPr>
                <w:p w14:paraId="5DD3C1DA">
                  <w:pPr>
                    <w:pStyle w:val="75"/>
                    <w:bidi w:val="0"/>
                    <w:jc w:val="both"/>
                    <w:rPr>
                      <w:rFonts w:hint="default"/>
                      <w:color w:val="auto"/>
                    </w:rPr>
                  </w:pPr>
                  <w:r>
                    <w:rPr>
                      <w:rFonts w:hint="default"/>
                      <w:color w:val="auto"/>
                      <w:lang w:val="en-US" w:eastAsia="zh-CN"/>
                    </w:rPr>
                    <w:t>不涉及</w:t>
                  </w:r>
                </w:p>
              </w:tc>
            </w:tr>
            <w:tr w14:paraId="3667A0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197BC940">
                  <w:pPr>
                    <w:pStyle w:val="75"/>
                    <w:bidi w:val="0"/>
                    <w:jc w:val="both"/>
                    <w:rPr>
                      <w:rFonts w:hint="default"/>
                      <w:color w:val="auto"/>
                    </w:rPr>
                  </w:pPr>
                </w:p>
              </w:tc>
              <w:tc>
                <w:tcPr>
                  <w:tcW w:w="4130" w:type="dxa"/>
                  <w:noWrap w:val="0"/>
                  <w:vAlign w:val="center"/>
                </w:tcPr>
                <w:p w14:paraId="40180A85">
                  <w:pPr>
                    <w:pStyle w:val="75"/>
                    <w:bidi w:val="0"/>
                    <w:jc w:val="both"/>
                    <w:rPr>
                      <w:rFonts w:hint="default"/>
                      <w:color w:val="auto"/>
                    </w:rPr>
                  </w:pPr>
                  <w:r>
                    <w:rPr>
                      <w:rFonts w:hint="default"/>
                      <w:color w:val="auto"/>
                      <w:lang w:val="en-US" w:eastAsia="zh-CN"/>
                    </w:rPr>
                    <w:t>4</w:t>
                  </w:r>
                  <w:r>
                    <w:rPr>
                      <w:rFonts w:hint="default"/>
                      <w:color w:val="auto"/>
                    </w:rPr>
                    <w:t>、新建、改建、扩建耗煤项目实施煤炭消费减量替代。</w:t>
                  </w:r>
                </w:p>
              </w:tc>
              <w:tc>
                <w:tcPr>
                  <w:tcW w:w="2273" w:type="dxa"/>
                  <w:noWrap w:val="0"/>
                  <w:vAlign w:val="center"/>
                </w:tcPr>
                <w:p w14:paraId="31C6A762">
                  <w:pPr>
                    <w:pStyle w:val="75"/>
                    <w:bidi w:val="0"/>
                    <w:jc w:val="both"/>
                    <w:rPr>
                      <w:rFonts w:hint="default"/>
                      <w:color w:val="auto"/>
                      <w:lang w:val="en-US" w:eastAsia="zh-CN"/>
                    </w:rPr>
                  </w:pPr>
                  <w:r>
                    <w:rPr>
                      <w:rFonts w:hint="default"/>
                      <w:color w:val="auto"/>
                      <w:lang w:val="en-US" w:eastAsia="zh-CN"/>
                    </w:rPr>
                    <w:t>4、本项目不涉及。</w:t>
                  </w:r>
                </w:p>
              </w:tc>
              <w:tc>
                <w:tcPr>
                  <w:tcW w:w="876" w:type="dxa"/>
                  <w:noWrap w:val="0"/>
                  <w:vAlign w:val="center"/>
                </w:tcPr>
                <w:p w14:paraId="231BCF99">
                  <w:pPr>
                    <w:pStyle w:val="75"/>
                    <w:bidi w:val="0"/>
                    <w:jc w:val="both"/>
                    <w:rPr>
                      <w:rFonts w:hint="default"/>
                      <w:color w:val="auto"/>
                    </w:rPr>
                  </w:pPr>
                  <w:r>
                    <w:rPr>
                      <w:rFonts w:hint="default"/>
                      <w:color w:val="auto"/>
                      <w:lang w:val="en-US" w:eastAsia="zh-CN"/>
                    </w:rPr>
                    <w:t>不涉及</w:t>
                  </w:r>
                </w:p>
              </w:tc>
            </w:tr>
            <w:tr w14:paraId="1D4FB1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08" w:type="dxa"/>
                  <w:vMerge w:val="continue"/>
                  <w:noWrap w:val="0"/>
                  <w:vAlign w:val="center"/>
                </w:tcPr>
                <w:p w14:paraId="66D0BE90">
                  <w:pPr>
                    <w:pStyle w:val="75"/>
                    <w:bidi w:val="0"/>
                    <w:jc w:val="both"/>
                    <w:rPr>
                      <w:rFonts w:hint="default"/>
                      <w:color w:val="auto"/>
                    </w:rPr>
                  </w:pPr>
                </w:p>
              </w:tc>
              <w:tc>
                <w:tcPr>
                  <w:tcW w:w="4130" w:type="dxa"/>
                  <w:noWrap w:val="0"/>
                  <w:vAlign w:val="center"/>
                </w:tcPr>
                <w:p w14:paraId="4F8139A1">
                  <w:pPr>
                    <w:pStyle w:val="75"/>
                    <w:bidi w:val="0"/>
                    <w:jc w:val="both"/>
                    <w:rPr>
                      <w:rFonts w:hint="default"/>
                      <w:color w:val="auto"/>
                    </w:rPr>
                  </w:pPr>
                  <w:r>
                    <w:rPr>
                      <w:rFonts w:hint="default"/>
                      <w:color w:val="auto"/>
                      <w:lang w:val="en-US" w:eastAsia="zh-CN"/>
                    </w:rPr>
                    <w:t>5</w:t>
                  </w:r>
                  <w:r>
                    <w:rPr>
                      <w:rFonts w:hint="default"/>
                      <w:color w:val="auto"/>
                    </w:rPr>
                    <w:t>、</w:t>
                  </w:r>
                  <w:r>
                    <w:rPr>
                      <w:rFonts w:hint="default"/>
                      <w:color w:val="auto"/>
                      <w:lang w:eastAsia="zh-CN"/>
                    </w:rPr>
                    <w:t>“</w:t>
                  </w:r>
                  <w:r>
                    <w:rPr>
                      <w:rFonts w:hint="default"/>
                      <w:color w:val="auto"/>
                    </w:rPr>
                    <w:t>十四五</w:t>
                  </w:r>
                  <w:r>
                    <w:rPr>
                      <w:rFonts w:hint="default"/>
                      <w:color w:val="auto"/>
                      <w:lang w:eastAsia="zh-CN"/>
                    </w:rPr>
                    <w:t>”</w:t>
                  </w:r>
                  <w:r>
                    <w:rPr>
                      <w:rFonts w:hint="default"/>
                      <w:color w:val="auto"/>
                    </w:rPr>
                    <w:t>全市万元地区生产总值能耗强度降低18%。</w:t>
                  </w:r>
                </w:p>
              </w:tc>
              <w:tc>
                <w:tcPr>
                  <w:tcW w:w="2273" w:type="dxa"/>
                  <w:noWrap w:val="0"/>
                  <w:vAlign w:val="center"/>
                </w:tcPr>
                <w:p w14:paraId="4F225648">
                  <w:pPr>
                    <w:pStyle w:val="75"/>
                    <w:bidi w:val="0"/>
                    <w:jc w:val="both"/>
                    <w:rPr>
                      <w:rFonts w:hint="default"/>
                      <w:color w:val="auto"/>
                    </w:rPr>
                  </w:pPr>
                  <w:r>
                    <w:rPr>
                      <w:rFonts w:hint="eastAsia"/>
                      <w:color w:val="auto"/>
                      <w:lang w:val="en-US" w:eastAsia="zh-CN"/>
                    </w:rPr>
                    <w:t>5、</w:t>
                  </w:r>
                  <w:r>
                    <w:rPr>
                      <w:rFonts w:hint="default"/>
                      <w:color w:val="auto"/>
                      <w:lang w:val="en-US" w:eastAsia="zh-CN"/>
                    </w:rPr>
                    <w:t>本项目不涉及。</w:t>
                  </w:r>
                </w:p>
              </w:tc>
              <w:tc>
                <w:tcPr>
                  <w:tcW w:w="876" w:type="dxa"/>
                  <w:noWrap w:val="0"/>
                  <w:vAlign w:val="center"/>
                </w:tcPr>
                <w:p w14:paraId="683E1315">
                  <w:pPr>
                    <w:pStyle w:val="75"/>
                    <w:bidi w:val="0"/>
                    <w:jc w:val="both"/>
                    <w:rPr>
                      <w:rFonts w:hint="default"/>
                      <w:color w:val="auto"/>
                    </w:rPr>
                  </w:pPr>
                  <w:r>
                    <w:rPr>
                      <w:rFonts w:hint="default"/>
                      <w:color w:val="auto"/>
                      <w:lang w:val="en-US" w:eastAsia="zh-CN"/>
                    </w:rPr>
                    <w:t>不涉及</w:t>
                  </w:r>
                </w:p>
              </w:tc>
            </w:tr>
          </w:tbl>
          <w:p w14:paraId="0F71DCA8">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sz w:val="24"/>
                <w:szCs w:val="24"/>
                <w:highlight w:val="none"/>
                <w:u w:val="none" w:color="auto"/>
              </w:rPr>
            </w:pPr>
            <w:r>
              <w:rPr>
                <w:rFonts w:hint="default" w:ascii="Times New Roman" w:hAnsi="Times New Roman" w:eastAsia="宋体" w:cs="Times New Roman"/>
                <w:bCs/>
                <w:color w:val="auto"/>
                <w:sz w:val="24"/>
                <w:szCs w:val="24"/>
                <w:highlight w:val="none"/>
                <w:u w:val="none" w:color="auto"/>
              </w:rPr>
              <w:t>由上表可知，本项目满足</w:t>
            </w:r>
            <w:r>
              <w:rPr>
                <w:rFonts w:hint="default"/>
                <w:b w:val="0"/>
                <w:bCs w:val="0"/>
                <w:color w:val="auto"/>
                <w:sz w:val="24"/>
                <w:szCs w:val="32"/>
                <w:lang w:val="en-US" w:eastAsia="zh-CN"/>
              </w:rPr>
              <w:t>河南省生态环境分区管控总体</w:t>
            </w:r>
            <w:r>
              <w:rPr>
                <w:rFonts w:hint="default"/>
                <w:b w:val="0"/>
                <w:bCs w:val="0"/>
                <w:color w:val="auto"/>
                <w:sz w:val="24"/>
                <w:szCs w:val="32"/>
              </w:rPr>
              <w:t>要求</w:t>
            </w:r>
            <w:r>
              <w:rPr>
                <w:rFonts w:hint="eastAsia"/>
                <w:b w:val="0"/>
                <w:bCs w:val="0"/>
                <w:color w:val="auto"/>
                <w:sz w:val="24"/>
                <w:szCs w:val="32"/>
                <w:lang w:eastAsia="zh-CN"/>
              </w:rPr>
              <w:t>与</w:t>
            </w:r>
            <w:r>
              <w:rPr>
                <w:rFonts w:hint="default" w:ascii="Times New Roman" w:hAnsi="Times New Roman" w:eastAsia="宋体" w:cs="Times New Roman"/>
                <w:bCs/>
                <w:color w:val="auto"/>
                <w:sz w:val="24"/>
                <w:szCs w:val="24"/>
                <w:highlight w:val="none"/>
                <w:u w:val="none" w:color="auto"/>
              </w:rPr>
              <w:t>安阳市生态环境总体准入相关要求。</w:t>
            </w:r>
          </w:p>
          <w:p w14:paraId="520EE35C">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sz w:val="24"/>
                <w:szCs w:val="24"/>
                <w:highlight w:val="none"/>
                <w:u w:val="none" w:color="auto"/>
              </w:rPr>
            </w:pPr>
            <w:r>
              <w:rPr>
                <w:rFonts w:hint="default" w:ascii="Times New Roman" w:hAnsi="Times New Roman" w:eastAsia="宋体" w:cs="Times New Roman"/>
                <w:bCs/>
                <w:color w:val="auto"/>
                <w:sz w:val="24"/>
                <w:szCs w:val="24"/>
                <w:highlight w:val="none"/>
                <w:u w:val="none" w:color="auto"/>
              </w:rPr>
              <w:t>经查阅《安阳市</w:t>
            </w:r>
            <w:r>
              <w:rPr>
                <w:rFonts w:hint="eastAsia" w:ascii="Times New Roman" w:hAnsi="Times New Roman" w:eastAsia="宋体" w:cs="Times New Roman"/>
                <w:bCs/>
                <w:color w:val="auto"/>
                <w:sz w:val="24"/>
                <w:szCs w:val="24"/>
                <w:highlight w:val="none"/>
                <w:u w:val="none" w:color="auto"/>
                <w:lang w:eastAsia="zh-CN"/>
              </w:rPr>
              <w:t>汤阴县</w:t>
            </w:r>
            <w:r>
              <w:rPr>
                <w:rFonts w:hint="default" w:ascii="Times New Roman" w:hAnsi="Times New Roman" w:eastAsia="宋体" w:cs="Times New Roman"/>
                <w:bCs/>
                <w:color w:val="auto"/>
                <w:sz w:val="24"/>
                <w:szCs w:val="24"/>
                <w:highlight w:val="none"/>
                <w:u w:val="none" w:color="auto"/>
              </w:rPr>
              <w:t>环境管控单元生态环境准入清单》，本项目位于</w:t>
            </w:r>
            <w:r>
              <w:rPr>
                <w:rFonts w:hint="default" w:ascii="Times New Roman" w:hAnsi="Times New Roman" w:eastAsia="宋体" w:cs="Times New Roman"/>
                <w:bCs/>
                <w:color w:val="auto"/>
                <w:sz w:val="24"/>
                <w:szCs w:val="24"/>
                <w:highlight w:val="none"/>
                <w:u w:val="none" w:color="auto"/>
                <w:lang w:eastAsia="zh-CN"/>
              </w:rPr>
              <w:t>安阳市</w:t>
            </w:r>
            <w:r>
              <w:rPr>
                <w:rFonts w:hint="eastAsia" w:ascii="Times New Roman" w:hAnsi="Times New Roman" w:eastAsia="宋体" w:cs="Times New Roman"/>
                <w:bCs/>
                <w:color w:val="auto"/>
                <w:sz w:val="24"/>
                <w:szCs w:val="24"/>
                <w:highlight w:val="none"/>
                <w:u w:val="none" w:color="auto"/>
                <w:lang w:eastAsia="zh-CN"/>
              </w:rPr>
              <w:t>汤阴县宜沟镇</w:t>
            </w:r>
            <w:r>
              <w:rPr>
                <w:rFonts w:hint="default" w:ascii="Times New Roman" w:hAnsi="Times New Roman" w:eastAsia="宋体" w:cs="Times New Roman"/>
                <w:bCs/>
                <w:color w:val="auto"/>
                <w:sz w:val="24"/>
                <w:szCs w:val="24"/>
                <w:highlight w:val="none"/>
                <w:u w:val="none" w:color="auto"/>
              </w:rPr>
              <w:t>，属于</w:t>
            </w:r>
            <w:r>
              <w:rPr>
                <w:rFonts w:hint="default" w:ascii="Times New Roman" w:hAnsi="Times New Roman" w:eastAsia="宋体" w:cs="Times New Roman"/>
                <w:bCs/>
                <w:color w:val="auto"/>
                <w:sz w:val="24"/>
                <w:szCs w:val="24"/>
                <w:highlight w:val="none"/>
                <w:u w:val="none" w:color="auto"/>
                <w:lang w:eastAsia="zh-CN"/>
              </w:rPr>
              <w:t>重点管控单</w:t>
            </w:r>
            <w:r>
              <w:rPr>
                <w:rFonts w:hint="default" w:ascii="Times New Roman" w:hAnsi="Times New Roman" w:eastAsia="宋体" w:cs="Times New Roman"/>
                <w:bCs/>
                <w:color w:val="auto"/>
                <w:sz w:val="24"/>
                <w:szCs w:val="24"/>
                <w:highlight w:val="none"/>
                <w:u w:val="none" w:color="auto"/>
              </w:rPr>
              <w:t>元</w:t>
            </w:r>
            <w:r>
              <w:rPr>
                <w:rFonts w:hint="default" w:ascii="Times New Roman" w:hAnsi="Times New Roman" w:eastAsia="宋体" w:cs="Times New Roman"/>
                <w:bCs/>
                <w:color w:val="auto"/>
                <w:sz w:val="24"/>
                <w:szCs w:val="24"/>
                <w:highlight w:val="none"/>
                <w:u w:val="none" w:color="auto"/>
                <w:lang w:eastAsia="zh-CN"/>
              </w:rPr>
              <w:t>——</w:t>
            </w:r>
            <w:r>
              <w:rPr>
                <w:rFonts w:hint="eastAsia" w:ascii="Times New Roman" w:hAnsi="Times New Roman" w:eastAsia="宋体" w:cs="Times New Roman"/>
                <w:bCs/>
                <w:color w:val="auto"/>
                <w:sz w:val="24"/>
                <w:szCs w:val="24"/>
                <w:highlight w:val="none"/>
                <w:u w:val="none" w:color="auto"/>
                <w:lang w:eastAsia="zh-CN"/>
              </w:rPr>
              <w:t>汤阴县</w:t>
            </w:r>
            <w:r>
              <w:rPr>
                <w:rFonts w:hint="default" w:ascii="Times New Roman" w:hAnsi="Times New Roman" w:eastAsia="宋体" w:cs="Times New Roman"/>
                <w:bCs/>
                <w:color w:val="auto"/>
                <w:sz w:val="24"/>
                <w:szCs w:val="24"/>
                <w:highlight w:val="none"/>
                <w:u w:val="none" w:color="auto"/>
                <w:lang w:eastAsia="zh-CN"/>
              </w:rPr>
              <w:t>大气布局敏感区</w:t>
            </w:r>
            <w:r>
              <w:rPr>
                <w:rFonts w:hint="default" w:ascii="Times New Roman" w:hAnsi="Times New Roman" w:eastAsia="宋体" w:cs="Times New Roman"/>
                <w:bCs/>
                <w:color w:val="auto"/>
                <w:sz w:val="24"/>
                <w:szCs w:val="24"/>
                <w:highlight w:val="none"/>
                <w:u w:val="none" w:color="auto"/>
              </w:rPr>
              <w:t>（编码：ZH41052320004），本工程与环境准入清单相符性分析如下：</w:t>
            </w:r>
          </w:p>
          <w:p w14:paraId="7F4B7512">
            <w:pPr>
              <w:keepNext w:val="0"/>
              <w:keepLines w:val="0"/>
              <w:pageBreakBefore w:val="0"/>
              <w:suppressLineNumbers w:val="0"/>
              <w:kinsoku/>
              <w:wordWrap/>
              <w:overflowPunct/>
              <w:topLinePunct w:val="0"/>
              <w:bidi w:val="0"/>
              <w:spacing w:before="0" w:beforeAutospacing="0" w:after="0" w:afterAutospacing="0" w:line="240" w:lineRule="auto"/>
              <w:ind w:left="0" w:right="0"/>
              <w:jc w:val="center"/>
              <w:rPr>
                <w:rFonts w:hint="eastAsia" w:ascii="Times New Roman" w:hAnsi="Times New Roman" w:eastAsia="宋体" w:cs="Times New Roman"/>
                <w:b/>
                <w:bCs w:val="0"/>
                <w:color w:val="auto"/>
                <w:kern w:val="0"/>
                <w:sz w:val="21"/>
                <w:szCs w:val="21"/>
                <w:highlight w:val="none"/>
                <w:u w:val="none" w:color="auto"/>
                <w:lang w:eastAsia="zh-CN"/>
              </w:rPr>
            </w:pPr>
            <w:r>
              <w:rPr>
                <w:rFonts w:hint="eastAsia" w:cs="Times New Roman"/>
                <w:b/>
                <w:bCs w:val="0"/>
                <w:color w:val="auto"/>
                <w:kern w:val="0"/>
                <w:sz w:val="21"/>
                <w:szCs w:val="21"/>
                <w:highlight w:val="none"/>
                <w:u w:val="none" w:color="auto"/>
                <w:lang w:eastAsia="zh-CN"/>
              </w:rPr>
              <w:t>表</w:t>
            </w:r>
            <w:r>
              <w:rPr>
                <w:rFonts w:hint="eastAsia" w:cs="Times New Roman"/>
                <w:b/>
                <w:bCs w:val="0"/>
                <w:color w:val="auto"/>
                <w:kern w:val="0"/>
                <w:sz w:val="21"/>
                <w:szCs w:val="21"/>
                <w:highlight w:val="none"/>
                <w:u w:val="none" w:color="auto"/>
                <w:lang w:val="en-US" w:eastAsia="zh-CN"/>
              </w:rPr>
              <w:t xml:space="preserve">6  </w:t>
            </w:r>
            <w:r>
              <w:rPr>
                <w:rFonts w:hint="eastAsia" w:ascii="Times New Roman" w:hAnsi="Times New Roman" w:eastAsia="宋体" w:cs="Times New Roman"/>
                <w:b/>
                <w:bCs w:val="0"/>
                <w:color w:val="auto"/>
                <w:kern w:val="0"/>
                <w:sz w:val="21"/>
                <w:szCs w:val="21"/>
                <w:highlight w:val="none"/>
                <w:u w:val="none" w:color="auto"/>
                <w:lang w:eastAsia="zh-CN"/>
              </w:rPr>
              <w:t>本项目</w:t>
            </w:r>
            <w:r>
              <w:rPr>
                <w:rFonts w:hint="default" w:ascii="Times New Roman" w:hAnsi="Times New Roman" w:eastAsia="宋体" w:cs="Times New Roman"/>
                <w:b/>
                <w:bCs w:val="0"/>
                <w:color w:val="auto"/>
                <w:kern w:val="0"/>
                <w:sz w:val="21"/>
                <w:szCs w:val="21"/>
                <w:highlight w:val="none"/>
                <w:u w:val="none" w:color="auto"/>
              </w:rPr>
              <w:t>与</w:t>
            </w:r>
            <w:r>
              <w:rPr>
                <w:rFonts w:hint="eastAsia" w:cs="Times New Roman"/>
                <w:b/>
                <w:bCs w:val="0"/>
                <w:color w:val="auto"/>
                <w:kern w:val="0"/>
                <w:sz w:val="21"/>
                <w:szCs w:val="21"/>
                <w:highlight w:val="none"/>
                <w:u w:val="none" w:color="auto"/>
                <w:lang w:eastAsia="zh-CN"/>
              </w:rPr>
              <w:t>汤阴县</w:t>
            </w:r>
            <w:r>
              <w:rPr>
                <w:rFonts w:hint="default" w:ascii="Times New Roman" w:hAnsi="Times New Roman" w:eastAsia="宋体" w:cs="Times New Roman"/>
                <w:b/>
                <w:bCs w:val="0"/>
                <w:color w:val="auto"/>
                <w:kern w:val="0"/>
                <w:sz w:val="21"/>
                <w:szCs w:val="21"/>
                <w:highlight w:val="none"/>
                <w:u w:val="none" w:color="auto"/>
              </w:rPr>
              <w:t>生态环境准入清单（ZH41052320004）相符性分析</w:t>
            </w:r>
            <w:r>
              <w:rPr>
                <w:rFonts w:hint="eastAsia" w:ascii="Times New Roman" w:hAnsi="Times New Roman" w:eastAsia="宋体" w:cs="Times New Roman"/>
                <w:b/>
                <w:bCs w:val="0"/>
                <w:color w:val="auto"/>
                <w:kern w:val="0"/>
                <w:sz w:val="21"/>
                <w:szCs w:val="21"/>
                <w:highlight w:val="none"/>
                <w:u w:val="none" w:color="auto"/>
                <w:lang w:eastAsia="zh-CN"/>
              </w:rPr>
              <w:t>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8"/>
              <w:gridCol w:w="4336"/>
              <w:gridCol w:w="1961"/>
              <w:gridCol w:w="971"/>
            </w:tblGrid>
            <w:tr w14:paraId="590D0A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40" w:hRule="atLeast"/>
                <w:jc w:val="center"/>
              </w:trPr>
              <w:tc>
                <w:tcPr>
                  <w:tcW w:w="495" w:type="pct"/>
                  <w:tcBorders>
                    <w:tl2br w:val="nil"/>
                    <w:tr2bl w:val="nil"/>
                  </w:tcBorders>
                  <w:noWrap w:val="0"/>
                  <w:vAlign w:val="center"/>
                </w:tcPr>
                <w:p w14:paraId="264B73A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维度</w:t>
                  </w:r>
                </w:p>
              </w:tc>
              <w:tc>
                <w:tcPr>
                  <w:tcW w:w="2687" w:type="pct"/>
                  <w:tcBorders>
                    <w:tl2br w:val="nil"/>
                    <w:tr2bl w:val="nil"/>
                  </w:tcBorders>
                  <w:noWrap w:val="0"/>
                  <w:vAlign w:val="center"/>
                </w:tcPr>
                <w:p w14:paraId="6DCC7AA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管控要求</w:t>
                  </w:r>
                </w:p>
              </w:tc>
              <w:tc>
                <w:tcPr>
                  <w:tcW w:w="1215" w:type="pct"/>
                  <w:tcBorders>
                    <w:tl2br w:val="nil"/>
                    <w:tr2bl w:val="nil"/>
                  </w:tcBorders>
                  <w:noWrap w:val="0"/>
                  <w:vAlign w:val="center"/>
                </w:tcPr>
                <w:p w14:paraId="373C682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本工程</w:t>
                  </w:r>
                </w:p>
              </w:tc>
              <w:tc>
                <w:tcPr>
                  <w:tcW w:w="602" w:type="pct"/>
                  <w:tcBorders>
                    <w:tl2br w:val="nil"/>
                    <w:tr2bl w:val="nil"/>
                  </w:tcBorders>
                  <w:noWrap w:val="0"/>
                  <w:vAlign w:val="center"/>
                </w:tcPr>
                <w:p w14:paraId="59EA103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u w:val="none" w:color="auto"/>
                      <w:lang w:val="en-US" w:eastAsia="zh-CN"/>
                    </w:rPr>
                  </w:pPr>
                  <w:r>
                    <w:rPr>
                      <w:rFonts w:hint="default" w:ascii="Times New Roman" w:hAnsi="Times New Roman" w:eastAsia="宋体" w:cs="Times New Roman"/>
                      <w:b/>
                      <w:bCs/>
                      <w:color w:val="auto"/>
                      <w:sz w:val="21"/>
                      <w:szCs w:val="21"/>
                      <w:highlight w:val="none"/>
                      <w:u w:val="none" w:color="auto"/>
                    </w:rPr>
                    <w:t>相符</w:t>
                  </w:r>
                  <w:r>
                    <w:rPr>
                      <w:rFonts w:hint="default" w:ascii="Times New Roman" w:hAnsi="Times New Roman" w:eastAsia="宋体" w:cs="Times New Roman"/>
                      <w:b/>
                      <w:bCs/>
                      <w:color w:val="auto"/>
                      <w:sz w:val="21"/>
                      <w:szCs w:val="21"/>
                      <w:highlight w:val="none"/>
                      <w:u w:val="none" w:color="auto"/>
                      <w:lang w:val="en-US" w:eastAsia="zh-CN"/>
                    </w:rPr>
                    <w:t>性</w:t>
                  </w:r>
                </w:p>
              </w:tc>
            </w:tr>
            <w:tr w14:paraId="71202B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tcBorders>
                    <w:tl2br w:val="nil"/>
                    <w:tr2bl w:val="nil"/>
                  </w:tcBorders>
                  <w:noWrap w:val="0"/>
                  <w:vAlign w:val="center"/>
                </w:tcPr>
                <w:p w14:paraId="17B72C52">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Cs/>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rPr>
                    <w:t>空间布局约束</w:t>
                  </w:r>
                </w:p>
              </w:tc>
              <w:tc>
                <w:tcPr>
                  <w:tcW w:w="2687" w:type="pct"/>
                  <w:tcBorders>
                    <w:tl2br w:val="nil"/>
                    <w:tr2bl w:val="nil"/>
                  </w:tcBorders>
                  <w:noWrap w:val="0"/>
                  <w:vAlign w:val="center"/>
                </w:tcPr>
                <w:p w14:paraId="3EDDA93C">
                  <w:pPr>
                    <w:keepNext w:val="0"/>
                    <w:keepLines w:val="0"/>
                    <w:pageBreakBefore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rightChars="0"/>
                    <w:jc w:val="both"/>
                    <w:rPr>
                      <w:rFonts w:hint="default" w:ascii="Times New Roman" w:hAnsi="Times New Roman" w:eastAsia="宋体" w:cs="Times New Roman"/>
                      <w:bCs/>
                      <w:color w:val="auto"/>
                      <w:sz w:val="21"/>
                      <w:szCs w:val="21"/>
                      <w:highlight w:val="none"/>
                      <w:u w:val="none" w:color="auto"/>
                      <w:lang w:val="en-US"/>
                    </w:rPr>
                  </w:pPr>
                  <w:r>
                    <w:rPr>
                      <w:rFonts w:hint="eastAsia" w:ascii="Times New Roman" w:hAnsi="Times New Roman" w:eastAsia="宋体" w:cs="Times New Roman"/>
                      <w:bCs/>
                      <w:color w:val="auto"/>
                      <w:sz w:val="21"/>
                      <w:szCs w:val="21"/>
                      <w:highlight w:val="none"/>
                      <w:u w:val="none" w:color="auto"/>
                      <w:lang w:val="en-US" w:eastAsia="zh-CN"/>
                    </w:rPr>
                    <w:t>/</w:t>
                  </w:r>
                </w:p>
              </w:tc>
              <w:tc>
                <w:tcPr>
                  <w:tcW w:w="1215" w:type="pct"/>
                  <w:tcBorders>
                    <w:tl2br w:val="nil"/>
                    <w:tr2bl w:val="nil"/>
                  </w:tcBorders>
                  <w:noWrap w:val="0"/>
                  <w:vAlign w:val="center"/>
                </w:tcPr>
                <w:p w14:paraId="59478F02">
                  <w:pPr>
                    <w:pStyle w:val="45"/>
                    <w:keepNext w:val="0"/>
                    <w:keepLines w:val="0"/>
                    <w:pageBreakBefore w:val="0"/>
                    <w:numPr>
                      <w:ilvl w:val="0"/>
                      <w:numId w:val="0"/>
                    </w:numPr>
                    <w:suppressLineNumbers w:val="0"/>
                    <w:kinsoku/>
                    <w:wordWrap/>
                    <w:overflowPunct/>
                    <w:topLinePunct w:val="0"/>
                    <w:bidi w:val="0"/>
                    <w:adjustRightInd w:val="0"/>
                    <w:snapToGrid w:val="0"/>
                    <w:spacing w:before="0" w:beforeLines="0" w:beforeAutospacing="0" w:after="0" w:afterLines="0" w:afterAutospacing="0" w:line="240" w:lineRule="auto"/>
                    <w:ind w:left="0" w:leftChars="0" w:right="0" w:rightChars="0" w:firstLine="0" w:firstLineChars="0"/>
                    <w:jc w:val="both"/>
                    <w:rPr>
                      <w:rFonts w:hint="eastAsia" w:ascii="Times New Roman" w:hAnsi="Times New Roman" w:eastAsia="仿宋_GB2312"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602" w:type="pct"/>
                  <w:tcBorders>
                    <w:tl2br w:val="nil"/>
                    <w:tr2bl w:val="nil"/>
                  </w:tcBorders>
                  <w:noWrap w:val="0"/>
                  <w:vAlign w:val="center"/>
                </w:tcPr>
                <w:p w14:paraId="41D8753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Cs/>
                      <w:color w:val="auto"/>
                      <w:sz w:val="21"/>
                      <w:szCs w:val="21"/>
                      <w:highlight w:val="none"/>
                      <w:u w:val="none" w:color="auto"/>
                      <w:lang w:val="en-US" w:eastAsia="zh-CN"/>
                    </w:rPr>
                  </w:pPr>
                  <w:r>
                    <w:rPr>
                      <w:rFonts w:hint="eastAsia" w:ascii="Times New Roman" w:hAnsi="Times New Roman" w:eastAsia="宋体" w:cs="Times New Roman"/>
                      <w:bCs/>
                      <w:color w:val="auto"/>
                      <w:sz w:val="21"/>
                      <w:szCs w:val="21"/>
                      <w:highlight w:val="none"/>
                      <w:u w:val="none" w:color="auto"/>
                      <w:lang w:val="en-US" w:eastAsia="zh-CN"/>
                    </w:rPr>
                    <w:t>/</w:t>
                  </w:r>
                </w:p>
              </w:tc>
            </w:tr>
            <w:tr w14:paraId="52191B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95" w:type="pct"/>
                  <w:tcBorders>
                    <w:tl2br w:val="nil"/>
                    <w:tr2bl w:val="nil"/>
                  </w:tcBorders>
                  <w:noWrap w:val="0"/>
                  <w:vAlign w:val="center"/>
                </w:tcPr>
                <w:p w14:paraId="0DEF1044">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Cs/>
                      <w:color w:val="auto"/>
                      <w:kern w:val="0"/>
                      <w:sz w:val="21"/>
                      <w:szCs w:val="21"/>
                      <w:highlight w:val="none"/>
                      <w:u w:val="none" w:color="auto"/>
                      <w:lang w:bidi="ar"/>
                    </w:rPr>
                  </w:pPr>
                  <w:r>
                    <w:rPr>
                      <w:rFonts w:hint="default" w:ascii="Times New Roman" w:hAnsi="Times New Roman" w:eastAsia="宋体" w:cs="Times New Roman"/>
                      <w:color w:val="auto"/>
                      <w:kern w:val="0"/>
                      <w:sz w:val="21"/>
                      <w:szCs w:val="21"/>
                      <w:highlight w:val="none"/>
                      <w:u w:val="none" w:color="auto"/>
                    </w:rPr>
                    <w:t>污染物排放管控</w:t>
                  </w:r>
                </w:p>
              </w:tc>
              <w:tc>
                <w:tcPr>
                  <w:tcW w:w="2687" w:type="pct"/>
                  <w:tcBorders>
                    <w:tl2br w:val="nil"/>
                    <w:tr2bl w:val="nil"/>
                  </w:tcBorders>
                  <w:noWrap w:val="0"/>
                  <w:vAlign w:val="center"/>
                </w:tcPr>
                <w:p w14:paraId="08F1F73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textAlignment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严格控制高耗能、高排放项目准入，新建、改建、扩建</w:t>
                  </w:r>
                  <w:r>
                    <w:rPr>
                      <w:rFonts w:hint="eastAsia" w:ascii="Times New Roman" w:hAnsi="Times New Roman" w:eastAsia="宋体" w:cs="Times New Roman"/>
                      <w:color w:val="auto"/>
                      <w:sz w:val="21"/>
                      <w:szCs w:val="21"/>
                      <w:highlight w:val="none"/>
                      <w:u w:val="none" w:color="auto"/>
                      <w:lang w:val="en-US" w:eastAsia="zh-CN"/>
                    </w:rPr>
                    <w:t>“</w:t>
                  </w:r>
                  <w:r>
                    <w:rPr>
                      <w:rFonts w:hint="default" w:ascii="Times New Roman" w:hAnsi="Times New Roman" w:eastAsia="宋体" w:cs="Times New Roman"/>
                      <w:color w:val="auto"/>
                      <w:sz w:val="21"/>
                      <w:szCs w:val="21"/>
                      <w:highlight w:val="none"/>
                      <w:u w:val="none" w:color="auto"/>
                      <w:lang w:val="en-US" w:eastAsia="zh-CN"/>
                    </w:rPr>
                    <w:t>两高</w:t>
                  </w:r>
                  <w:r>
                    <w:rPr>
                      <w:rFonts w:hint="eastAsia" w:ascii="Times New Roman" w:hAnsi="Times New Roman" w:eastAsia="宋体" w:cs="Times New Roman"/>
                      <w:color w:val="auto"/>
                      <w:sz w:val="21"/>
                      <w:szCs w:val="21"/>
                      <w:highlight w:val="none"/>
                      <w:u w:val="none" w:color="auto"/>
                      <w:lang w:val="en-US" w:eastAsia="zh-CN"/>
                    </w:rPr>
                    <w:t>”</w:t>
                  </w:r>
                  <w:r>
                    <w:rPr>
                      <w:rFonts w:hint="default" w:ascii="Times New Roman" w:hAnsi="Times New Roman" w:eastAsia="宋体" w:cs="Times New Roman"/>
                      <w:color w:val="auto"/>
                      <w:sz w:val="21"/>
                      <w:szCs w:val="21"/>
                      <w:highlight w:val="none"/>
                      <w:u w:val="none" w:color="auto"/>
                      <w:lang w:val="en-US" w:eastAsia="zh-CN"/>
                    </w:rPr>
                    <w:t>项目须符合生态环境保护法律法规和相关法定规划，满足重点污染物排放总量控制、碳排放达峰目标、生态环境准入清单、相关规划环评和相应行业建设项目环境准入条件、环评文件审批原则要求。</w:t>
                  </w:r>
                </w:p>
              </w:tc>
              <w:tc>
                <w:tcPr>
                  <w:tcW w:w="1215" w:type="pct"/>
                  <w:tcBorders>
                    <w:tl2br w:val="nil"/>
                    <w:tr2bl w:val="nil"/>
                  </w:tcBorders>
                  <w:noWrap w:val="0"/>
                  <w:vAlign w:val="center"/>
                </w:tcPr>
                <w:p w14:paraId="2712A79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both"/>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u w:val="none" w:color="auto"/>
                      <w:lang w:val="en-US" w:eastAsia="zh-CN"/>
                    </w:rPr>
                    <w:t>1、本工程不属于高耗能、高排放的产业项目。</w:t>
                  </w:r>
                </w:p>
              </w:tc>
              <w:tc>
                <w:tcPr>
                  <w:tcW w:w="602" w:type="pct"/>
                  <w:tcBorders>
                    <w:tl2br w:val="nil"/>
                    <w:tr2bl w:val="nil"/>
                  </w:tcBorders>
                  <w:noWrap w:val="0"/>
                  <w:vAlign w:val="center"/>
                </w:tcPr>
                <w:p w14:paraId="4ED7443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Cs/>
                      <w:color w:val="auto"/>
                      <w:sz w:val="21"/>
                      <w:szCs w:val="21"/>
                      <w:highlight w:val="none"/>
                      <w:u w:val="none" w:color="auto"/>
                    </w:rPr>
                  </w:pPr>
                  <w:r>
                    <w:rPr>
                      <w:rFonts w:hint="default" w:ascii="Times New Roman" w:hAnsi="Times New Roman" w:eastAsia="宋体" w:cs="Times New Roman"/>
                      <w:bCs/>
                      <w:color w:val="auto"/>
                      <w:sz w:val="21"/>
                      <w:szCs w:val="21"/>
                      <w:highlight w:val="none"/>
                      <w:u w:val="none" w:color="auto"/>
                    </w:rPr>
                    <w:t>相符</w:t>
                  </w:r>
                </w:p>
              </w:tc>
            </w:tr>
            <w:tr w14:paraId="364BD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tcBorders>
                    <w:tl2br w:val="nil"/>
                    <w:tr2bl w:val="nil"/>
                  </w:tcBorders>
                  <w:noWrap w:val="0"/>
                  <w:vAlign w:val="center"/>
                </w:tcPr>
                <w:p w14:paraId="2EC13770">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Cs/>
                      <w:color w:val="auto"/>
                      <w:sz w:val="21"/>
                      <w:szCs w:val="21"/>
                      <w:highlight w:val="none"/>
                      <w:u w:val="none" w:color="auto"/>
                    </w:rPr>
                  </w:pPr>
                  <w:r>
                    <w:rPr>
                      <w:rFonts w:hint="default" w:ascii="Times New Roman" w:hAnsi="Times New Roman" w:eastAsia="宋体" w:cs="Times New Roman"/>
                      <w:bCs/>
                      <w:color w:val="auto"/>
                      <w:sz w:val="21"/>
                      <w:szCs w:val="21"/>
                      <w:highlight w:val="none"/>
                      <w:u w:val="none" w:color="auto"/>
                    </w:rPr>
                    <w:t>环境风险防控</w:t>
                  </w:r>
                </w:p>
              </w:tc>
              <w:tc>
                <w:tcPr>
                  <w:tcW w:w="2687" w:type="pct"/>
                  <w:tcBorders>
                    <w:tl2br w:val="nil"/>
                    <w:tr2bl w:val="nil"/>
                  </w:tcBorders>
                  <w:noWrap w:val="0"/>
                  <w:vAlign w:val="center"/>
                </w:tcPr>
                <w:p w14:paraId="7562238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rightChars="0"/>
                    <w:jc w:val="left"/>
                    <w:textAlignment w:val="auto"/>
                    <w:rPr>
                      <w:rFonts w:hint="default" w:ascii="Times New Roman" w:hAnsi="Times New Roman" w:eastAsia="宋体" w:cs="Times New Roman"/>
                      <w:bCs/>
                      <w:color w:val="auto"/>
                      <w:sz w:val="21"/>
                      <w:szCs w:val="21"/>
                      <w:highlight w:val="none"/>
                      <w:u w:val="none" w:color="auto"/>
                      <w:lang w:eastAsia="zh-CN"/>
                    </w:rPr>
                  </w:pPr>
                  <w:r>
                    <w:rPr>
                      <w:rFonts w:hint="eastAsia" w:ascii="Times New Roman" w:hAnsi="Times New Roman" w:eastAsia="宋体" w:cs="Times New Roman"/>
                      <w:bCs/>
                      <w:color w:val="auto"/>
                      <w:sz w:val="21"/>
                      <w:szCs w:val="21"/>
                      <w:highlight w:val="none"/>
                      <w:u w:val="none" w:color="auto"/>
                      <w:lang w:val="en-US" w:eastAsia="zh-CN"/>
                    </w:rPr>
                    <w:t>/</w:t>
                  </w:r>
                </w:p>
              </w:tc>
              <w:tc>
                <w:tcPr>
                  <w:tcW w:w="1215" w:type="pct"/>
                  <w:tcBorders>
                    <w:tl2br w:val="nil"/>
                    <w:tr2bl w:val="nil"/>
                  </w:tcBorders>
                  <w:noWrap w:val="0"/>
                  <w:vAlign w:val="center"/>
                </w:tcPr>
                <w:p w14:paraId="0CEDB2B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Cs/>
                      <w:color w:val="auto"/>
                      <w:sz w:val="21"/>
                      <w:szCs w:val="21"/>
                      <w:highlight w:val="none"/>
                      <w:u w:val="none" w:color="auto"/>
                      <w:lang w:val="en-US" w:eastAsia="zh-CN"/>
                    </w:rPr>
                  </w:pPr>
                  <w:r>
                    <w:rPr>
                      <w:rFonts w:hint="eastAsia" w:ascii="Times New Roman" w:hAnsi="Times New Roman" w:eastAsia="宋体" w:cs="Times New Roman"/>
                      <w:bCs/>
                      <w:color w:val="auto"/>
                      <w:sz w:val="21"/>
                      <w:szCs w:val="21"/>
                      <w:highlight w:val="none"/>
                      <w:u w:val="none" w:color="auto"/>
                      <w:lang w:val="en-US" w:eastAsia="zh-CN"/>
                    </w:rPr>
                    <w:t>/</w:t>
                  </w:r>
                </w:p>
              </w:tc>
              <w:tc>
                <w:tcPr>
                  <w:tcW w:w="602" w:type="pct"/>
                  <w:tcBorders>
                    <w:tl2br w:val="nil"/>
                    <w:tr2bl w:val="nil"/>
                  </w:tcBorders>
                  <w:noWrap w:val="0"/>
                  <w:vAlign w:val="center"/>
                </w:tcPr>
                <w:p w14:paraId="187C8E1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textAlignment w:val="center"/>
                    <w:rPr>
                      <w:rFonts w:hint="eastAsia" w:ascii="Times New Roman" w:hAnsi="Times New Roman" w:eastAsia="宋体" w:cs="Times New Roman"/>
                      <w:bCs/>
                      <w:color w:val="auto"/>
                      <w:sz w:val="21"/>
                      <w:szCs w:val="21"/>
                      <w:highlight w:val="none"/>
                      <w:u w:val="none" w:color="auto"/>
                      <w:lang w:eastAsia="zh-CN"/>
                    </w:rPr>
                  </w:pPr>
                  <w:r>
                    <w:rPr>
                      <w:rFonts w:hint="eastAsia" w:ascii="Times New Roman" w:hAnsi="Times New Roman" w:eastAsia="宋体" w:cs="Times New Roman"/>
                      <w:bCs/>
                      <w:color w:val="auto"/>
                      <w:sz w:val="21"/>
                      <w:szCs w:val="21"/>
                      <w:highlight w:val="none"/>
                      <w:u w:val="none" w:color="auto"/>
                      <w:lang w:val="en-US" w:eastAsia="zh-CN"/>
                    </w:rPr>
                    <w:t>/</w:t>
                  </w:r>
                </w:p>
              </w:tc>
            </w:tr>
            <w:tr w14:paraId="01E96D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5" w:type="pct"/>
                  <w:tcBorders>
                    <w:tl2br w:val="nil"/>
                    <w:tr2bl w:val="nil"/>
                  </w:tcBorders>
                  <w:noWrap w:val="0"/>
                  <w:vAlign w:val="center"/>
                </w:tcPr>
                <w:p w14:paraId="49F4494C">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Cs/>
                      <w:color w:val="auto"/>
                      <w:sz w:val="21"/>
                      <w:szCs w:val="21"/>
                      <w:highlight w:val="none"/>
                      <w:u w:val="none" w:color="auto"/>
                      <w:lang w:eastAsia="zh-CN"/>
                    </w:rPr>
                  </w:pPr>
                  <w:r>
                    <w:rPr>
                      <w:rFonts w:hint="eastAsia" w:ascii="Times New Roman" w:hAnsi="Times New Roman" w:eastAsia="宋体" w:cs="Times New Roman"/>
                      <w:bCs/>
                      <w:color w:val="auto"/>
                      <w:sz w:val="21"/>
                      <w:szCs w:val="21"/>
                      <w:highlight w:val="none"/>
                      <w:u w:val="none" w:color="auto"/>
                      <w:lang w:eastAsia="zh-CN"/>
                    </w:rPr>
                    <w:t>资源开发效率要求</w:t>
                  </w:r>
                </w:p>
              </w:tc>
              <w:tc>
                <w:tcPr>
                  <w:tcW w:w="2687" w:type="pct"/>
                  <w:tcBorders>
                    <w:tl2br w:val="nil"/>
                    <w:tr2bl w:val="nil"/>
                  </w:tcBorders>
                  <w:noWrap w:val="0"/>
                  <w:vAlign w:val="center"/>
                </w:tcPr>
                <w:p w14:paraId="6435085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rightChars="0"/>
                    <w:jc w:val="left"/>
                    <w:textAlignment w:val="auto"/>
                    <w:rPr>
                      <w:rFonts w:hint="default" w:ascii="Times New Roman" w:hAnsi="Times New Roman" w:eastAsia="宋体" w:cs="Times New Roman"/>
                      <w:bCs/>
                      <w:color w:val="auto"/>
                      <w:sz w:val="21"/>
                      <w:szCs w:val="21"/>
                      <w:highlight w:val="none"/>
                      <w:u w:val="none" w:color="auto"/>
                      <w:lang w:val="en-US" w:eastAsia="zh-CN"/>
                    </w:rPr>
                  </w:pPr>
                  <w:r>
                    <w:rPr>
                      <w:rFonts w:hint="eastAsia" w:ascii="Times New Roman" w:hAnsi="Times New Roman" w:eastAsia="宋体" w:cs="Times New Roman"/>
                      <w:bCs/>
                      <w:color w:val="auto"/>
                      <w:sz w:val="21"/>
                      <w:szCs w:val="21"/>
                      <w:highlight w:val="none"/>
                      <w:u w:val="none" w:color="auto"/>
                      <w:lang w:val="en-US" w:eastAsia="zh-CN"/>
                    </w:rPr>
                    <w:t>/</w:t>
                  </w:r>
                </w:p>
              </w:tc>
              <w:tc>
                <w:tcPr>
                  <w:tcW w:w="1215" w:type="pct"/>
                  <w:tcBorders>
                    <w:tl2br w:val="nil"/>
                    <w:tr2bl w:val="nil"/>
                  </w:tcBorders>
                  <w:noWrap w:val="0"/>
                  <w:vAlign w:val="center"/>
                </w:tcPr>
                <w:p w14:paraId="7D15FB9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Cs/>
                      <w:color w:val="auto"/>
                      <w:sz w:val="21"/>
                      <w:szCs w:val="21"/>
                      <w:highlight w:val="none"/>
                      <w:u w:val="none" w:color="auto"/>
                      <w:lang w:val="en-US" w:eastAsia="zh-CN"/>
                    </w:rPr>
                  </w:pPr>
                  <w:r>
                    <w:rPr>
                      <w:rFonts w:hint="eastAsia" w:ascii="Times New Roman" w:hAnsi="Times New Roman" w:eastAsia="宋体" w:cs="Times New Roman"/>
                      <w:bCs/>
                      <w:color w:val="auto"/>
                      <w:sz w:val="21"/>
                      <w:szCs w:val="21"/>
                      <w:highlight w:val="none"/>
                      <w:u w:val="none" w:color="auto"/>
                      <w:lang w:val="en-US" w:eastAsia="zh-CN"/>
                    </w:rPr>
                    <w:t>/</w:t>
                  </w:r>
                </w:p>
              </w:tc>
              <w:tc>
                <w:tcPr>
                  <w:tcW w:w="602" w:type="pct"/>
                  <w:tcBorders>
                    <w:tl2br w:val="nil"/>
                    <w:tr2bl w:val="nil"/>
                  </w:tcBorders>
                  <w:noWrap w:val="0"/>
                  <w:vAlign w:val="center"/>
                </w:tcPr>
                <w:p w14:paraId="7B3B7FA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bCs/>
                      <w:color w:val="auto"/>
                      <w:sz w:val="21"/>
                      <w:szCs w:val="21"/>
                      <w:highlight w:val="none"/>
                      <w:u w:val="none" w:color="auto"/>
                      <w:lang w:val="en-US" w:eastAsia="zh-CN"/>
                    </w:rPr>
                  </w:pPr>
                  <w:r>
                    <w:rPr>
                      <w:rFonts w:hint="eastAsia" w:ascii="Times New Roman" w:hAnsi="Times New Roman" w:eastAsia="宋体" w:cs="Times New Roman"/>
                      <w:bCs/>
                      <w:color w:val="auto"/>
                      <w:sz w:val="21"/>
                      <w:szCs w:val="21"/>
                      <w:highlight w:val="none"/>
                      <w:u w:val="none" w:color="auto"/>
                      <w:lang w:val="en-US" w:eastAsia="zh-CN"/>
                    </w:rPr>
                    <w:t>/</w:t>
                  </w:r>
                </w:p>
              </w:tc>
            </w:tr>
          </w:tbl>
          <w:p w14:paraId="301489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szCs w:val="24"/>
                <w:highlight w:val="none"/>
                <w:u w:val="none" w:color="auto"/>
              </w:rPr>
            </w:pPr>
            <w:r>
              <w:rPr>
                <w:rFonts w:hint="default" w:ascii="Times New Roman" w:hAnsi="Times New Roman" w:eastAsia="宋体" w:cs="Times New Roman"/>
                <w:bCs/>
                <w:color w:val="auto"/>
                <w:sz w:val="24"/>
                <w:szCs w:val="24"/>
                <w:highlight w:val="none"/>
                <w:u w:val="none" w:color="auto"/>
              </w:rPr>
              <w:t>由</w:t>
            </w:r>
            <w:r>
              <w:rPr>
                <w:rFonts w:hint="default" w:ascii="Times New Roman" w:hAnsi="Times New Roman" w:eastAsia="宋体" w:cs="Times New Roman"/>
                <w:bCs/>
                <w:color w:val="auto"/>
                <w:sz w:val="24"/>
                <w:szCs w:val="24"/>
                <w:highlight w:val="none"/>
                <w:u w:val="none" w:color="auto"/>
                <w:lang w:eastAsia="zh-CN"/>
              </w:rPr>
              <w:t>上表</w:t>
            </w:r>
            <w:r>
              <w:rPr>
                <w:rFonts w:hint="default" w:ascii="Times New Roman" w:hAnsi="Times New Roman" w:eastAsia="宋体" w:cs="Times New Roman"/>
                <w:bCs/>
                <w:color w:val="auto"/>
                <w:sz w:val="24"/>
                <w:szCs w:val="24"/>
                <w:highlight w:val="none"/>
                <w:u w:val="none" w:color="auto"/>
              </w:rPr>
              <w:t>可知，本工程建设与</w:t>
            </w:r>
            <w:r>
              <w:rPr>
                <w:rFonts w:hint="eastAsia" w:ascii="Times New Roman" w:hAnsi="Times New Roman" w:eastAsia="宋体" w:cs="Times New Roman"/>
                <w:bCs/>
                <w:color w:val="auto"/>
                <w:sz w:val="24"/>
                <w:szCs w:val="24"/>
                <w:highlight w:val="none"/>
                <w:u w:val="none" w:color="auto"/>
                <w:lang w:eastAsia="zh-CN"/>
              </w:rPr>
              <w:t>“</w:t>
            </w:r>
            <w:r>
              <w:rPr>
                <w:rFonts w:hint="default" w:ascii="Times New Roman" w:hAnsi="Times New Roman" w:eastAsia="宋体" w:cs="Times New Roman"/>
                <w:bCs/>
                <w:color w:val="auto"/>
                <w:sz w:val="24"/>
                <w:szCs w:val="24"/>
                <w:highlight w:val="none"/>
                <w:u w:val="none" w:color="auto"/>
              </w:rPr>
              <w:t>三线一单</w:t>
            </w:r>
            <w:r>
              <w:rPr>
                <w:rFonts w:hint="eastAsia" w:ascii="Times New Roman" w:hAnsi="Times New Roman" w:eastAsia="宋体" w:cs="Times New Roman"/>
                <w:bCs/>
                <w:color w:val="auto"/>
                <w:sz w:val="24"/>
                <w:szCs w:val="24"/>
                <w:highlight w:val="none"/>
                <w:u w:val="none" w:color="auto"/>
                <w:lang w:eastAsia="zh-CN"/>
              </w:rPr>
              <w:t>”</w:t>
            </w:r>
            <w:r>
              <w:rPr>
                <w:rFonts w:hint="default" w:ascii="Times New Roman" w:hAnsi="Times New Roman" w:eastAsia="宋体" w:cs="Times New Roman"/>
                <w:bCs/>
                <w:color w:val="auto"/>
                <w:sz w:val="24"/>
                <w:szCs w:val="24"/>
                <w:highlight w:val="none"/>
                <w:u w:val="none" w:color="auto"/>
              </w:rPr>
              <w:t>要求相符。</w:t>
            </w:r>
          </w:p>
          <w:p w14:paraId="5B76A6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szCs w:val="24"/>
                <w:highlight w:val="none"/>
                <w:u w:val="none" w:color="auto"/>
              </w:rPr>
            </w:pPr>
            <w:r>
              <w:rPr>
                <w:rFonts w:hint="eastAsia" w:ascii="Times New Roman" w:hAnsi="Times New Roman" w:eastAsia="宋体" w:cs="Times New Roman"/>
                <w:b w:val="0"/>
                <w:bCs/>
                <w:color w:val="auto"/>
                <w:sz w:val="24"/>
                <w:szCs w:val="24"/>
              </w:rPr>
              <w:t>综上，本项目满足《安阳市“三线一单”生态环境分区管控准入清单（2023年版）》（安环函〔202</w:t>
            </w:r>
            <w:r>
              <w:rPr>
                <w:rFonts w:hint="eastAsia" w:ascii="Times New Roman" w:hAnsi="Times New Roman" w:eastAsia="宋体" w:cs="Times New Roman"/>
                <w:b w:val="0"/>
                <w:bCs/>
                <w:color w:val="auto"/>
                <w:sz w:val="24"/>
                <w:szCs w:val="24"/>
                <w:lang w:val="en-US" w:eastAsia="zh-CN"/>
              </w:rPr>
              <w:t>3</w:t>
            </w:r>
            <w:r>
              <w:rPr>
                <w:rFonts w:hint="eastAsia" w:ascii="Times New Roman" w:hAnsi="Times New Roman" w:eastAsia="宋体" w:cs="Times New Roman"/>
                <w:b w:val="0"/>
                <w:bCs/>
                <w:color w:val="auto"/>
                <w:sz w:val="24"/>
                <w:szCs w:val="24"/>
              </w:rPr>
              <w:t>〕60号）相关要求</w:t>
            </w:r>
            <w:r>
              <w:rPr>
                <w:rFonts w:hint="eastAsia" w:ascii="Times New Roman" w:hAnsi="Times New Roman" w:eastAsia="宋体" w:cs="Times New Roman"/>
                <w:b w:val="0"/>
                <w:bCs/>
                <w:color w:val="auto"/>
                <w:sz w:val="24"/>
                <w:szCs w:val="24"/>
                <w:lang w:eastAsia="zh-CN"/>
              </w:rPr>
              <w:t>，符合汤阴县“三线一单”（生态保护红线、环境质量底线、资源利用上线和生态环境准入清单）要求</w:t>
            </w:r>
            <w:r>
              <w:rPr>
                <w:rFonts w:hint="eastAsia" w:ascii="Times New Roman" w:hAnsi="Times New Roman" w:eastAsia="宋体" w:cs="Times New Roman"/>
                <w:b w:val="0"/>
                <w:bCs/>
                <w:color w:val="auto"/>
                <w:sz w:val="24"/>
                <w:szCs w:val="24"/>
              </w:rPr>
              <w:t>。</w:t>
            </w:r>
          </w:p>
          <w:p w14:paraId="253FB847">
            <w:pPr>
              <w:keepNext w:val="0"/>
              <w:keepLines w:val="0"/>
              <w:pageBreakBefore w:val="0"/>
              <w:suppressLineNumbers w:val="0"/>
              <w:kinsoku/>
              <w:wordWrap/>
              <w:overflowPunct/>
              <w:topLinePunct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z w:val="24"/>
                <w:szCs w:val="24"/>
                <w:lang w:val="en-US" w:eastAsia="zh-CN"/>
              </w:rPr>
              <w:t>4.与严重污染（大气）环境淘汰工艺与设备要求符合性分析</w:t>
            </w:r>
          </w:p>
          <w:p w14:paraId="2BB7CD33">
            <w:pPr>
              <w:keepNext w:val="0"/>
              <w:keepLines w:val="0"/>
              <w:pageBreakBefore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根据《中华人民共和国大气污染防治法》（2018年版）中要求：国家对严重污染大气环境的工艺、设备和产品实行淘汰制度。经查阅《严重污染（大气）环境的淘汰工艺与设备名录》（第一批），项目所涉及的工艺、设备不属于名录中淘汰类，符合环保要求。</w:t>
            </w:r>
          </w:p>
          <w:p w14:paraId="37AF950A">
            <w:pPr>
              <w:keepNext w:val="0"/>
              <w:keepLines w:val="0"/>
              <w:widowControl w:val="0"/>
              <w:suppressLineNumbers w:val="0"/>
              <w:adjustRightInd w:val="0"/>
              <w:snapToGrid w:val="0"/>
              <w:spacing w:before="0" w:beforeAutospacing="0" w:after="0" w:afterAutospacing="0" w:line="360" w:lineRule="auto"/>
              <w:ind w:left="0" w:right="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b/>
                <w:bCs/>
                <w:color w:val="auto"/>
                <w:kern w:val="0"/>
                <w:sz w:val="24"/>
                <w:szCs w:val="24"/>
                <w:lang w:val="en-US" w:eastAsia="zh-CN" w:bidi="ar"/>
              </w:rPr>
              <w:t>5.</w:t>
            </w:r>
            <w:r>
              <w:rPr>
                <w:rFonts w:hint="default" w:ascii="Times New Roman" w:hAnsi="Times New Roman" w:eastAsia="宋体" w:cs="Times New Roman"/>
                <w:b/>
                <w:bCs/>
                <w:color w:val="auto"/>
                <w:kern w:val="2"/>
                <w:sz w:val="24"/>
                <w:szCs w:val="24"/>
                <w:lang w:val="en-US" w:eastAsia="zh-CN" w:bidi="ar"/>
              </w:rPr>
              <w:t>与《生态环境系统安全生产治本攻坚三年行动方案（2024-2026年）》（安环文〔2024〕62号）相符性分析</w:t>
            </w:r>
          </w:p>
          <w:p w14:paraId="52A8B3E5">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single"/>
              </w:rPr>
            </w:pPr>
            <w:r>
              <w:rPr>
                <w:rFonts w:hint="default" w:ascii="Times New Roman" w:hAnsi="Times New Roman" w:eastAsia="宋体" w:cs="Times New Roman"/>
                <w:color w:val="auto"/>
                <w:kern w:val="2"/>
                <w:sz w:val="24"/>
                <w:szCs w:val="24"/>
                <w:lang w:val="en-US" w:eastAsia="zh-CN" w:bidi="ar"/>
              </w:rPr>
              <w:t>按照《河南省安全生产治本攻坚三年行动方案（2024-2026年）生态环境系统子方案》、市安委会《安阳市安全生产治本攻坚三年行动实施细则（2024-2026年）》总体要求，安阳市生态环境局印发了《生态环境系统安全生产治本攻坚三年行动方案（2024-2026年）》（安环文〔2024〕62号），本项目建设内容与攻坚行动内容进行对照，相符性如下：</w:t>
            </w:r>
          </w:p>
          <w:p w14:paraId="0819DC9D">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cs="Times New Roman"/>
                <w:b/>
                <w:bCs/>
                <w:color w:val="auto"/>
                <w:kern w:val="2"/>
                <w:sz w:val="21"/>
                <w:szCs w:val="21"/>
                <w:lang w:val="en-US" w:eastAsia="zh-CN" w:bidi="ar"/>
              </w:rPr>
              <w:t xml:space="preserve">表7  </w:t>
            </w:r>
            <w:r>
              <w:rPr>
                <w:rFonts w:hint="default" w:ascii="Times New Roman" w:hAnsi="Times New Roman" w:eastAsia="宋体" w:cs="Times New Roman"/>
                <w:b/>
                <w:bCs/>
                <w:color w:val="auto"/>
                <w:kern w:val="2"/>
                <w:sz w:val="21"/>
                <w:szCs w:val="21"/>
                <w:lang w:val="en-US" w:eastAsia="zh-CN" w:bidi="ar"/>
              </w:rPr>
              <w:t>本项目与生态环境系统安全生产治本攻坚行动方案相符性分析</w:t>
            </w:r>
            <w:r>
              <w:rPr>
                <w:rFonts w:hint="eastAsia" w:ascii="Times New Roman" w:hAnsi="Times New Roman" w:eastAsia="宋体" w:cs="Times New Roman"/>
                <w:b/>
                <w:bCs/>
                <w:color w:val="auto"/>
                <w:kern w:val="2"/>
                <w:sz w:val="21"/>
                <w:szCs w:val="21"/>
                <w:lang w:val="en-US" w:eastAsia="zh-CN" w:bidi="ar"/>
              </w:rPr>
              <w:t>一览表</w:t>
            </w:r>
          </w:p>
          <w:tbl>
            <w:tblPr>
              <w:tblStyle w:val="27"/>
              <w:tblW w:w="8090" w:type="dxa"/>
              <w:jc w:val="center"/>
              <w:tblBorders>
                <w:top w:val="single" w:color="auto" w:sz="8" w:space="0"/>
                <w:left w:val="none" w:color="auto" w:sz="6" w:space="0"/>
                <w:bottom w:val="single" w:color="auto" w:sz="12" w:space="0"/>
                <w:right w:val="none" w:color="auto" w:sz="6" w:space="0"/>
                <w:insideH w:val="single" w:color="auto" w:sz="4" w:space="0"/>
                <w:insideV w:val="single" w:color="auto" w:sz="8" w:space="0"/>
              </w:tblBorders>
              <w:tblLayout w:type="fixed"/>
              <w:tblCellMar>
                <w:top w:w="0" w:type="dxa"/>
                <w:left w:w="108" w:type="dxa"/>
                <w:bottom w:w="0" w:type="dxa"/>
                <w:right w:w="108" w:type="dxa"/>
              </w:tblCellMar>
            </w:tblPr>
            <w:tblGrid>
              <w:gridCol w:w="846"/>
              <w:gridCol w:w="977"/>
              <w:gridCol w:w="3796"/>
              <w:gridCol w:w="1594"/>
              <w:gridCol w:w="877"/>
            </w:tblGrid>
            <w:tr w14:paraId="67CC1B02">
              <w:tblPrEx>
                <w:tblBorders>
                  <w:top w:val="single" w:color="auto" w:sz="8" w:space="0"/>
                  <w:left w:val="none" w:color="auto" w:sz="6" w:space="0"/>
                  <w:bottom w:val="single" w:color="auto" w:sz="12" w:space="0"/>
                  <w:right w:val="none" w:color="auto" w:sz="6" w:space="0"/>
                  <w:insideH w:val="single" w:color="auto" w:sz="4" w:space="0"/>
                  <w:insideV w:val="single" w:color="auto" w:sz="8" w:space="0"/>
                </w:tblBorders>
                <w:tblCellMar>
                  <w:top w:w="0" w:type="dxa"/>
                  <w:left w:w="108" w:type="dxa"/>
                  <w:bottom w:w="0" w:type="dxa"/>
                  <w:right w:w="108" w:type="dxa"/>
                </w:tblCellMar>
              </w:tblPrEx>
              <w:trPr>
                <w:trHeight w:val="277" w:hRule="atLeast"/>
                <w:jc w:val="center"/>
              </w:trPr>
              <w:tc>
                <w:tcPr>
                  <w:tcW w:w="5619" w:type="dxa"/>
                  <w:gridSpan w:val="3"/>
                  <w:tcBorders>
                    <w:top w:val="single" w:color="auto" w:sz="8" w:space="0"/>
                    <w:left w:val="nil"/>
                    <w:bottom w:val="single" w:color="auto" w:sz="4" w:space="0"/>
                    <w:right w:val="single" w:color="auto" w:sz="8" w:space="0"/>
                  </w:tcBorders>
                  <w:noWrap w:val="0"/>
                  <w:vAlign w:val="center"/>
                </w:tcPr>
                <w:p w14:paraId="43EFEA67">
                  <w:pPr>
                    <w:keepNext w:val="0"/>
                    <w:keepLines w:val="0"/>
                    <w:widowControl w:val="0"/>
                    <w:suppressLineNumbers w:val="0"/>
                    <w:autoSpaceDE w:val="0"/>
                    <w:autoSpaceDN/>
                    <w:adjustRightInd w:val="0"/>
                    <w:snapToGrid w:val="0"/>
                    <w:spacing w:before="0" w:beforeAutospacing="0" w:after="0" w:afterAutospacing="0"/>
                    <w:ind w:left="0" w:right="0" w:firstLine="0" w:firstLineChars="0"/>
                    <w:jc w:val="center"/>
                    <w:rPr>
                      <w:rFonts w:hint="default" w:ascii="Times New Roman" w:hAnsi="Times New Roman" w:eastAsia="宋体" w:cs="Times New Roman"/>
                      <w:b w:val="0"/>
                      <w:bCs w:val="0"/>
                      <w:color w:val="auto"/>
                      <w:kern w:val="0"/>
                      <w:sz w:val="21"/>
                      <w:szCs w:val="21"/>
                      <w:u w:val="none"/>
                      <w:lang w:val="en-US" w:eastAsia="zh-CN" w:bidi="ar-SA"/>
                    </w:rPr>
                  </w:pPr>
                  <w:r>
                    <w:rPr>
                      <w:rFonts w:hint="default" w:ascii="Times New Roman" w:hAnsi="Times New Roman" w:eastAsia="宋体" w:cs="Times New Roman"/>
                      <w:b w:val="0"/>
                      <w:bCs w:val="0"/>
                      <w:color w:val="auto"/>
                      <w:kern w:val="0"/>
                      <w:sz w:val="21"/>
                      <w:szCs w:val="21"/>
                      <w:u w:val="none"/>
                      <w:lang w:val="en-US" w:eastAsia="zh-CN" w:bidi="ar"/>
                    </w:rPr>
                    <w:t>攻坚任务</w:t>
                  </w:r>
                </w:p>
              </w:tc>
              <w:tc>
                <w:tcPr>
                  <w:tcW w:w="1594" w:type="dxa"/>
                  <w:tcBorders>
                    <w:top w:val="single" w:color="auto" w:sz="8" w:space="0"/>
                    <w:left w:val="single" w:color="auto" w:sz="8" w:space="0"/>
                    <w:bottom w:val="single" w:color="auto" w:sz="4" w:space="0"/>
                    <w:right w:val="single" w:color="auto" w:sz="8" w:space="0"/>
                  </w:tcBorders>
                  <w:noWrap w:val="0"/>
                  <w:vAlign w:val="center"/>
                </w:tcPr>
                <w:p w14:paraId="0722EA71">
                  <w:pPr>
                    <w:keepNext w:val="0"/>
                    <w:keepLines w:val="0"/>
                    <w:widowControl w:val="0"/>
                    <w:suppressLineNumbers w:val="0"/>
                    <w:autoSpaceDE w:val="0"/>
                    <w:autoSpaceDN/>
                    <w:adjustRightInd w:val="0"/>
                    <w:snapToGrid w:val="0"/>
                    <w:spacing w:before="0" w:beforeAutospacing="0" w:after="0" w:afterAutospacing="0"/>
                    <w:ind w:left="0" w:right="0" w:firstLine="0" w:firstLineChars="0"/>
                    <w:jc w:val="center"/>
                    <w:rPr>
                      <w:rFonts w:hint="default" w:ascii="Times New Roman" w:hAnsi="Times New Roman" w:eastAsia="宋体" w:cs="Times New Roman"/>
                      <w:b w:val="0"/>
                      <w:bCs w:val="0"/>
                      <w:color w:val="auto"/>
                      <w:kern w:val="0"/>
                      <w:sz w:val="21"/>
                      <w:szCs w:val="21"/>
                      <w:u w:val="none"/>
                      <w:lang w:val="en-US" w:eastAsia="zh-CN" w:bidi="ar-SA"/>
                    </w:rPr>
                  </w:pPr>
                  <w:r>
                    <w:rPr>
                      <w:rFonts w:hint="default" w:ascii="Times New Roman" w:hAnsi="Times New Roman" w:eastAsia="宋体" w:cs="Times New Roman"/>
                      <w:b w:val="0"/>
                      <w:bCs w:val="0"/>
                      <w:color w:val="auto"/>
                      <w:kern w:val="0"/>
                      <w:sz w:val="21"/>
                      <w:szCs w:val="21"/>
                      <w:u w:val="none"/>
                      <w:lang w:val="en-US" w:eastAsia="zh-CN" w:bidi="ar"/>
                    </w:rPr>
                    <w:t>本项目</w:t>
                  </w:r>
                </w:p>
              </w:tc>
              <w:tc>
                <w:tcPr>
                  <w:tcW w:w="877" w:type="dxa"/>
                  <w:tcBorders>
                    <w:top w:val="single" w:color="auto" w:sz="8" w:space="0"/>
                    <w:left w:val="single" w:color="auto" w:sz="8" w:space="0"/>
                    <w:bottom w:val="single" w:color="auto" w:sz="4" w:space="0"/>
                    <w:right w:val="nil"/>
                  </w:tcBorders>
                  <w:noWrap w:val="0"/>
                  <w:vAlign w:val="center"/>
                </w:tcPr>
                <w:p w14:paraId="13F98C03">
                  <w:pPr>
                    <w:keepNext w:val="0"/>
                    <w:keepLines w:val="0"/>
                    <w:widowControl w:val="0"/>
                    <w:suppressLineNumbers w:val="0"/>
                    <w:autoSpaceDE w:val="0"/>
                    <w:autoSpaceDN/>
                    <w:adjustRightInd w:val="0"/>
                    <w:snapToGrid w:val="0"/>
                    <w:spacing w:before="0" w:beforeAutospacing="0" w:after="0" w:afterAutospacing="0"/>
                    <w:ind w:left="0" w:right="0" w:firstLine="0" w:firstLineChars="0"/>
                    <w:jc w:val="center"/>
                    <w:rPr>
                      <w:rFonts w:hint="default" w:ascii="Times New Roman" w:hAnsi="Times New Roman" w:eastAsia="宋体" w:cs="Times New Roman"/>
                      <w:b w:val="0"/>
                      <w:bCs w:val="0"/>
                      <w:color w:val="auto"/>
                      <w:kern w:val="0"/>
                      <w:sz w:val="21"/>
                      <w:szCs w:val="21"/>
                      <w:u w:val="none"/>
                      <w:lang w:val="en-US" w:eastAsia="zh-CN" w:bidi="ar-SA"/>
                    </w:rPr>
                  </w:pPr>
                  <w:r>
                    <w:rPr>
                      <w:rFonts w:hint="default" w:ascii="Times New Roman" w:hAnsi="Times New Roman" w:eastAsia="宋体" w:cs="Times New Roman"/>
                      <w:b w:val="0"/>
                      <w:bCs w:val="0"/>
                      <w:color w:val="auto"/>
                      <w:kern w:val="0"/>
                      <w:sz w:val="21"/>
                      <w:szCs w:val="21"/>
                      <w:u w:val="none"/>
                      <w:lang w:val="en-US" w:eastAsia="zh-CN" w:bidi="ar"/>
                    </w:rPr>
                    <w:t>相符性</w:t>
                  </w:r>
                </w:p>
              </w:tc>
            </w:tr>
            <w:tr w14:paraId="0845D86F">
              <w:tblPrEx>
                <w:tblBorders>
                  <w:top w:val="single" w:color="auto" w:sz="8" w:space="0"/>
                  <w:left w:val="none" w:color="auto" w:sz="6" w:space="0"/>
                  <w:bottom w:val="single" w:color="auto" w:sz="12" w:space="0"/>
                  <w:right w:val="none" w:color="auto" w:sz="6" w:space="0"/>
                  <w:insideH w:val="single" w:color="auto" w:sz="4" w:space="0"/>
                  <w:insideV w:val="single" w:color="auto" w:sz="8" w:space="0"/>
                </w:tblBorders>
                <w:tblCellMar>
                  <w:top w:w="0" w:type="dxa"/>
                  <w:left w:w="108" w:type="dxa"/>
                  <w:bottom w:w="0" w:type="dxa"/>
                  <w:right w:w="108" w:type="dxa"/>
                </w:tblCellMar>
              </w:tblPrEx>
              <w:trPr>
                <w:trHeight w:val="90" w:hRule="atLeast"/>
                <w:jc w:val="center"/>
              </w:trPr>
              <w:tc>
                <w:tcPr>
                  <w:tcW w:w="846" w:type="dxa"/>
                  <w:tcBorders>
                    <w:top w:val="single" w:color="auto" w:sz="4" w:space="0"/>
                    <w:left w:val="nil"/>
                    <w:bottom w:val="single" w:color="auto" w:sz="4" w:space="0"/>
                    <w:right w:val="single" w:color="auto" w:sz="8" w:space="0"/>
                  </w:tcBorders>
                  <w:noWrap w:val="0"/>
                  <w:vAlign w:val="center"/>
                </w:tcPr>
                <w:p w14:paraId="6986A068">
                  <w:pPr>
                    <w:keepNext w:val="0"/>
                    <w:keepLines w:val="0"/>
                    <w:widowControl w:val="0"/>
                    <w:suppressLineNumbers w:val="0"/>
                    <w:autoSpaceDE w:val="0"/>
                    <w:autoSpaceDN/>
                    <w:adjustRightInd w:val="0"/>
                    <w:snapToGrid w:val="0"/>
                    <w:spacing w:before="0" w:beforeAutospacing="0" w:after="0" w:afterAutospacing="0"/>
                    <w:ind w:left="0" w:right="0" w:firstLine="0" w:firstLineChars="0"/>
                    <w:jc w:val="center"/>
                    <w:rPr>
                      <w:rFonts w:hint="default" w:ascii="Times New Roman" w:hAnsi="Times New Roman" w:eastAsia="宋体" w:cs="Times New Roman"/>
                      <w:b w:val="0"/>
                      <w:bCs w:val="0"/>
                      <w:color w:val="auto"/>
                      <w:spacing w:val="0"/>
                      <w:kern w:val="2"/>
                      <w:sz w:val="21"/>
                      <w:szCs w:val="21"/>
                      <w:u w:val="none"/>
                      <w:lang w:val="en-US" w:eastAsia="zh-CN" w:bidi="ar-SA"/>
                    </w:rPr>
                  </w:pPr>
                  <w:r>
                    <w:rPr>
                      <w:rFonts w:hint="default" w:ascii="Times New Roman" w:hAnsi="Times New Roman" w:eastAsia="宋体" w:cs="Times New Roman"/>
                      <w:b w:val="0"/>
                      <w:bCs w:val="0"/>
                      <w:color w:val="auto"/>
                      <w:spacing w:val="0"/>
                      <w:kern w:val="2"/>
                      <w:sz w:val="21"/>
                      <w:szCs w:val="21"/>
                      <w:u w:val="none"/>
                      <w:lang w:val="en-US" w:eastAsia="zh-CN" w:bidi="ar"/>
                    </w:rPr>
                    <w:t>（四）强化重点环保设施设备环境风险监管</w:t>
                  </w:r>
                </w:p>
              </w:tc>
              <w:tc>
                <w:tcPr>
                  <w:tcW w:w="977" w:type="dxa"/>
                  <w:tcBorders>
                    <w:top w:val="single" w:color="auto" w:sz="4" w:space="0"/>
                    <w:left w:val="single" w:color="auto" w:sz="8" w:space="0"/>
                    <w:bottom w:val="single" w:color="auto" w:sz="4" w:space="0"/>
                    <w:right w:val="single" w:color="auto" w:sz="8" w:space="0"/>
                  </w:tcBorders>
                  <w:noWrap w:val="0"/>
                  <w:vAlign w:val="center"/>
                </w:tcPr>
                <w:p w14:paraId="205BBBAB">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0"/>
                      <w:kern w:val="2"/>
                      <w:sz w:val="21"/>
                      <w:szCs w:val="21"/>
                      <w:u w:val="none"/>
                    </w:rPr>
                  </w:pPr>
                  <w:r>
                    <w:rPr>
                      <w:rFonts w:hint="default" w:ascii="Times New Roman" w:hAnsi="Times New Roman" w:eastAsia="宋体" w:cs="Times New Roman"/>
                      <w:b w:val="0"/>
                      <w:bCs w:val="0"/>
                      <w:color w:val="auto"/>
                      <w:spacing w:val="0"/>
                      <w:kern w:val="2"/>
                      <w:sz w:val="21"/>
                      <w:szCs w:val="21"/>
                      <w:u w:val="none"/>
                      <w:lang w:val="en-US" w:eastAsia="zh-CN" w:bidi="ar"/>
                    </w:rPr>
                    <w:t>强化重点环保设施、项目环境风险评估和隐患排查工作。</w:t>
                  </w:r>
                </w:p>
              </w:tc>
              <w:tc>
                <w:tcPr>
                  <w:tcW w:w="3796" w:type="dxa"/>
                  <w:tcBorders>
                    <w:top w:val="single" w:color="auto" w:sz="4" w:space="0"/>
                    <w:left w:val="single" w:color="auto" w:sz="8" w:space="0"/>
                    <w:bottom w:val="single" w:color="auto" w:sz="4" w:space="0"/>
                    <w:right w:val="single" w:color="auto" w:sz="8" w:space="0"/>
                  </w:tcBorders>
                  <w:noWrap w:val="0"/>
                  <w:vAlign w:val="center"/>
                </w:tcPr>
                <w:p w14:paraId="408CA46C">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b w:val="0"/>
                      <w:bCs w:val="0"/>
                      <w:color w:val="auto"/>
                      <w:spacing w:val="0"/>
                      <w:kern w:val="2"/>
                      <w:sz w:val="21"/>
                      <w:szCs w:val="21"/>
                      <w:u w:val="none"/>
                    </w:rPr>
                  </w:pPr>
                  <w:r>
                    <w:rPr>
                      <w:rFonts w:hint="default" w:ascii="Times New Roman" w:hAnsi="Times New Roman" w:eastAsia="宋体" w:cs="Times New Roman"/>
                      <w:b w:val="0"/>
                      <w:bCs w:val="0"/>
                      <w:color w:val="auto"/>
                      <w:spacing w:val="0"/>
                      <w:kern w:val="2"/>
                      <w:sz w:val="21"/>
                      <w:szCs w:val="21"/>
                      <w:u w:val="none"/>
                      <w:lang w:val="en-US" w:eastAsia="zh-CN" w:bidi="ar"/>
                    </w:rPr>
                    <w:t>每年4-10月组织开展检查。一是对重点排污单位的脱硫脱硝、煤改气、挥发性有机物回收、污水处理、化工行业污染物治理、粉尘治理、RT</w:t>
                  </w:r>
                  <w:r>
                    <w:rPr>
                      <w:rFonts w:hint="eastAsia" w:cs="Times New Roman"/>
                      <w:b w:val="0"/>
                      <w:bCs w:val="0"/>
                      <w:color w:val="auto"/>
                      <w:spacing w:val="0"/>
                      <w:kern w:val="2"/>
                      <w:sz w:val="21"/>
                      <w:szCs w:val="21"/>
                      <w:u w:val="none"/>
                      <w:lang w:val="en-US" w:eastAsia="zh-CN" w:bidi="ar"/>
                    </w:rPr>
                    <w:t>O</w:t>
                  </w:r>
                  <w:r>
                    <w:rPr>
                      <w:rFonts w:hint="default" w:ascii="Times New Roman" w:hAnsi="Times New Roman" w:eastAsia="宋体" w:cs="Times New Roman"/>
                      <w:b w:val="0"/>
                      <w:bCs w:val="0"/>
                      <w:color w:val="auto"/>
                      <w:spacing w:val="0"/>
                      <w:kern w:val="2"/>
                      <w:sz w:val="21"/>
                      <w:szCs w:val="21"/>
                      <w:u w:val="none"/>
                      <w:lang w:val="en-US" w:eastAsia="zh-CN" w:bidi="ar"/>
                    </w:rPr>
                    <w:t>焚烧炉等七类环境治理项目及其配套设施开展日常检查。二是各级生态环境部门帮扶指导辖区内涉及高温、高压、易燃易爆有毒物质等专用设施设备，工业园区污水收集管网及处理设施，危险废物贮存、利用、处置场所等重点排污单位认真做好重点环保设施及项目的安全风险评估和隐患排查治理整改工作，建立台账，对存在问题的跟踪督办，并及时通报应急管理部门。三是帮扶指导重点排污单位对排查出的问题，制定切实可行的整改方案，明确责任人和整改完成时限。</w:t>
                  </w:r>
                </w:p>
              </w:tc>
              <w:tc>
                <w:tcPr>
                  <w:tcW w:w="1594" w:type="dxa"/>
                  <w:tcBorders>
                    <w:top w:val="single" w:color="auto" w:sz="4" w:space="0"/>
                    <w:left w:val="single" w:color="auto" w:sz="8" w:space="0"/>
                    <w:bottom w:val="single" w:color="auto" w:sz="4" w:space="0"/>
                    <w:right w:val="single" w:color="auto" w:sz="8" w:space="0"/>
                  </w:tcBorders>
                  <w:noWrap w:val="0"/>
                  <w:vAlign w:val="center"/>
                </w:tcPr>
                <w:p w14:paraId="7CD38C5B">
                  <w:pPr>
                    <w:keepNext w:val="0"/>
                    <w:keepLines w:val="0"/>
                    <w:widowControl w:val="0"/>
                    <w:suppressLineNumbers w:val="0"/>
                    <w:autoSpaceDE w:val="0"/>
                    <w:autoSpaceDN/>
                    <w:adjustRightInd w:val="0"/>
                    <w:snapToGrid w:val="0"/>
                    <w:spacing w:before="0" w:beforeAutospacing="0" w:after="0" w:afterAutospacing="0"/>
                    <w:ind w:left="0" w:right="0" w:firstLine="0" w:firstLineChars="0"/>
                    <w:jc w:val="both"/>
                    <w:rPr>
                      <w:rFonts w:hint="default" w:ascii="Times New Roman" w:hAnsi="Times New Roman" w:eastAsia="宋体" w:cs="Times New Roman"/>
                      <w:b w:val="0"/>
                      <w:bCs w:val="0"/>
                      <w:color w:val="auto"/>
                      <w:kern w:val="0"/>
                      <w:sz w:val="21"/>
                      <w:szCs w:val="21"/>
                      <w:u w:val="none"/>
                      <w:lang w:val="en-US" w:eastAsia="zh-CN" w:bidi="ar-SA"/>
                    </w:rPr>
                  </w:pPr>
                  <w:r>
                    <w:rPr>
                      <w:rFonts w:hint="eastAsia"/>
                      <w:b w:val="0"/>
                      <w:bCs w:val="0"/>
                      <w:color w:val="auto"/>
                      <w:szCs w:val="24"/>
                      <w:u w:val="none"/>
                      <w:lang w:eastAsia="zh-CN"/>
                    </w:rPr>
                    <w:t>本项目采用酸洗磷化后弹簧钢盘圆，表面无油污，在拉拔时添加拉丝粉</w:t>
                  </w:r>
                  <w:r>
                    <w:rPr>
                      <w:rFonts w:hint="eastAsia"/>
                      <w:b w:val="0"/>
                      <w:bCs w:val="0"/>
                      <w:color w:val="auto"/>
                      <w:szCs w:val="24"/>
                      <w:u w:val="none"/>
                      <w:lang w:val="en-US" w:eastAsia="zh-CN"/>
                    </w:rPr>
                    <w:t>0.03t/a</w:t>
                  </w:r>
                  <w:r>
                    <w:rPr>
                      <w:rFonts w:hint="eastAsia"/>
                      <w:b w:val="0"/>
                      <w:bCs w:val="0"/>
                      <w:color w:val="auto"/>
                      <w:szCs w:val="24"/>
                      <w:u w:val="none"/>
                      <w:lang w:eastAsia="zh-CN"/>
                    </w:rPr>
                    <w:t>，主要成分为硬脂酸钙与氢氧化钙，每次取少量拉丝粉至密闭容器，颗粒物排放量极少，可以忽略不计；在热处理过程中拉丝粉分解成</w:t>
                  </w:r>
                  <w:r>
                    <w:rPr>
                      <w:rFonts w:hint="eastAsia"/>
                      <w:b w:val="0"/>
                      <w:bCs w:val="0"/>
                      <w:color w:val="auto"/>
                      <w:szCs w:val="24"/>
                      <w:u w:val="none"/>
                      <w:lang w:val="en-US" w:eastAsia="zh-CN"/>
                    </w:rPr>
                    <w:t>CaO、CO</w:t>
                  </w:r>
                  <w:r>
                    <w:rPr>
                      <w:rFonts w:hint="eastAsia"/>
                      <w:b w:val="0"/>
                      <w:bCs w:val="0"/>
                      <w:color w:val="auto"/>
                      <w:szCs w:val="24"/>
                      <w:u w:val="none"/>
                      <w:vertAlign w:val="subscript"/>
                      <w:lang w:val="en-US" w:eastAsia="zh-CN"/>
                    </w:rPr>
                    <w:t>2</w:t>
                  </w:r>
                  <w:r>
                    <w:rPr>
                      <w:rFonts w:hint="eastAsia"/>
                      <w:b w:val="0"/>
                      <w:bCs w:val="0"/>
                      <w:color w:val="auto"/>
                      <w:szCs w:val="24"/>
                      <w:u w:val="none"/>
                      <w:vertAlign w:val="baseline"/>
                      <w:lang w:val="en-US" w:eastAsia="zh-CN"/>
                    </w:rPr>
                    <w:t>与水蒸气</w:t>
                  </w:r>
                  <w:r>
                    <w:rPr>
                      <w:rFonts w:hint="eastAsia" w:cs="Times New Roman"/>
                      <w:b w:val="0"/>
                      <w:bCs w:val="0"/>
                      <w:color w:val="auto"/>
                      <w:kern w:val="0"/>
                      <w:sz w:val="21"/>
                      <w:szCs w:val="21"/>
                      <w:u w:val="none"/>
                      <w:lang w:val="en-US" w:eastAsia="zh-CN" w:bidi="ar"/>
                    </w:rPr>
                    <w:t>；循环水池进行日常检查；本项目无危险废物。</w:t>
                  </w:r>
                </w:p>
              </w:tc>
              <w:tc>
                <w:tcPr>
                  <w:tcW w:w="877" w:type="dxa"/>
                  <w:tcBorders>
                    <w:top w:val="single" w:color="auto" w:sz="4" w:space="0"/>
                    <w:left w:val="single" w:color="auto" w:sz="8" w:space="0"/>
                    <w:bottom w:val="single" w:color="auto" w:sz="4" w:space="0"/>
                    <w:right w:val="nil"/>
                  </w:tcBorders>
                  <w:noWrap w:val="0"/>
                  <w:vAlign w:val="center"/>
                </w:tcPr>
                <w:p w14:paraId="71FFD7FE">
                  <w:pPr>
                    <w:keepNext w:val="0"/>
                    <w:keepLines w:val="0"/>
                    <w:widowControl w:val="0"/>
                    <w:suppressLineNumbers w:val="0"/>
                    <w:autoSpaceDE w:val="0"/>
                    <w:autoSpaceDN/>
                    <w:adjustRightInd w:val="0"/>
                    <w:snapToGrid w:val="0"/>
                    <w:spacing w:before="0" w:beforeAutospacing="0" w:after="0" w:afterAutospacing="0"/>
                    <w:ind w:left="0" w:right="0" w:firstLine="0" w:firstLineChars="0"/>
                    <w:jc w:val="center"/>
                    <w:rPr>
                      <w:rFonts w:hint="default" w:ascii="Times New Roman" w:hAnsi="Times New Roman" w:eastAsia="宋体" w:cs="Times New Roman"/>
                      <w:b w:val="0"/>
                      <w:bCs w:val="0"/>
                      <w:color w:val="auto"/>
                      <w:kern w:val="0"/>
                      <w:sz w:val="21"/>
                      <w:szCs w:val="21"/>
                      <w:u w:val="none"/>
                      <w:lang w:val="en-US" w:eastAsia="zh-CN" w:bidi="ar-SA"/>
                    </w:rPr>
                  </w:pPr>
                  <w:r>
                    <w:rPr>
                      <w:rFonts w:hint="default" w:ascii="Times New Roman" w:hAnsi="Times New Roman" w:eastAsia="宋体" w:cs="Times New Roman"/>
                      <w:b w:val="0"/>
                      <w:bCs w:val="0"/>
                      <w:color w:val="auto"/>
                      <w:kern w:val="0"/>
                      <w:sz w:val="21"/>
                      <w:szCs w:val="21"/>
                      <w:u w:val="none"/>
                      <w:lang w:val="en-US" w:eastAsia="zh-CN" w:bidi="ar"/>
                    </w:rPr>
                    <w:t>相符</w:t>
                  </w:r>
                </w:p>
              </w:tc>
            </w:tr>
            <w:tr w14:paraId="47BFDB4D">
              <w:tblPrEx>
                <w:tblBorders>
                  <w:top w:val="single" w:color="auto" w:sz="8" w:space="0"/>
                  <w:left w:val="none" w:color="auto" w:sz="6" w:space="0"/>
                  <w:bottom w:val="single" w:color="auto" w:sz="12" w:space="0"/>
                  <w:right w:val="none" w:color="auto" w:sz="6" w:space="0"/>
                  <w:insideH w:val="single" w:color="auto" w:sz="4" w:space="0"/>
                  <w:insideV w:val="single" w:color="auto" w:sz="8" w:space="0"/>
                </w:tblBorders>
                <w:tblCellMar>
                  <w:top w:w="0" w:type="dxa"/>
                  <w:left w:w="108" w:type="dxa"/>
                  <w:bottom w:w="0" w:type="dxa"/>
                  <w:right w:w="108" w:type="dxa"/>
                </w:tblCellMar>
              </w:tblPrEx>
              <w:trPr>
                <w:trHeight w:val="450" w:hRule="atLeast"/>
                <w:jc w:val="center"/>
              </w:trPr>
              <w:tc>
                <w:tcPr>
                  <w:tcW w:w="846" w:type="dxa"/>
                  <w:tcBorders>
                    <w:top w:val="single" w:color="auto" w:sz="4" w:space="0"/>
                    <w:left w:val="nil"/>
                    <w:bottom w:val="single" w:color="auto" w:sz="4" w:space="0"/>
                    <w:right w:val="single" w:color="auto" w:sz="8" w:space="0"/>
                  </w:tcBorders>
                  <w:noWrap w:val="0"/>
                  <w:vAlign w:val="center"/>
                </w:tcPr>
                <w:p w14:paraId="5A0849D4">
                  <w:pPr>
                    <w:pStyle w:val="23"/>
                    <w:keepNext w:val="0"/>
                    <w:keepLines w:val="0"/>
                    <w:widowControl w:val="0"/>
                    <w:suppressLineNumbers w:val="0"/>
                    <w:autoSpaceDE w:val="0"/>
                    <w:autoSpaceDN/>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pacing w:val="0"/>
                      <w:kern w:val="2"/>
                      <w:sz w:val="21"/>
                      <w:szCs w:val="21"/>
                      <w:u w:val="none"/>
                      <w:lang w:val="en-US" w:eastAsia="zh-CN" w:bidi="ar-SA"/>
                    </w:rPr>
                  </w:pPr>
                  <w:r>
                    <w:rPr>
                      <w:rFonts w:hint="eastAsia" w:ascii="Times New Roman" w:hAnsi="Times New Roman" w:cs="Times New Roman"/>
                      <w:b w:val="0"/>
                      <w:bCs w:val="0"/>
                      <w:color w:val="auto"/>
                      <w:spacing w:val="0"/>
                      <w:kern w:val="2"/>
                      <w:sz w:val="21"/>
                      <w:szCs w:val="21"/>
                      <w:u w:val="none"/>
                      <w:lang w:val="en-US" w:eastAsia="zh-CN" w:bidi="ar"/>
                    </w:rPr>
                    <w:t>（</w:t>
                  </w:r>
                  <w:r>
                    <w:rPr>
                      <w:rFonts w:hint="default" w:ascii="Times New Roman" w:hAnsi="Times New Roman" w:eastAsia="宋体" w:cs="Times New Roman"/>
                      <w:b w:val="0"/>
                      <w:bCs w:val="0"/>
                      <w:color w:val="auto"/>
                      <w:spacing w:val="0"/>
                      <w:kern w:val="2"/>
                      <w:sz w:val="21"/>
                      <w:szCs w:val="21"/>
                      <w:u w:val="none"/>
                      <w:lang w:val="en-US" w:eastAsia="zh-CN" w:bidi="ar"/>
                    </w:rPr>
                    <w:t>五</w:t>
                  </w:r>
                  <w:r>
                    <w:rPr>
                      <w:rFonts w:hint="eastAsia" w:ascii="Times New Roman" w:hAnsi="Times New Roman" w:cs="Times New Roman"/>
                      <w:b w:val="0"/>
                      <w:bCs w:val="0"/>
                      <w:color w:val="auto"/>
                      <w:spacing w:val="0"/>
                      <w:kern w:val="2"/>
                      <w:sz w:val="21"/>
                      <w:szCs w:val="21"/>
                      <w:u w:val="none"/>
                      <w:lang w:val="en-US" w:eastAsia="zh-CN" w:bidi="ar"/>
                    </w:rPr>
                    <w:t>）</w:t>
                  </w:r>
                  <w:r>
                    <w:rPr>
                      <w:rFonts w:hint="default" w:ascii="Times New Roman" w:hAnsi="Times New Roman" w:eastAsia="宋体" w:cs="Times New Roman"/>
                      <w:b w:val="0"/>
                      <w:bCs w:val="0"/>
                      <w:color w:val="auto"/>
                      <w:spacing w:val="0"/>
                      <w:kern w:val="2"/>
                      <w:sz w:val="21"/>
                      <w:szCs w:val="21"/>
                      <w:u w:val="none"/>
                      <w:lang w:val="en-US" w:eastAsia="zh-CN" w:bidi="ar"/>
                    </w:rPr>
                    <w:t>严格审批，守牢底线</w:t>
                  </w:r>
                </w:p>
              </w:tc>
              <w:tc>
                <w:tcPr>
                  <w:tcW w:w="4773" w:type="dxa"/>
                  <w:gridSpan w:val="2"/>
                  <w:tcBorders>
                    <w:top w:val="single" w:color="auto" w:sz="4" w:space="0"/>
                    <w:left w:val="single" w:color="auto" w:sz="8" w:space="0"/>
                    <w:bottom w:val="single" w:color="auto" w:sz="4" w:space="0"/>
                    <w:right w:val="single" w:color="auto" w:sz="8" w:space="0"/>
                  </w:tcBorders>
                  <w:noWrap w:val="0"/>
                  <w:vAlign w:val="center"/>
                </w:tcPr>
                <w:p w14:paraId="1CFDC36D">
                  <w:pPr>
                    <w:keepNext w:val="0"/>
                    <w:keepLines w:val="0"/>
                    <w:widowControl w:val="0"/>
                    <w:suppressLineNumbers w:val="0"/>
                    <w:autoSpaceDE w:val="0"/>
                    <w:autoSpaceDN/>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b w:val="0"/>
                      <w:bCs w:val="0"/>
                      <w:color w:val="auto"/>
                      <w:spacing w:val="0"/>
                      <w:kern w:val="2"/>
                      <w:sz w:val="21"/>
                      <w:szCs w:val="21"/>
                      <w:u w:val="none"/>
                      <w:lang w:val="en-US" w:eastAsia="zh-CN" w:bidi="ar-SA"/>
                    </w:rPr>
                  </w:pPr>
                  <w:r>
                    <w:rPr>
                      <w:rFonts w:hint="default" w:ascii="Times New Roman" w:hAnsi="Times New Roman" w:eastAsia="宋体" w:cs="Times New Roman"/>
                      <w:b w:val="0"/>
                      <w:bCs w:val="0"/>
                      <w:color w:val="auto"/>
                      <w:spacing w:val="0"/>
                      <w:kern w:val="2"/>
                      <w:sz w:val="21"/>
                      <w:szCs w:val="21"/>
                      <w:u w:val="none"/>
                      <w:lang w:val="en-US" w:eastAsia="zh-CN" w:bidi="ar"/>
                    </w:rPr>
                    <w:t>13.坚决把严把牢生态环境准入关，推动各类产业园区依法依规开展规划环评，指导督促建设项目环评提出落实环保设施安全生产的工作要求和环境风险防范措施，强化源头防控，防范环境风险。</w:t>
                  </w:r>
                </w:p>
              </w:tc>
              <w:tc>
                <w:tcPr>
                  <w:tcW w:w="1594" w:type="dxa"/>
                  <w:tcBorders>
                    <w:top w:val="single" w:color="auto" w:sz="4" w:space="0"/>
                    <w:left w:val="single" w:color="auto" w:sz="8" w:space="0"/>
                    <w:bottom w:val="single" w:color="auto" w:sz="4" w:space="0"/>
                    <w:right w:val="single" w:color="auto" w:sz="8" w:space="0"/>
                  </w:tcBorders>
                  <w:noWrap w:val="0"/>
                  <w:vAlign w:val="center"/>
                </w:tcPr>
                <w:p w14:paraId="5F79F8E9">
                  <w:pPr>
                    <w:pStyle w:val="23"/>
                    <w:keepNext w:val="0"/>
                    <w:keepLines w:val="0"/>
                    <w:widowControl w:val="0"/>
                    <w:suppressLineNumbers w:val="0"/>
                    <w:autoSpaceDE w:val="0"/>
                    <w:autoSpaceDN/>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b w:val="0"/>
                      <w:bCs w:val="0"/>
                      <w:color w:val="auto"/>
                      <w:kern w:val="0"/>
                      <w:sz w:val="21"/>
                      <w:szCs w:val="21"/>
                      <w:u w:val="none"/>
                      <w:lang w:val="en-US" w:eastAsia="zh-CN" w:bidi="ar-SA"/>
                    </w:rPr>
                  </w:pPr>
                  <w:r>
                    <w:rPr>
                      <w:rFonts w:hint="default" w:ascii="Times New Roman" w:hAnsi="Times New Roman" w:eastAsia="宋体" w:cs="Times New Roman"/>
                      <w:b w:val="0"/>
                      <w:bCs w:val="0"/>
                      <w:color w:val="auto"/>
                      <w:kern w:val="0"/>
                      <w:sz w:val="21"/>
                      <w:szCs w:val="21"/>
                      <w:u w:val="none"/>
                      <w:lang w:val="en-US" w:eastAsia="zh-CN" w:bidi="ar"/>
                    </w:rPr>
                    <w:t>本评价要求建设项目建成后制定严格的环保设施管理运行制度，并落实环境风险防范措施。</w:t>
                  </w:r>
                </w:p>
              </w:tc>
              <w:tc>
                <w:tcPr>
                  <w:tcW w:w="877" w:type="dxa"/>
                  <w:tcBorders>
                    <w:top w:val="single" w:color="auto" w:sz="4" w:space="0"/>
                    <w:left w:val="single" w:color="auto" w:sz="8" w:space="0"/>
                    <w:bottom w:val="single" w:color="auto" w:sz="4" w:space="0"/>
                    <w:right w:val="nil"/>
                  </w:tcBorders>
                  <w:noWrap w:val="0"/>
                  <w:vAlign w:val="center"/>
                </w:tcPr>
                <w:p w14:paraId="04D9CDF9">
                  <w:pPr>
                    <w:pStyle w:val="23"/>
                    <w:keepNext w:val="0"/>
                    <w:keepLines w:val="0"/>
                    <w:widowControl w:val="0"/>
                    <w:suppressLineNumbers w:val="0"/>
                    <w:autoSpaceDE w:val="0"/>
                    <w:autoSpaceDN/>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0"/>
                      <w:sz w:val="21"/>
                      <w:szCs w:val="21"/>
                      <w:u w:val="none"/>
                      <w:lang w:val="en-US" w:eastAsia="zh-CN" w:bidi="ar-SA"/>
                    </w:rPr>
                  </w:pPr>
                  <w:r>
                    <w:rPr>
                      <w:rFonts w:hint="default" w:ascii="Times New Roman" w:hAnsi="Times New Roman" w:eastAsia="宋体" w:cs="Times New Roman"/>
                      <w:b w:val="0"/>
                      <w:bCs w:val="0"/>
                      <w:color w:val="auto"/>
                      <w:kern w:val="0"/>
                      <w:sz w:val="21"/>
                      <w:szCs w:val="21"/>
                      <w:u w:val="none"/>
                      <w:lang w:val="en-US" w:eastAsia="zh-CN" w:bidi="ar"/>
                    </w:rPr>
                    <w:t>相符</w:t>
                  </w:r>
                </w:p>
              </w:tc>
            </w:tr>
          </w:tbl>
          <w:p w14:paraId="671B989F">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2"/>
                <w:sz w:val="24"/>
                <w:szCs w:val="24"/>
                <w:lang w:val="en-US" w:eastAsia="zh-CN" w:bidi="ar"/>
              </w:rPr>
              <w:t>本项目建设与《生态环境系统安全生产治本攻坚三年行动方案（2024-2026年）》审批要求及管理要求相符。</w:t>
            </w:r>
          </w:p>
          <w:p w14:paraId="62F797BE">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6.饮用水水源保护区</w:t>
            </w:r>
          </w:p>
          <w:p w14:paraId="126E4E1A">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241" w:firstLineChars="100"/>
              <w:jc w:val="both"/>
              <w:rPr>
                <w:rFonts w:hint="default"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6</w:t>
            </w:r>
            <w:r>
              <w:rPr>
                <w:rFonts w:hint="default" w:ascii="Times New Roman" w:hAnsi="Times New Roman" w:eastAsia="宋体" w:cs="Times New Roman"/>
                <w:b/>
                <w:bCs/>
                <w:color w:val="auto"/>
                <w:kern w:val="0"/>
                <w:sz w:val="24"/>
                <w:szCs w:val="24"/>
                <w:lang w:val="en-US" w:eastAsia="zh-CN" w:bidi="ar"/>
              </w:rPr>
              <w:t>.1</w:t>
            </w:r>
            <w:r>
              <w:rPr>
                <w:rFonts w:hint="eastAsia" w:ascii="Times New Roman" w:hAnsi="Times New Roman" w:eastAsia="宋体" w:cs="Times New Roman"/>
                <w:b/>
                <w:bCs/>
                <w:color w:val="auto"/>
                <w:kern w:val="0"/>
                <w:sz w:val="24"/>
                <w:szCs w:val="24"/>
                <w:lang w:val="en-US" w:eastAsia="zh-CN" w:bidi="ar"/>
              </w:rPr>
              <w:t>南水北调</w:t>
            </w:r>
          </w:p>
          <w:p w14:paraId="00E76A5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根据《关于印发南水北调中线一期工程总干渠（河南段）两侧饮用水水源保护区划的通知》（豫调办[2018]56号）可知，南水北调中线一期工程总干渠（河南段）两侧饮用水水源保护区涉及南阳市、平顶山市、许昌市、郑州市、焦作市、新乡市、鹤壁市、安阳市8个省辖市和邓州市。</w:t>
            </w:r>
          </w:p>
          <w:p w14:paraId="054EC01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本项目位于南水北调中线干渠</w:t>
            </w:r>
            <w:r>
              <w:rPr>
                <w:rFonts w:hint="eastAsia" w:ascii="Times New Roman" w:hAnsi="Times New Roman" w:eastAsia="宋体" w:cs="Times New Roman"/>
                <w:b w:val="0"/>
                <w:bCs w:val="0"/>
                <w:color w:val="auto"/>
                <w:kern w:val="0"/>
                <w:sz w:val="24"/>
                <w:szCs w:val="24"/>
                <w:lang w:val="en-US" w:eastAsia="zh-CN" w:bidi="ar"/>
              </w:rPr>
              <w:t>右</w:t>
            </w:r>
            <w:r>
              <w:rPr>
                <w:rFonts w:hint="default" w:ascii="Times New Roman" w:hAnsi="Times New Roman" w:eastAsia="宋体" w:cs="Times New Roman"/>
                <w:b w:val="0"/>
                <w:bCs w:val="0"/>
                <w:color w:val="auto"/>
                <w:kern w:val="0"/>
                <w:sz w:val="24"/>
                <w:szCs w:val="24"/>
                <w:lang w:val="en-US" w:eastAsia="zh-CN" w:bidi="ar"/>
              </w:rPr>
              <w:t>岸，距南水北调中线干渠约</w:t>
            </w:r>
            <w:r>
              <w:rPr>
                <w:rFonts w:hint="eastAsia" w:ascii="Times New Roman" w:hAnsi="Times New Roman" w:eastAsia="宋体" w:cs="Times New Roman"/>
                <w:b w:val="0"/>
                <w:bCs w:val="0"/>
                <w:color w:val="auto"/>
                <w:kern w:val="0"/>
                <w:sz w:val="24"/>
                <w:szCs w:val="24"/>
                <w:lang w:val="en-US" w:eastAsia="zh-CN" w:bidi="ar"/>
              </w:rPr>
              <w:t>2</w:t>
            </w:r>
            <w:r>
              <w:rPr>
                <w:rFonts w:hint="default" w:ascii="Times New Roman" w:hAnsi="Times New Roman" w:eastAsia="宋体" w:cs="Times New Roman"/>
                <w:b w:val="0"/>
                <w:bCs w:val="0"/>
                <w:color w:val="auto"/>
                <w:kern w:val="0"/>
                <w:sz w:val="24"/>
                <w:szCs w:val="24"/>
                <w:lang w:val="en-US" w:eastAsia="zh-CN" w:bidi="ar"/>
              </w:rPr>
              <w:t>700m，经查阅《南水北调中线一期工程总干渠（安阳市段）两侧饮用水水源保护区图册》（2018年6月），安阳市段保护区范围图（长沙）（桩号：HZ172+300~HZ184+418.6，一级保护区宽度为120m、二级保护区宽度为1200m；桩号：HZ184+418.6~HZ186+660.2，一级保护区宽度为50m、二级保护区宽度为150m）。本项目不在其保护区范围内。</w:t>
            </w:r>
          </w:p>
          <w:p w14:paraId="0E91922B">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241" w:firstLineChars="100"/>
              <w:jc w:val="both"/>
              <w:rPr>
                <w:rFonts w:hint="default"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6</w:t>
            </w:r>
            <w:r>
              <w:rPr>
                <w:rFonts w:hint="default" w:ascii="Times New Roman" w:hAnsi="Times New Roman" w:eastAsia="宋体" w:cs="Times New Roman"/>
                <w:b/>
                <w:bCs/>
                <w:color w:val="auto"/>
                <w:kern w:val="0"/>
                <w:sz w:val="24"/>
                <w:szCs w:val="24"/>
                <w:lang w:val="en-US" w:eastAsia="zh-CN" w:bidi="ar"/>
              </w:rPr>
              <w:t>.2乡镇集中式饮用水水源</w:t>
            </w:r>
          </w:p>
          <w:p w14:paraId="784F58C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根据《河南省人民政府办公厅关于印发河南省乡镇集中式饮用水源保护区划的通知》（豫政办〔2016〕23号），项目附近乡镇级集中式饮用水水源保护区如下：</w:t>
            </w:r>
          </w:p>
          <w:p w14:paraId="6E9FE25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①汤阴县宜沟镇地下水井群（共2眼井）</w:t>
            </w:r>
          </w:p>
          <w:p w14:paraId="79BCC42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一级保护区范围：井群外包线内及外围30米的区域。</w:t>
            </w:r>
          </w:p>
          <w:p w14:paraId="7C808C8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二级保护区范围：一级保护区外围300米的区域。</w:t>
            </w:r>
          </w:p>
          <w:p w14:paraId="1ABF238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项目位于</w:t>
            </w:r>
            <w:r>
              <w:rPr>
                <w:rFonts w:hint="default" w:ascii="Times New Roman" w:hAnsi="Times New Roman" w:eastAsia="宋体" w:cs="Times New Roman"/>
                <w:color w:val="auto"/>
                <w:sz w:val="24"/>
                <w:szCs w:val="24"/>
                <w:highlight w:val="none"/>
                <w:lang w:eastAsia="zh-CN"/>
              </w:rPr>
              <w:t>河南省</w:t>
            </w:r>
            <w:r>
              <w:rPr>
                <w:rFonts w:hint="eastAsia" w:ascii="Times New Roman" w:hAnsi="Times New Roman" w:eastAsia="宋体" w:cs="Times New Roman"/>
                <w:color w:val="auto"/>
                <w:sz w:val="24"/>
                <w:lang w:eastAsia="zh-CN"/>
              </w:rPr>
              <w:t>汤阴县宜沟镇安阳市新型制造业产业园区中兴路南头</w:t>
            </w:r>
            <w:r>
              <w:rPr>
                <w:rFonts w:hint="default" w:ascii="Times New Roman" w:hAnsi="Times New Roman" w:eastAsia="宋体" w:cs="Times New Roman"/>
                <w:color w:val="auto"/>
                <w:sz w:val="24"/>
                <w:szCs w:val="24"/>
                <w:highlight w:val="none"/>
                <w:lang w:val="en-US" w:eastAsia="zh-CN"/>
              </w:rPr>
              <w:t>，位于汤阴县宜沟镇地下水井群北侧</w:t>
            </w:r>
            <w:r>
              <w:rPr>
                <w:rFonts w:hint="eastAsia" w:ascii="Times New Roman" w:hAnsi="Times New Roman" w:eastAsia="宋体" w:cs="Times New Roman"/>
                <w:color w:val="auto"/>
                <w:sz w:val="24"/>
                <w:szCs w:val="24"/>
                <w:highlight w:val="none"/>
                <w:lang w:val="en-US" w:eastAsia="zh-CN"/>
              </w:rPr>
              <w:t>830</w:t>
            </w:r>
            <w:r>
              <w:rPr>
                <w:rFonts w:hint="default" w:ascii="Times New Roman" w:hAnsi="Times New Roman" w:eastAsia="宋体" w:cs="Times New Roman"/>
                <w:color w:val="auto"/>
                <w:sz w:val="24"/>
                <w:szCs w:val="24"/>
                <w:highlight w:val="none"/>
                <w:lang w:val="en-US" w:eastAsia="zh-CN"/>
              </w:rPr>
              <w:t>m处，不在其饮用水保护区范围内。</w:t>
            </w:r>
          </w:p>
          <w:p w14:paraId="1F5B1DCC">
            <w:pPr>
              <w:pStyle w:val="2"/>
              <w:keepNext/>
              <w:keepLines w:val="0"/>
              <w:pageBreakBefore w:val="0"/>
              <w:widowControl w:val="0"/>
              <w:suppressLineNumbers w:val="0"/>
              <w:kinsoku/>
              <w:wordWrap/>
              <w:overflowPunct w:val="0"/>
              <w:topLinePunct w:val="0"/>
              <w:autoSpaceDE/>
              <w:autoSpaceDN/>
              <w:bidi w:val="0"/>
              <w:adjustRightInd/>
              <w:snapToGrid w:val="0"/>
              <w:spacing w:before="0" w:beforeAutospacing="0" w:after="0" w:afterAutospacing="0" w:line="360" w:lineRule="auto"/>
              <w:ind w:left="0" w:leftChars="0" w:right="0" w:firstLine="0" w:firstLineChars="0"/>
              <w:jc w:val="both"/>
              <w:textAlignment w:val="auto"/>
              <w:rPr>
                <w:rFonts w:hint="default" w:cs="Times New Roman"/>
                <w:b w:val="0"/>
                <w:bCs w:val="0"/>
                <w:color w:val="auto"/>
                <w:kern w:val="0"/>
                <w:sz w:val="24"/>
                <w:szCs w:val="24"/>
                <w:vertAlign w:val="baseline"/>
                <w:lang w:val="en-US" w:eastAsia="zh-CN" w:bidi="ar"/>
              </w:rPr>
            </w:pPr>
            <w:r>
              <w:rPr>
                <w:rFonts w:hint="eastAsia" w:cs="Times New Roman"/>
                <w:b/>
                <w:bCs/>
                <w:color w:val="auto"/>
                <w:kern w:val="0"/>
                <w:sz w:val="24"/>
                <w:szCs w:val="24"/>
                <w:vertAlign w:val="baseline"/>
                <w:lang w:val="en-US" w:eastAsia="zh-CN" w:bidi="ar"/>
              </w:rPr>
              <w:t>7.</w:t>
            </w:r>
            <w:r>
              <w:rPr>
                <w:rFonts w:hint="eastAsia" w:ascii="宋体" w:hAnsi="宋体" w:eastAsia="宋体" w:cs="宋体"/>
                <w:b/>
                <w:bCs/>
                <w:color w:val="auto"/>
                <w:kern w:val="0"/>
                <w:sz w:val="24"/>
                <w:szCs w:val="24"/>
                <w:vertAlign w:val="baseline"/>
                <w:lang w:val="en-US" w:eastAsia="zh-CN" w:bidi="ar"/>
              </w:rPr>
              <w:t>本项目与金属表面处理及热处理加工企业绩效分级指标分析</w:t>
            </w:r>
          </w:p>
          <w:p w14:paraId="537A91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b w:val="0"/>
                <w:bCs w:val="0"/>
                <w:color w:val="auto"/>
                <w:kern w:val="0"/>
                <w:sz w:val="24"/>
                <w:szCs w:val="24"/>
                <w:vertAlign w:val="baseline"/>
                <w:lang w:val="en-US" w:eastAsia="zh-CN" w:bidi="ar"/>
              </w:rPr>
            </w:pPr>
            <w:r>
              <w:rPr>
                <w:rFonts w:hint="eastAsia" w:cs="Times New Roman"/>
                <w:b w:val="0"/>
                <w:bCs w:val="0"/>
                <w:color w:val="auto"/>
                <w:kern w:val="0"/>
                <w:sz w:val="24"/>
                <w:szCs w:val="24"/>
                <w:vertAlign w:val="baseline"/>
                <w:lang w:val="en-US" w:eastAsia="zh-CN" w:bidi="ar"/>
              </w:rPr>
              <w:t>为参照《河南省重污染天气重点行业应急减排措施制定技术指南（2024年版）》中金属表面处理及热处理加工企业A级指标要求，对项目进行对比分析，具体见下表</w:t>
            </w:r>
          </w:p>
          <w:p w14:paraId="5BEEF343">
            <w:pPr>
              <w:keepNext w:val="0"/>
              <w:keepLines w:val="0"/>
              <w:suppressLineNumbers w:val="0"/>
              <w:tabs>
                <w:tab w:val="left" w:pos="1063"/>
                <w:tab w:val="center" w:pos="4345"/>
              </w:tabs>
              <w:spacing w:before="0" w:beforeAutospacing="0" w:after="0" w:afterAutospacing="0"/>
              <w:ind w:left="0" w:right="0"/>
              <w:jc w:val="center"/>
              <w:rPr>
                <w:rFonts w:hint="eastAsia" w:cs="Times New Roman"/>
                <w:b/>
                <w:bCs/>
                <w:color w:val="auto"/>
                <w:kern w:val="0"/>
                <w:sz w:val="24"/>
                <w:szCs w:val="24"/>
                <w:vertAlign w:val="baseline"/>
                <w:lang w:val="en-US" w:eastAsia="zh-CN" w:bidi="ar"/>
              </w:rPr>
            </w:pPr>
            <w:r>
              <w:rPr>
                <w:rFonts w:hint="eastAsia" w:cs="Times New Roman"/>
                <w:b/>
                <w:bCs/>
                <w:color w:val="auto"/>
                <w:kern w:val="0"/>
                <w:sz w:val="24"/>
                <w:szCs w:val="24"/>
                <w:vertAlign w:val="baseline"/>
                <w:lang w:val="en-US" w:eastAsia="zh-CN" w:bidi="ar"/>
              </w:rPr>
              <w:t>表8  金属表面处理及热处理加工企业绩效分级指标</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7"/>
              <w:gridCol w:w="534"/>
              <w:gridCol w:w="3556"/>
              <w:gridCol w:w="2305"/>
              <w:gridCol w:w="925"/>
            </w:tblGrid>
            <w:tr w14:paraId="69C276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4" w:type="pct"/>
                  <w:gridSpan w:val="2"/>
                  <w:tcBorders>
                    <w:top w:val="single" w:color="auto" w:sz="12" w:space="0"/>
                    <w:bottom w:val="single" w:color="auto" w:sz="12" w:space="0"/>
                  </w:tcBorders>
                  <w:vAlign w:val="center"/>
                </w:tcPr>
                <w:p w14:paraId="74423E5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差异化指标</w:t>
                  </w:r>
                </w:p>
              </w:tc>
              <w:tc>
                <w:tcPr>
                  <w:tcW w:w="2204" w:type="pct"/>
                  <w:tcBorders>
                    <w:top w:val="single" w:color="auto" w:sz="12" w:space="0"/>
                    <w:bottom w:val="single" w:color="auto" w:sz="12" w:space="0"/>
                  </w:tcBorders>
                  <w:vAlign w:val="center"/>
                </w:tcPr>
                <w:p w14:paraId="72AEBEB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A级企业</w:t>
                  </w:r>
                </w:p>
              </w:tc>
              <w:tc>
                <w:tcPr>
                  <w:tcW w:w="1429" w:type="pct"/>
                  <w:tcBorders>
                    <w:top w:val="single" w:color="auto" w:sz="12" w:space="0"/>
                    <w:bottom w:val="single" w:color="auto" w:sz="12" w:space="0"/>
                  </w:tcBorders>
                  <w:vAlign w:val="center"/>
                </w:tcPr>
                <w:p w14:paraId="1E0F7CE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本项目</w:t>
                  </w:r>
                </w:p>
              </w:tc>
              <w:tc>
                <w:tcPr>
                  <w:tcW w:w="571" w:type="pct"/>
                  <w:tcBorders>
                    <w:top w:val="single" w:color="auto" w:sz="12" w:space="0"/>
                    <w:bottom w:val="single" w:color="auto" w:sz="12" w:space="0"/>
                  </w:tcBorders>
                  <w:vAlign w:val="center"/>
                </w:tcPr>
                <w:p w14:paraId="199B22A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相符性</w:t>
                  </w:r>
                </w:p>
              </w:tc>
            </w:tr>
            <w:tr w14:paraId="2FFCA7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tcBorders>
                    <w:top w:val="single" w:color="auto" w:sz="12" w:space="0"/>
                  </w:tcBorders>
                  <w:vAlign w:val="center"/>
                </w:tcPr>
                <w:p w14:paraId="1B0CFBF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能源类型</w:t>
                  </w:r>
                </w:p>
              </w:tc>
              <w:tc>
                <w:tcPr>
                  <w:tcW w:w="2204" w:type="pct"/>
                  <w:tcBorders>
                    <w:top w:val="single" w:color="auto" w:sz="12" w:space="0"/>
                  </w:tcBorders>
                  <w:vAlign w:val="center"/>
                </w:tcPr>
                <w:p w14:paraId="77E8DA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热处理加工采用电、天然气或其他清洁能源。</w:t>
                  </w:r>
                </w:p>
              </w:tc>
              <w:tc>
                <w:tcPr>
                  <w:tcW w:w="1429" w:type="pct"/>
                  <w:tcBorders>
                    <w:top w:val="single" w:color="auto" w:sz="12" w:space="0"/>
                  </w:tcBorders>
                  <w:vAlign w:val="center"/>
                </w:tcPr>
                <w:p w14:paraId="5D8D4D8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热处理加工采用电热炉。</w:t>
                  </w:r>
                </w:p>
              </w:tc>
              <w:tc>
                <w:tcPr>
                  <w:tcW w:w="571" w:type="pct"/>
                  <w:tcBorders>
                    <w:top w:val="single" w:color="auto" w:sz="12" w:space="0"/>
                  </w:tcBorders>
                  <w:vAlign w:val="center"/>
                </w:tcPr>
                <w:p w14:paraId="0B3678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2AC6B8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Align w:val="center"/>
                </w:tcPr>
                <w:p w14:paraId="45EA115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工艺过程</w:t>
                  </w:r>
                </w:p>
              </w:tc>
              <w:tc>
                <w:tcPr>
                  <w:tcW w:w="2204" w:type="pct"/>
                  <w:vAlign w:val="center"/>
                </w:tcPr>
                <w:p w14:paraId="38888F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电镀、电铸等金属表面热处理采用自动化设备</w:t>
                  </w:r>
                </w:p>
              </w:tc>
              <w:tc>
                <w:tcPr>
                  <w:tcW w:w="1429" w:type="pct"/>
                  <w:vAlign w:val="center"/>
                </w:tcPr>
                <w:p w14:paraId="2CA4A31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热处理采用自动化设备。</w:t>
                  </w:r>
                </w:p>
              </w:tc>
              <w:tc>
                <w:tcPr>
                  <w:tcW w:w="571" w:type="pct"/>
                  <w:vAlign w:val="center"/>
                </w:tcPr>
                <w:p w14:paraId="6D134FE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5AE47C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794" w:type="pct"/>
                  <w:gridSpan w:val="2"/>
                  <w:vMerge w:val="restart"/>
                  <w:vAlign w:val="center"/>
                </w:tcPr>
                <w:p w14:paraId="012653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污染收集及治理技术</w:t>
                  </w:r>
                </w:p>
              </w:tc>
              <w:tc>
                <w:tcPr>
                  <w:tcW w:w="2204" w:type="pct"/>
                  <w:vAlign w:val="center"/>
                </w:tcPr>
                <w:p w14:paraId="259FC8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金属表面处理：1.酸碱废气采用两级及以上喷淋吸收处理工艺，采用pH计控制，实现自动加药，药液液位自动控制</w:t>
                  </w:r>
                  <w:r>
                    <w:rPr>
                      <w:rFonts w:hint="eastAsia" w:cs="Times New Roman"/>
                      <w:b w:val="0"/>
                      <w:bCs w:val="0"/>
                      <w:color w:val="auto"/>
                      <w:kern w:val="0"/>
                      <w:sz w:val="21"/>
                      <w:szCs w:val="21"/>
                      <w:u w:val="none"/>
                      <w:lang w:val="en-US" w:eastAsia="zh-CN" w:bidi="ar"/>
                    </w:rPr>
                    <w:t>。</w:t>
                  </w:r>
                </w:p>
              </w:tc>
              <w:tc>
                <w:tcPr>
                  <w:tcW w:w="1429" w:type="pct"/>
                  <w:vAlign w:val="center"/>
                </w:tcPr>
                <w:p w14:paraId="12E9867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金属表面处理未使用酸碱药液。</w:t>
                  </w:r>
                </w:p>
              </w:tc>
              <w:tc>
                <w:tcPr>
                  <w:tcW w:w="571" w:type="pct"/>
                  <w:vAlign w:val="center"/>
                </w:tcPr>
                <w:p w14:paraId="1C41A44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不涉及</w:t>
                  </w:r>
                </w:p>
              </w:tc>
            </w:tr>
            <w:tr w14:paraId="1E5038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7" w:hRule="atLeast"/>
              </w:trPr>
              <w:tc>
                <w:tcPr>
                  <w:tcW w:w="794" w:type="pct"/>
                  <w:gridSpan w:val="2"/>
                  <w:vMerge w:val="continue"/>
                  <w:vAlign w:val="center"/>
                </w:tcPr>
                <w:p w14:paraId="77583E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b w:val="0"/>
                      <w:bCs w:val="0"/>
                      <w:color w:val="auto"/>
                      <w:u w:val="none"/>
                    </w:rPr>
                  </w:pPr>
                </w:p>
              </w:tc>
              <w:tc>
                <w:tcPr>
                  <w:tcW w:w="2204" w:type="pct"/>
                  <w:vAlign w:val="center"/>
                </w:tcPr>
                <w:p w14:paraId="046AA0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油雾废气采用油雾多级处理+VOCs治理技术；VOCs废气采用燃烧工艺（包括直接燃烧、催化燃烧和蓄热燃烧）进行最终处理，或采用活性炭吸附处理（采用颗粒状活性炭的，柱状活性炭直径≤5mm、碘值≥800mg/g，且填充量与每小时处理废气量体积之比满足1:7000的要求；使用蜂窝状活性炭的，碘值≥650mg/g、比表面积应不低于750m²/g，且填充量与每小时处理废气量体积之比满足1:5000的要求；活性炭吸附设施废气进口处安装有仪器仪表等装置，可实时监测显示并记录湿度、温度等数据，废气温度、颗粒物、相对湿度分别不超过40℃、1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、50%）；废气中含有油烟或颗粒物的，应在VOCs治理设施前端加装除尘设施或油烟净化装置</w:t>
                  </w:r>
                  <w:r>
                    <w:rPr>
                      <w:rFonts w:hint="eastAsia" w:cs="Times New Roman"/>
                      <w:b w:val="0"/>
                      <w:bCs w:val="0"/>
                      <w:color w:val="auto"/>
                      <w:kern w:val="0"/>
                      <w:sz w:val="21"/>
                      <w:szCs w:val="21"/>
                      <w:u w:val="none"/>
                      <w:lang w:val="en-US" w:eastAsia="zh-CN" w:bidi="ar"/>
                    </w:rPr>
                    <w:t>。</w:t>
                  </w:r>
                </w:p>
              </w:tc>
              <w:tc>
                <w:tcPr>
                  <w:tcW w:w="1429" w:type="pct"/>
                  <w:vAlign w:val="center"/>
                </w:tcPr>
                <w:p w14:paraId="1489D6C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本项目采用酸洗磷化后弹簧钢盘圆（</w:t>
                  </w:r>
                  <w:r>
                    <w:rPr>
                      <w:rFonts w:hint="eastAsia" w:cs="Times New Roman"/>
                      <w:b w:val="0"/>
                      <w:bCs w:val="0"/>
                      <w:color w:val="auto"/>
                      <w:kern w:val="0"/>
                      <w:sz w:val="21"/>
                      <w:szCs w:val="21"/>
                      <w:u w:val="none"/>
                      <w:vertAlign w:val="baseline"/>
                      <w:lang w:val="en-US" w:eastAsia="zh-CN" w:bidi="ar"/>
                    </w:rPr>
                    <w:t>详见</w:t>
                  </w:r>
                  <w:r>
                    <w:rPr>
                      <w:rFonts w:hint="default" w:ascii="Times New Roman" w:hAnsi="Times New Roman" w:eastAsia="宋体" w:cs="Times New Roman"/>
                      <w:b w:val="0"/>
                      <w:bCs w:val="0"/>
                      <w:color w:val="auto"/>
                      <w:kern w:val="0"/>
                      <w:sz w:val="21"/>
                      <w:szCs w:val="21"/>
                      <w:u w:val="none"/>
                      <w:vertAlign w:val="baseline"/>
                      <w:lang w:val="en-US" w:eastAsia="zh-CN" w:bidi="ar"/>
                    </w:rPr>
                    <w:t>附件12），进厂时表面无油污，在拉拔处理过程中使用的拉丝粉（0.03t/a）成分为硬脂酸钙与氢氧化钙（</w:t>
                  </w:r>
                  <w:r>
                    <w:rPr>
                      <w:rFonts w:hint="eastAsia" w:cs="Times New Roman"/>
                      <w:b w:val="0"/>
                      <w:bCs w:val="0"/>
                      <w:color w:val="auto"/>
                      <w:kern w:val="0"/>
                      <w:sz w:val="21"/>
                      <w:szCs w:val="21"/>
                      <w:u w:val="none"/>
                      <w:vertAlign w:val="baseline"/>
                      <w:lang w:val="en-US" w:eastAsia="zh-CN" w:bidi="ar"/>
                    </w:rPr>
                    <w:t>详见</w:t>
                  </w:r>
                  <w:r>
                    <w:rPr>
                      <w:rFonts w:hint="default" w:ascii="Times New Roman" w:hAnsi="Times New Roman" w:eastAsia="宋体" w:cs="Times New Roman"/>
                      <w:b w:val="0"/>
                      <w:bCs w:val="0"/>
                      <w:color w:val="auto"/>
                      <w:kern w:val="0"/>
                      <w:sz w:val="21"/>
                      <w:szCs w:val="21"/>
                      <w:u w:val="none"/>
                      <w:vertAlign w:val="baseline"/>
                      <w:lang w:val="en-US" w:eastAsia="zh-CN" w:bidi="ar"/>
                    </w:rPr>
                    <w:t>附件11），每次取少量的拉丝粉填装于密闭容器，颗粒物排放量极少，可以忽略不计；</w:t>
                  </w:r>
                  <w:r>
                    <w:rPr>
                      <w:rFonts w:hint="eastAsia"/>
                      <w:b w:val="0"/>
                      <w:bCs w:val="0"/>
                      <w:color w:val="auto"/>
                      <w:szCs w:val="24"/>
                      <w:u w:val="none"/>
                      <w:lang w:eastAsia="zh-CN"/>
                    </w:rPr>
                    <w:t>在热处理过程中拉丝粉分解成</w:t>
                  </w:r>
                  <w:r>
                    <w:rPr>
                      <w:rFonts w:hint="eastAsia"/>
                      <w:b w:val="0"/>
                      <w:bCs w:val="0"/>
                      <w:color w:val="auto"/>
                      <w:szCs w:val="24"/>
                      <w:u w:val="none"/>
                      <w:lang w:val="en-US" w:eastAsia="zh-CN"/>
                    </w:rPr>
                    <w:t>CaO、CO</w:t>
                  </w:r>
                  <w:r>
                    <w:rPr>
                      <w:rFonts w:hint="eastAsia"/>
                      <w:b w:val="0"/>
                      <w:bCs w:val="0"/>
                      <w:color w:val="auto"/>
                      <w:szCs w:val="24"/>
                      <w:u w:val="none"/>
                      <w:vertAlign w:val="subscript"/>
                      <w:lang w:val="en-US" w:eastAsia="zh-CN"/>
                    </w:rPr>
                    <w:t>2</w:t>
                  </w:r>
                  <w:r>
                    <w:rPr>
                      <w:rFonts w:hint="eastAsia"/>
                      <w:b w:val="0"/>
                      <w:bCs w:val="0"/>
                      <w:color w:val="auto"/>
                      <w:szCs w:val="24"/>
                      <w:u w:val="none"/>
                      <w:vertAlign w:val="baseline"/>
                      <w:lang w:val="en-US" w:eastAsia="zh-CN"/>
                    </w:rPr>
                    <w:t>与水蒸气，</w:t>
                  </w:r>
                  <w:r>
                    <w:rPr>
                      <w:rFonts w:hint="default" w:ascii="Times New Roman" w:hAnsi="Times New Roman" w:eastAsia="宋体" w:cs="Times New Roman"/>
                      <w:b w:val="0"/>
                      <w:bCs w:val="0"/>
                      <w:color w:val="auto"/>
                      <w:kern w:val="0"/>
                      <w:sz w:val="21"/>
                      <w:szCs w:val="21"/>
                      <w:u w:val="none"/>
                      <w:vertAlign w:val="baseline"/>
                      <w:lang w:val="en-US" w:eastAsia="zh-CN" w:bidi="ar"/>
                    </w:rPr>
                    <w:t>无废气产生。</w:t>
                  </w:r>
                </w:p>
              </w:tc>
              <w:tc>
                <w:tcPr>
                  <w:tcW w:w="571" w:type="pct"/>
                  <w:vAlign w:val="center"/>
                </w:tcPr>
                <w:p w14:paraId="48A3B27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不涉及</w:t>
                  </w:r>
                </w:p>
              </w:tc>
            </w:tr>
            <w:tr w14:paraId="436322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794" w:type="pct"/>
                  <w:gridSpan w:val="2"/>
                  <w:vMerge w:val="continue"/>
                  <w:vAlign w:val="center"/>
                </w:tcPr>
                <w:p w14:paraId="47AEE61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40DC40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3.废气收集采用侧吸式集气罩、槽边排风等高效集气技术，实现微负压收集。</w:t>
                  </w:r>
                </w:p>
              </w:tc>
              <w:tc>
                <w:tcPr>
                  <w:tcW w:w="1429" w:type="pct"/>
                  <w:vAlign w:val="center"/>
                </w:tcPr>
                <w:p w14:paraId="38FEC8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扩建后全厂拉丝粉颗粒物排放量极少可以忽略不计，不需要废气收集装置。</w:t>
                  </w:r>
                </w:p>
              </w:tc>
              <w:tc>
                <w:tcPr>
                  <w:tcW w:w="571" w:type="pct"/>
                  <w:vAlign w:val="center"/>
                </w:tcPr>
                <w:p w14:paraId="7410D08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相符</w:t>
                  </w:r>
                </w:p>
              </w:tc>
            </w:tr>
            <w:tr w14:paraId="32DD10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restart"/>
                  <w:vAlign w:val="center"/>
                </w:tcPr>
                <w:p w14:paraId="050AEA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污染收集及治理技术</w:t>
                  </w:r>
                </w:p>
              </w:tc>
              <w:tc>
                <w:tcPr>
                  <w:tcW w:w="2204" w:type="pct"/>
                  <w:vAlign w:val="center"/>
                </w:tcPr>
                <w:p w14:paraId="1566F3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热处理加工：1.除尘采用袋式除尘或其他过滤式除尘设施</w:t>
                  </w:r>
                  <w:r>
                    <w:rPr>
                      <w:rFonts w:hint="eastAsia" w:cs="Times New Roman"/>
                      <w:b w:val="0"/>
                      <w:bCs w:val="0"/>
                      <w:color w:val="auto"/>
                      <w:kern w:val="0"/>
                      <w:sz w:val="21"/>
                      <w:szCs w:val="21"/>
                      <w:u w:val="none"/>
                      <w:lang w:val="en-US" w:eastAsia="zh-CN" w:bidi="ar"/>
                    </w:rPr>
                    <w:t>。</w:t>
                  </w:r>
                </w:p>
              </w:tc>
              <w:tc>
                <w:tcPr>
                  <w:tcW w:w="1429" w:type="pct"/>
                  <w:vAlign w:val="center"/>
                </w:tcPr>
                <w:p w14:paraId="3E94B28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本项目热处理阶段无废气排放，不需要建立除尘设施。</w:t>
                  </w:r>
                </w:p>
              </w:tc>
              <w:tc>
                <w:tcPr>
                  <w:tcW w:w="571" w:type="pct"/>
                  <w:vAlign w:val="center"/>
                </w:tcPr>
                <w:p w14:paraId="311CBD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相符</w:t>
                  </w:r>
                </w:p>
              </w:tc>
            </w:tr>
            <w:tr w14:paraId="0A55B3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0" w:hRule="atLeast"/>
              </w:trPr>
              <w:tc>
                <w:tcPr>
                  <w:tcW w:w="794" w:type="pct"/>
                  <w:gridSpan w:val="2"/>
                  <w:vMerge w:val="continue"/>
                  <w:vAlign w:val="center"/>
                </w:tcPr>
                <w:p w14:paraId="12B4D6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773BBB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热处理炉与锅炉烟气采用低氮燃烧或烟气循环、SNCR/SCR等技术；使用氨法脱硝的企业，氨的装卸、储存、输送、制备等过程全程密闭，并采取氨气泄漏检测和收集措施；采用尿素作为还原剂的配备有尿素加热水解制氨系统。废水收集及处理环节：废水储存、处理设施，在曝气池之前加盖密闭或采取其他密闭措施，并密闭排气至废气处理设备。</w:t>
                  </w:r>
                </w:p>
              </w:tc>
              <w:tc>
                <w:tcPr>
                  <w:tcW w:w="1429" w:type="pct"/>
                  <w:vAlign w:val="center"/>
                </w:tcPr>
                <w:p w14:paraId="2BB2CF9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w:t>
                  </w:r>
                  <w:r>
                    <w:rPr>
                      <w:rFonts w:hint="eastAsia" w:ascii="Times New Roman" w:hAnsi="Times New Roman" w:eastAsia="宋体" w:cs="Times New Roman"/>
                      <w:b w:val="0"/>
                      <w:bCs w:val="0"/>
                      <w:color w:val="auto"/>
                      <w:kern w:val="0"/>
                      <w:sz w:val="21"/>
                      <w:szCs w:val="21"/>
                      <w:u w:val="none"/>
                      <w:vertAlign w:val="baseline"/>
                      <w:lang w:val="en-US" w:eastAsia="zh-CN" w:bidi="ar"/>
                    </w:rPr>
                    <w:t>热处理采用</w:t>
                  </w:r>
                  <w:r>
                    <w:rPr>
                      <w:rFonts w:hint="eastAsia" w:cs="Times New Roman"/>
                      <w:b w:val="0"/>
                      <w:bCs w:val="0"/>
                      <w:color w:val="auto"/>
                      <w:kern w:val="0"/>
                      <w:sz w:val="21"/>
                      <w:szCs w:val="21"/>
                      <w:u w:val="none"/>
                      <w:vertAlign w:val="baseline"/>
                      <w:lang w:val="en-US" w:eastAsia="zh-CN" w:bidi="ar"/>
                    </w:rPr>
                    <w:t>电热炉；本项目未使用氨法脱硝、尿素，冷却池不需要封闭措施管理。</w:t>
                  </w:r>
                </w:p>
              </w:tc>
              <w:tc>
                <w:tcPr>
                  <w:tcW w:w="571" w:type="pct"/>
                  <w:vAlign w:val="center"/>
                </w:tcPr>
                <w:p w14:paraId="70F631C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153D88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restart"/>
                  <w:vAlign w:val="center"/>
                </w:tcPr>
                <w:p w14:paraId="5C1AEE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排放限值</w:t>
                  </w:r>
                </w:p>
              </w:tc>
              <w:tc>
                <w:tcPr>
                  <w:tcW w:w="2204" w:type="pct"/>
                  <w:vAlign w:val="center"/>
                </w:tcPr>
                <w:p w14:paraId="203FC2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1.PM排放限值要求：排放浓度不超过10mg/m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w:t>
                  </w:r>
                </w:p>
              </w:tc>
              <w:tc>
                <w:tcPr>
                  <w:tcW w:w="1429" w:type="pct"/>
                  <w:vAlign w:val="center"/>
                </w:tcPr>
                <w:p w14:paraId="3EE524B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扩建后全厂拉丝粉颗粒物排放量极少可以忽略不计，排放浓度未超过10</w:t>
                  </w:r>
                  <w:r>
                    <w:rPr>
                      <w:rFonts w:hint="default" w:ascii="Times New Roman" w:hAnsi="Times New Roman" w:eastAsia="宋体" w:cs="Times New Roman"/>
                      <w:b w:val="0"/>
                      <w:bCs w:val="0"/>
                      <w:color w:val="auto"/>
                      <w:kern w:val="0"/>
                      <w:sz w:val="21"/>
                      <w:szCs w:val="21"/>
                      <w:u w:val="none"/>
                      <w:lang w:val="en-US" w:eastAsia="zh-CN" w:bidi="ar"/>
                    </w:rPr>
                    <w:t>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p>
              </w:tc>
              <w:tc>
                <w:tcPr>
                  <w:tcW w:w="571" w:type="pct"/>
                  <w:vAlign w:val="center"/>
                </w:tcPr>
                <w:p w14:paraId="76F710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60C2C2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0A24F3A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6CA40E8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2.电镀生产线氯化氢、硫酸雾排放浓度不超过10mg/m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；铬酸雾排放浓度不超过0.05mg/m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；氰化氢排放浓度不超过0.5mg/m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；氟化物排放浓度不超过5mg/m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；NOx排放浓度不超过100mg/m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eastAsia" w:cs="Times New Roman"/>
                      <w:b w:val="0"/>
                      <w:bCs w:val="0"/>
                      <w:color w:val="auto"/>
                      <w:kern w:val="0"/>
                      <w:sz w:val="21"/>
                      <w:szCs w:val="21"/>
                      <w:u w:val="none"/>
                      <w:lang w:val="en-US" w:eastAsia="zh-CN" w:bidi="ar"/>
                    </w:rPr>
                    <w:t>。</w:t>
                  </w:r>
                </w:p>
              </w:tc>
              <w:tc>
                <w:tcPr>
                  <w:tcW w:w="1429" w:type="pct"/>
                  <w:vAlign w:val="center"/>
                </w:tcPr>
                <w:p w14:paraId="15B8FF87">
                  <w:pPr>
                    <w:keepNext w:val="0"/>
                    <w:keepLines w:val="0"/>
                    <w:suppressLineNumbers w:val="0"/>
                    <w:spacing w:before="0" w:beforeAutospacing="0" w:after="0" w:afterAutospacing="0"/>
                    <w:ind w:left="0" w:right="0"/>
                    <w:rPr>
                      <w:rFonts w:hint="eastAsia"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不涉及</w:t>
                  </w:r>
                  <w:r>
                    <w:rPr>
                      <w:rFonts w:hint="default" w:ascii="Times New Roman" w:hAnsi="Times New Roman" w:eastAsia="宋体" w:cs="Times New Roman"/>
                      <w:b w:val="0"/>
                      <w:bCs w:val="0"/>
                      <w:color w:val="auto"/>
                      <w:kern w:val="0"/>
                      <w:sz w:val="21"/>
                      <w:szCs w:val="21"/>
                      <w:u w:val="none"/>
                      <w:lang w:val="en-US" w:eastAsia="zh-CN" w:bidi="ar"/>
                    </w:rPr>
                    <w:t>氯化氢、硫酸雾</w:t>
                  </w:r>
                  <w:r>
                    <w:rPr>
                      <w:rFonts w:hint="eastAsia" w:cs="Times New Roman"/>
                      <w:b w:val="0"/>
                      <w:bCs w:val="0"/>
                      <w:color w:val="auto"/>
                      <w:kern w:val="0"/>
                      <w:sz w:val="21"/>
                      <w:szCs w:val="21"/>
                      <w:u w:val="none"/>
                      <w:lang w:val="en-US" w:eastAsia="zh-CN" w:bidi="ar"/>
                    </w:rPr>
                    <w:t>、</w:t>
                  </w:r>
                  <w:r>
                    <w:rPr>
                      <w:rFonts w:hint="default" w:ascii="Times New Roman" w:hAnsi="Times New Roman" w:eastAsia="宋体" w:cs="Times New Roman"/>
                      <w:b w:val="0"/>
                      <w:bCs w:val="0"/>
                      <w:color w:val="auto"/>
                      <w:kern w:val="0"/>
                      <w:sz w:val="21"/>
                      <w:szCs w:val="21"/>
                      <w:u w:val="none"/>
                      <w:lang w:val="en-US" w:eastAsia="zh-CN" w:bidi="ar"/>
                    </w:rPr>
                    <w:t>铬酸雾</w:t>
                  </w:r>
                  <w:r>
                    <w:rPr>
                      <w:rFonts w:hint="eastAsia"/>
                      <w:b w:val="0"/>
                      <w:bCs w:val="0"/>
                      <w:u w:val="none"/>
                      <w:lang w:eastAsia="zh-CN"/>
                    </w:rPr>
                    <w:t>、</w:t>
                  </w:r>
                  <w:r>
                    <w:rPr>
                      <w:rFonts w:hint="default" w:ascii="Times New Roman" w:hAnsi="Times New Roman" w:eastAsia="宋体" w:cs="Times New Roman"/>
                      <w:b w:val="0"/>
                      <w:bCs w:val="0"/>
                      <w:color w:val="auto"/>
                      <w:kern w:val="0"/>
                      <w:sz w:val="21"/>
                      <w:szCs w:val="21"/>
                      <w:u w:val="none"/>
                      <w:lang w:val="en-US" w:eastAsia="zh-CN" w:bidi="ar"/>
                    </w:rPr>
                    <w:t>氰化氢</w:t>
                  </w:r>
                  <w:r>
                    <w:rPr>
                      <w:rFonts w:hint="eastAsia"/>
                      <w:b w:val="0"/>
                      <w:bCs w:val="0"/>
                      <w:u w:val="none"/>
                      <w:lang w:eastAsia="zh-CN"/>
                    </w:rPr>
                    <w:t>、</w:t>
                  </w:r>
                  <w:r>
                    <w:rPr>
                      <w:rFonts w:hint="default" w:ascii="Times New Roman" w:hAnsi="Times New Roman" w:eastAsia="宋体" w:cs="Times New Roman"/>
                      <w:b w:val="0"/>
                      <w:bCs w:val="0"/>
                      <w:color w:val="auto"/>
                      <w:kern w:val="0"/>
                      <w:sz w:val="21"/>
                      <w:szCs w:val="21"/>
                      <w:u w:val="none"/>
                      <w:lang w:val="en-US" w:eastAsia="zh-CN" w:bidi="ar"/>
                    </w:rPr>
                    <w:t>氟化物</w:t>
                  </w:r>
                  <w:r>
                    <w:rPr>
                      <w:rFonts w:hint="eastAsia"/>
                      <w:b w:val="0"/>
                      <w:bCs w:val="0"/>
                      <w:u w:val="none"/>
                      <w:lang w:eastAsia="zh-CN"/>
                    </w:rPr>
                    <w:t>、</w:t>
                  </w:r>
                  <w:r>
                    <w:rPr>
                      <w:rFonts w:hint="default" w:ascii="Times New Roman" w:hAnsi="Times New Roman" w:eastAsia="宋体" w:cs="Times New Roman"/>
                      <w:b w:val="0"/>
                      <w:bCs w:val="0"/>
                      <w:color w:val="auto"/>
                      <w:kern w:val="0"/>
                      <w:sz w:val="21"/>
                      <w:szCs w:val="21"/>
                      <w:u w:val="none"/>
                      <w:lang w:val="en-US" w:eastAsia="zh-CN" w:bidi="ar"/>
                    </w:rPr>
                    <w:t>NOx</w:t>
                  </w:r>
                  <w:r>
                    <w:rPr>
                      <w:rFonts w:hint="eastAsia" w:cs="Times New Roman"/>
                      <w:b w:val="0"/>
                      <w:bCs w:val="0"/>
                      <w:color w:val="auto"/>
                      <w:kern w:val="0"/>
                      <w:sz w:val="21"/>
                      <w:szCs w:val="21"/>
                      <w:u w:val="none"/>
                      <w:lang w:val="en-US" w:eastAsia="zh-CN" w:bidi="ar"/>
                    </w:rPr>
                    <w:t>产生。</w:t>
                  </w:r>
                </w:p>
              </w:tc>
              <w:tc>
                <w:tcPr>
                  <w:tcW w:w="571" w:type="pct"/>
                  <w:vAlign w:val="center"/>
                </w:tcPr>
                <w:p w14:paraId="7219AC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不涉及</w:t>
                  </w:r>
                </w:p>
              </w:tc>
            </w:tr>
            <w:tr w14:paraId="41753A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13AD086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7A6D6FB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3.燃气锅炉排放限值要求：PM、SO</w:t>
                  </w:r>
                  <w:r>
                    <w:rPr>
                      <w:rFonts w:hint="default" w:ascii="Times New Roman" w:hAnsi="Times New Roman" w:eastAsia="宋体" w:cs="Times New Roman"/>
                      <w:b w:val="0"/>
                      <w:bCs w:val="0"/>
                      <w:color w:val="auto"/>
                      <w:kern w:val="0"/>
                      <w:sz w:val="21"/>
                      <w:szCs w:val="21"/>
                      <w:u w:val="none"/>
                      <w:vertAlign w:val="subscript"/>
                      <w:lang w:val="en-US" w:eastAsia="zh-CN" w:bidi="ar"/>
                    </w:rPr>
                    <w:t>2</w:t>
                  </w:r>
                  <w:r>
                    <w:rPr>
                      <w:rFonts w:hint="default" w:ascii="Times New Roman" w:hAnsi="Times New Roman" w:eastAsia="宋体" w:cs="Times New Roman"/>
                      <w:b w:val="0"/>
                      <w:bCs w:val="0"/>
                      <w:color w:val="auto"/>
                      <w:kern w:val="0"/>
                      <w:sz w:val="21"/>
                      <w:szCs w:val="21"/>
                      <w:u w:val="none"/>
                      <w:lang w:val="en-US" w:eastAsia="zh-CN" w:bidi="ar"/>
                    </w:rPr>
                    <w:t>、NO</w:t>
                  </w:r>
                  <w:r>
                    <w:rPr>
                      <w:rFonts w:hint="default" w:ascii="Times New Roman" w:hAnsi="Times New Roman" w:eastAsia="宋体" w:cs="Times New Roman"/>
                      <w:b w:val="0"/>
                      <w:bCs w:val="0"/>
                      <w:color w:val="auto"/>
                      <w:kern w:val="0"/>
                      <w:sz w:val="21"/>
                      <w:szCs w:val="21"/>
                      <w:u w:val="none"/>
                      <w:vertAlign w:val="subscript"/>
                      <w:lang w:val="en-US" w:eastAsia="zh-CN" w:bidi="ar"/>
                    </w:rPr>
                    <w:t>x</w:t>
                  </w:r>
                  <w:r>
                    <w:rPr>
                      <w:rFonts w:hint="default" w:ascii="Times New Roman" w:hAnsi="Times New Roman" w:eastAsia="宋体" w:cs="Times New Roman"/>
                      <w:b w:val="0"/>
                      <w:bCs w:val="0"/>
                      <w:color w:val="auto"/>
                      <w:kern w:val="0"/>
                      <w:sz w:val="21"/>
                      <w:szCs w:val="21"/>
                      <w:u w:val="none"/>
                      <w:lang w:val="en-US" w:eastAsia="zh-CN" w:bidi="ar"/>
                    </w:rPr>
                    <w:t>排放浓度分别不高于：5、10、50/30</w:t>
                  </w:r>
                  <w:r>
                    <w:rPr>
                      <w:rFonts w:hint="default" w:ascii="Times New Roman" w:hAnsi="Times New Roman" w:eastAsia="宋体" w:cs="Times New Roman"/>
                      <w:b w:val="0"/>
                      <w:bCs w:val="0"/>
                      <w:color w:val="auto"/>
                      <w:kern w:val="0"/>
                      <w:sz w:val="21"/>
                      <w:szCs w:val="21"/>
                      <w:u w:val="none"/>
                      <w:vertAlign w:val="superscript"/>
                      <w:lang w:val="en-US" w:eastAsia="zh-CN" w:bidi="ar"/>
                    </w:rPr>
                    <w:t>【1】</w:t>
                  </w:r>
                  <w:r>
                    <w:rPr>
                      <w:rFonts w:hint="default" w:ascii="Times New Roman" w:hAnsi="Times New Roman" w:eastAsia="宋体" w:cs="Times New Roman"/>
                      <w:b w:val="0"/>
                      <w:bCs w:val="0"/>
                      <w:color w:val="auto"/>
                      <w:kern w:val="0"/>
                      <w:sz w:val="21"/>
                      <w:szCs w:val="21"/>
                      <w:u w:val="none"/>
                      <w:lang w:val="en-US" w:eastAsia="zh-CN" w:bidi="ar"/>
                    </w:rPr>
                    <w:t>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（基准含氧量：燃气3.5%）。</w:t>
                  </w:r>
                </w:p>
              </w:tc>
              <w:tc>
                <w:tcPr>
                  <w:tcW w:w="1429" w:type="pct"/>
                  <w:vAlign w:val="center"/>
                </w:tcPr>
                <w:p w14:paraId="4B6242D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w:t>
                  </w:r>
                  <w:r>
                    <w:rPr>
                      <w:rFonts w:hint="eastAsia" w:ascii="Times New Roman" w:hAnsi="Times New Roman" w:eastAsia="宋体" w:cs="Times New Roman"/>
                      <w:b w:val="0"/>
                      <w:bCs w:val="0"/>
                      <w:color w:val="auto"/>
                      <w:kern w:val="0"/>
                      <w:sz w:val="21"/>
                      <w:szCs w:val="21"/>
                      <w:u w:val="none"/>
                      <w:vertAlign w:val="baseline"/>
                      <w:lang w:val="en-US" w:eastAsia="zh-CN" w:bidi="ar"/>
                    </w:rPr>
                    <w:t>采用电热炉，</w:t>
                  </w:r>
                  <w:r>
                    <w:rPr>
                      <w:rFonts w:hint="eastAsia" w:cs="Times New Roman"/>
                      <w:b w:val="0"/>
                      <w:bCs w:val="0"/>
                      <w:color w:val="auto"/>
                      <w:kern w:val="0"/>
                      <w:sz w:val="21"/>
                      <w:szCs w:val="21"/>
                      <w:u w:val="none"/>
                      <w:vertAlign w:val="baseline"/>
                      <w:lang w:val="en-US" w:eastAsia="zh-CN" w:bidi="ar"/>
                    </w:rPr>
                    <w:t>热处理过程</w:t>
                  </w:r>
                  <w:r>
                    <w:rPr>
                      <w:rFonts w:hint="eastAsia" w:ascii="Times New Roman" w:hAnsi="Times New Roman" w:eastAsia="宋体" w:cs="Times New Roman"/>
                      <w:b w:val="0"/>
                      <w:bCs w:val="0"/>
                      <w:color w:val="auto"/>
                      <w:kern w:val="0"/>
                      <w:sz w:val="21"/>
                      <w:szCs w:val="21"/>
                      <w:u w:val="none"/>
                      <w:vertAlign w:val="baseline"/>
                      <w:lang w:val="en-US" w:eastAsia="zh-CN" w:bidi="ar"/>
                    </w:rPr>
                    <w:t>无PM、SO</w:t>
                  </w:r>
                  <w:r>
                    <w:rPr>
                      <w:rFonts w:hint="eastAsia" w:ascii="Times New Roman" w:hAnsi="Times New Roman" w:eastAsia="宋体" w:cs="Times New Roman"/>
                      <w:b w:val="0"/>
                      <w:bCs w:val="0"/>
                      <w:color w:val="auto"/>
                      <w:kern w:val="0"/>
                      <w:sz w:val="21"/>
                      <w:szCs w:val="21"/>
                      <w:u w:val="none"/>
                      <w:vertAlign w:val="subscript"/>
                      <w:lang w:val="en-US" w:eastAsia="zh-CN" w:bidi="ar"/>
                    </w:rPr>
                    <w:t>2</w:t>
                  </w:r>
                  <w:r>
                    <w:rPr>
                      <w:rFonts w:hint="eastAsia" w:ascii="Times New Roman" w:hAnsi="Times New Roman" w:eastAsia="宋体" w:cs="Times New Roman"/>
                      <w:b w:val="0"/>
                      <w:bCs w:val="0"/>
                      <w:color w:val="auto"/>
                      <w:kern w:val="0"/>
                      <w:sz w:val="21"/>
                      <w:szCs w:val="21"/>
                      <w:u w:val="none"/>
                      <w:vertAlign w:val="baseline"/>
                      <w:lang w:val="en-US" w:eastAsia="zh-CN" w:bidi="ar"/>
                    </w:rPr>
                    <w:t>、NO</w:t>
                  </w:r>
                  <w:r>
                    <w:rPr>
                      <w:rFonts w:hint="eastAsia" w:ascii="Times New Roman" w:hAnsi="Times New Roman" w:eastAsia="宋体" w:cs="Times New Roman"/>
                      <w:b w:val="0"/>
                      <w:bCs w:val="0"/>
                      <w:color w:val="auto"/>
                      <w:kern w:val="0"/>
                      <w:sz w:val="21"/>
                      <w:szCs w:val="21"/>
                      <w:u w:val="none"/>
                      <w:vertAlign w:val="subscript"/>
                      <w:lang w:val="en-US" w:eastAsia="zh-CN" w:bidi="ar"/>
                    </w:rPr>
                    <w:t>x</w:t>
                  </w:r>
                  <w:r>
                    <w:rPr>
                      <w:rFonts w:hint="eastAsia" w:ascii="Times New Roman" w:hAnsi="Times New Roman" w:eastAsia="宋体" w:cs="Times New Roman"/>
                      <w:b w:val="0"/>
                      <w:bCs w:val="0"/>
                      <w:color w:val="auto"/>
                      <w:kern w:val="0"/>
                      <w:sz w:val="21"/>
                      <w:szCs w:val="21"/>
                      <w:u w:val="none"/>
                      <w:vertAlign w:val="baseline"/>
                      <w:lang w:val="en-US" w:eastAsia="zh-CN" w:bidi="ar"/>
                    </w:rPr>
                    <w:t>排放</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266C488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7FA901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2C7C07A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020D6A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热处理炉烟气排放限值：PM、SO</w:t>
                  </w:r>
                  <w:r>
                    <w:rPr>
                      <w:rFonts w:hint="default" w:ascii="Times New Roman" w:hAnsi="Times New Roman" w:eastAsia="宋体" w:cs="Times New Roman"/>
                      <w:b w:val="0"/>
                      <w:bCs w:val="0"/>
                      <w:color w:val="auto"/>
                      <w:kern w:val="0"/>
                      <w:sz w:val="21"/>
                      <w:szCs w:val="21"/>
                      <w:u w:val="none"/>
                      <w:vertAlign w:val="subscript"/>
                      <w:lang w:val="en-US" w:eastAsia="zh-CN" w:bidi="ar"/>
                    </w:rPr>
                    <w:t>2</w:t>
                  </w:r>
                  <w:r>
                    <w:rPr>
                      <w:rFonts w:hint="default" w:ascii="Times New Roman" w:hAnsi="Times New Roman" w:eastAsia="宋体" w:cs="Times New Roman"/>
                      <w:b w:val="0"/>
                      <w:bCs w:val="0"/>
                      <w:color w:val="auto"/>
                      <w:kern w:val="0"/>
                      <w:sz w:val="21"/>
                      <w:szCs w:val="21"/>
                      <w:u w:val="none"/>
                      <w:lang w:val="en-US" w:eastAsia="zh-CN" w:bidi="ar"/>
                    </w:rPr>
                    <w:t>、NO</w:t>
                  </w:r>
                  <w:r>
                    <w:rPr>
                      <w:rFonts w:hint="default" w:ascii="Times New Roman" w:hAnsi="Times New Roman" w:eastAsia="宋体" w:cs="Times New Roman"/>
                      <w:b w:val="0"/>
                      <w:bCs w:val="0"/>
                      <w:color w:val="auto"/>
                      <w:kern w:val="0"/>
                      <w:sz w:val="21"/>
                      <w:szCs w:val="21"/>
                      <w:u w:val="none"/>
                      <w:vertAlign w:val="subscript"/>
                      <w:lang w:val="en-US" w:eastAsia="zh-CN" w:bidi="ar"/>
                    </w:rPr>
                    <w:t>x</w:t>
                  </w:r>
                  <w:r>
                    <w:rPr>
                      <w:rFonts w:hint="default" w:ascii="Times New Roman" w:hAnsi="Times New Roman" w:eastAsia="宋体" w:cs="Times New Roman"/>
                      <w:b w:val="0"/>
                      <w:bCs w:val="0"/>
                      <w:color w:val="auto"/>
                      <w:kern w:val="0"/>
                      <w:sz w:val="21"/>
                      <w:szCs w:val="21"/>
                      <w:u w:val="none"/>
                      <w:lang w:val="en-US" w:eastAsia="zh-CN" w:bidi="ar"/>
                    </w:rPr>
                    <w:t>排放浓度分别不高于10、35、50mg/m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（基准氧含量：3.5%）（因工艺需要掺入空气供后续干燥、烘干的干燥炉以及非密闭式生产的加热炉、热处理炉、干燥炉按实测浓度计）。</w:t>
                  </w:r>
                </w:p>
              </w:tc>
              <w:tc>
                <w:tcPr>
                  <w:tcW w:w="1429" w:type="pct"/>
                  <w:vAlign w:val="center"/>
                </w:tcPr>
                <w:p w14:paraId="0FC1BF8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w:t>
                  </w:r>
                  <w:r>
                    <w:rPr>
                      <w:rFonts w:hint="eastAsia" w:ascii="Times New Roman" w:hAnsi="Times New Roman" w:eastAsia="宋体" w:cs="Times New Roman"/>
                      <w:b w:val="0"/>
                      <w:bCs w:val="0"/>
                      <w:color w:val="auto"/>
                      <w:kern w:val="0"/>
                      <w:sz w:val="21"/>
                      <w:szCs w:val="21"/>
                      <w:u w:val="none"/>
                      <w:vertAlign w:val="baseline"/>
                      <w:lang w:val="en-US" w:eastAsia="zh-CN" w:bidi="ar"/>
                    </w:rPr>
                    <w:t>采用电热炉，</w:t>
                  </w:r>
                  <w:r>
                    <w:rPr>
                      <w:rFonts w:hint="eastAsia" w:cs="Times New Roman"/>
                      <w:b w:val="0"/>
                      <w:bCs w:val="0"/>
                      <w:color w:val="auto"/>
                      <w:kern w:val="0"/>
                      <w:sz w:val="21"/>
                      <w:szCs w:val="21"/>
                      <w:u w:val="none"/>
                      <w:vertAlign w:val="baseline"/>
                      <w:lang w:val="en-US" w:eastAsia="zh-CN" w:bidi="ar"/>
                    </w:rPr>
                    <w:t>热处理过程</w:t>
                  </w:r>
                  <w:r>
                    <w:rPr>
                      <w:rFonts w:hint="eastAsia" w:ascii="Times New Roman" w:hAnsi="Times New Roman" w:eastAsia="宋体" w:cs="Times New Roman"/>
                      <w:b w:val="0"/>
                      <w:bCs w:val="0"/>
                      <w:color w:val="auto"/>
                      <w:kern w:val="0"/>
                      <w:sz w:val="21"/>
                      <w:szCs w:val="21"/>
                      <w:u w:val="none"/>
                      <w:vertAlign w:val="baseline"/>
                      <w:lang w:val="en-US" w:eastAsia="zh-CN" w:bidi="ar"/>
                    </w:rPr>
                    <w:t>无PM、SO</w:t>
                  </w:r>
                  <w:r>
                    <w:rPr>
                      <w:rFonts w:hint="eastAsia" w:ascii="Times New Roman" w:hAnsi="Times New Roman" w:eastAsia="宋体" w:cs="Times New Roman"/>
                      <w:b w:val="0"/>
                      <w:bCs w:val="0"/>
                      <w:color w:val="auto"/>
                      <w:kern w:val="0"/>
                      <w:sz w:val="21"/>
                      <w:szCs w:val="21"/>
                      <w:u w:val="none"/>
                      <w:vertAlign w:val="subscript"/>
                      <w:lang w:val="en-US" w:eastAsia="zh-CN" w:bidi="ar"/>
                    </w:rPr>
                    <w:t>2</w:t>
                  </w:r>
                  <w:r>
                    <w:rPr>
                      <w:rFonts w:hint="eastAsia" w:ascii="Times New Roman" w:hAnsi="Times New Roman" w:eastAsia="宋体" w:cs="Times New Roman"/>
                      <w:b w:val="0"/>
                      <w:bCs w:val="0"/>
                      <w:color w:val="auto"/>
                      <w:kern w:val="0"/>
                      <w:sz w:val="21"/>
                      <w:szCs w:val="21"/>
                      <w:u w:val="none"/>
                      <w:vertAlign w:val="baseline"/>
                      <w:lang w:val="en-US" w:eastAsia="zh-CN" w:bidi="ar"/>
                    </w:rPr>
                    <w:t>、NOx排放</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5224917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277496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restart"/>
                  <w:vAlign w:val="center"/>
                </w:tcPr>
                <w:p w14:paraId="03D7B00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无组织管控</w:t>
                  </w:r>
                </w:p>
              </w:tc>
              <w:tc>
                <w:tcPr>
                  <w:tcW w:w="2204" w:type="pct"/>
                  <w:vAlign w:val="center"/>
                </w:tcPr>
                <w:p w14:paraId="5C6F5D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1.所有物料（包括原辅料、半成品、成品）进封闭仓库分区存放，厂内无露天堆放物料</w:t>
                  </w:r>
                  <w:r>
                    <w:rPr>
                      <w:rFonts w:hint="eastAsia" w:cs="Times New Roman"/>
                      <w:b w:val="0"/>
                      <w:bCs w:val="0"/>
                      <w:color w:val="auto"/>
                      <w:kern w:val="0"/>
                      <w:sz w:val="21"/>
                      <w:szCs w:val="21"/>
                      <w:u w:val="none"/>
                      <w:lang w:val="en-US" w:eastAsia="zh-CN" w:bidi="ar"/>
                    </w:rPr>
                    <w:t>。</w:t>
                  </w:r>
                </w:p>
              </w:tc>
              <w:tc>
                <w:tcPr>
                  <w:tcW w:w="1429" w:type="pct"/>
                  <w:vAlign w:val="center"/>
                </w:tcPr>
                <w:p w14:paraId="148E529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w:t>
                  </w:r>
                  <w:r>
                    <w:rPr>
                      <w:rFonts w:hint="eastAsia" w:ascii="Times New Roman" w:hAnsi="Times New Roman" w:eastAsia="宋体" w:cs="Times New Roman"/>
                      <w:b w:val="0"/>
                      <w:bCs w:val="0"/>
                      <w:color w:val="auto"/>
                      <w:kern w:val="0"/>
                      <w:sz w:val="21"/>
                      <w:szCs w:val="21"/>
                      <w:u w:val="none"/>
                      <w:vertAlign w:val="baseline"/>
                      <w:lang w:val="en-US" w:eastAsia="zh-CN" w:bidi="ar"/>
                    </w:rPr>
                    <w:t>所有物料（包括原辅料、半成品、成品）进封闭仓库分区存放，厂内无露天堆放物料。</w:t>
                  </w:r>
                </w:p>
              </w:tc>
              <w:tc>
                <w:tcPr>
                  <w:tcW w:w="571" w:type="pct"/>
                  <w:vAlign w:val="center"/>
                </w:tcPr>
                <w:p w14:paraId="4B2F699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7000EB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123B73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4EBE50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2.车间、料库四面封闭，通道口安装卷帘门、推拉门等封闭性良好且便于开关的硬质门</w:t>
                  </w:r>
                  <w:r>
                    <w:rPr>
                      <w:rFonts w:hint="eastAsia" w:cs="Times New Roman"/>
                      <w:b w:val="0"/>
                      <w:bCs w:val="0"/>
                      <w:color w:val="auto"/>
                      <w:kern w:val="0"/>
                      <w:sz w:val="21"/>
                      <w:szCs w:val="21"/>
                      <w:u w:val="none"/>
                      <w:lang w:val="en-US" w:eastAsia="zh-CN" w:bidi="ar"/>
                    </w:rPr>
                    <w:t>。</w:t>
                  </w:r>
                </w:p>
              </w:tc>
              <w:tc>
                <w:tcPr>
                  <w:tcW w:w="1429" w:type="pct"/>
                  <w:vAlign w:val="center"/>
                </w:tcPr>
                <w:p w14:paraId="484B1D7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车间、料库四面封闭，通道口安装卷帘门、推拉门等封闭性良好且便于开关的硬质门</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1FA8B44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794304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71FDDA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0A79B9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3.易挥发原辅料应采用密闭容器盛装，并采用吸附交换法等技术回收废酸液；运输应采用密闭容器或罐车进行物料转移，调配、使用等过程采用密闭设备或在封闭空间内操作，废气收集至相应处理系统</w:t>
                  </w:r>
                  <w:r>
                    <w:rPr>
                      <w:rFonts w:hint="eastAsia" w:cs="Times New Roman"/>
                      <w:b w:val="0"/>
                      <w:bCs w:val="0"/>
                      <w:color w:val="auto"/>
                      <w:kern w:val="0"/>
                      <w:sz w:val="21"/>
                      <w:szCs w:val="21"/>
                      <w:u w:val="none"/>
                      <w:lang w:val="en-US" w:eastAsia="zh-CN" w:bidi="ar"/>
                    </w:rPr>
                    <w:t>。</w:t>
                  </w:r>
                </w:p>
              </w:tc>
              <w:tc>
                <w:tcPr>
                  <w:tcW w:w="1429" w:type="pct"/>
                  <w:vAlign w:val="center"/>
                </w:tcPr>
                <w:p w14:paraId="1297C5D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拉丝粉0.03t/a采用袋装，随用随取，每次取量很少，且放置密闭容器，排放量极少。</w:t>
                  </w:r>
                </w:p>
              </w:tc>
              <w:tc>
                <w:tcPr>
                  <w:tcW w:w="571" w:type="pct"/>
                  <w:vAlign w:val="center"/>
                </w:tcPr>
                <w:p w14:paraId="1FF0002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0B771B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267874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1FEE00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4.转移和输送VOCs物料以及VOCs废料（渣、液）时，应采用密闭管道或密闭容器</w:t>
                  </w:r>
                  <w:r>
                    <w:rPr>
                      <w:rFonts w:hint="eastAsia" w:cs="Times New Roman"/>
                      <w:b w:val="0"/>
                      <w:bCs w:val="0"/>
                      <w:color w:val="auto"/>
                      <w:kern w:val="0"/>
                      <w:sz w:val="21"/>
                      <w:szCs w:val="21"/>
                      <w:u w:val="none"/>
                      <w:lang w:val="en-US" w:eastAsia="zh-CN" w:bidi="ar"/>
                    </w:rPr>
                    <w:t>。</w:t>
                  </w:r>
                </w:p>
              </w:tc>
              <w:tc>
                <w:tcPr>
                  <w:tcW w:w="1429" w:type="pct"/>
                  <w:vAlign w:val="center"/>
                </w:tcPr>
                <w:p w14:paraId="5230C9A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无VOCs产生</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6421BBC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5DF8F3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116B60C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033F9B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5.镀槽、镀件提升转运装置、电器控制装置、电源设备、过滤设备、检测仪器、加热与冷却装置、滚筒驱动装置、空气搅拌设备及线上污染控制设施等采用一体自动化成套装置；化学抛光槽、镀铬槽应加入酸雾抑制剂，有效减少废气产生</w:t>
                  </w:r>
                  <w:r>
                    <w:rPr>
                      <w:rFonts w:hint="eastAsia" w:cs="Times New Roman"/>
                      <w:b w:val="0"/>
                      <w:bCs w:val="0"/>
                      <w:color w:val="auto"/>
                      <w:kern w:val="0"/>
                      <w:sz w:val="21"/>
                      <w:szCs w:val="21"/>
                      <w:u w:val="none"/>
                      <w:lang w:val="en-US" w:eastAsia="zh-CN" w:bidi="ar"/>
                    </w:rPr>
                    <w:t>。</w:t>
                  </w:r>
                </w:p>
              </w:tc>
              <w:tc>
                <w:tcPr>
                  <w:tcW w:w="1429" w:type="pct"/>
                  <w:vAlign w:val="center"/>
                </w:tcPr>
                <w:p w14:paraId="7A9B621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本项目热处理、冷却装置电源设备等采用一体化自动化成套装置。</w:t>
                  </w:r>
                </w:p>
              </w:tc>
              <w:tc>
                <w:tcPr>
                  <w:tcW w:w="571" w:type="pct"/>
                  <w:vAlign w:val="center"/>
                </w:tcPr>
                <w:p w14:paraId="0E0BE7B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63BB9F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63CA50F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6C6145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6.金属表面处理及热处理工序应在密闭车间内进行，或在封闭车间内采取二次封闭措施，并对工序产生的酸雾、油雾及VOCs废气进行密闭收集处理。采用外部罩的，距集气罩开口面最远处的废气无组织排放位置，风速应不低于0.3米/秒</w:t>
                  </w:r>
                  <w:r>
                    <w:rPr>
                      <w:rFonts w:hint="eastAsia" w:cs="Times New Roman"/>
                      <w:b w:val="0"/>
                      <w:bCs w:val="0"/>
                      <w:color w:val="auto"/>
                      <w:kern w:val="0"/>
                      <w:sz w:val="21"/>
                      <w:szCs w:val="21"/>
                      <w:u w:val="none"/>
                      <w:lang w:val="en-US" w:eastAsia="zh-CN" w:bidi="ar"/>
                    </w:rPr>
                    <w:t>。</w:t>
                  </w:r>
                </w:p>
              </w:tc>
              <w:tc>
                <w:tcPr>
                  <w:tcW w:w="1429" w:type="pct"/>
                  <w:vAlign w:val="center"/>
                </w:tcPr>
                <w:p w14:paraId="0A459E9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本项目无VOCs产生</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3E57BBD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2A8C54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4" w:type="pct"/>
                  <w:gridSpan w:val="2"/>
                  <w:vMerge w:val="continue"/>
                  <w:vAlign w:val="center"/>
                </w:tcPr>
                <w:p w14:paraId="13DCD65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3A7CEE8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厂区地面全部绿化或硬化，无成片裸露土地。车间规范平整，无物料洒落和“跑、冒、滴、漏”现象</w:t>
                  </w:r>
                  <w:r>
                    <w:rPr>
                      <w:rFonts w:hint="eastAsia" w:cs="Times New Roman"/>
                      <w:b w:val="0"/>
                      <w:bCs w:val="0"/>
                      <w:color w:val="auto"/>
                      <w:kern w:val="0"/>
                      <w:sz w:val="21"/>
                      <w:szCs w:val="21"/>
                      <w:u w:val="none"/>
                      <w:lang w:val="en-US" w:eastAsia="zh-CN" w:bidi="ar"/>
                    </w:rPr>
                    <w:t>。</w:t>
                  </w:r>
                </w:p>
              </w:tc>
              <w:tc>
                <w:tcPr>
                  <w:tcW w:w="1429" w:type="pct"/>
                  <w:vAlign w:val="center"/>
                </w:tcPr>
                <w:p w14:paraId="5DBFDAC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lang w:val="en-US" w:eastAsia="zh-CN" w:bidi="ar"/>
                    </w:rPr>
                    <w:t>扩建后</w:t>
                  </w:r>
                  <w:r>
                    <w:rPr>
                      <w:rFonts w:hint="default" w:ascii="Times New Roman" w:hAnsi="Times New Roman" w:eastAsia="宋体" w:cs="Times New Roman"/>
                      <w:b w:val="0"/>
                      <w:bCs w:val="0"/>
                      <w:color w:val="auto"/>
                      <w:kern w:val="0"/>
                      <w:sz w:val="21"/>
                      <w:szCs w:val="21"/>
                      <w:u w:val="none"/>
                      <w:lang w:val="en-US" w:eastAsia="zh-CN" w:bidi="ar"/>
                    </w:rPr>
                    <w:t>厂区地面全部绿化或硬化，无成片裸露土地。车间规范平整，无物料洒落和“跑、冒、滴、漏”现象</w:t>
                  </w:r>
                  <w:r>
                    <w:rPr>
                      <w:rFonts w:hint="eastAsia" w:cs="Times New Roman"/>
                      <w:b w:val="0"/>
                      <w:bCs w:val="0"/>
                      <w:color w:val="auto"/>
                      <w:kern w:val="0"/>
                      <w:sz w:val="21"/>
                      <w:szCs w:val="21"/>
                      <w:u w:val="none"/>
                      <w:lang w:val="en-US" w:eastAsia="zh-CN" w:bidi="ar"/>
                    </w:rPr>
                    <w:t>。</w:t>
                  </w:r>
                </w:p>
              </w:tc>
              <w:tc>
                <w:tcPr>
                  <w:tcW w:w="571" w:type="pct"/>
                  <w:vAlign w:val="center"/>
                </w:tcPr>
                <w:p w14:paraId="7A011C0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64B9B0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607B84F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7C3AD5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8.贮存易产生粉尘、VOCs、酸雾、有毒有害大气污染物和异味的危险废物贮存库，设有废气收集装置和处理设施，废气处理设施的排气筒高度不低于15m。</w:t>
                  </w:r>
                </w:p>
              </w:tc>
              <w:tc>
                <w:tcPr>
                  <w:tcW w:w="1429" w:type="pct"/>
                  <w:vAlign w:val="center"/>
                </w:tcPr>
                <w:p w14:paraId="2CCEBE8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本项目使用的拉丝粉主要成分为硬脂酸钙与氢氧化钙，均不属于危废物。</w:t>
                  </w:r>
                </w:p>
              </w:tc>
              <w:tc>
                <w:tcPr>
                  <w:tcW w:w="571" w:type="pct"/>
                  <w:vAlign w:val="center"/>
                </w:tcPr>
                <w:p w14:paraId="55F6EB1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不涉及</w:t>
                  </w:r>
                </w:p>
              </w:tc>
            </w:tr>
            <w:tr w14:paraId="490D29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restart"/>
                  <w:vAlign w:val="center"/>
                </w:tcPr>
                <w:p w14:paraId="63E8C2B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监测监控水平</w:t>
                  </w:r>
                </w:p>
              </w:tc>
              <w:tc>
                <w:tcPr>
                  <w:tcW w:w="2204" w:type="pct"/>
                  <w:vAlign w:val="center"/>
                </w:tcPr>
                <w:p w14:paraId="0835C5A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1.有组织排放口按排污许可、环境影响评价或环境现状评估等要求安装烟气排放自动监控设施（CEMS），并按要求与省厅联网；重点排污单位风量大于10000m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/h的主要排放口安装NMHC在线监测设施（FID检测器）并按要求与省厅联网；其他企业NMHC初始排放速率大于2kg/h且排放口风量大于20000m</w:t>
                  </w:r>
                  <w:r>
                    <w:rPr>
                      <w:rFonts w:hint="default" w:ascii="Times New Roman" w:hAnsi="Times New Roman" w:eastAsia="宋体" w:cs="Times New Roman"/>
                      <w:b w:val="0"/>
                      <w:b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color w:val="auto"/>
                      <w:kern w:val="0"/>
                      <w:sz w:val="21"/>
                      <w:szCs w:val="21"/>
                      <w:u w:val="none"/>
                      <w:lang w:val="en-US" w:eastAsia="zh-CN" w:bidi="ar"/>
                    </w:rPr>
                    <w:t>/h的废气排放口安装NMHC在线监测设施（FID检测器），并按要求与省厅联网；在线监测数据至少保存最近12个月的1分钟均值、36个月的1小时均值及60个月的日均值和月均值。（投产或安装时间不满一年以上的企业，以现有数据为准）</w:t>
                  </w:r>
                  <w:r>
                    <w:rPr>
                      <w:rFonts w:hint="eastAsia" w:cs="Times New Roman"/>
                      <w:b w:val="0"/>
                      <w:bCs w:val="0"/>
                      <w:color w:val="auto"/>
                      <w:kern w:val="0"/>
                      <w:sz w:val="21"/>
                      <w:szCs w:val="21"/>
                      <w:u w:val="none"/>
                      <w:lang w:val="en-US" w:eastAsia="zh-CN" w:bidi="ar"/>
                    </w:rPr>
                    <w:t>。</w:t>
                  </w:r>
                </w:p>
              </w:tc>
              <w:tc>
                <w:tcPr>
                  <w:tcW w:w="1429" w:type="pct"/>
                  <w:vAlign w:val="center"/>
                </w:tcPr>
                <w:p w14:paraId="6DDCFEC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扩建后全厂颗粒物排放量极少，可以忽略不计且热处理无废气产生</w:t>
                  </w:r>
                  <w:r>
                    <w:rPr>
                      <w:rFonts w:hint="eastAsia" w:ascii="Times New Roman" w:hAnsi="Times New Roman" w:eastAsia="宋体" w:cs="Times New Roman"/>
                      <w:b w:val="0"/>
                      <w:bCs w:val="0"/>
                      <w:color w:val="auto"/>
                      <w:kern w:val="0"/>
                      <w:sz w:val="21"/>
                      <w:szCs w:val="21"/>
                      <w:u w:val="none"/>
                      <w:vertAlign w:val="baseline"/>
                      <w:lang w:val="en-US" w:eastAsia="zh-CN" w:bidi="ar"/>
                    </w:rPr>
                    <w:t>，无需安装烟气排放自动监控设施（CEMS）</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4DE08F1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不涉及</w:t>
                  </w:r>
                </w:p>
              </w:tc>
            </w:tr>
            <w:tr w14:paraId="7B87F0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69AF19C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3ED062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2.按生态环境部门要求规范设置废气排放口标志牌、二维码标识和采样平台、采样孔；各废气排放口按照排污许可要求开展自行监测</w:t>
                  </w:r>
                  <w:r>
                    <w:rPr>
                      <w:rFonts w:hint="eastAsia" w:cs="Times New Roman"/>
                      <w:b w:val="0"/>
                      <w:bCs w:val="0"/>
                      <w:color w:val="auto"/>
                      <w:kern w:val="0"/>
                      <w:sz w:val="21"/>
                      <w:szCs w:val="21"/>
                      <w:u w:val="none"/>
                      <w:lang w:val="en-US" w:eastAsia="zh-CN" w:bidi="ar"/>
                    </w:rPr>
                    <w:t>。</w:t>
                  </w:r>
                </w:p>
              </w:tc>
              <w:tc>
                <w:tcPr>
                  <w:tcW w:w="1429" w:type="pct"/>
                  <w:vAlign w:val="center"/>
                </w:tcPr>
                <w:p w14:paraId="3610EC8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扩建后全厂颗粒物排放量极少可以忽略不计，</w:t>
                  </w:r>
                  <w:r>
                    <w:rPr>
                      <w:rFonts w:hint="eastAsia" w:ascii="Times New Roman" w:hAnsi="Times New Roman" w:eastAsia="宋体" w:cs="Times New Roman"/>
                      <w:b w:val="0"/>
                      <w:bCs w:val="0"/>
                      <w:color w:val="auto"/>
                      <w:kern w:val="0"/>
                      <w:sz w:val="21"/>
                      <w:szCs w:val="21"/>
                      <w:u w:val="none"/>
                      <w:vertAlign w:val="baseline"/>
                      <w:lang w:val="en-US" w:eastAsia="zh-CN" w:bidi="ar"/>
                    </w:rPr>
                    <w:t>无需设置废气排放口标志牌、二维码标识和采样平台、采样孔</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0A3745C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不涉及</w:t>
                  </w:r>
                </w:p>
              </w:tc>
            </w:tr>
            <w:tr w14:paraId="536E0C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94" w:type="pct"/>
                  <w:gridSpan w:val="2"/>
                  <w:vMerge w:val="continue"/>
                  <w:vAlign w:val="center"/>
                </w:tcPr>
                <w:p w14:paraId="3858775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7D2F96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3.厂内未安装在线监控的涉气生产设施主要投料口安装高清视频监控系统，视频监控数据保存6个月以上。</w:t>
                  </w:r>
                </w:p>
              </w:tc>
              <w:tc>
                <w:tcPr>
                  <w:tcW w:w="1429" w:type="pct"/>
                  <w:vAlign w:val="center"/>
                </w:tcPr>
                <w:p w14:paraId="47EBCC6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扩建后全厂颗粒物排放量极少可以忽略不计，利用现有</w:t>
                  </w:r>
                  <w:r>
                    <w:rPr>
                      <w:rFonts w:hint="eastAsia" w:ascii="Times New Roman" w:hAnsi="Times New Roman" w:eastAsia="宋体" w:cs="Times New Roman"/>
                      <w:b w:val="0"/>
                      <w:bCs w:val="0"/>
                      <w:color w:val="auto"/>
                      <w:kern w:val="0"/>
                      <w:sz w:val="21"/>
                      <w:szCs w:val="21"/>
                      <w:u w:val="none"/>
                      <w:vertAlign w:val="baseline"/>
                      <w:lang w:val="en-US" w:eastAsia="zh-CN" w:bidi="ar"/>
                    </w:rPr>
                    <w:t>在线监控</w:t>
                  </w:r>
                  <w:r>
                    <w:rPr>
                      <w:rFonts w:hint="eastAsia" w:cs="Times New Roman"/>
                      <w:b w:val="0"/>
                      <w:bCs w:val="0"/>
                      <w:color w:val="auto"/>
                      <w:kern w:val="0"/>
                      <w:sz w:val="21"/>
                      <w:szCs w:val="21"/>
                      <w:u w:val="none"/>
                      <w:vertAlign w:val="baseline"/>
                      <w:lang w:val="en-US" w:eastAsia="zh-CN" w:bidi="ar"/>
                    </w:rPr>
                    <w:t>，其视频监控数据保存6个月以上。</w:t>
                  </w:r>
                </w:p>
              </w:tc>
              <w:tc>
                <w:tcPr>
                  <w:tcW w:w="571" w:type="pct"/>
                  <w:vAlign w:val="center"/>
                </w:tcPr>
                <w:p w14:paraId="0F5989C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1A7D96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restart"/>
                  <w:vAlign w:val="center"/>
                </w:tcPr>
                <w:p w14:paraId="5B7135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宋体" w:hAnsi="宋体" w:eastAsia="宋体" w:cs="宋体"/>
                      <w:b w:val="0"/>
                      <w:bCs w:val="0"/>
                      <w:color w:val="auto"/>
                      <w:kern w:val="0"/>
                      <w:sz w:val="21"/>
                      <w:szCs w:val="21"/>
                      <w:u w:val="none"/>
                      <w:lang w:val="en-US" w:eastAsia="zh-CN" w:bidi="ar"/>
                    </w:rPr>
                    <w:t>环境管理水平</w:t>
                  </w:r>
                </w:p>
              </w:tc>
              <w:tc>
                <w:tcPr>
                  <w:tcW w:w="330" w:type="pct"/>
                  <w:vMerge w:val="restart"/>
                  <w:vAlign w:val="center"/>
                </w:tcPr>
                <w:p w14:paraId="2455C4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环保档案</w:t>
                  </w:r>
                </w:p>
              </w:tc>
              <w:tc>
                <w:tcPr>
                  <w:tcW w:w="2204" w:type="pct"/>
                  <w:vAlign w:val="center"/>
                </w:tcPr>
                <w:p w14:paraId="1BAA00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1.环评批复文件和竣工环保验收文件或环境现状评估备案证明</w:t>
                  </w:r>
                  <w:r>
                    <w:rPr>
                      <w:rFonts w:hint="eastAsia" w:cs="Times New Roman"/>
                      <w:b w:val="0"/>
                      <w:bCs w:val="0"/>
                      <w:color w:val="auto"/>
                      <w:kern w:val="0"/>
                      <w:sz w:val="21"/>
                      <w:szCs w:val="21"/>
                      <w:u w:val="none"/>
                      <w:lang w:val="en-US" w:eastAsia="zh-CN" w:bidi="ar"/>
                    </w:rPr>
                    <w:t>。</w:t>
                  </w:r>
                </w:p>
              </w:tc>
              <w:tc>
                <w:tcPr>
                  <w:tcW w:w="1429" w:type="pct"/>
                  <w:vAlign w:val="center"/>
                </w:tcPr>
                <w:p w14:paraId="6A650C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本项目有环评批复文件和竣工环保验收文件</w:t>
                  </w:r>
                  <w:r>
                    <w:rPr>
                      <w:rFonts w:hint="eastAsia" w:cs="Times New Roman"/>
                      <w:b w:val="0"/>
                      <w:bCs w:val="0"/>
                      <w:color w:val="auto"/>
                      <w:kern w:val="0"/>
                      <w:sz w:val="21"/>
                      <w:szCs w:val="21"/>
                      <w:u w:val="none"/>
                      <w:vertAlign w:val="baseline"/>
                      <w:lang w:val="en-US" w:eastAsia="zh-CN" w:bidi="ar"/>
                    </w:rPr>
                    <w:t>，详见附件8、附件9。</w:t>
                  </w:r>
                </w:p>
              </w:tc>
              <w:tc>
                <w:tcPr>
                  <w:tcW w:w="571" w:type="pct"/>
                  <w:vAlign w:val="center"/>
                </w:tcPr>
                <w:p w14:paraId="101A3B8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355E66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69BEB83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77BFD73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737249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2.国家版排污许可证</w:t>
                  </w:r>
                  <w:r>
                    <w:rPr>
                      <w:rFonts w:hint="eastAsia" w:cs="Times New Roman"/>
                      <w:b w:val="0"/>
                      <w:bCs w:val="0"/>
                      <w:color w:val="auto"/>
                      <w:kern w:val="0"/>
                      <w:sz w:val="21"/>
                      <w:szCs w:val="21"/>
                      <w:u w:val="none"/>
                      <w:lang w:val="en-US" w:eastAsia="zh-CN" w:bidi="ar"/>
                    </w:rPr>
                    <w:t>。</w:t>
                  </w:r>
                </w:p>
              </w:tc>
              <w:tc>
                <w:tcPr>
                  <w:tcW w:w="1429" w:type="pct"/>
                  <w:vAlign w:val="center"/>
                </w:tcPr>
                <w:p w14:paraId="57CCE48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排污许可登记</w:t>
                  </w:r>
                  <w:r>
                    <w:rPr>
                      <w:rFonts w:hint="eastAsia" w:cs="Times New Roman"/>
                      <w:b w:val="0"/>
                      <w:bCs w:val="0"/>
                      <w:color w:val="auto"/>
                      <w:kern w:val="0"/>
                      <w:sz w:val="21"/>
                      <w:szCs w:val="21"/>
                      <w:u w:val="none"/>
                      <w:vertAlign w:val="baseline"/>
                      <w:lang w:val="en-US" w:eastAsia="zh-CN" w:bidi="ar"/>
                    </w:rPr>
                    <w:t>为</w:t>
                  </w:r>
                  <w:r>
                    <w:rPr>
                      <w:rFonts w:hint="eastAsia" w:ascii="Times New Roman" w:hAnsi="Times New Roman" w:eastAsia="宋体" w:cs="Times New Roman"/>
                      <w:b w:val="0"/>
                      <w:bCs w:val="0"/>
                      <w:color w:val="auto"/>
                      <w:kern w:val="0"/>
                      <w:sz w:val="21"/>
                      <w:szCs w:val="21"/>
                      <w:u w:val="none"/>
                      <w:vertAlign w:val="baseline"/>
                      <w:lang w:val="en-US" w:eastAsia="zh-CN" w:bidi="ar"/>
                    </w:rPr>
                    <w:t>91410523052297723X001Z</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7593410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2603C9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63D9B6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56905F2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47A9A4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3.环境管理制度（有组织、无组织排放长效管理机制，主要包括日常操作规程、岗位责任制度、污染物排放公示制度和定期巡查维护制度等）</w:t>
                  </w:r>
                  <w:r>
                    <w:rPr>
                      <w:rFonts w:hint="eastAsia" w:cs="Times New Roman"/>
                      <w:b w:val="0"/>
                      <w:bCs w:val="0"/>
                      <w:color w:val="auto"/>
                      <w:kern w:val="0"/>
                      <w:sz w:val="21"/>
                      <w:szCs w:val="21"/>
                      <w:u w:val="none"/>
                      <w:lang w:val="en-US" w:eastAsia="zh-CN" w:bidi="ar"/>
                    </w:rPr>
                    <w:t>。</w:t>
                  </w:r>
                </w:p>
              </w:tc>
              <w:tc>
                <w:tcPr>
                  <w:tcW w:w="1429" w:type="pct"/>
                  <w:vAlign w:val="center"/>
                </w:tcPr>
                <w:p w14:paraId="3A6C0DD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原有项目</w:t>
                  </w:r>
                  <w:r>
                    <w:rPr>
                      <w:rFonts w:hint="eastAsia" w:ascii="Times New Roman" w:hAnsi="Times New Roman" w:eastAsia="宋体" w:cs="Times New Roman"/>
                      <w:b w:val="0"/>
                      <w:bCs w:val="0"/>
                      <w:color w:val="auto"/>
                      <w:kern w:val="0"/>
                      <w:sz w:val="21"/>
                      <w:szCs w:val="21"/>
                      <w:u w:val="none"/>
                      <w:vertAlign w:val="baseline"/>
                      <w:lang w:val="en-US" w:eastAsia="zh-CN" w:bidi="ar"/>
                    </w:rPr>
                    <w:t>已设置环境管理制度</w:t>
                  </w:r>
                  <w:r>
                    <w:rPr>
                      <w:rFonts w:hint="eastAsia" w:cs="Times New Roman"/>
                      <w:b w:val="0"/>
                      <w:bCs w:val="0"/>
                      <w:color w:val="auto"/>
                      <w:kern w:val="0"/>
                      <w:sz w:val="21"/>
                      <w:szCs w:val="21"/>
                      <w:u w:val="none"/>
                      <w:vertAlign w:val="baseline"/>
                      <w:lang w:val="en-US" w:eastAsia="zh-CN" w:bidi="ar"/>
                    </w:rPr>
                    <w:t>，扩建后仍正常使用。</w:t>
                  </w:r>
                </w:p>
              </w:tc>
              <w:tc>
                <w:tcPr>
                  <w:tcW w:w="571" w:type="pct"/>
                  <w:vAlign w:val="center"/>
                </w:tcPr>
                <w:p w14:paraId="646937D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0E8C0A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74FF87A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397ED76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426B12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4.废气污染治理设施稳定运行管理规程</w:t>
                  </w:r>
                  <w:r>
                    <w:rPr>
                      <w:rFonts w:hint="eastAsia" w:cs="Times New Roman"/>
                      <w:b w:val="0"/>
                      <w:bCs w:val="0"/>
                      <w:color w:val="auto"/>
                      <w:kern w:val="0"/>
                      <w:sz w:val="21"/>
                      <w:szCs w:val="21"/>
                      <w:u w:val="none"/>
                      <w:lang w:val="en-US" w:eastAsia="zh-CN" w:bidi="ar"/>
                    </w:rPr>
                    <w:t>。</w:t>
                  </w:r>
                </w:p>
              </w:tc>
              <w:tc>
                <w:tcPr>
                  <w:tcW w:w="1429" w:type="pct"/>
                  <w:vAlign w:val="center"/>
                </w:tcPr>
                <w:p w14:paraId="6FAA6D2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本项目不涉及废气污染治理设施。</w:t>
                  </w:r>
                </w:p>
              </w:tc>
              <w:tc>
                <w:tcPr>
                  <w:tcW w:w="571" w:type="pct"/>
                  <w:vAlign w:val="center"/>
                </w:tcPr>
                <w:p w14:paraId="24EB239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不涉及</w:t>
                  </w:r>
                </w:p>
              </w:tc>
            </w:tr>
            <w:tr w14:paraId="6B49A3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07E781C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7938E9D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626ACF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5.一年内废气监测报告（符合排污许可证监测项目及频次要求）。</w:t>
                  </w:r>
                </w:p>
              </w:tc>
              <w:tc>
                <w:tcPr>
                  <w:tcW w:w="1429" w:type="pct"/>
                  <w:vAlign w:val="center"/>
                </w:tcPr>
                <w:p w14:paraId="1855E3F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扩建后全厂颗粒物排放量极少可以忽略不计</w:t>
                  </w:r>
                  <w:r>
                    <w:rPr>
                      <w:rFonts w:hint="eastAsia" w:ascii="Times New Roman" w:hAnsi="Times New Roman" w:eastAsia="宋体" w:cs="Times New Roman"/>
                      <w:b w:val="0"/>
                      <w:bCs w:val="0"/>
                      <w:color w:val="auto"/>
                      <w:kern w:val="0"/>
                      <w:sz w:val="21"/>
                      <w:szCs w:val="21"/>
                      <w:u w:val="none"/>
                      <w:vertAlign w:val="baseline"/>
                      <w:lang w:val="en-US" w:eastAsia="zh-CN" w:bidi="ar"/>
                    </w:rPr>
                    <w:t>，</w:t>
                  </w:r>
                  <w:r>
                    <w:rPr>
                      <w:rFonts w:hint="eastAsia" w:cs="Times New Roman"/>
                      <w:b w:val="0"/>
                      <w:bCs w:val="0"/>
                      <w:color w:val="auto"/>
                      <w:kern w:val="0"/>
                      <w:sz w:val="21"/>
                      <w:szCs w:val="21"/>
                      <w:u w:val="none"/>
                      <w:vertAlign w:val="baseline"/>
                      <w:lang w:val="en-US" w:eastAsia="zh-CN" w:bidi="ar"/>
                    </w:rPr>
                    <w:t>不需要检测废气。</w:t>
                  </w:r>
                </w:p>
              </w:tc>
              <w:tc>
                <w:tcPr>
                  <w:tcW w:w="571" w:type="pct"/>
                  <w:vAlign w:val="center"/>
                </w:tcPr>
                <w:p w14:paraId="6A309EF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不涉及</w:t>
                  </w:r>
                </w:p>
              </w:tc>
            </w:tr>
            <w:tr w14:paraId="1AB6DE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698DEDD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restart"/>
                  <w:vAlign w:val="center"/>
                </w:tcPr>
                <w:p w14:paraId="36DB094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台账记录</w:t>
                  </w:r>
                </w:p>
              </w:tc>
              <w:tc>
                <w:tcPr>
                  <w:tcW w:w="2204" w:type="pct"/>
                  <w:vAlign w:val="center"/>
                </w:tcPr>
                <w:p w14:paraId="6D8E270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1.生产设施运行管理信息（生产时间、运行负荷、产品产量等）</w:t>
                  </w:r>
                  <w:r>
                    <w:rPr>
                      <w:rFonts w:hint="eastAsia" w:cs="Times New Roman"/>
                      <w:b w:val="0"/>
                      <w:bCs w:val="0"/>
                      <w:color w:val="auto"/>
                      <w:kern w:val="0"/>
                      <w:sz w:val="21"/>
                      <w:szCs w:val="21"/>
                      <w:u w:val="none"/>
                      <w:lang w:val="en-US" w:eastAsia="zh-CN" w:bidi="ar"/>
                    </w:rPr>
                    <w:t>。</w:t>
                  </w:r>
                </w:p>
              </w:tc>
              <w:tc>
                <w:tcPr>
                  <w:tcW w:w="1429" w:type="pct"/>
                  <w:vAlign w:val="center"/>
                </w:tcPr>
                <w:p w14:paraId="136715D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原有项目</w:t>
                  </w:r>
                  <w:r>
                    <w:rPr>
                      <w:rFonts w:hint="eastAsia" w:cs="Times New Roman"/>
                      <w:b w:val="0"/>
                      <w:bCs w:val="0"/>
                      <w:color w:val="auto"/>
                      <w:kern w:val="0"/>
                      <w:sz w:val="21"/>
                      <w:szCs w:val="21"/>
                      <w:u w:val="none"/>
                      <w:vertAlign w:val="baseline"/>
                      <w:lang w:val="en-US" w:eastAsia="zh-CN" w:bidi="ar"/>
                    </w:rPr>
                    <w:t>已设有</w:t>
                  </w:r>
                  <w:r>
                    <w:rPr>
                      <w:rFonts w:hint="eastAsia" w:ascii="Times New Roman" w:hAnsi="Times New Roman" w:eastAsia="宋体" w:cs="Times New Roman"/>
                      <w:b w:val="0"/>
                      <w:bCs w:val="0"/>
                      <w:color w:val="auto"/>
                      <w:kern w:val="0"/>
                      <w:sz w:val="21"/>
                      <w:szCs w:val="21"/>
                      <w:u w:val="none"/>
                      <w:vertAlign w:val="baseline"/>
                      <w:lang w:val="en-US" w:eastAsia="zh-CN" w:bidi="ar"/>
                    </w:rPr>
                    <w:t>生产设施运行管理信息</w:t>
                  </w:r>
                  <w:r>
                    <w:rPr>
                      <w:rFonts w:hint="eastAsia" w:cs="Times New Roman"/>
                      <w:b w:val="0"/>
                      <w:bCs w:val="0"/>
                      <w:color w:val="auto"/>
                      <w:kern w:val="0"/>
                      <w:sz w:val="21"/>
                      <w:szCs w:val="21"/>
                      <w:u w:val="none"/>
                      <w:vertAlign w:val="baseline"/>
                      <w:lang w:val="en-US" w:eastAsia="zh-CN" w:bidi="ar"/>
                    </w:rPr>
                    <w:t>，扩建后全厂使用。</w:t>
                  </w:r>
                </w:p>
              </w:tc>
              <w:tc>
                <w:tcPr>
                  <w:tcW w:w="571" w:type="pct"/>
                  <w:vAlign w:val="center"/>
                </w:tcPr>
                <w:p w14:paraId="6D58564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38AE06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1955238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1238B8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12E9DE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废气污染治理设施运行、维护、管理信息（包括但不限于废气收集系统和污染治理设施的名称规格、设计参数、运行参数、巡检记录、污染治理易耗品与药剂用量（吸附剂、催化剂、脱硫剂、脱硝剂、过滤耗材等）、操作记录以及维护记录、运行要求等）</w:t>
                  </w:r>
                  <w:r>
                    <w:rPr>
                      <w:rFonts w:hint="eastAsia" w:cs="Times New Roman"/>
                      <w:b w:val="0"/>
                      <w:bCs w:val="0"/>
                      <w:color w:val="auto"/>
                      <w:kern w:val="0"/>
                      <w:sz w:val="21"/>
                      <w:szCs w:val="21"/>
                      <w:u w:val="none"/>
                      <w:lang w:val="en-US" w:eastAsia="zh-CN" w:bidi="ar"/>
                    </w:rPr>
                    <w:t>。</w:t>
                  </w:r>
                </w:p>
              </w:tc>
              <w:tc>
                <w:tcPr>
                  <w:tcW w:w="1429" w:type="pct"/>
                  <w:vAlign w:val="center"/>
                </w:tcPr>
                <w:p w14:paraId="4A9F94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扩建后全厂颗粒物排放量极少，可以忽略不计</w:t>
                  </w:r>
                  <w:r>
                    <w:rPr>
                      <w:rFonts w:hint="eastAsia" w:ascii="Times New Roman" w:hAnsi="Times New Roman" w:eastAsia="宋体" w:cs="Times New Roman"/>
                      <w:b w:val="0"/>
                      <w:bCs w:val="0"/>
                      <w:color w:val="auto"/>
                      <w:kern w:val="0"/>
                      <w:sz w:val="21"/>
                      <w:szCs w:val="21"/>
                      <w:u w:val="none"/>
                      <w:vertAlign w:val="baseline"/>
                      <w:lang w:val="en-US" w:eastAsia="zh-CN" w:bidi="ar"/>
                    </w:rPr>
                    <w:t>，无需</w:t>
                  </w:r>
                  <w:r>
                    <w:rPr>
                      <w:rFonts w:hint="eastAsia" w:cs="Times New Roman"/>
                      <w:b w:val="0"/>
                      <w:bCs w:val="0"/>
                      <w:color w:val="auto"/>
                      <w:kern w:val="0"/>
                      <w:sz w:val="21"/>
                      <w:szCs w:val="21"/>
                      <w:u w:val="none"/>
                      <w:vertAlign w:val="baseline"/>
                      <w:lang w:val="en-US" w:eastAsia="zh-CN" w:bidi="ar"/>
                    </w:rPr>
                    <w:t>记录</w:t>
                  </w:r>
                  <w:r>
                    <w:rPr>
                      <w:rFonts w:hint="default" w:ascii="Times New Roman" w:hAnsi="Times New Roman" w:eastAsia="宋体" w:cs="Times New Roman"/>
                      <w:b w:val="0"/>
                      <w:bCs w:val="0"/>
                      <w:color w:val="auto"/>
                      <w:kern w:val="0"/>
                      <w:sz w:val="21"/>
                      <w:szCs w:val="21"/>
                      <w:u w:val="none"/>
                      <w:lang w:val="en-US" w:eastAsia="zh-CN" w:bidi="ar"/>
                    </w:rPr>
                    <w:t>废气污染治理设施运行、维护、管理信息</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758C7FE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无关项</w:t>
                  </w:r>
                </w:p>
              </w:tc>
            </w:tr>
            <w:tr w14:paraId="55E7D0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269B7BE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58E35CF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1DBD6A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3.监测记录信息（主要污染排放口废气排放记录等）</w:t>
                  </w:r>
                  <w:r>
                    <w:rPr>
                      <w:rFonts w:hint="eastAsia" w:cs="Times New Roman"/>
                      <w:b w:val="0"/>
                      <w:bCs w:val="0"/>
                      <w:color w:val="auto"/>
                      <w:kern w:val="0"/>
                      <w:sz w:val="21"/>
                      <w:szCs w:val="21"/>
                      <w:u w:val="none"/>
                      <w:lang w:val="en-US" w:eastAsia="zh-CN" w:bidi="ar"/>
                    </w:rPr>
                    <w:t>。</w:t>
                  </w:r>
                </w:p>
              </w:tc>
              <w:tc>
                <w:tcPr>
                  <w:tcW w:w="1429" w:type="pct"/>
                  <w:vAlign w:val="center"/>
                </w:tcPr>
                <w:p w14:paraId="73B6FB0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扩建后全厂颗粒物排放量极少可以忽略不计，无需监测记录信息。</w:t>
                  </w:r>
                </w:p>
              </w:tc>
              <w:tc>
                <w:tcPr>
                  <w:tcW w:w="571" w:type="pct"/>
                  <w:vAlign w:val="center"/>
                </w:tcPr>
                <w:p w14:paraId="7723EA1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设计</w:t>
                  </w:r>
                </w:p>
              </w:tc>
            </w:tr>
            <w:tr w14:paraId="4E9271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7C9D510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6F5809D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5D15C0B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4.主要原辅材料消耗记录</w:t>
                  </w:r>
                  <w:r>
                    <w:rPr>
                      <w:rFonts w:hint="eastAsia" w:cs="Times New Roman"/>
                      <w:b w:val="0"/>
                      <w:bCs w:val="0"/>
                      <w:color w:val="auto"/>
                      <w:kern w:val="0"/>
                      <w:sz w:val="21"/>
                      <w:szCs w:val="21"/>
                      <w:u w:val="none"/>
                      <w:lang w:val="en-US" w:eastAsia="zh-CN" w:bidi="ar"/>
                    </w:rPr>
                    <w:t>。</w:t>
                  </w:r>
                </w:p>
              </w:tc>
              <w:tc>
                <w:tcPr>
                  <w:tcW w:w="1429" w:type="pct"/>
                  <w:vAlign w:val="center"/>
                </w:tcPr>
                <w:p w14:paraId="7B126C5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w:t>
                  </w:r>
                  <w:r>
                    <w:rPr>
                      <w:rFonts w:hint="eastAsia" w:ascii="Times New Roman" w:hAnsi="Times New Roman" w:eastAsia="宋体" w:cs="Times New Roman"/>
                      <w:b w:val="0"/>
                      <w:bCs w:val="0"/>
                      <w:color w:val="auto"/>
                      <w:kern w:val="0"/>
                      <w:sz w:val="21"/>
                      <w:szCs w:val="21"/>
                      <w:u w:val="none"/>
                      <w:vertAlign w:val="baseline"/>
                      <w:lang w:val="en-US" w:eastAsia="zh-CN" w:bidi="ar"/>
                    </w:rPr>
                    <w:t>办理主要原辅料消耗记录</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37B16EB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00F986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16823CC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5140FF6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612017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5.燃料消耗记录</w:t>
                  </w:r>
                  <w:r>
                    <w:rPr>
                      <w:rFonts w:hint="eastAsia" w:cs="Times New Roman"/>
                      <w:b w:val="0"/>
                      <w:bCs w:val="0"/>
                      <w:color w:val="auto"/>
                      <w:kern w:val="0"/>
                      <w:sz w:val="21"/>
                      <w:szCs w:val="21"/>
                      <w:u w:val="none"/>
                      <w:lang w:val="en-US" w:eastAsia="zh-CN" w:bidi="ar"/>
                    </w:rPr>
                    <w:t>。</w:t>
                  </w:r>
                </w:p>
              </w:tc>
              <w:tc>
                <w:tcPr>
                  <w:tcW w:w="1429" w:type="pct"/>
                  <w:vAlign w:val="center"/>
                </w:tcPr>
                <w:p w14:paraId="65F089F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w:t>
                  </w:r>
                  <w:r>
                    <w:rPr>
                      <w:rFonts w:hint="eastAsia" w:ascii="Times New Roman" w:hAnsi="Times New Roman" w:eastAsia="宋体" w:cs="Times New Roman"/>
                      <w:b w:val="0"/>
                      <w:bCs w:val="0"/>
                      <w:color w:val="auto"/>
                      <w:kern w:val="0"/>
                      <w:sz w:val="21"/>
                      <w:szCs w:val="21"/>
                      <w:u w:val="none"/>
                      <w:vertAlign w:val="baseline"/>
                      <w:lang w:val="en-US" w:eastAsia="zh-CN" w:bidi="ar"/>
                    </w:rPr>
                    <w:t>采用电热炉，</w:t>
                  </w:r>
                  <w:r>
                    <w:rPr>
                      <w:rFonts w:hint="eastAsia" w:cs="Times New Roman"/>
                      <w:b w:val="0"/>
                      <w:bCs w:val="0"/>
                      <w:color w:val="auto"/>
                      <w:kern w:val="0"/>
                      <w:sz w:val="21"/>
                      <w:szCs w:val="21"/>
                      <w:u w:val="none"/>
                      <w:vertAlign w:val="baseline"/>
                      <w:lang w:val="en-US" w:eastAsia="zh-CN" w:bidi="ar"/>
                    </w:rPr>
                    <w:t>有用电记录，</w:t>
                  </w:r>
                  <w:r>
                    <w:rPr>
                      <w:rFonts w:hint="eastAsia" w:ascii="Times New Roman" w:hAnsi="Times New Roman" w:eastAsia="宋体" w:cs="Times New Roman"/>
                      <w:b w:val="0"/>
                      <w:bCs w:val="0"/>
                      <w:color w:val="auto"/>
                      <w:kern w:val="0"/>
                      <w:sz w:val="21"/>
                      <w:szCs w:val="21"/>
                      <w:u w:val="none"/>
                      <w:vertAlign w:val="baseline"/>
                      <w:lang w:val="en-US" w:eastAsia="zh-CN" w:bidi="ar"/>
                    </w:rPr>
                    <w:t>无燃料消耗</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02980D1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698B6B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1ED0474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Merge w:val="continue"/>
                  <w:vAlign w:val="center"/>
                </w:tcPr>
                <w:p w14:paraId="7AFB945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27C031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6.固废、危废暂存、处理记录。</w:t>
                  </w:r>
                </w:p>
              </w:tc>
              <w:tc>
                <w:tcPr>
                  <w:tcW w:w="1429" w:type="pct"/>
                  <w:vAlign w:val="center"/>
                </w:tcPr>
                <w:p w14:paraId="4BF2E0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原有项目已</w:t>
                  </w:r>
                  <w:r>
                    <w:rPr>
                      <w:rFonts w:hint="eastAsia" w:ascii="Times New Roman" w:hAnsi="Times New Roman" w:eastAsia="宋体" w:cs="Times New Roman"/>
                      <w:b w:val="0"/>
                      <w:bCs w:val="0"/>
                      <w:color w:val="auto"/>
                      <w:kern w:val="0"/>
                      <w:sz w:val="21"/>
                      <w:szCs w:val="21"/>
                      <w:u w:val="none"/>
                      <w:vertAlign w:val="baseline"/>
                      <w:lang w:val="en-US" w:eastAsia="zh-CN" w:bidi="ar"/>
                    </w:rPr>
                    <w:t>办理固废处理记录</w:t>
                  </w:r>
                  <w:r>
                    <w:rPr>
                      <w:rFonts w:hint="eastAsia" w:cs="Times New Roman"/>
                      <w:b w:val="0"/>
                      <w:bCs w:val="0"/>
                      <w:color w:val="auto"/>
                      <w:kern w:val="0"/>
                      <w:sz w:val="21"/>
                      <w:szCs w:val="21"/>
                      <w:u w:val="none"/>
                      <w:vertAlign w:val="baseline"/>
                      <w:lang w:val="en-US" w:eastAsia="zh-CN" w:bidi="ar"/>
                    </w:rPr>
                    <w:t>，扩建后全厂使用。</w:t>
                  </w:r>
                </w:p>
              </w:tc>
              <w:tc>
                <w:tcPr>
                  <w:tcW w:w="571" w:type="pct"/>
                  <w:vAlign w:val="center"/>
                </w:tcPr>
                <w:p w14:paraId="16A2965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1A4BF9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vMerge w:val="continue"/>
                  <w:vAlign w:val="center"/>
                </w:tcPr>
                <w:p w14:paraId="7AE5AEE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330" w:type="pct"/>
                  <w:vAlign w:val="center"/>
                </w:tcPr>
                <w:p w14:paraId="33F4996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人员配置</w:t>
                  </w:r>
                </w:p>
              </w:tc>
              <w:tc>
                <w:tcPr>
                  <w:tcW w:w="2204" w:type="pct"/>
                  <w:vAlign w:val="center"/>
                </w:tcPr>
                <w:p w14:paraId="3EFEB2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配备专职环保人员，并具备相应的环境管理能力（包括但不限于学历、培训、从业经验等）。</w:t>
                  </w:r>
                </w:p>
              </w:tc>
              <w:tc>
                <w:tcPr>
                  <w:tcW w:w="1429" w:type="pct"/>
                  <w:vAlign w:val="center"/>
                </w:tcPr>
                <w:p w14:paraId="5A667C6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原有项目已配备专职环保人员，并具备相应的环境管理能力</w:t>
                  </w:r>
                  <w:r>
                    <w:rPr>
                      <w:rFonts w:hint="default" w:ascii="Times New Roman" w:hAnsi="Times New Roman" w:eastAsia="宋体" w:cs="Times New Roman"/>
                      <w:b w:val="0"/>
                      <w:bCs w:val="0"/>
                      <w:color w:val="auto"/>
                      <w:kern w:val="0"/>
                      <w:sz w:val="21"/>
                      <w:szCs w:val="21"/>
                      <w:u w:val="none"/>
                      <w:lang w:val="en-US" w:eastAsia="zh-CN" w:bidi="ar"/>
                    </w:rPr>
                    <w:t>（包括但不限于学历、培训、从业经验等）</w:t>
                  </w:r>
                  <w:r>
                    <w:rPr>
                      <w:rFonts w:hint="eastAsia" w:cs="Times New Roman"/>
                      <w:b w:val="0"/>
                      <w:bCs w:val="0"/>
                      <w:color w:val="auto"/>
                      <w:kern w:val="0"/>
                      <w:sz w:val="21"/>
                      <w:szCs w:val="21"/>
                      <w:u w:val="none"/>
                      <w:lang w:val="en-US" w:eastAsia="zh-CN" w:bidi="ar"/>
                    </w:rPr>
                    <w:t>，扩建全厂使用。</w:t>
                  </w:r>
                </w:p>
              </w:tc>
              <w:tc>
                <w:tcPr>
                  <w:tcW w:w="571" w:type="pct"/>
                  <w:vAlign w:val="center"/>
                </w:tcPr>
                <w:p w14:paraId="3C9F75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4B88A7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restart"/>
                  <w:vAlign w:val="center"/>
                </w:tcPr>
                <w:p w14:paraId="2B9F7EE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vertAlign w:val="baseline"/>
                      <w:lang w:val="en-US" w:eastAsia="zh-CN" w:bidi="ar"/>
                    </w:rPr>
                    <w:t>运输方式</w:t>
                  </w:r>
                </w:p>
              </w:tc>
              <w:tc>
                <w:tcPr>
                  <w:tcW w:w="2204" w:type="pct"/>
                  <w:vAlign w:val="center"/>
                </w:tcPr>
                <w:p w14:paraId="03A971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1.物料、产品公路运输全部使用国五及以上排放标准的重型载货车辆（重型燃气车辆达到国六排放标准）或新能源车辆</w:t>
                  </w:r>
                  <w:r>
                    <w:rPr>
                      <w:rFonts w:hint="eastAsia" w:cs="Times New Roman"/>
                      <w:b w:val="0"/>
                      <w:bCs w:val="0"/>
                      <w:color w:val="auto"/>
                      <w:kern w:val="0"/>
                      <w:sz w:val="21"/>
                      <w:szCs w:val="21"/>
                      <w:u w:val="none"/>
                      <w:lang w:val="en-US" w:eastAsia="zh-CN" w:bidi="ar"/>
                    </w:rPr>
                    <w:t>。</w:t>
                  </w:r>
                </w:p>
              </w:tc>
              <w:tc>
                <w:tcPr>
                  <w:tcW w:w="1429" w:type="pct"/>
                  <w:vAlign w:val="center"/>
                </w:tcPr>
                <w:p w14:paraId="2F64B3B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扩建后全厂物料</w:t>
                  </w:r>
                  <w:r>
                    <w:rPr>
                      <w:rFonts w:hint="default" w:ascii="Times New Roman" w:hAnsi="Times New Roman" w:eastAsia="宋体" w:cs="Times New Roman"/>
                      <w:b w:val="0"/>
                      <w:bCs w:val="0"/>
                      <w:color w:val="auto"/>
                      <w:kern w:val="0"/>
                      <w:sz w:val="21"/>
                      <w:szCs w:val="21"/>
                      <w:u w:val="none"/>
                      <w:lang w:val="en-US" w:eastAsia="zh-CN" w:bidi="ar"/>
                    </w:rPr>
                    <w:t>物料、产品公路运输全部使用国五及以上排放标准的重型载货车辆（重型燃气车辆达到国六排放标准）或新能源车辆</w:t>
                  </w:r>
                  <w:r>
                    <w:rPr>
                      <w:rFonts w:hint="eastAsia" w:ascii="Times New Roman" w:hAnsi="Times New Roman" w:eastAsia="宋体" w:cs="Times New Roman"/>
                      <w:b w:val="0"/>
                      <w:bCs w:val="0"/>
                      <w:color w:val="auto"/>
                      <w:kern w:val="0"/>
                      <w:sz w:val="21"/>
                      <w:szCs w:val="21"/>
                      <w:u w:val="none"/>
                      <w:lang w:val="en-US" w:eastAsia="zh-CN" w:bidi="ar"/>
                    </w:rPr>
                    <w:t>。</w:t>
                  </w:r>
                </w:p>
              </w:tc>
              <w:tc>
                <w:tcPr>
                  <w:tcW w:w="571" w:type="pct"/>
                  <w:vAlign w:val="center"/>
                </w:tcPr>
                <w:p w14:paraId="7F0C893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14C8F7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5F2F14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7A0158A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2.厂内车辆全部达到国五及以上排放标准（重型燃气车辆达到国六排放标准）或使用新能源车辆</w:t>
                  </w:r>
                  <w:r>
                    <w:rPr>
                      <w:rFonts w:hint="eastAsia" w:cs="Times New Roman"/>
                      <w:b w:val="0"/>
                      <w:bCs w:val="0"/>
                      <w:color w:val="auto"/>
                      <w:kern w:val="0"/>
                      <w:sz w:val="21"/>
                      <w:szCs w:val="21"/>
                      <w:u w:val="none"/>
                      <w:lang w:val="en-US" w:eastAsia="zh-CN" w:bidi="ar"/>
                    </w:rPr>
                    <w:t>。</w:t>
                  </w:r>
                </w:p>
              </w:tc>
              <w:tc>
                <w:tcPr>
                  <w:tcW w:w="1429" w:type="pct"/>
                  <w:vAlign w:val="center"/>
                </w:tcPr>
                <w:p w14:paraId="516082C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lang w:val="en-US" w:eastAsia="zh-CN" w:bidi="ar"/>
                    </w:rPr>
                    <w:t>扩建后全厂</w:t>
                  </w:r>
                  <w:r>
                    <w:rPr>
                      <w:rFonts w:hint="default" w:ascii="Times New Roman" w:hAnsi="Times New Roman" w:eastAsia="宋体" w:cs="Times New Roman"/>
                      <w:b w:val="0"/>
                      <w:bCs w:val="0"/>
                      <w:color w:val="auto"/>
                      <w:kern w:val="0"/>
                      <w:sz w:val="21"/>
                      <w:szCs w:val="21"/>
                      <w:u w:val="none"/>
                      <w:lang w:val="en-US" w:eastAsia="zh-CN" w:bidi="ar"/>
                    </w:rPr>
                    <w:t>厂内车辆全部达到国五及以上排放标准（重型燃气车辆达到国六排放标准）或使用新能源车辆</w:t>
                  </w:r>
                  <w:r>
                    <w:rPr>
                      <w:rFonts w:hint="eastAsia" w:ascii="Times New Roman" w:hAnsi="Times New Roman" w:eastAsia="宋体" w:cs="Times New Roman"/>
                      <w:b w:val="0"/>
                      <w:bCs w:val="0"/>
                      <w:color w:val="auto"/>
                      <w:kern w:val="0"/>
                      <w:sz w:val="21"/>
                      <w:szCs w:val="21"/>
                      <w:u w:val="none"/>
                      <w:lang w:val="en-US" w:eastAsia="zh-CN" w:bidi="ar"/>
                    </w:rPr>
                    <w:t>。</w:t>
                  </w:r>
                </w:p>
              </w:tc>
              <w:tc>
                <w:tcPr>
                  <w:tcW w:w="571" w:type="pct"/>
                  <w:vAlign w:val="center"/>
                </w:tcPr>
                <w:p w14:paraId="7343F9B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5947DD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Merge w:val="continue"/>
                  <w:vAlign w:val="center"/>
                </w:tcPr>
                <w:p w14:paraId="70BBEDD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p>
              </w:tc>
              <w:tc>
                <w:tcPr>
                  <w:tcW w:w="2204" w:type="pct"/>
                  <w:vAlign w:val="center"/>
                </w:tcPr>
                <w:p w14:paraId="6507DD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3.厂内非道路移动机械达到国三及以上排放标准或使用新能源机械。</w:t>
                  </w:r>
                </w:p>
              </w:tc>
              <w:tc>
                <w:tcPr>
                  <w:tcW w:w="1429" w:type="pct"/>
                  <w:vAlign w:val="center"/>
                </w:tcPr>
                <w:p w14:paraId="39206A1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lang w:val="en-US" w:eastAsia="zh-CN" w:bidi="ar"/>
                    </w:rPr>
                    <w:t>扩建后全厂</w:t>
                  </w:r>
                  <w:r>
                    <w:rPr>
                      <w:rFonts w:hint="default" w:ascii="Times New Roman" w:hAnsi="Times New Roman" w:eastAsia="宋体" w:cs="Times New Roman"/>
                      <w:b w:val="0"/>
                      <w:bCs w:val="0"/>
                      <w:color w:val="auto"/>
                      <w:kern w:val="0"/>
                      <w:sz w:val="21"/>
                      <w:szCs w:val="21"/>
                      <w:u w:val="none"/>
                      <w:lang w:val="en-US" w:eastAsia="zh-CN" w:bidi="ar"/>
                    </w:rPr>
                    <w:t>厂内非道路移动机械达到国三及以上排放标准或使用新能源机械</w:t>
                  </w:r>
                  <w:r>
                    <w:rPr>
                      <w:rFonts w:hint="eastAsia" w:ascii="Times New Roman" w:hAnsi="Times New Roman" w:eastAsia="宋体" w:cs="Times New Roman"/>
                      <w:b w:val="0"/>
                      <w:bCs w:val="0"/>
                      <w:color w:val="auto"/>
                      <w:kern w:val="0"/>
                      <w:sz w:val="21"/>
                      <w:szCs w:val="21"/>
                      <w:u w:val="none"/>
                      <w:lang w:val="en-US" w:eastAsia="zh-CN" w:bidi="ar"/>
                    </w:rPr>
                    <w:t>。</w:t>
                  </w:r>
                </w:p>
              </w:tc>
              <w:tc>
                <w:tcPr>
                  <w:tcW w:w="571" w:type="pct"/>
                  <w:vAlign w:val="center"/>
                </w:tcPr>
                <w:p w14:paraId="4045F4F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5072F0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4" w:type="pct"/>
                  <w:gridSpan w:val="2"/>
                  <w:vAlign w:val="center"/>
                </w:tcPr>
                <w:p w14:paraId="7CD4D0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运输监管</w:t>
                  </w:r>
                </w:p>
              </w:tc>
              <w:tc>
                <w:tcPr>
                  <w:tcW w:w="2204" w:type="pct"/>
                  <w:vAlign w:val="center"/>
                </w:tcPr>
                <w:p w14:paraId="55E35E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日均进出货物150吨（或载货车辆日进出10辆次）及以上（货物包括原料、辅料、燃料、产品和其他与生产相关物料）的企业，参照《重污染天气重点行业移动源应急管理技术指南》建立门禁视频监控系统和电子台账；其他企业安装车辆运输视频监控（数据能保存6个月），并建立车辆运输手工台账。</w:t>
                  </w:r>
                </w:p>
              </w:tc>
              <w:tc>
                <w:tcPr>
                  <w:tcW w:w="1429" w:type="pct"/>
                  <w:vAlign w:val="center"/>
                </w:tcPr>
                <w:p w14:paraId="354AC07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ascii="Times New Roman" w:hAnsi="Times New Roman" w:eastAsia="宋体" w:cs="Times New Roman"/>
                      <w:b w:val="0"/>
                      <w:bCs w:val="0"/>
                      <w:color w:val="auto"/>
                      <w:kern w:val="0"/>
                      <w:sz w:val="21"/>
                      <w:szCs w:val="21"/>
                      <w:u w:val="none"/>
                      <w:vertAlign w:val="baseline"/>
                      <w:lang w:val="en-US" w:eastAsia="zh-CN" w:bidi="ar"/>
                    </w:rPr>
                    <w:t>本项目建成后全厂日均进出货物为116.7t/d，不需要安装门禁系统，</w:t>
                  </w:r>
                  <w:r>
                    <w:rPr>
                      <w:rFonts w:hint="eastAsia" w:cs="Times New Roman"/>
                      <w:b w:val="0"/>
                      <w:bCs w:val="0"/>
                      <w:color w:val="auto"/>
                      <w:kern w:val="0"/>
                      <w:sz w:val="21"/>
                      <w:szCs w:val="21"/>
                      <w:u w:val="none"/>
                      <w:vertAlign w:val="baseline"/>
                      <w:lang w:val="en-US" w:eastAsia="zh-CN" w:bidi="ar"/>
                    </w:rPr>
                    <w:t>利用现有</w:t>
                  </w:r>
                  <w:r>
                    <w:rPr>
                      <w:rFonts w:hint="eastAsia" w:ascii="Times New Roman" w:hAnsi="Times New Roman" w:eastAsia="宋体" w:cs="Times New Roman"/>
                      <w:b w:val="0"/>
                      <w:bCs w:val="0"/>
                      <w:color w:val="auto"/>
                      <w:kern w:val="0"/>
                      <w:sz w:val="21"/>
                      <w:szCs w:val="21"/>
                      <w:u w:val="none"/>
                      <w:vertAlign w:val="baseline"/>
                      <w:lang w:val="en-US" w:eastAsia="zh-CN" w:bidi="ar"/>
                    </w:rPr>
                    <w:t>安装车辆运输视频监控（数据保存6个月）</w:t>
                  </w:r>
                  <w:r>
                    <w:rPr>
                      <w:rFonts w:hint="eastAsia" w:cs="Times New Roman"/>
                      <w:b w:val="0"/>
                      <w:bCs w:val="0"/>
                      <w:color w:val="auto"/>
                      <w:kern w:val="0"/>
                      <w:sz w:val="21"/>
                      <w:szCs w:val="21"/>
                      <w:u w:val="none"/>
                      <w:vertAlign w:val="baseline"/>
                      <w:lang w:val="en-US" w:eastAsia="zh-CN" w:bidi="ar"/>
                    </w:rPr>
                    <w:t>与</w:t>
                  </w:r>
                  <w:r>
                    <w:rPr>
                      <w:rFonts w:hint="eastAsia" w:ascii="Times New Roman" w:hAnsi="Times New Roman" w:eastAsia="宋体" w:cs="Times New Roman"/>
                      <w:b w:val="0"/>
                      <w:bCs w:val="0"/>
                      <w:color w:val="auto"/>
                      <w:kern w:val="0"/>
                      <w:sz w:val="21"/>
                      <w:szCs w:val="21"/>
                      <w:u w:val="none"/>
                      <w:vertAlign w:val="baseline"/>
                      <w:lang w:val="en-US" w:eastAsia="zh-CN" w:bidi="ar"/>
                    </w:rPr>
                    <w:t>车辆运输手工台账</w:t>
                  </w:r>
                  <w:r>
                    <w:rPr>
                      <w:rFonts w:hint="eastAsia" w:cs="Times New Roman"/>
                      <w:b w:val="0"/>
                      <w:bCs w:val="0"/>
                      <w:color w:val="auto"/>
                      <w:kern w:val="0"/>
                      <w:sz w:val="21"/>
                      <w:szCs w:val="21"/>
                      <w:u w:val="none"/>
                      <w:vertAlign w:val="baseline"/>
                      <w:lang w:val="en-US" w:eastAsia="zh-CN" w:bidi="ar"/>
                    </w:rPr>
                    <w:t>。</w:t>
                  </w:r>
                </w:p>
              </w:tc>
              <w:tc>
                <w:tcPr>
                  <w:tcW w:w="571" w:type="pct"/>
                  <w:vAlign w:val="center"/>
                </w:tcPr>
                <w:p w14:paraId="7285CD3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eastAsia" w:cs="Times New Roman"/>
                      <w:b w:val="0"/>
                      <w:bCs w:val="0"/>
                      <w:color w:val="auto"/>
                      <w:kern w:val="0"/>
                      <w:sz w:val="21"/>
                      <w:szCs w:val="21"/>
                      <w:u w:val="none"/>
                      <w:vertAlign w:val="baseline"/>
                      <w:lang w:val="en-US" w:eastAsia="zh-CN" w:bidi="ar"/>
                    </w:rPr>
                    <w:t>相符</w:t>
                  </w:r>
                </w:p>
              </w:tc>
            </w:tr>
            <w:tr w14:paraId="624DF1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000" w:type="pct"/>
                  <w:gridSpan w:val="5"/>
                  <w:vAlign w:val="center"/>
                </w:tcPr>
                <w:p w14:paraId="4F24D9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eastAsia="宋体" w:cs="Times New Roman"/>
                      <w:b w:val="0"/>
                      <w:bCs w:val="0"/>
                      <w:color w:val="auto"/>
                      <w:kern w:val="0"/>
                      <w:sz w:val="21"/>
                      <w:szCs w:val="21"/>
                      <w:u w:val="none"/>
                      <w:vertAlign w:val="baseline"/>
                      <w:lang w:val="en-US" w:eastAsia="zh-CN" w:bidi="ar"/>
                    </w:rPr>
                  </w:pPr>
                  <w:r>
                    <w:rPr>
                      <w:rFonts w:hint="default" w:ascii="Times New Roman" w:hAnsi="Times New Roman" w:eastAsia="宋体" w:cs="Times New Roman"/>
                      <w:b w:val="0"/>
                      <w:bCs w:val="0"/>
                      <w:color w:val="auto"/>
                      <w:kern w:val="0"/>
                      <w:sz w:val="21"/>
                      <w:szCs w:val="21"/>
                      <w:u w:val="none"/>
                      <w:lang w:val="en-US" w:eastAsia="zh-CN" w:bidi="ar"/>
                    </w:rPr>
                    <w:t>备注【1】：2021年3月1日后新建的燃气锅炉和需要采取特别保护措施的区域，执行该排放限值。</w:t>
                  </w:r>
                </w:p>
              </w:tc>
            </w:tr>
          </w:tbl>
          <w:p w14:paraId="7FAF067E">
            <w:pPr>
              <w:keepNext w:val="0"/>
              <w:keepLines w:val="0"/>
              <w:pageBreakBefore w:val="0"/>
              <w:widowControl w:val="0"/>
              <w:suppressLineNumbers w:val="0"/>
              <w:kinsoku/>
              <w:wordWrap/>
              <w:overflowPunct/>
              <w:topLinePunct w:val="0"/>
              <w:autoSpaceDE w:val="0"/>
              <w:autoSpaceDN w:val="0"/>
              <w:bidi w:val="0"/>
              <w:adjustRightInd w:val="0"/>
              <w:snapToGrid/>
              <w:spacing w:before="157" w:beforeLines="50" w:beforeAutospacing="0" w:after="0" w:afterAutospacing="0" w:line="360" w:lineRule="auto"/>
              <w:ind w:left="0" w:right="0" w:firstLine="480" w:firstLineChars="200"/>
              <w:textAlignment w:val="auto"/>
              <w:rPr>
                <w:rFonts w:hint="eastAsia" w:cs="Times New Roman"/>
                <w:b w:val="0"/>
                <w:bCs w:val="0"/>
                <w:color w:val="auto"/>
                <w:kern w:val="0"/>
                <w:sz w:val="24"/>
                <w:szCs w:val="24"/>
                <w:vertAlign w:val="baseline"/>
                <w:lang w:val="en-US" w:eastAsia="zh-CN" w:bidi="ar"/>
              </w:rPr>
            </w:pPr>
            <w:r>
              <w:rPr>
                <w:rFonts w:hint="eastAsia"/>
                <w:color w:val="auto"/>
                <w:sz w:val="24"/>
              </w:rPr>
              <w:t>综上所述，本项目采取以上措施后符合《河南省重污染天气重点行业应急减排措施制定技术指南（2024年修订版）》中</w:t>
            </w:r>
            <w:r>
              <w:rPr>
                <w:rFonts w:hint="eastAsia"/>
                <w:color w:val="auto"/>
                <w:sz w:val="24"/>
                <w:lang w:val="en-US" w:eastAsia="zh-CN"/>
              </w:rPr>
              <w:t>金属表面处理及热处理加工企业</w:t>
            </w:r>
            <w:r>
              <w:rPr>
                <w:rFonts w:hint="eastAsia"/>
                <w:color w:val="auto"/>
                <w:sz w:val="24"/>
              </w:rPr>
              <w:t>A级指标。</w:t>
            </w:r>
          </w:p>
          <w:p w14:paraId="65ACB7C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1"/>
                <w:szCs w:val="21"/>
                <w:lang w:val="en-US" w:eastAsia="zh-CN" w:bidi="ar"/>
              </w:rPr>
            </w:pPr>
            <w:r>
              <w:rPr>
                <w:rFonts w:hint="eastAsia" w:cs="Times New Roman"/>
                <w:b/>
                <w:bCs/>
                <w:color w:val="auto"/>
                <w:kern w:val="0"/>
                <w:sz w:val="24"/>
                <w:szCs w:val="24"/>
                <w:lang w:val="en-US" w:eastAsia="zh-CN" w:bidi="ar"/>
              </w:rPr>
              <w:t>8</w:t>
            </w:r>
            <w:r>
              <w:rPr>
                <w:rFonts w:hint="default"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1"/>
                <w:szCs w:val="21"/>
                <w:lang w:val="en-US" w:eastAsia="zh-CN" w:bidi="ar"/>
              </w:rPr>
              <w:t>本</w:t>
            </w:r>
            <w:r>
              <w:rPr>
                <w:rFonts w:hint="default" w:ascii="Times New Roman" w:hAnsi="Times New Roman" w:eastAsia="宋体" w:cs="Times New Roman"/>
                <w:b/>
                <w:bCs/>
                <w:color w:val="auto"/>
                <w:kern w:val="0"/>
                <w:sz w:val="24"/>
                <w:szCs w:val="24"/>
                <w:lang w:val="en-US" w:eastAsia="zh-CN" w:bidi="ar"/>
              </w:rPr>
              <w:t>项目与</w:t>
            </w:r>
            <w:r>
              <w:rPr>
                <w:rFonts w:hint="eastAsia" w:ascii="Times New Roman" w:hAnsi="Times New Roman" w:eastAsia="宋体" w:cs="Times New Roman"/>
                <w:b/>
                <w:bCs/>
                <w:color w:val="auto"/>
                <w:kern w:val="0"/>
                <w:sz w:val="24"/>
                <w:szCs w:val="24"/>
                <w:lang w:val="en-US" w:eastAsia="zh-CN" w:bidi="ar"/>
              </w:rPr>
              <w:t>安环委〔2025〕2号</w:t>
            </w:r>
            <w:r>
              <w:rPr>
                <w:rFonts w:hint="default" w:ascii="Times New Roman" w:hAnsi="Times New Roman" w:eastAsia="宋体" w:cs="Times New Roman"/>
                <w:b/>
                <w:bCs/>
                <w:color w:val="auto"/>
                <w:kern w:val="0"/>
                <w:sz w:val="24"/>
                <w:szCs w:val="24"/>
                <w:lang w:val="en-US" w:eastAsia="zh-CN" w:bidi="ar"/>
              </w:rPr>
              <w:t>符合性分析</w:t>
            </w:r>
          </w:p>
          <w:p w14:paraId="1BA99F8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sz w:val="24"/>
                <w:szCs w:val="24"/>
                <w:highlight w:val="none"/>
                <w:lang w:val="en-US" w:eastAsia="zh-CN"/>
              </w:rPr>
              <w:t>2025年4月17日，安阳市生态环境保护委员会印发了《安阳市2025年大气污染防治攻坚行动方案》</w:t>
            </w:r>
            <w:r>
              <w:rPr>
                <w:rFonts w:hint="default" w:ascii="Times New Roman" w:hAnsi="Times New Roman" w:eastAsia="宋体" w:cs="Times New Roman"/>
                <w:color w:val="auto"/>
                <w:sz w:val="24"/>
                <w:szCs w:val="24"/>
                <w:highlight w:val="none"/>
                <w:lang w:val="en-US" w:eastAsia="zh-CN"/>
              </w:rPr>
              <w:t>《安阳市202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年碧水保卫战实施方案》《安阳市202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年净土保卫战实施方案》《安阳市202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年柴油货车污染治理攻坚行动方案》的通知（安环委〔202</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号），本项目与其相符性分析如下表：</w:t>
            </w:r>
          </w:p>
          <w:p w14:paraId="1511BDD1">
            <w:pPr>
              <w:pStyle w:val="23"/>
              <w:keepNext w:val="0"/>
              <w:keepLines w:val="0"/>
              <w:pageBreakBefore w:val="0"/>
              <w:widowControl w:val="0"/>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表</w:t>
            </w:r>
            <w:r>
              <w:rPr>
                <w:rFonts w:hint="eastAsia" w:ascii="Times New Roman" w:hAnsi="Times New Roman" w:cs="Times New Roman"/>
                <w:b/>
                <w:bCs/>
                <w:color w:val="auto"/>
                <w:kern w:val="2"/>
                <w:sz w:val="21"/>
                <w:szCs w:val="21"/>
                <w:lang w:val="en-US" w:eastAsia="zh-CN" w:bidi="ar"/>
              </w:rPr>
              <w:t>9</w:t>
            </w:r>
            <w:r>
              <w:rPr>
                <w:rFonts w:hint="eastAsia" w:ascii="Times New Roman" w:hAnsi="Times New Roman" w:eastAsia="宋体" w:cs="Times New Roman"/>
                <w:b/>
                <w:bCs/>
                <w:color w:val="auto"/>
                <w:kern w:val="2"/>
                <w:sz w:val="21"/>
                <w:szCs w:val="21"/>
                <w:lang w:val="en-US" w:eastAsia="zh-CN" w:bidi="ar"/>
              </w:rPr>
              <w:t xml:space="preserve">  </w:t>
            </w:r>
            <w:r>
              <w:rPr>
                <w:rFonts w:hint="default" w:ascii="Times New Roman" w:hAnsi="Times New Roman" w:eastAsia="宋体" w:cs="Times New Roman"/>
                <w:b/>
                <w:bCs/>
                <w:color w:val="auto"/>
                <w:kern w:val="2"/>
                <w:sz w:val="21"/>
                <w:szCs w:val="21"/>
                <w:lang w:val="en-US" w:eastAsia="zh-CN" w:bidi="ar"/>
              </w:rPr>
              <w:t>本项目与安环委〔202</w:t>
            </w:r>
            <w:r>
              <w:rPr>
                <w:rFonts w:hint="eastAsia" w:ascii="Times New Roman" w:hAnsi="Times New Roman" w:eastAsia="宋体" w:cs="Times New Roman"/>
                <w:b/>
                <w:bCs/>
                <w:color w:val="auto"/>
                <w:kern w:val="2"/>
                <w:sz w:val="21"/>
                <w:szCs w:val="21"/>
                <w:lang w:val="en-US" w:eastAsia="zh-CN" w:bidi="ar"/>
              </w:rPr>
              <w:t>5</w:t>
            </w:r>
            <w:r>
              <w:rPr>
                <w:rFonts w:hint="default" w:ascii="Times New Roman" w:hAnsi="Times New Roman" w:eastAsia="宋体" w:cs="Times New Roman"/>
                <w:b/>
                <w:bCs/>
                <w:color w:val="auto"/>
                <w:kern w:val="2"/>
                <w:sz w:val="21"/>
                <w:szCs w:val="21"/>
                <w:lang w:val="en-US" w:eastAsia="zh-CN" w:bidi="ar"/>
              </w:rPr>
              <w:t>〕</w:t>
            </w:r>
            <w:r>
              <w:rPr>
                <w:rFonts w:hint="eastAsia" w:ascii="Times New Roman" w:hAnsi="Times New Roman" w:eastAsia="宋体" w:cs="Times New Roman"/>
                <w:b/>
                <w:bCs/>
                <w:color w:val="auto"/>
                <w:kern w:val="2"/>
                <w:sz w:val="21"/>
                <w:szCs w:val="21"/>
                <w:lang w:val="en-US" w:eastAsia="zh-CN" w:bidi="ar"/>
              </w:rPr>
              <w:t>2</w:t>
            </w:r>
            <w:r>
              <w:rPr>
                <w:rFonts w:hint="default" w:ascii="Times New Roman" w:hAnsi="Times New Roman" w:eastAsia="宋体" w:cs="Times New Roman"/>
                <w:b/>
                <w:bCs/>
                <w:color w:val="auto"/>
                <w:kern w:val="2"/>
                <w:sz w:val="21"/>
                <w:szCs w:val="21"/>
                <w:lang w:val="en-US" w:eastAsia="zh-CN" w:bidi="ar"/>
              </w:rPr>
              <w:t>号</w:t>
            </w:r>
            <w:r>
              <w:rPr>
                <w:rFonts w:hint="eastAsia" w:ascii="Times New Roman" w:hAnsi="Times New Roman" w:eastAsia="宋体" w:cs="Times New Roman"/>
                <w:b/>
                <w:bCs/>
                <w:color w:val="auto"/>
                <w:kern w:val="2"/>
                <w:sz w:val="21"/>
                <w:szCs w:val="21"/>
                <w:lang w:val="en-US" w:eastAsia="zh-CN" w:bidi="ar"/>
              </w:rPr>
              <w:t>相符</w:t>
            </w:r>
            <w:r>
              <w:rPr>
                <w:rFonts w:hint="default" w:ascii="Times New Roman" w:hAnsi="Times New Roman" w:eastAsia="宋体" w:cs="Times New Roman"/>
                <w:b/>
                <w:bCs/>
                <w:color w:val="auto"/>
                <w:kern w:val="2"/>
                <w:sz w:val="21"/>
                <w:szCs w:val="21"/>
                <w:lang w:val="en-US" w:eastAsia="zh-CN" w:bidi="ar"/>
              </w:rPr>
              <w:t>性分析</w:t>
            </w:r>
            <w:r>
              <w:rPr>
                <w:rFonts w:hint="eastAsia" w:ascii="Times New Roman" w:hAnsi="Times New Roman" w:eastAsia="宋体" w:cs="Times New Roman"/>
                <w:b/>
                <w:bCs/>
                <w:color w:val="auto"/>
                <w:kern w:val="2"/>
                <w:sz w:val="21"/>
                <w:szCs w:val="21"/>
                <w:lang w:val="en-US" w:eastAsia="zh-CN" w:bidi="ar"/>
              </w:rPr>
              <w:t>一览表</w:t>
            </w:r>
          </w:p>
          <w:tbl>
            <w:tblPr>
              <w:tblStyle w:val="27"/>
              <w:tblW w:w="0" w:type="auto"/>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68" w:type="dxa"/>
                <w:bottom w:w="0" w:type="dxa"/>
                <w:right w:w="68" w:type="dxa"/>
              </w:tblCellMar>
            </w:tblPr>
            <w:tblGrid>
              <w:gridCol w:w="1178"/>
              <w:gridCol w:w="3958"/>
              <w:gridCol w:w="2165"/>
              <w:gridCol w:w="789"/>
            </w:tblGrid>
            <w:tr w14:paraId="742C9F44">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90" w:hRule="atLeast"/>
                <w:jc w:val="center"/>
              </w:trPr>
              <w:tc>
                <w:tcPr>
                  <w:tcW w:w="1178" w:type="dxa"/>
                  <w:tcBorders>
                    <w:top w:val="single" w:color="auto" w:sz="12" w:space="0"/>
                    <w:left w:val="nil"/>
                    <w:bottom w:val="single" w:color="auto" w:sz="4" w:space="0"/>
                    <w:right w:val="single" w:color="auto" w:sz="4" w:space="0"/>
                  </w:tcBorders>
                  <w:noWrap w:val="0"/>
                  <w:vAlign w:val="center"/>
                </w:tcPr>
                <w:p w14:paraId="0142AEC7">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类别</w:t>
                  </w:r>
                </w:p>
              </w:tc>
              <w:tc>
                <w:tcPr>
                  <w:tcW w:w="3958" w:type="dxa"/>
                  <w:tcBorders>
                    <w:top w:val="single" w:color="auto" w:sz="12" w:space="0"/>
                    <w:left w:val="nil"/>
                    <w:bottom w:val="single" w:color="auto" w:sz="4" w:space="0"/>
                    <w:right w:val="single" w:color="auto" w:sz="4" w:space="0"/>
                  </w:tcBorders>
                  <w:noWrap w:val="0"/>
                  <w:vAlign w:val="center"/>
                </w:tcPr>
                <w:p w14:paraId="28EED107">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详细要求</w:t>
                  </w:r>
                </w:p>
              </w:tc>
              <w:tc>
                <w:tcPr>
                  <w:tcW w:w="2165" w:type="dxa"/>
                  <w:tcBorders>
                    <w:top w:val="single" w:color="auto" w:sz="12" w:space="0"/>
                    <w:left w:val="nil"/>
                    <w:bottom w:val="single" w:color="auto" w:sz="4" w:space="0"/>
                    <w:right w:val="single" w:color="auto" w:sz="4" w:space="0"/>
                  </w:tcBorders>
                  <w:noWrap w:val="0"/>
                  <w:vAlign w:val="center"/>
                </w:tcPr>
                <w:p w14:paraId="61FED536">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本项目情况</w:t>
                  </w:r>
                </w:p>
              </w:tc>
              <w:tc>
                <w:tcPr>
                  <w:tcW w:w="789" w:type="dxa"/>
                  <w:tcBorders>
                    <w:top w:val="single" w:color="auto" w:sz="12" w:space="0"/>
                    <w:left w:val="nil"/>
                    <w:bottom w:val="single" w:color="auto" w:sz="4" w:space="0"/>
                    <w:right w:val="nil"/>
                  </w:tcBorders>
                  <w:noWrap w:val="0"/>
                  <w:vAlign w:val="center"/>
                </w:tcPr>
                <w:p w14:paraId="6BA8FCC0">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相符性</w:t>
                  </w:r>
                </w:p>
              </w:tc>
            </w:tr>
            <w:tr w14:paraId="013793C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jc w:val="center"/>
              </w:trPr>
              <w:tc>
                <w:tcPr>
                  <w:tcW w:w="1178" w:type="dxa"/>
                  <w:vMerge w:val="restart"/>
                  <w:tcBorders>
                    <w:top w:val="nil"/>
                    <w:left w:val="nil"/>
                    <w:bottom w:val="single" w:color="auto" w:sz="4" w:space="0"/>
                    <w:right w:val="single" w:color="auto" w:sz="4" w:space="0"/>
                  </w:tcBorders>
                  <w:noWrap w:val="0"/>
                  <w:vAlign w:val="center"/>
                </w:tcPr>
                <w:p w14:paraId="1EF16899">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安阳市2025年大气污染防治攻坚行动方案</w:t>
                  </w:r>
                </w:p>
              </w:tc>
              <w:tc>
                <w:tcPr>
                  <w:tcW w:w="3958" w:type="dxa"/>
                  <w:tcBorders>
                    <w:top w:val="single" w:color="auto" w:sz="4" w:space="0"/>
                    <w:left w:val="nil"/>
                    <w:bottom w:val="single" w:color="auto" w:sz="4" w:space="0"/>
                    <w:right w:val="single" w:color="auto" w:sz="4" w:space="0"/>
                  </w:tcBorders>
                  <w:noWrap w:val="0"/>
                  <w:vAlign w:val="center"/>
                </w:tcPr>
                <w:p w14:paraId="348249AE">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cs="Times New Roman"/>
                      <w:b w:val="0"/>
                      <w:bCs w:val="0"/>
                      <w:color w:val="auto"/>
                      <w:kern w:val="0"/>
                      <w:sz w:val="21"/>
                      <w:szCs w:val="21"/>
                      <w:u w:val="none" w:color="auto"/>
                    </w:rPr>
                  </w:pPr>
                  <w:r>
                    <w:rPr>
                      <w:rFonts w:hint="eastAsia" w:ascii="Times New Roman" w:hAnsi="Times New Roman" w:eastAsia="宋体" w:cs="Times New Roman"/>
                      <w:b w:val="0"/>
                      <w:bCs w:val="0"/>
                      <w:color w:val="auto"/>
                      <w:kern w:val="0"/>
                      <w:sz w:val="21"/>
                      <w:szCs w:val="21"/>
                      <w:u w:val="none" w:color="auto"/>
                      <w:lang w:val="en-US" w:eastAsia="zh-CN" w:bidi="ar"/>
                    </w:rPr>
                    <w:t>6</w:t>
                  </w:r>
                  <w:r>
                    <w:rPr>
                      <w:rFonts w:hint="default" w:ascii="Times New Roman" w:hAnsi="Times New Roman" w:eastAsia="宋体" w:cs="Times New Roman"/>
                      <w:b w:val="0"/>
                      <w:bCs w:val="0"/>
                      <w:color w:val="auto"/>
                      <w:kern w:val="0"/>
                      <w:sz w:val="21"/>
                      <w:szCs w:val="21"/>
                      <w:u w:val="none" w:color="auto"/>
                      <w:lang w:val="en-US" w:eastAsia="zh-CN" w:bidi="ar"/>
                    </w:rPr>
                    <w:t>.严格项目源头管控。坚决遏制“两高”项目盲目发展，严禁新增钢铁、焦化、铸造用生铁、水泥、平板玻璃、有色、煤化工、炭素、烧结砖瓦、耐火材料（含烧结工序的）、铁合金、独立煤炭洗选、以煤为燃料的石灰窑、非矿山配套的机制砂（石料破碎）等行业产能。平板玻璃产业确需新建、改建的，要严格按照国家、省工信部门有关产能置换政策执行。严格控制新建生产和使用高VOCs含量的溶剂型涂料、油墨、胶黏剂、清洗剂等建设项目。禁止新增化工园区。</w:t>
                  </w:r>
                </w:p>
              </w:tc>
              <w:tc>
                <w:tcPr>
                  <w:tcW w:w="2165" w:type="dxa"/>
                  <w:tcBorders>
                    <w:top w:val="single" w:color="auto" w:sz="4" w:space="0"/>
                    <w:left w:val="nil"/>
                    <w:bottom w:val="single" w:color="auto" w:sz="4" w:space="0"/>
                    <w:right w:val="single" w:color="auto" w:sz="4" w:space="0"/>
                  </w:tcBorders>
                  <w:noWrap w:val="0"/>
                  <w:vAlign w:val="center"/>
                </w:tcPr>
                <w:p w14:paraId="6120F1D5">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本项目属于金属丝绳及其制品制造项目，不属于</w:t>
                  </w:r>
                  <w:r>
                    <w:rPr>
                      <w:rFonts w:hint="eastAsia" w:ascii="Times New Roman" w:hAnsi="Times New Roman" w:eastAsia="宋体" w:cs="Times New Roman"/>
                      <w:b w:val="0"/>
                      <w:bCs w:val="0"/>
                      <w:color w:val="auto"/>
                      <w:kern w:val="0"/>
                      <w:sz w:val="21"/>
                      <w:szCs w:val="21"/>
                      <w:u w:val="none" w:color="auto"/>
                      <w:lang w:val="en-US" w:eastAsia="zh-CN" w:bidi="ar"/>
                    </w:rPr>
                    <w:t>“</w:t>
                  </w:r>
                  <w:r>
                    <w:rPr>
                      <w:rFonts w:hint="default" w:ascii="Times New Roman" w:hAnsi="Times New Roman" w:eastAsia="宋体" w:cs="Times New Roman"/>
                      <w:b w:val="0"/>
                      <w:bCs w:val="0"/>
                      <w:color w:val="auto"/>
                      <w:kern w:val="0"/>
                      <w:sz w:val="21"/>
                      <w:szCs w:val="21"/>
                      <w:u w:val="none" w:color="auto"/>
                      <w:lang w:val="en-US" w:eastAsia="zh-CN" w:bidi="ar"/>
                    </w:rPr>
                    <w:t>两高</w:t>
                  </w:r>
                  <w:r>
                    <w:rPr>
                      <w:rFonts w:hint="eastAsia" w:ascii="Times New Roman" w:hAnsi="Times New Roman" w:eastAsia="宋体" w:cs="Times New Roman"/>
                      <w:b w:val="0"/>
                      <w:bCs w:val="0"/>
                      <w:color w:val="auto"/>
                      <w:kern w:val="0"/>
                      <w:sz w:val="21"/>
                      <w:szCs w:val="21"/>
                      <w:u w:val="none" w:color="auto"/>
                      <w:lang w:val="en-US" w:eastAsia="zh-CN" w:bidi="ar"/>
                    </w:rPr>
                    <w:t>”</w:t>
                  </w:r>
                  <w:r>
                    <w:rPr>
                      <w:rFonts w:hint="default" w:ascii="Times New Roman" w:hAnsi="Times New Roman" w:eastAsia="宋体" w:cs="Times New Roman"/>
                      <w:b w:val="0"/>
                      <w:bCs w:val="0"/>
                      <w:color w:val="auto"/>
                      <w:kern w:val="0"/>
                      <w:sz w:val="21"/>
                      <w:szCs w:val="21"/>
                      <w:u w:val="none" w:color="auto"/>
                      <w:lang w:val="en-US" w:eastAsia="zh-CN" w:bidi="ar"/>
                    </w:rPr>
                    <w:t>项目，本项目不涉及高VOCs含量溶剂型涂料、油墨、胶粘剂、清洗剂等。</w:t>
                  </w:r>
                </w:p>
              </w:tc>
              <w:tc>
                <w:tcPr>
                  <w:tcW w:w="789" w:type="dxa"/>
                  <w:tcBorders>
                    <w:top w:val="single" w:color="auto" w:sz="4" w:space="0"/>
                    <w:left w:val="nil"/>
                    <w:bottom w:val="single" w:color="auto" w:sz="4" w:space="0"/>
                    <w:right w:val="nil"/>
                  </w:tcBorders>
                  <w:noWrap w:val="0"/>
                  <w:vAlign w:val="center"/>
                </w:tcPr>
                <w:p w14:paraId="06ED471B">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r w14:paraId="4651EF21">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jc w:val="center"/>
              </w:trPr>
              <w:tc>
                <w:tcPr>
                  <w:tcW w:w="1178" w:type="dxa"/>
                  <w:vMerge w:val="continue"/>
                  <w:tcBorders>
                    <w:top w:val="nil"/>
                    <w:left w:val="nil"/>
                    <w:bottom w:val="single" w:color="auto" w:sz="4" w:space="0"/>
                    <w:right w:val="single" w:color="auto" w:sz="4" w:space="0"/>
                  </w:tcBorders>
                  <w:noWrap w:val="0"/>
                  <w:vAlign w:val="center"/>
                </w:tcPr>
                <w:p w14:paraId="4CE1F5E0">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0E11188D">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cs="Times New Roman"/>
                      <w:b w:val="0"/>
                      <w:bCs w:val="0"/>
                      <w:color w:val="auto"/>
                      <w:kern w:val="0"/>
                      <w:sz w:val="21"/>
                      <w:szCs w:val="21"/>
                      <w:u w:val="none" w:color="auto"/>
                    </w:rPr>
                  </w:pPr>
                  <w:r>
                    <w:rPr>
                      <w:rFonts w:hint="eastAsia" w:ascii="Times New Roman" w:hAnsi="Times New Roman" w:cs="Times New Roman"/>
                      <w:b w:val="0"/>
                      <w:bCs w:val="0"/>
                      <w:color w:val="auto"/>
                      <w:kern w:val="0"/>
                      <w:sz w:val="21"/>
                      <w:szCs w:val="21"/>
                      <w:u w:val="none" w:color="auto"/>
                      <w:lang w:val="en-US" w:eastAsia="zh-CN" w:bidi="ar"/>
                    </w:rPr>
                    <w:t>9</w:t>
                  </w:r>
                  <w:r>
                    <w:rPr>
                      <w:rFonts w:hint="default" w:ascii="Times New Roman" w:hAnsi="Times New Roman" w:eastAsia="宋体" w:cs="Times New Roman"/>
                      <w:b w:val="0"/>
                      <w:bCs w:val="0"/>
                      <w:color w:val="auto"/>
                      <w:kern w:val="0"/>
                      <w:sz w:val="21"/>
                      <w:szCs w:val="21"/>
                      <w:u w:val="none" w:color="auto"/>
                      <w:lang w:val="en-US" w:eastAsia="zh-CN" w:bidi="ar"/>
                    </w:rPr>
                    <w:t>.强化非道路移动机械综合治理。加快推动高污染的老旧内燃机车、农业机械和工程机械淘汰更新，推动机场飞机辅助动力装置（APU）替代设备配置使用。对本地非道路移动机械和发动机销售企业开展环保一致性监督检查，基本实现系族全覆盖。规范开展非道路移动机械信息采集和定位联网，强化高排放非道路移动机械禁用区监管，对20%以上的燃油机械开展监督抽测。2025年底前，基本消除铁路内燃机车冒黑烟现象，机场APU替代设备使用率稳定达到100%，完成工程机械环保编码登记三级联网，基本淘汰国一及以下工程机械，争取完成国二非道路移动机械淘汰，新增或更新的3吨以下叉车基本实现新能源化。</w:t>
                  </w:r>
                </w:p>
              </w:tc>
              <w:tc>
                <w:tcPr>
                  <w:tcW w:w="2165" w:type="dxa"/>
                  <w:tcBorders>
                    <w:top w:val="single" w:color="auto" w:sz="4" w:space="0"/>
                    <w:left w:val="nil"/>
                    <w:bottom w:val="single" w:color="auto" w:sz="4" w:space="0"/>
                    <w:right w:val="single" w:color="auto" w:sz="4" w:space="0"/>
                  </w:tcBorders>
                  <w:noWrap w:val="0"/>
                  <w:vAlign w:val="center"/>
                </w:tcPr>
                <w:p w14:paraId="645FB0CF">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厂内非道路移动机械使用国三及以上排放标准，新增或更新的非道路移动机械全部采用新能源，并按照要求规范非道路移动机械编码登记。</w:t>
                  </w:r>
                </w:p>
              </w:tc>
              <w:tc>
                <w:tcPr>
                  <w:tcW w:w="789" w:type="dxa"/>
                  <w:tcBorders>
                    <w:top w:val="single" w:color="auto" w:sz="4" w:space="0"/>
                    <w:left w:val="nil"/>
                    <w:bottom w:val="single" w:color="auto" w:sz="4" w:space="0"/>
                    <w:right w:val="nil"/>
                  </w:tcBorders>
                  <w:noWrap w:val="0"/>
                  <w:vAlign w:val="center"/>
                </w:tcPr>
                <w:p w14:paraId="55B0906A">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r w14:paraId="19B24E7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jc w:val="center"/>
              </w:trPr>
              <w:tc>
                <w:tcPr>
                  <w:tcW w:w="1178" w:type="dxa"/>
                  <w:vMerge w:val="continue"/>
                  <w:tcBorders>
                    <w:top w:val="nil"/>
                    <w:left w:val="nil"/>
                    <w:bottom w:val="single" w:color="auto" w:sz="4" w:space="0"/>
                    <w:right w:val="single" w:color="auto" w:sz="4" w:space="0"/>
                  </w:tcBorders>
                  <w:noWrap w:val="0"/>
                  <w:vAlign w:val="center"/>
                </w:tcPr>
                <w:p w14:paraId="5C6D2CBC">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66E78068">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cs="Times New Roman"/>
                      <w:b w:val="0"/>
                      <w:bCs w:val="0"/>
                      <w:color w:val="auto"/>
                      <w:kern w:val="0"/>
                      <w:sz w:val="21"/>
                      <w:szCs w:val="21"/>
                      <w:u w:val="none" w:color="auto"/>
                      <w:lang w:val="en-US" w:eastAsia="zh-CN" w:bidi="ar"/>
                    </w:rPr>
                  </w:pPr>
                  <w:r>
                    <w:rPr>
                      <w:rFonts w:hint="eastAsia" w:ascii="Times New Roman" w:hAnsi="Times New Roman" w:cs="Times New Roman"/>
                      <w:b w:val="0"/>
                      <w:bCs w:val="0"/>
                      <w:color w:val="auto"/>
                      <w:kern w:val="0"/>
                      <w:sz w:val="21"/>
                      <w:szCs w:val="21"/>
                      <w:u w:val="none" w:color="auto"/>
                      <w:lang w:val="en-US" w:eastAsia="zh-CN" w:bidi="ar"/>
                    </w:rPr>
                    <w:t>11.合理控制煤炭消费总量。全市新（改、扩）建用煤项目实施煤炭等量或减量替代，煤炭替代方案不完善的不予审批，不得将石油焦、焦炭、兰炭等高污染燃料作为煤炭减量替代措施。落实“十四五”非电行业燃料煤消费总量控制要求，重点压减非电行业煤炭消费量。</w:t>
                  </w:r>
                </w:p>
              </w:tc>
              <w:tc>
                <w:tcPr>
                  <w:tcW w:w="2165" w:type="dxa"/>
                  <w:tcBorders>
                    <w:top w:val="single" w:color="auto" w:sz="4" w:space="0"/>
                    <w:left w:val="nil"/>
                    <w:bottom w:val="single" w:color="auto" w:sz="4" w:space="0"/>
                    <w:right w:val="single" w:color="auto" w:sz="4" w:space="0"/>
                  </w:tcBorders>
                  <w:noWrap w:val="0"/>
                  <w:vAlign w:val="center"/>
                </w:tcPr>
                <w:p w14:paraId="1BB95DA3">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eastAsia="宋体" w:cs="Times New Roman"/>
                      <w:b w:val="0"/>
                      <w:bCs w:val="0"/>
                      <w:color w:val="auto"/>
                      <w:kern w:val="0"/>
                      <w:sz w:val="21"/>
                      <w:szCs w:val="21"/>
                      <w:u w:val="none" w:color="auto"/>
                      <w:lang w:val="en-US" w:eastAsia="zh-CN" w:bidi="ar"/>
                    </w:rPr>
                    <w:t>本项目不涉及煤炭使用。</w:t>
                  </w:r>
                </w:p>
              </w:tc>
              <w:tc>
                <w:tcPr>
                  <w:tcW w:w="789" w:type="dxa"/>
                  <w:tcBorders>
                    <w:top w:val="single" w:color="auto" w:sz="4" w:space="0"/>
                    <w:left w:val="nil"/>
                    <w:bottom w:val="single" w:color="auto" w:sz="4" w:space="0"/>
                    <w:right w:val="nil"/>
                  </w:tcBorders>
                  <w:noWrap w:val="0"/>
                  <w:vAlign w:val="center"/>
                </w:tcPr>
                <w:p w14:paraId="133B62FA">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eastAsia="宋体" w:cs="Times New Roman"/>
                      <w:b w:val="0"/>
                      <w:bCs w:val="0"/>
                      <w:color w:val="auto"/>
                      <w:kern w:val="0"/>
                      <w:sz w:val="21"/>
                      <w:szCs w:val="21"/>
                      <w:u w:val="none" w:color="auto"/>
                      <w:lang w:val="en-US" w:eastAsia="zh-CN" w:bidi="ar"/>
                    </w:rPr>
                    <w:t>不涉及</w:t>
                  </w:r>
                </w:p>
              </w:tc>
            </w:tr>
            <w:tr w14:paraId="7662E2B9">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jc w:val="center"/>
              </w:trPr>
              <w:tc>
                <w:tcPr>
                  <w:tcW w:w="1178" w:type="dxa"/>
                  <w:vMerge w:val="continue"/>
                  <w:tcBorders>
                    <w:top w:val="nil"/>
                    <w:left w:val="nil"/>
                    <w:bottom w:val="single" w:color="auto" w:sz="4" w:space="0"/>
                    <w:right w:val="single" w:color="auto" w:sz="4" w:space="0"/>
                  </w:tcBorders>
                  <w:noWrap w:val="0"/>
                  <w:vAlign w:val="center"/>
                </w:tcPr>
                <w:p w14:paraId="5EDED60E">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7CAAFFA8">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cs="Times New Roman"/>
                      <w:b w:val="0"/>
                      <w:bCs w:val="0"/>
                      <w:color w:val="auto"/>
                      <w:kern w:val="0"/>
                      <w:sz w:val="21"/>
                      <w:szCs w:val="21"/>
                      <w:u w:val="none" w:color="auto"/>
                      <w:lang w:val="en-US" w:eastAsia="zh-CN" w:bidi="ar"/>
                    </w:rPr>
                  </w:pPr>
                  <w:r>
                    <w:rPr>
                      <w:rFonts w:hint="eastAsia" w:ascii="Times New Roman" w:hAnsi="Times New Roman" w:cs="Times New Roman"/>
                      <w:b w:val="0"/>
                      <w:bCs w:val="0"/>
                      <w:color w:val="auto"/>
                      <w:kern w:val="0"/>
                      <w:sz w:val="21"/>
                      <w:szCs w:val="21"/>
                      <w:u w:val="none" w:color="auto"/>
                      <w:lang w:val="en-US" w:eastAsia="zh-CN" w:bidi="ar"/>
                    </w:rPr>
                    <w:t>12.强化工业窑炉治理。全市不再新增燃料类煤气发生炉，新（改、扩）建加热炉、</w:t>
                  </w:r>
                  <w:r>
                    <w:rPr>
                      <w:rFonts w:hint="eastAsia" w:ascii="Times New Roman" w:hAnsi="Times New Roman" w:cs="Times New Roman"/>
                      <w:b w:val="0"/>
                      <w:bCs w:val="0"/>
                      <w:color w:val="auto"/>
                      <w:kern w:val="0"/>
                      <w:sz w:val="21"/>
                      <w:szCs w:val="21"/>
                      <w:highlight w:val="none"/>
                      <w:u w:val="none" w:color="auto"/>
                      <w:lang w:val="en-US" w:eastAsia="zh-CN" w:bidi="ar"/>
                    </w:rPr>
                    <w:t>热处理炉</w:t>
                  </w:r>
                  <w:r>
                    <w:rPr>
                      <w:rFonts w:hint="eastAsia" w:ascii="Times New Roman" w:hAnsi="Times New Roman" w:cs="Times New Roman"/>
                      <w:b w:val="0"/>
                      <w:bCs w:val="0"/>
                      <w:color w:val="auto"/>
                      <w:kern w:val="0"/>
                      <w:sz w:val="21"/>
                      <w:szCs w:val="21"/>
                      <w:u w:val="none" w:color="auto"/>
                      <w:lang w:val="en-US" w:eastAsia="zh-CN" w:bidi="ar"/>
                    </w:rPr>
                    <w:t>、干燥炉、熔化炉全部采用清洁低碳能源。以煤为燃料的石灰、砖瓦、陶瓷、水泥制品等行业的加热炉、热处理炉、干燥炉、熔化炉2025年9月底前改用清洁低碳能源，未完成清洁能源改造的，秋冬季实施错峰生产。</w:t>
                  </w:r>
                </w:p>
              </w:tc>
              <w:tc>
                <w:tcPr>
                  <w:tcW w:w="2165" w:type="dxa"/>
                  <w:tcBorders>
                    <w:top w:val="single" w:color="auto" w:sz="4" w:space="0"/>
                    <w:left w:val="nil"/>
                    <w:bottom w:val="single" w:color="auto" w:sz="4" w:space="0"/>
                    <w:right w:val="single" w:color="auto" w:sz="4" w:space="0"/>
                  </w:tcBorders>
                  <w:noWrap w:val="0"/>
                  <w:vAlign w:val="center"/>
                </w:tcPr>
                <w:p w14:paraId="4B4F6106">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eastAsia="宋体" w:cs="Times New Roman"/>
                      <w:b w:val="0"/>
                      <w:bCs w:val="0"/>
                      <w:color w:val="auto"/>
                      <w:kern w:val="0"/>
                      <w:sz w:val="21"/>
                      <w:szCs w:val="21"/>
                      <w:highlight w:val="none"/>
                      <w:u w:val="none" w:color="auto"/>
                      <w:lang w:val="en-US" w:eastAsia="zh-CN" w:bidi="ar"/>
                    </w:rPr>
                    <w:t>本项目淬火炉采用电炉</w:t>
                  </w:r>
                  <w:r>
                    <w:rPr>
                      <w:rFonts w:hint="eastAsia" w:ascii="Times New Roman" w:hAnsi="Times New Roman" w:cs="Times New Roman"/>
                      <w:b w:val="0"/>
                      <w:bCs w:val="0"/>
                      <w:color w:val="auto"/>
                      <w:kern w:val="0"/>
                      <w:sz w:val="21"/>
                      <w:szCs w:val="21"/>
                      <w:highlight w:val="none"/>
                      <w:u w:val="none" w:color="auto"/>
                      <w:lang w:val="en-US" w:eastAsia="zh-CN" w:bidi="ar"/>
                    </w:rPr>
                    <w:t>，</w:t>
                  </w:r>
                  <w:r>
                    <w:rPr>
                      <w:rFonts w:hint="eastAsia" w:ascii="Times New Roman" w:hAnsi="Times New Roman" w:eastAsia="宋体" w:cs="Times New Roman"/>
                      <w:b w:val="0"/>
                      <w:bCs w:val="0"/>
                      <w:color w:val="auto"/>
                      <w:kern w:val="0"/>
                      <w:sz w:val="21"/>
                      <w:szCs w:val="21"/>
                      <w:highlight w:val="none"/>
                      <w:u w:val="none" w:color="auto"/>
                      <w:lang w:val="en-US" w:eastAsia="zh-CN" w:bidi="ar"/>
                    </w:rPr>
                    <w:t>属于清洁低碳能源。</w:t>
                  </w:r>
                </w:p>
              </w:tc>
              <w:tc>
                <w:tcPr>
                  <w:tcW w:w="789" w:type="dxa"/>
                  <w:tcBorders>
                    <w:top w:val="single" w:color="auto" w:sz="4" w:space="0"/>
                    <w:left w:val="nil"/>
                    <w:bottom w:val="single" w:color="auto" w:sz="4" w:space="0"/>
                    <w:right w:val="nil"/>
                  </w:tcBorders>
                  <w:noWrap w:val="0"/>
                  <w:vAlign w:val="center"/>
                </w:tcPr>
                <w:p w14:paraId="3A00616D">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eastAsia="宋体" w:cs="Times New Roman"/>
                      <w:b w:val="0"/>
                      <w:bCs w:val="0"/>
                      <w:color w:val="auto"/>
                      <w:kern w:val="0"/>
                      <w:sz w:val="21"/>
                      <w:szCs w:val="21"/>
                      <w:u w:val="none" w:color="auto"/>
                      <w:lang w:val="en-US" w:eastAsia="zh-CN" w:bidi="ar"/>
                    </w:rPr>
                    <w:t>相符</w:t>
                  </w:r>
                </w:p>
              </w:tc>
            </w:tr>
            <w:tr w14:paraId="0EC81B6D">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jc w:val="center"/>
              </w:trPr>
              <w:tc>
                <w:tcPr>
                  <w:tcW w:w="1178" w:type="dxa"/>
                  <w:vMerge w:val="continue"/>
                  <w:tcBorders>
                    <w:top w:val="nil"/>
                    <w:left w:val="nil"/>
                    <w:bottom w:val="single" w:color="auto" w:sz="4" w:space="0"/>
                    <w:right w:val="single" w:color="auto" w:sz="4" w:space="0"/>
                  </w:tcBorders>
                  <w:noWrap w:val="0"/>
                  <w:vAlign w:val="center"/>
                </w:tcPr>
                <w:p w14:paraId="51CABED6">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3CEFCC15">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cs="Times New Roman"/>
                      <w:b w:val="0"/>
                      <w:bCs w:val="0"/>
                      <w:color w:val="auto"/>
                      <w:kern w:val="0"/>
                      <w:sz w:val="21"/>
                      <w:szCs w:val="21"/>
                      <w:u w:val="none" w:color="auto"/>
                      <w:lang w:val="en-US" w:eastAsia="zh-CN" w:bidi="ar"/>
                    </w:rPr>
                  </w:pPr>
                  <w:r>
                    <w:rPr>
                      <w:rFonts w:hint="eastAsia" w:ascii="Times New Roman" w:hAnsi="Times New Roman" w:cs="Times New Roman"/>
                      <w:b w:val="0"/>
                      <w:bCs w:val="0"/>
                      <w:color w:val="auto"/>
                      <w:kern w:val="0"/>
                      <w:sz w:val="21"/>
                      <w:szCs w:val="21"/>
                      <w:u w:val="none" w:color="auto"/>
                      <w:lang w:val="en-US" w:eastAsia="zh-CN" w:bidi="ar"/>
                    </w:rPr>
                    <w:t>20.规范污染治理设施运行。加强污染治理设施运行监管，推动各工业企业完善制定环保设施运行维护操作规程，细化落实岗位环保责任制，确保设施安全稳定运行。提高自动监测设备运维管理水平，全市重点排污单位按要求完成污染源自动监测设备安装联网工作。</w:t>
                  </w:r>
                </w:p>
              </w:tc>
              <w:tc>
                <w:tcPr>
                  <w:tcW w:w="2165" w:type="dxa"/>
                  <w:tcBorders>
                    <w:top w:val="single" w:color="auto" w:sz="4" w:space="0"/>
                    <w:left w:val="nil"/>
                    <w:bottom w:val="single" w:color="auto" w:sz="4" w:space="0"/>
                    <w:right w:val="single" w:color="auto" w:sz="4" w:space="0"/>
                  </w:tcBorders>
                  <w:noWrap w:val="0"/>
                  <w:vAlign w:val="center"/>
                </w:tcPr>
                <w:p w14:paraId="4C386168">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eastAsia="宋体" w:cs="Times New Roman"/>
                      <w:b w:val="0"/>
                      <w:bCs w:val="0"/>
                      <w:color w:val="auto"/>
                      <w:kern w:val="0"/>
                      <w:sz w:val="21"/>
                      <w:szCs w:val="21"/>
                      <w:u w:val="none" w:color="auto"/>
                      <w:lang w:val="en-US" w:eastAsia="zh-CN" w:bidi="ar"/>
                    </w:rPr>
                    <w:t>企业运行后按照要求规范化运行污染治理设施。</w:t>
                  </w:r>
                </w:p>
              </w:tc>
              <w:tc>
                <w:tcPr>
                  <w:tcW w:w="789" w:type="dxa"/>
                  <w:tcBorders>
                    <w:top w:val="single" w:color="auto" w:sz="4" w:space="0"/>
                    <w:left w:val="nil"/>
                    <w:bottom w:val="single" w:color="auto" w:sz="4" w:space="0"/>
                    <w:right w:val="nil"/>
                  </w:tcBorders>
                  <w:noWrap w:val="0"/>
                  <w:vAlign w:val="center"/>
                </w:tcPr>
                <w:p w14:paraId="4009BCEE">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eastAsia"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eastAsia="宋体" w:cs="Times New Roman"/>
                      <w:b w:val="0"/>
                      <w:bCs w:val="0"/>
                      <w:color w:val="auto"/>
                      <w:kern w:val="0"/>
                      <w:sz w:val="21"/>
                      <w:szCs w:val="21"/>
                      <w:u w:val="none" w:color="auto"/>
                      <w:lang w:val="en-US" w:eastAsia="zh-CN" w:bidi="ar"/>
                    </w:rPr>
                    <w:t>相符</w:t>
                  </w:r>
                </w:p>
              </w:tc>
            </w:tr>
            <w:tr w14:paraId="12CA87B4">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jc w:val="center"/>
              </w:trPr>
              <w:tc>
                <w:tcPr>
                  <w:tcW w:w="1178" w:type="dxa"/>
                  <w:vMerge w:val="continue"/>
                  <w:tcBorders>
                    <w:top w:val="nil"/>
                    <w:left w:val="nil"/>
                    <w:bottom w:val="single" w:color="auto" w:sz="4" w:space="0"/>
                    <w:right w:val="single" w:color="auto" w:sz="4" w:space="0"/>
                  </w:tcBorders>
                  <w:noWrap w:val="0"/>
                  <w:vAlign w:val="center"/>
                </w:tcPr>
                <w:p w14:paraId="7EDD49C7">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00F9DB2A">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cs="Times New Roman"/>
                      <w:b w:val="0"/>
                      <w:bCs w:val="0"/>
                      <w:color w:val="auto"/>
                      <w:kern w:val="0"/>
                      <w:sz w:val="21"/>
                      <w:szCs w:val="21"/>
                      <w:u w:val="none" w:color="auto"/>
                      <w:lang w:val="en-US" w:eastAsia="zh-CN" w:bidi="ar"/>
                    </w:rPr>
                  </w:pPr>
                  <w:r>
                    <w:rPr>
                      <w:rFonts w:hint="eastAsia" w:ascii="Times New Roman" w:hAnsi="Times New Roman" w:cs="Times New Roman"/>
                      <w:b w:val="0"/>
                      <w:bCs w:val="0"/>
                      <w:color w:val="auto"/>
                      <w:kern w:val="0"/>
                      <w:sz w:val="21"/>
                      <w:szCs w:val="21"/>
                      <w:u w:val="none" w:color="auto"/>
                      <w:lang w:val="en-US" w:eastAsia="zh-CN" w:bidi="ar"/>
                    </w:rPr>
                    <w:t>21.开展环保绩效等级提升行动。加强企业绩效监管，对已评定A级、B级和绩效引领性企业开展“回头看”，对实际绩效水平达不到评定等级要求，或存在严重环境违法违规行为的企业，严格实施降级处理。围绕铁合金、氧化锌、铸造用生铁、耐火材料、铁合金破碎、工业涂装、铸造、水泥粉磨站等重点行业，开展重点行业环保绩效创A行动，充分发挥标杆示范引领作用，以“先进”带动“后进”，鼓励指导企业通过设备更新、技术改造、治理升级等措施，提升环境绩效等级。2025年全市完成新增A级、B级企业及绩效引领性企业100家以上。</w:t>
                  </w:r>
                </w:p>
              </w:tc>
              <w:tc>
                <w:tcPr>
                  <w:tcW w:w="2165" w:type="dxa"/>
                  <w:tcBorders>
                    <w:top w:val="single" w:color="auto" w:sz="4" w:space="0"/>
                    <w:left w:val="nil"/>
                    <w:bottom w:val="single" w:color="auto" w:sz="4" w:space="0"/>
                    <w:right w:val="single" w:color="auto" w:sz="4" w:space="0"/>
                  </w:tcBorders>
                  <w:noWrap w:val="0"/>
                  <w:vAlign w:val="center"/>
                </w:tcPr>
                <w:p w14:paraId="60F144C3">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eastAsia="宋体" w:cs="Times New Roman"/>
                      <w:b w:val="0"/>
                      <w:bCs w:val="0"/>
                      <w:color w:val="auto"/>
                      <w:kern w:val="0"/>
                      <w:sz w:val="21"/>
                      <w:szCs w:val="21"/>
                      <w:u w:val="none" w:color="auto"/>
                      <w:lang w:val="en-US" w:eastAsia="zh-CN" w:bidi="ar"/>
                    </w:rPr>
                    <w:t>按照绩效A级企业要求建设。</w:t>
                  </w:r>
                </w:p>
              </w:tc>
              <w:tc>
                <w:tcPr>
                  <w:tcW w:w="789" w:type="dxa"/>
                  <w:tcBorders>
                    <w:top w:val="single" w:color="auto" w:sz="4" w:space="0"/>
                    <w:left w:val="nil"/>
                    <w:bottom w:val="single" w:color="auto" w:sz="4" w:space="0"/>
                    <w:right w:val="nil"/>
                  </w:tcBorders>
                  <w:noWrap w:val="0"/>
                  <w:vAlign w:val="center"/>
                </w:tcPr>
                <w:p w14:paraId="26815DA3">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cs="Times New Roman"/>
                      <w:b w:val="0"/>
                      <w:bCs w:val="0"/>
                      <w:color w:val="auto"/>
                      <w:kern w:val="0"/>
                      <w:sz w:val="21"/>
                      <w:szCs w:val="21"/>
                      <w:u w:val="none" w:color="auto"/>
                      <w:lang w:val="en-US" w:eastAsia="zh-CN" w:bidi="ar"/>
                    </w:rPr>
                    <w:t>相符</w:t>
                  </w:r>
                </w:p>
              </w:tc>
            </w:tr>
            <w:tr w14:paraId="3755E684">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90" w:hRule="atLeast"/>
                <w:jc w:val="center"/>
              </w:trPr>
              <w:tc>
                <w:tcPr>
                  <w:tcW w:w="1178" w:type="dxa"/>
                  <w:vMerge w:val="continue"/>
                  <w:tcBorders>
                    <w:top w:val="nil"/>
                    <w:left w:val="nil"/>
                    <w:bottom w:val="single" w:color="auto" w:sz="4" w:space="0"/>
                    <w:right w:val="single" w:color="auto" w:sz="4" w:space="0"/>
                  </w:tcBorders>
                  <w:noWrap w:val="0"/>
                  <w:vAlign w:val="center"/>
                </w:tcPr>
                <w:p w14:paraId="5EF84C27">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61C4F9EE">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eastAsia" w:ascii="Times New Roman" w:hAnsi="Times New Roman" w:cs="Times New Roman"/>
                      <w:b w:val="0"/>
                      <w:bCs w:val="0"/>
                      <w:color w:val="auto"/>
                      <w:kern w:val="0"/>
                      <w:sz w:val="21"/>
                      <w:szCs w:val="21"/>
                      <w:u w:val="none" w:color="auto"/>
                      <w:lang w:val="en-US" w:eastAsia="zh-CN" w:bidi="ar"/>
                    </w:rPr>
                  </w:pPr>
                  <w:r>
                    <w:rPr>
                      <w:rFonts w:hint="eastAsia" w:ascii="Times New Roman" w:hAnsi="Times New Roman" w:cs="Times New Roman"/>
                      <w:b w:val="0"/>
                      <w:bCs w:val="0"/>
                      <w:color w:val="auto"/>
                      <w:kern w:val="0"/>
                      <w:sz w:val="21"/>
                      <w:szCs w:val="21"/>
                      <w:u w:val="none" w:color="auto"/>
                      <w:lang w:val="en-US" w:eastAsia="zh-CN" w:bidi="ar"/>
                    </w:rPr>
                    <w:t>22.实施挥发性有机物综合治理。组织涉VOCs企业针对挥发性有机液体储罐、装卸、敞开液面、泄漏检测与修复（LDAR）、废气收集、废气旁路、治理设施、加油站、非正常工况、产品VOCs含量等10个关键环节开展VOCs治理突出问题排查整治。2025年4月底前，在汽车、机械制造、家具、汽修、塑料软包装、印铁制罐、包装印刷等领域深入推广使用低（无）VOCs含量涂料和油墨，完成20家企业低VOCs原辅材料源头替代，同时对已完成源头替代的企业进行质量抽检；487家采用活性炭吸附工艺的企业完成光氧化、光催化、低温等离子治理设施淘汰，一厂一策升级为高效治理设施，同步完成一轮次活性炭更换，并纳入安阳市活性炭“码上换”管理平台日常监管范围，其中颗粒活性炭碘值不宜低于800mg/g，蜂窝活性炭碘值不宜低于650mg/g。监督指导19家重点企业按规定频次和时限开展泄漏检测与修复（LDAR），聘请专业团队对企业LDAR完成情况进行核查，严厉查处不按规定开展检测与修复或弄虚作假行为。焦化企业常态化开展含VOCs废气泄漏排查整治工作，采用红外热成像仪、火焰离子化检测仪（FID）等设备对酚氰废水处理池密闭设施、煤气管线及焦炉炉体等装置，每周至少进行1轮巡检修护，确保密闭设施、管线、炉体不发生VOCs泄漏。</w:t>
                  </w:r>
                </w:p>
              </w:tc>
              <w:tc>
                <w:tcPr>
                  <w:tcW w:w="2165" w:type="dxa"/>
                  <w:tcBorders>
                    <w:top w:val="single" w:color="auto" w:sz="4" w:space="0"/>
                    <w:left w:val="nil"/>
                    <w:bottom w:val="single" w:color="auto" w:sz="4" w:space="0"/>
                    <w:right w:val="single" w:color="auto" w:sz="4" w:space="0"/>
                  </w:tcBorders>
                  <w:noWrap w:val="0"/>
                  <w:vAlign w:val="center"/>
                </w:tcPr>
                <w:p w14:paraId="6923CD4E">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leftChars="0" w:right="0" w:rightChars="0" w:firstLine="0" w:firstLineChars="0"/>
                    <w:jc w:val="both"/>
                    <w:textAlignment w:val="auto"/>
                    <w:rPr>
                      <w:rFonts w:hint="default" w:ascii="Times New Roman" w:hAnsi="Times New Roman" w:eastAsia="宋体" w:cs="Times New Roman"/>
                      <w:b w:val="0"/>
                      <w:bCs w:val="0"/>
                      <w:color w:val="auto"/>
                      <w:kern w:val="0"/>
                      <w:sz w:val="21"/>
                      <w:szCs w:val="21"/>
                      <w:u w:val="none" w:color="auto"/>
                      <w:lang w:val="en-US" w:eastAsia="zh-CN" w:bidi="ar"/>
                    </w:rPr>
                  </w:pPr>
                  <w:r>
                    <w:rPr>
                      <w:rFonts w:hint="default" w:ascii="Times New Roman" w:hAnsi="Times New Roman" w:cs="Times New Roman"/>
                      <w:b w:val="0"/>
                      <w:bCs w:val="0"/>
                      <w:color w:val="auto"/>
                      <w:sz w:val="21"/>
                      <w:szCs w:val="21"/>
                      <w:u w:val="none" w:color="auto"/>
                      <w:lang w:eastAsia="zh-CN"/>
                    </w:rPr>
                    <w:t>本项目采用酸洗磷化后弹簧钢盘圆，</w:t>
                  </w:r>
                  <w:r>
                    <w:rPr>
                      <w:rFonts w:hint="eastAsia" w:ascii="Times New Roman" w:hAnsi="Times New Roman" w:cs="Times New Roman"/>
                      <w:b w:val="0"/>
                      <w:bCs w:val="0"/>
                      <w:color w:val="auto"/>
                      <w:sz w:val="21"/>
                      <w:szCs w:val="21"/>
                      <w:u w:val="none" w:color="auto"/>
                      <w:lang w:eastAsia="zh-CN"/>
                    </w:rPr>
                    <w:t>表面无油污</w:t>
                  </w:r>
                  <w:r>
                    <w:rPr>
                      <w:rFonts w:hint="default" w:ascii="Times New Roman" w:hAnsi="Times New Roman" w:cs="Times New Roman"/>
                      <w:b w:val="0"/>
                      <w:bCs w:val="0"/>
                      <w:color w:val="auto"/>
                      <w:sz w:val="21"/>
                      <w:szCs w:val="21"/>
                      <w:u w:val="none" w:color="auto"/>
                      <w:lang w:eastAsia="zh-CN"/>
                    </w:rPr>
                    <w:t>，在拉丝处理过程中使用的拉丝粉成分为硬脂酸钙与氢氧化钙，</w:t>
                  </w:r>
                  <w:r>
                    <w:rPr>
                      <w:rFonts w:hint="eastAsia"/>
                      <w:b w:val="0"/>
                      <w:bCs w:val="0"/>
                      <w:color w:val="auto"/>
                      <w:sz w:val="21"/>
                      <w:szCs w:val="21"/>
                      <w:u w:val="none" w:color="auto"/>
                      <w:lang w:eastAsia="zh-CN"/>
                    </w:rPr>
                    <w:t>在热处理过程中拉丝粉分解成</w:t>
                  </w:r>
                  <w:r>
                    <w:rPr>
                      <w:rFonts w:hint="default" w:ascii="Times New Roman" w:hAnsi="Times New Roman" w:cs="Times New Roman"/>
                      <w:b w:val="0"/>
                      <w:bCs w:val="0"/>
                      <w:color w:val="auto"/>
                      <w:sz w:val="21"/>
                      <w:szCs w:val="21"/>
                      <w:u w:val="none" w:color="auto"/>
                      <w:lang w:val="en-US" w:eastAsia="zh-CN"/>
                    </w:rPr>
                    <w:t>CaO、CO</w:t>
                  </w:r>
                  <w:r>
                    <w:rPr>
                      <w:rFonts w:hint="eastAsia"/>
                      <w:b w:val="0"/>
                      <w:bCs w:val="0"/>
                      <w:color w:val="auto"/>
                      <w:sz w:val="21"/>
                      <w:szCs w:val="21"/>
                      <w:u w:val="none" w:color="auto"/>
                      <w:vertAlign w:val="subscript"/>
                      <w:lang w:val="en-US" w:eastAsia="zh-CN"/>
                    </w:rPr>
                    <w:t>2</w:t>
                  </w:r>
                  <w:r>
                    <w:rPr>
                      <w:rFonts w:hint="eastAsia"/>
                      <w:b w:val="0"/>
                      <w:bCs w:val="0"/>
                      <w:color w:val="auto"/>
                      <w:sz w:val="21"/>
                      <w:szCs w:val="21"/>
                      <w:u w:val="none" w:color="auto"/>
                      <w:vertAlign w:val="baseline"/>
                      <w:lang w:val="en-US" w:eastAsia="zh-CN"/>
                    </w:rPr>
                    <w:t>与水蒸气，</w:t>
                  </w:r>
                  <w:r>
                    <w:rPr>
                      <w:rFonts w:hint="default" w:ascii="Times New Roman" w:hAnsi="Times New Roman" w:cs="Times New Roman"/>
                      <w:b w:val="0"/>
                      <w:bCs w:val="0"/>
                      <w:color w:val="auto"/>
                      <w:sz w:val="21"/>
                      <w:szCs w:val="21"/>
                      <w:u w:val="none" w:color="auto"/>
                      <w:lang w:eastAsia="zh-CN"/>
                    </w:rPr>
                    <w:t>无</w:t>
                  </w:r>
                  <w:r>
                    <w:rPr>
                      <w:rFonts w:hint="default" w:ascii="Times New Roman" w:hAnsi="Times New Roman" w:cs="Times New Roman"/>
                      <w:b w:val="0"/>
                      <w:bCs w:val="0"/>
                      <w:color w:val="auto"/>
                      <w:sz w:val="21"/>
                      <w:szCs w:val="21"/>
                      <w:u w:val="none" w:color="auto"/>
                      <w:lang w:val="en-US" w:eastAsia="zh-CN"/>
                    </w:rPr>
                    <w:t>VOCs产生</w:t>
                  </w:r>
                  <w:r>
                    <w:rPr>
                      <w:rFonts w:hint="eastAsia" w:ascii="Times New Roman" w:hAnsi="Times New Roman" w:cs="Times New Roman"/>
                      <w:b w:val="0"/>
                      <w:bCs w:val="0"/>
                      <w:color w:val="auto"/>
                      <w:sz w:val="21"/>
                      <w:szCs w:val="21"/>
                      <w:u w:val="none" w:color="auto"/>
                      <w:lang w:val="en-US" w:eastAsia="zh-CN"/>
                    </w:rPr>
                    <w:t>。</w:t>
                  </w:r>
                </w:p>
              </w:tc>
              <w:tc>
                <w:tcPr>
                  <w:tcW w:w="789" w:type="dxa"/>
                  <w:tcBorders>
                    <w:top w:val="single" w:color="auto" w:sz="4" w:space="0"/>
                    <w:left w:val="nil"/>
                    <w:bottom w:val="single" w:color="auto" w:sz="4" w:space="0"/>
                    <w:right w:val="nil"/>
                  </w:tcBorders>
                  <w:noWrap w:val="0"/>
                  <w:vAlign w:val="center"/>
                </w:tcPr>
                <w:p w14:paraId="764A2ED5">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kern w:val="0"/>
                      <w:sz w:val="21"/>
                      <w:szCs w:val="21"/>
                      <w:u w:val="none" w:color="auto"/>
                      <w:lang w:val="en-US" w:eastAsia="zh-CN" w:bidi="ar"/>
                    </w:rPr>
                  </w:pPr>
                  <w:r>
                    <w:rPr>
                      <w:rFonts w:hint="eastAsia" w:ascii="Times New Roman" w:hAnsi="Times New Roman" w:cs="Times New Roman"/>
                      <w:b w:val="0"/>
                      <w:bCs w:val="0"/>
                      <w:color w:val="auto"/>
                      <w:kern w:val="0"/>
                      <w:sz w:val="21"/>
                      <w:szCs w:val="21"/>
                      <w:u w:val="none" w:color="auto"/>
                      <w:lang w:val="en-US" w:eastAsia="zh-CN" w:bidi="ar"/>
                    </w:rPr>
                    <w:t>相符</w:t>
                  </w:r>
                </w:p>
              </w:tc>
            </w:tr>
            <w:tr w14:paraId="24ACCE60">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90" w:hRule="atLeast"/>
                <w:jc w:val="center"/>
              </w:trPr>
              <w:tc>
                <w:tcPr>
                  <w:tcW w:w="1178" w:type="dxa"/>
                  <w:vMerge w:val="continue"/>
                  <w:tcBorders>
                    <w:top w:val="nil"/>
                    <w:left w:val="nil"/>
                    <w:bottom w:val="single" w:color="auto" w:sz="4" w:space="0"/>
                    <w:right w:val="single" w:color="auto" w:sz="4" w:space="0"/>
                  </w:tcBorders>
                  <w:noWrap w:val="0"/>
                  <w:vAlign w:val="center"/>
                </w:tcPr>
                <w:p w14:paraId="6CA3286A">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1938974D">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leftChars="0" w:right="0" w:rightChars="0" w:firstLine="0" w:firstLineChars="0"/>
                    <w:jc w:val="left"/>
                    <w:textAlignment w:val="auto"/>
                    <w:rPr>
                      <w:rFonts w:hint="eastAsia" w:ascii="Times New Roman" w:hAnsi="Times New Roman" w:eastAsia="宋体" w:cs="Times New Roman"/>
                      <w:b w:val="0"/>
                      <w:bCs w:val="0"/>
                      <w:color w:val="auto"/>
                      <w:kern w:val="0"/>
                      <w:sz w:val="21"/>
                      <w:szCs w:val="21"/>
                      <w:u w:val="none" w:color="auto"/>
                      <w:lang w:val="en-US" w:eastAsia="zh-CN" w:bidi="ar-SA"/>
                    </w:rPr>
                  </w:pPr>
                  <w:r>
                    <w:rPr>
                      <w:rFonts w:hint="default" w:ascii="Times New Roman" w:hAnsi="Times New Roman" w:eastAsia="宋体" w:cs="Times New Roman"/>
                      <w:b w:val="0"/>
                      <w:bCs w:val="0"/>
                      <w:color w:val="auto"/>
                      <w:kern w:val="0"/>
                      <w:sz w:val="21"/>
                      <w:szCs w:val="21"/>
                      <w:u w:val="none" w:color="auto"/>
                      <w:lang w:val="en-US" w:eastAsia="zh-CN" w:bidi="ar"/>
                    </w:rPr>
                    <w:t>26.深化工地扬尘综合治理。持续开展扬尘污染治理提升，以城市建成区及周边房屋建筑、市政工程、拆除工程为重点领域，突出大风沙尘天气、重污染天气等重点时段，加强土石方开挖、回填等施工起尘期间全时段湿法作业，强化产生扬尘环节防治措施落实。施工工地每天至少进行1次清扫、2次冲洗作业，工程主体作业层防尘网全封闭；扬尘责任牌、在线监测设备必须正常使用；根据季节、湿度等，工地适时开启围挡喷淋、低空喷灌。全市施工工地应使用新能源或符合国四排放阶段非道路移动机械，并按规定办理环保编码登记和定位联网；燃油使用国六标准的无烟柴油，严禁作业过程冒黑烟。重点区域范围内所有工地运输车辆（含物料运输车、商砼车、渣土车等）必须100%使用新能源车辆和非道路移动机械。各级督导检查单位按照三个“严控”、九条规定进行全面督导检查。加强重点建设工程开展达标管理，实施分包帮扶，对有土石方作业的工地加强重点监管；进一步推进全市扬尘污染防治智慧化监控平台建设，实现县（市）级平台与市级平台的互联互通和数据上报。</w:t>
                  </w:r>
                </w:p>
              </w:tc>
              <w:tc>
                <w:tcPr>
                  <w:tcW w:w="2165" w:type="dxa"/>
                  <w:tcBorders>
                    <w:top w:val="single" w:color="auto" w:sz="4" w:space="0"/>
                    <w:left w:val="nil"/>
                    <w:bottom w:val="single" w:color="auto" w:sz="4" w:space="0"/>
                    <w:right w:val="single" w:color="auto" w:sz="4" w:space="0"/>
                  </w:tcBorders>
                  <w:noWrap w:val="0"/>
                  <w:vAlign w:val="center"/>
                </w:tcPr>
                <w:p w14:paraId="4023B92D">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leftChars="0" w:right="0" w:rightChars="0" w:firstLine="0" w:firstLineChars="0"/>
                    <w:jc w:val="both"/>
                    <w:textAlignment w:val="auto"/>
                    <w:rPr>
                      <w:rFonts w:hint="eastAsia" w:ascii="Times New Roman" w:hAnsi="Times New Roman" w:eastAsia="宋体" w:cs="Times New Roman"/>
                      <w:b w:val="0"/>
                      <w:bCs w:val="0"/>
                      <w:color w:val="auto"/>
                      <w:kern w:val="0"/>
                      <w:sz w:val="21"/>
                      <w:szCs w:val="21"/>
                      <w:u w:val="none" w:color="auto"/>
                      <w:lang w:val="en-US" w:eastAsia="zh-CN" w:bidi="ar-SA"/>
                    </w:rPr>
                  </w:pPr>
                  <w:r>
                    <w:rPr>
                      <w:rFonts w:hint="default" w:ascii="Times New Roman" w:hAnsi="Times New Roman" w:eastAsia="宋体" w:cs="Times New Roman"/>
                      <w:b w:val="0"/>
                      <w:bCs w:val="0"/>
                      <w:color w:val="auto"/>
                      <w:kern w:val="0"/>
                      <w:sz w:val="21"/>
                      <w:szCs w:val="21"/>
                      <w:u w:val="none" w:color="auto"/>
                      <w:lang w:val="en-US" w:eastAsia="zh-CN" w:bidi="ar"/>
                    </w:rPr>
                    <w:t>本项目依托现有厂房，施工期仅是设备的安装</w:t>
                  </w:r>
                  <w:r>
                    <w:rPr>
                      <w:rFonts w:hint="eastAsia" w:ascii="Times New Roman" w:hAnsi="Times New Roman" w:eastAsia="宋体" w:cs="Times New Roman"/>
                      <w:b w:val="0"/>
                      <w:bCs w:val="0"/>
                      <w:color w:val="auto"/>
                      <w:kern w:val="0"/>
                      <w:sz w:val="21"/>
                      <w:szCs w:val="21"/>
                      <w:u w:val="none" w:color="auto"/>
                      <w:lang w:val="en-US" w:eastAsia="zh-CN" w:bidi="ar"/>
                    </w:rPr>
                    <w:t>，不涉及土石方作业</w:t>
                  </w:r>
                  <w:r>
                    <w:rPr>
                      <w:rFonts w:hint="default" w:ascii="Times New Roman" w:hAnsi="Times New Roman" w:eastAsia="宋体" w:cs="Times New Roman"/>
                      <w:b w:val="0"/>
                      <w:bCs w:val="0"/>
                      <w:color w:val="auto"/>
                      <w:kern w:val="0"/>
                      <w:sz w:val="21"/>
                      <w:szCs w:val="21"/>
                      <w:u w:val="none" w:color="auto"/>
                      <w:lang w:val="en-US" w:eastAsia="zh-CN" w:bidi="ar"/>
                    </w:rPr>
                    <w:t>。</w:t>
                  </w:r>
                </w:p>
              </w:tc>
              <w:tc>
                <w:tcPr>
                  <w:tcW w:w="789" w:type="dxa"/>
                  <w:tcBorders>
                    <w:top w:val="single" w:color="auto" w:sz="4" w:space="0"/>
                    <w:left w:val="nil"/>
                    <w:bottom w:val="single" w:color="auto" w:sz="4" w:space="0"/>
                    <w:right w:val="nil"/>
                  </w:tcBorders>
                  <w:noWrap w:val="0"/>
                  <w:vAlign w:val="center"/>
                </w:tcPr>
                <w:p w14:paraId="700CAEC8">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kern w:val="0"/>
                      <w:sz w:val="21"/>
                      <w:szCs w:val="21"/>
                      <w:u w:val="none" w:color="auto"/>
                      <w:lang w:val="en-US" w:eastAsia="zh-CN" w:bidi="ar-SA"/>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r w14:paraId="6782DD16">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3811" w:hRule="atLeast"/>
                <w:jc w:val="center"/>
              </w:trPr>
              <w:tc>
                <w:tcPr>
                  <w:tcW w:w="1178" w:type="dxa"/>
                  <w:vMerge w:val="restart"/>
                  <w:tcBorders>
                    <w:top w:val="nil"/>
                    <w:left w:val="nil"/>
                    <w:bottom w:val="single" w:color="auto" w:sz="4" w:space="0"/>
                    <w:right w:val="single" w:color="auto" w:sz="4" w:space="0"/>
                  </w:tcBorders>
                  <w:noWrap w:val="0"/>
                  <w:vAlign w:val="center"/>
                </w:tcPr>
                <w:p w14:paraId="6492D35D">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安阳市202</w:t>
                  </w:r>
                  <w:r>
                    <w:rPr>
                      <w:rFonts w:hint="eastAsia" w:ascii="Times New Roman" w:hAnsi="Times New Roman" w:eastAsia="宋体" w:cs="Times New Roman"/>
                      <w:b w:val="0"/>
                      <w:bCs w:val="0"/>
                      <w:color w:val="auto"/>
                      <w:kern w:val="0"/>
                      <w:sz w:val="21"/>
                      <w:szCs w:val="21"/>
                      <w:u w:val="none" w:color="auto"/>
                      <w:lang w:val="en-US" w:eastAsia="zh-CN" w:bidi="ar"/>
                    </w:rPr>
                    <w:t>5</w:t>
                  </w:r>
                  <w:r>
                    <w:rPr>
                      <w:rFonts w:hint="default" w:ascii="Times New Roman" w:hAnsi="Times New Roman" w:eastAsia="宋体" w:cs="Times New Roman"/>
                      <w:b w:val="0"/>
                      <w:bCs w:val="0"/>
                      <w:color w:val="auto"/>
                      <w:kern w:val="0"/>
                      <w:sz w:val="21"/>
                      <w:szCs w:val="21"/>
                      <w:u w:val="none" w:color="auto"/>
                      <w:lang w:val="en-US" w:eastAsia="zh-CN" w:bidi="ar"/>
                    </w:rPr>
                    <w:t>年碧水保卫战实施方案</w:t>
                  </w:r>
                </w:p>
              </w:tc>
              <w:tc>
                <w:tcPr>
                  <w:tcW w:w="3958" w:type="dxa"/>
                  <w:tcBorders>
                    <w:top w:val="single" w:color="auto" w:sz="4" w:space="0"/>
                    <w:left w:val="nil"/>
                    <w:bottom w:val="single" w:color="auto" w:sz="4" w:space="0"/>
                    <w:right w:val="single" w:color="auto" w:sz="4" w:space="0"/>
                  </w:tcBorders>
                  <w:noWrap w:val="0"/>
                  <w:vAlign w:val="center"/>
                </w:tcPr>
                <w:p w14:paraId="1FD02E30">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5.持续加强饮用水水源保护。依法科学划定、调整、取消饮用水水源地保护区（范围）。修订安阳市集中式饮用水水源地环境突发事件应急预案。推进乡镇级饮用水水源保护区标志设置，2025年10月底前完成保护区（范围）划定和勘界立标，其中6月底前完成林州中南铁路排水隧洞水源地保护区划定和勘界立标。开展县级以上集中式饮用水水源地水质专项调查和环境状况调查评估，做好乡镇及以下水源地基础信息调查；持续开展保护区环境风险隐患排查整治，切实保障水源地水质安全。</w:t>
                  </w:r>
                </w:p>
              </w:tc>
              <w:tc>
                <w:tcPr>
                  <w:tcW w:w="2165" w:type="dxa"/>
                  <w:tcBorders>
                    <w:top w:val="single" w:color="auto" w:sz="4" w:space="0"/>
                    <w:left w:val="nil"/>
                    <w:bottom w:val="single" w:color="auto" w:sz="4" w:space="0"/>
                    <w:right w:val="single" w:color="auto" w:sz="4" w:space="0"/>
                  </w:tcBorders>
                  <w:noWrap w:val="0"/>
                  <w:vAlign w:val="center"/>
                </w:tcPr>
                <w:p w14:paraId="49599D90">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本项目位于</w:t>
                  </w:r>
                  <w:r>
                    <w:rPr>
                      <w:rFonts w:hint="eastAsia" w:ascii="Times New Roman" w:hAnsi="Times New Roman" w:cs="Times New Roman"/>
                      <w:b w:val="0"/>
                      <w:bCs w:val="0"/>
                      <w:color w:val="auto"/>
                      <w:kern w:val="0"/>
                      <w:sz w:val="21"/>
                      <w:szCs w:val="21"/>
                      <w:u w:val="none" w:color="auto"/>
                      <w:lang w:val="en-US" w:eastAsia="zh-CN" w:bidi="ar"/>
                    </w:rPr>
                    <w:t>安阳市新型制造业产业园区中兴路南头</w:t>
                  </w:r>
                  <w:r>
                    <w:rPr>
                      <w:rFonts w:hint="default" w:ascii="Times New Roman" w:hAnsi="Times New Roman" w:eastAsia="宋体" w:cs="Times New Roman"/>
                      <w:b w:val="0"/>
                      <w:bCs w:val="0"/>
                      <w:color w:val="auto"/>
                      <w:kern w:val="0"/>
                      <w:sz w:val="21"/>
                      <w:szCs w:val="21"/>
                      <w:u w:val="none" w:color="auto"/>
                      <w:lang w:val="en-US" w:eastAsia="zh-CN" w:bidi="ar"/>
                    </w:rPr>
                    <w:t>。</w:t>
                  </w:r>
                  <w:r>
                    <w:rPr>
                      <w:rFonts w:hint="default" w:ascii="Times New Roman" w:hAnsi="Times New Roman" w:eastAsia="宋体" w:cs="Times New Roman"/>
                      <w:b w:val="0"/>
                      <w:bCs w:val="0"/>
                      <w:color w:val="auto"/>
                      <w:sz w:val="21"/>
                      <w:szCs w:val="21"/>
                      <w:u w:val="none" w:color="auto"/>
                      <w:lang w:val="en-US" w:eastAsia="zh-CN"/>
                    </w:rPr>
                    <w:t>距离本项目最近的乡镇级集中式饮用水水源为宜沟镇地下水井群</w:t>
                  </w:r>
                  <w:r>
                    <w:rPr>
                      <w:rFonts w:hint="default" w:ascii="Times New Roman" w:hAnsi="Times New Roman" w:cs="Times New Roman"/>
                      <w:b w:val="0"/>
                      <w:bCs w:val="0"/>
                      <w:color w:val="auto"/>
                      <w:sz w:val="21"/>
                      <w:szCs w:val="21"/>
                      <w:u w:val="none" w:color="auto"/>
                      <w:lang w:val="en-US" w:eastAsia="zh-CN"/>
                    </w:rPr>
                    <w:t>为830m</w:t>
                  </w:r>
                  <w:r>
                    <w:rPr>
                      <w:rFonts w:hint="default" w:ascii="Times New Roman" w:hAnsi="Times New Roman" w:eastAsia="宋体" w:cs="Times New Roman"/>
                      <w:b w:val="0"/>
                      <w:bCs w:val="0"/>
                      <w:color w:val="auto"/>
                      <w:sz w:val="21"/>
                      <w:szCs w:val="21"/>
                      <w:u w:val="none" w:color="auto"/>
                      <w:lang w:val="en-US" w:eastAsia="zh-CN"/>
                    </w:rPr>
                    <w:t>，</w:t>
                  </w:r>
                  <w:r>
                    <w:rPr>
                      <w:rFonts w:hint="default" w:ascii="Times New Roman" w:hAnsi="Times New Roman" w:cs="Times New Roman"/>
                      <w:b w:val="0"/>
                      <w:bCs w:val="0"/>
                      <w:color w:val="auto"/>
                      <w:sz w:val="21"/>
                      <w:szCs w:val="21"/>
                      <w:u w:val="none" w:color="auto"/>
                      <w:lang w:val="en-US" w:eastAsia="zh-CN"/>
                    </w:rPr>
                    <w:t>井群外包线内及外围30米的区域，二级保护区范围：一级保护区外围300米的区域</w:t>
                  </w:r>
                  <w:r>
                    <w:rPr>
                      <w:rFonts w:hint="default" w:ascii="Times New Roman" w:hAnsi="Times New Roman" w:eastAsia="宋体" w:cs="Times New Roman"/>
                      <w:b w:val="0"/>
                      <w:bCs w:val="0"/>
                      <w:color w:val="auto"/>
                      <w:kern w:val="0"/>
                      <w:sz w:val="21"/>
                      <w:szCs w:val="21"/>
                      <w:u w:val="none" w:color="auto"/>
                      <w:lang w:val="en-US" w:eastAsia="zh-CN" w:bidi="ar"/>
                    </w:rPr>
                    <w:t>本项目不在其保护区范围内；本项目距离南水北调中线工程干渠约为</w:t>
                  </w:r>
                  <w:r>
                    <w:rPr>
                      <w:rFonts w:hint="eastAsia" w:ascii="Times New Roman" w:hAnsi="Times New Roman" w:eastAsia="宋体" w:cs="Times New Roman"/>
                      <w:b w:val="0"/>
                      <w:bCs w:val="0"/>
                      <w:color w:val="auto"/>
                      <w:kern w:val="0"/>
                      <w:sz w:val="21"/>
                      <w:szCs w:val="21"/>
                      <w:u w:val="none" w:color="auto"/>
                      <w:lang w:val="en-US" w:eastAsia="zh-CN" w:bidi="ar"/>
                    </w:rPr>
                    <w:t>270</w:t>
                  </w:r>
                  <w:r>
                    <w:rPr>
                      <w:rFonts w:hint="default" w:ascii="Times New Roman" w:hAnsi="Times New Roman" w:eastAsia="宋体" w:cs="Times New Roman"/>
                      <w:b w:val="0"/>
                      <w:bCs w:val="0"/>
                      <w:color w:val="auto"/>
                      <w:kern w:val="0"/>
                      <w:sz w:val="21"/>
                      <w:szCs w:val="21"/>
                      <w:u w:val="none" w:color="auto"/>
                      <w:lang w:val="en-US" w:eastAsia="zh-CN" w:bidi="ar"/>
                    </w:rPr>
                    <w:t>0m，不在其保护区范围内。</w:t>
                  </w:r>
                </w:p>
              </w:tc>
              <w:tc>
                <w:tcPr>
                  <w:tcW w:w="789" w:type="dxa"/>
                  <w:tcBorders>
                    <w:top w:val="single" w:color="auto" w:sz="4" w:space="0"/>
                    <w:left w:val="nil"/>
                    <w:bottom w:val="single" w:color="auto" w:sz="4" w:space="0"/>
                    <w:right w:val="nil"/>
                  </w:tcBorders>
                  <w:noWrap w:val="0"/>
                  <w:vAlign w:val="center"/>
                </w:tcPr>
                <w:p w14:paraId="3C2774E6">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r w14:paraId="38A686A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1589" w:hRule="atLeast"/>
                <w:jc w:val="center"/>
              </w:trPr>
              <w:tc>
                <w:tcPr>
                  <w:tcW w:w="1178" w:type="dxa"/>
                  <w:vMerge w:val="continue"/>
                  <w:tcBorders>
                    <w:top w:val="nil"/>
                    <w:left w:val="nil"/>
                    <w:bottom w:val="single" w:color="auto" w:sz="4" w:space="0"/>
                    <w:right w:val="single" w:color="auto" w:sz="4" w:space="0"/>
                  </w:tcBorders>
                  <w:noWrap w:val="0"/>
                  <w:vAlign w:val="center"/>
                </w:tcPr>
                <w:p w14:paraId="31537DA0">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4" w:space="0"/>
                    <w:right w:val="single" w:color="auto" w:sz="4" w:space="0"/>
                  </w:tcBorders>
                  <w:noWrap w:val="0"/>
                  <w:vAlign w:val="center"/>
                </w:tcPr>
                <w:p w14:paraId="030E8585">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left"/>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8.深入工业园区水污染整治。开展工业园区污水收集处理、资源化利用、监测监管能力提升行动和化工园区“污水零直排区”建设行动，加快推进化工园区集中污水处理设施和配套管网建设，补齐园区污水收集处理设施短板。2025年11月底前省级以上工业园区配套的污水管网质量和污水收集效能明显提升，化工园区建成专业化工生产废水集中处理设施（独立建设或依托骨干企业）。</w:t>
                  </w:r>
                </w:p>
              </w:tc>
              <w:tc>
                <w:tcPr>
                  <w:tcW w:w="2165" w:type="dxa"/>
                  <w:tcBorders>
                    <w:top w:val="single" w:color="auto" w:sz="4" w:space="0"/>
                    <w:left w:val="nil"/>
                    <w:bottom w:val="single" w:color="auto" w:sz="4" w:space="0"/>
                    <w:right w:val="single" w:color="auto" w:sz="4" w:space="0"/>
                  </w:tcBorders>
                  <w:noWrap w:val="0"/>
                  <w:vAlign w:val="center"/>
                </w:tcPr>
                <w:p w14:paraId="14D52190">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本项</w:t>
                  </w:r>
                  <w:r>
                    <w:rPr>
                      <w:rFonts w:hint="eastAsia" w:ascii="Times New Roman" w:hAnsi="Times New Roman" w:cs="Times New Roman"/>
                      <w:b w:val="0"/>
                      <w:bCs w:val="0"/>
                      <w:color w:val="auto"/>
                      <w:kern w:val="0"/>
                      <w:sz w:val="21"/>
                      <w:szCs w:val="21"/>
                      <w:u w:val="none" w:color="auto"/>
                      <w:lang w:val="en-US" w:eastAsia="zh-CN" w:bidi="ar"/>
                    </w:rPr>
                    <w:t>目</w:t>
                  </w:r>
                  <w:r>
                    <w:rPr>
                      <w:rFonts w:hint="eastAsia" w:ascii="Times New Roman" w:hAnsi="Times New Roman" w:eastAsia="宋体" w:cs="Times New Roman"/>
                      <w:b w:val="0"/>
                      <w:bCs w:val="0"/>
                      <w:color w:val="auto"/>
                      <w:kern w:val="0"/>
                      <w:sz w:val="21"/>
                      <w:szCs w:val="21"/>
                      <w:u w:val="none" w:color="auto"/>
                      <w:lang w:val="en-US" w:eastAsia="zh-CN" w:bidi="ar"/>
                    </w:rPr>
                    <w:t>不新增生活污水</w:t>
                  </w:r>
                  <w:r>
                    <w:rPr>
                      <w:rFonts w:hint="eastAsia" w:ascii="Times New Roman" w:hAnsi="Times New Roman" w:cs="Times New Roman"/>
                      <w:b w:val="0"/>
                      <w:bCs w:val="0"/>
                      <w:color w:val="auto"/>
                      <w:kern w:val="0"/>
                      <w:sz w:val="21"/>
                      <w:szCs w:val="21"/>
                      <w:u w:val="none" w:color="auto"/>
                      <w:lang w:val="en-US" w:eastAsia="zh-CN" w:bidi="ar"/>
                    </w:rPr>
                    <w:t>、生产废水不外排</w:t>
                  </w:r>
                  <w:r>
                    <w:rPr>
                      <w:rFonts w:hint="default" w:ascii="Times New Roman" w:hAnsi="Times New Roman" w:eastAsia="宋体" w:cs="Times New Roman"/>
                      <w:b w:val="0"/>
                      <w:bCs w:val="0"/>
                      <w:color w:val="auto"/>
                      <w:kern w:val="0"/>
                      <w:sz w:val="21"/>
                      <w:szCs w:val="21"/>
                      <w:u w:val="none" w:color="auto"/>
                      <w:lang w:val="en-US" w:eastAsia="zh-CN" w:bidi="ar"/>
                    </w:rPr>
                    <w:t>。</w:t>
                  </w:r>
                </w:p>
              </w:tc>
              <w:tc>
                <w:tcPr>
                  <w:tcW w:w="789" w:type="dxa"/>
                  <w:tcBorders>
                    <w:top w:val="single" w:color="auto" w:sz="4" w:space="0"/>
                    <w:left w:val="nil"/>
                    <w:bottom w:val="single" w:color="auto" w:sz="4" w:space="0"/>
                    <w:right w:val="nil"/>
                  </w:tcBorders>
                  <w:noWrap w:val="0"/>
                  <w:vAlign w:val="center"/>
                </w:tcPr>
                <w:p w14:paraId="7A2CAD90">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r w14:paraId="437B77E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4188" w:hRule="atLeast"/>
                <w:jc w:val="center"/>
              </w:trPr>
              <w:tc>
                <w:tcPr>
                  <w:tcW w:w="1178" w:type="dxa"/>
                  <w:tcBorders>
                    <w:top w:val="single" w:color="auto" w:sz="4" w:space="0"/>
                    <w:left w:val="nil"/>
                    <w:bottom w:val="single" w:color="auto" w:sz="4" w:space="0"/>
                    <w:right w:val="single" w:color="auto" w:sz="4" w:space="0"/>
                  </w:tcBorders>
                  <w:noWrap w:val="0"/>
                  <w:vAlign w:val="center"/>
                </w:tcPr>
                <w:p w14:paraId="4358641C">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安阳市202</w:t>
                  </w:r>
                  <w:r>
                    <w:rPr>
                      <w:rFonts w:hint="eastAsia" w:ascii="Times New Roman" w:hAnsi="Times New Roman" w:eastAsia="宋体" w:cs="Times New Roman"/>
                      <w:b w:val="0"/>
                      <w:bCs w:val="0"/>
                      <w:color w:val="auto"/>
                      <w:kern w:val="0"/>
                      <w:sz w:val="21"/>
                      <w:szCs w:val="21"/>
                      <w:u w:val="none" w:color="auto"/>
                      <w:lang w:val="en-US" w:eastAsia="zh-CN" w:bidi="ar"/>
                    </w:rPr>
                    <w:t>5</w:t>
                  </w:r>
                  <w:r>
                    <w:rPr>
                      <w:rFonts w:hint="default" w:ascii="Times New Roman" w:hAnsi="Times New Roman" w:eastAsia="宋体" w:cs="Times New Roman"/>
                      <w:b w:val="0"/>
                      <w:bCs w:val="0"/>
                      <w:color w:val="auto"/>
                      <w:kern w:val="0"/>
                      <w:sz w:val="21"/>
                      <w:szCs w:val="21"/>
                      <w:u w:val="none" w:color="auto"/>
                      <w:lang w:val="en-US" w:eastAsia="zh-CN" w:bidi="ar"/>
                    </w:rPr>
                    <w:t>年净土保卫战实施方案</w:t>
                  </w:r>
                </w:p>
              </w:tc>
              <w:tc>
                <w:tcPr>
                  <w:tcW w:w="3958" w:type="dxa"/>
                  <w:tcBorders>
                    <w:top w:val="single" w:color="auto" w:sz="4" w:space="0"/>
                    <w:left w:val="nil"/>
                    <w:bottom w:val="single" w:color="auto" w:sz="4" w:space="0"/>
                    <w:right w:val="single" w:color="auto" w:sz="4" w:space="0"/>
                  </w:tcBorders>
                  <w:noWrap w:val="0"/>
                  <w:vAlign w:val="center"/>
                </w:tcPr>
                <w:p w14:paraId="532F45D9">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1.强化土壤污染源头防控。落实《河南省土壤污染源头防控行动实施方案》，强化未污染土壤保护，推动污染防治关口前移。2025年5月底前，完成涉镉等重金属行业企业清单更新，按计划完成整治任务。依法对涉镉等重金属的大气、水环境重点排污单位排放口和周边环境进行定期监测，评估对周边农用地土壤重金属累积性风险，对存在风险采取有效防控措施。2025年4月底前，完成土壤污染重点监管单位名录更新，并向社会公开。2025年10月底前，土壤污染重点监管单位按照排污许可证规定和标准规范落实控制有毒有害物质排放、土壤污染隐患排查、自行监测等要求，将隐患排查报告及相关材料上传至重点监管单位土壤和地下水环境管理信息系统。</w:t>
                  </w:r>
                </w:p>
              </w:tc>
              <w:tc>
                <w:tcPr>
                  <w:tcW w:w="2165" w:type="dxa"/>
                  <w:tcBorders>
                    <w:top w:val="single" w:color="auto" w:sz="4" w:space="0"/>
                    <w:left w:val="nil"/>
                    <w:bottom w:val="single" w:color="auto" w:sz="4" w:space="0"/>
                    <w:right w:val="single" w:color="auto" w:sz="4" w:space="0"/>
                  </w:tcBorders>
                  <w:noWrap w:val="0"/>
                  <w:vAlign w:val="center"/>
                </w:tcPr>
                <w:p w14:paraId="3D10107E">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安阳双兴线材制品有限公司未列入土壤污染重点监管单位名录，生产车间地面进行防渗硬化，生产过程对土壤的影响很小。</w:t>
                  </w:r>
                </w:p>
              </w:tc>
              <w:tc>
                <w:tcPr>
                  <w:tcW w:w="789" w:type="dxa"/>
                  <w:tcBorders>
                    <w:top w:val="single" w:color="auto" w:sz="4" w:space="0"/>
                    <w:left w:val="nil"/>
                    <w:bottom w:val="single" w:color="auto" w:sz="4" w:space="0"/>
                    <w:right w:val="nil"/>
                  </w:tcBorders>
                  <w:noWrap w:val="0"/>
                  <w:vAlign w:val="center"/>
                </w:tcPr>
                <w:p w14:paraId="44F78D27">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r w14:paraId="3846CE52">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3858" w:hRule="atLeast"/>
                <w:jc w:val="center"/>
              </w:trPr>
              <w:tc>
                <w:tcPr>
                  <w:tcW w:w="1178" w:type="dxa"/>
                  <w:vMerge w:val="restart"/>
                  <w:tcBorders>
                    <w:top w:val="nil"/>
                    <w:left w:val="nil"/>
                    <w:bottom w:val="single" w:color="auto" w:sz="4" w:space="0"/>
                    <w:right w:val="single" w:color="auto" w:sz="4" w:space="0"/>
                  </w:tcBorders>
                  <w:noWrap w:val="0"/>
                  <w:vAlign w:val="center"/>
                </w:tcPr>
                <w:p w14:paraId="0B2A509F">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安阳市202</w:t>
                  </w:r>
                  <w:r>
                    <w:rPr>
                      <w:rFonts w:hint="eastAsia" w:ascii="Times New Roman" w:hAnsi="Times New Roman" w:eastAsia="宋体" w:cs="Times New Roman"/>
                      <w:b w:val="0"/>
                      <w:bCs w:val="0"/>
                      <w:color w:val="auto"/>
                      <w:kern w:val="0"/>
                      <w:sz w:val="21"/>
                      <w:szCs w:val="21"/>
                      <w:u w:val="none" w:color="auto"/>
                      <w:lang w:val="en-US" w:eastAsia="zh-CN" w:bidi="ar"/>
                    </w:rPr>
                    <w:t>5</w:t>
                  </w:r>
                  <w:r>
                    <w:rPr>
                      <w:rFonts w:hint="default" w:ascii="Times New Roman" w:hAnsi="Times New Roman" w:eastAsia="宋体" w:cs="Times New Roman"/>
                      <w:b w:val="0"/>
                      <w:bCs w:val="0"/>
                      <w:color w:val="auto"/>
                      <w:kern w:val="0"/>
                      <w:sz w:val="21"/>
                      <w:szCs w:val="21"/>
                      <w:u w:val="none" w:color="auto"/>
                      <w:lang w:val="en-US" w:eastAsia="zh-CN" w:bidi="ar"/>
                    </w:rPr>
                    <w:t>年柴油货车污染治理攻坚战实施方案</w:t>
                  </w:r>
                </w:p>
              </w:tc>
              <w:tc>
                <w:tcPr>
                  <w:tcW w:w="3958" w:type="dxa"/>
                  <w:tcBorders>
                    <w:top w:val="single" w:color="auto" w:sz="4" w:space="0"/>
                    <w:left w:val="nil"/>
                    <w:bottom w:val="single" w:color="auto" w:sz="4" w:space="0"/>
                    <w:right w:val="single" w:color="auto" w:sz="4" w:space="0"/>
                  </w:tcBorders>
                  <w:noWrap w:val="0"/>
                  <w:vAlign w:val="center"/>
                </w:tcPr>
                <w:p w14:paraId="1B805509">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12.开展非道路移动机械环保达标监管。对本地非道路移动机械和发动机销售企业开展环保一致性监督检查，基本实现系族全覆盖。规范开展非道路移动机械信息采集和定位联网，2025年底前，完成工程机械环保编码登记三级联网。组织开展非道路移动机械监督性抽测，重点核验信息公开、污染控制装置、编码登记、定位联网等，9月底前完成不少于编码登记非道路移动机械20%监督性抽测任务。对从事非道路移动机械排放检测、编码登记、定位联网等工作的第三方机构严格管理，对不按标准规范开展工作的，依法依规处理，严厉打击伪造排放检验结果和出具虚假排放检验报告行为。</w:t>
                  </w:r>
                </w:p>
              </w:tc>
              <w:tc>
                <w:tcPr>
                  <w:tcW w:w="2165" w:type="dxa"/>
                  <w:tcBorders>
                    <w:top w:val="single" w:color="auto" w:sz="4" w:space="0"/>
                    <w:left w:val="nil"/>
                    <w:bottom w:val="single" w:color="auto" w:sz="4" w:space="0"/>
                    <w:right w:val="single" w:color="auto" w:sz="4" w:space="0"/>
                  </w:tcBorders>
                  <w:noWrap w:val="0"/>
                  <w:vAlign w:val="center"/>
                </w:tcPr>
                <w:p w14:paraId="42C70BAC">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厂内非道路移动机械使用国三及以上排放标准，新增或更新的非道路移动机械全部采用新能源，并按照要求规范非道路移动机械编码登记。</w:t>
                  </w:r>
                </w:p>
              </w:tc>
              <w:tc>
                <w:tcPr>
                  <w:tcW w:w="789" w:type="dxa"/>
                  <w:tcBorders>
                    <w:top w:val="single" w:color="auto" w:sz="4" w:space="0"/>
                    <w:left w:val="nil"/>
                    <w:bottom w:val="single" w:color="auto" w:sz="4" w:space="0"/>
                    <w:right w:val="nil"/>
                  </w:tcBorders>
                  <w:noWrap w:val="0"/>
                  <w:vAlign w:val="center"/>
                </w:tcPr>
                <w:p w14:paraId="35F6642B">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r w14:paraId="5292AACA">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68" w:type="dxa"/>
                  <w:bottom w:w="0" w:type="dxa"/>
                  <w:right w:w="68" w:type="dxa"/>
                </w:tblCellMar>
              </w:tblPrEx>
              <w:trPr>
                <w:trHeight w:val="2815" w:hRule="atLeast"/>
                <w:jc w:val="center"/>
              </w:trPr>
              <w:tc>
                <w:tcPr>
                  <w:tcW w:w="1178" w:type="dxa"/>
                  <w:vMerge w:val="continue"/>
                  <w:tcBorders>
                    <w:top w:val="nil"/>
                    <w:left w:val="nil"/>
                    <w:bottom w:val="single" w:color="auto" w:sz="4" w:space="0"/>
                    <w:right w:val="single" w:color="auto" w:sz="4" w:space="0"/>
                  </w:tcBorders>
                  <w:noWrap w:val="0"/>
                  <w:vAlign w:val="center"/>
                </w:tcPr>
                <w:p w14:paraId="1D0087EB">
                  <w:pPr>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val="0"/>
                      <w:bCs w:val="0"/>
                      <w:color w:val="auto"/>
                      <w:kern w:val="2"/>
                      <w:sz w:val="21"/>
                      <w:szCs w:val="21"/>
                      <w:u w:val="none" w:color="auto"/>
                    </w:rPr>
                  </w:pPr>
                </w:p>
              </w:tc>
              <w:tc>
                <w:tcPr>
                  <w:tcW w:w="3958" w:type="dxa"/>
                  <w:tcBorders>
                    <w:top w:val="single" w:color="auto" w:sz="4" w:space="0"/>
                    <w:left w:val="nil"/>
                    <w:bottom w:val="single" w:color="auto" w:sz="12" w:space="0"/>
                    <w:right w:val="single" w:color="auto" w:sz="4" w:space="0"/>
                  </w:tcBorders>
                  <w:noWrap w:val="0"/>
                  <w:vAlign w:val="center"/>
                </w:tcPr>
                <w:p w14:paraId="1D381BAB">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eastAsia" w:ascii="Times New Roman" w:hAnsi="Times New Roman" w:eastAsia="宋体" w:cs="Times New Roman"/>
                      <w:b w:val="0"/>
                      <w:bCs w:val="0"/>
                      <w:color w:val="auto"/>
                      <w:kern w:val="0"/>
                      <w:sz w:val="21"/>
                      <w:szCs w:val="21"/>
                      <w:u w:val="none" w:color="auto"/>
                      <w:lang w:val="en-US" w:eastAsia="zh-CN" w:bidi="ar"/>
                    </w:rPr>
                    <w:t>1</w:t>
                  </w:r>
                  <w:r>
                    <w:rPr>
                      <w:rFonts w:hint="default" w:ascii="Times New Roman" w:hAnsi="Times New Roman" w:eastAsia="宋体" w:cs="Times New Roman"/>
                      <w:b w:val="0"/>
                      <w:bCs w:val="0"/>
                      <w:color w:val="auto"/>
                      <w:kern w:val="0"/>
                      <w:sz w:val="21"/>
                      <w:szCs w:val="21"/>
                      <w:u w:val="none" w:color="auto"/>
                      <w:lang w:val="en-US" w:eastAsia="zh-CN" w:bidi="ar"/>
                    </w:rPr>
                    <w:t>9.推进门禁系统建设联网。加快推进企业门禁及视频监控系统建设，按照《重点行业移动源监管与核查技术指南》（HJ1321—2023）规定，强化门禁视频监控平台建设和联网工作，对符合安装条件的企业建立动态机制，做到应装尽装。鼓励物流园区等用车大户建设门禁系统，强化运输车辆监管，禁止超标排放、非法改装、拆除后处理装置等问题车辆通行。2025年底前，全市火电、钢铁、煤炭、焦化、有色、化工、水泥等重点行业企业全部与生态环境部联网。</w:t>
                  </w:r>
                </w:p>
              </w:tc>
              <w:tc>
                <w:tcPr>
                  <w:tcW w:w="2165" w:type="dxa"/>
                  <w:tcBorders>
                    <w:top w:val="single" w:color="auto" w:sz="4" w:space="0"/>
                    <w:left w:val="nil"/>
                    <w:bottom w:val="single" w:color="auto" w:sz="12" w:space="0"/>
                    <w:right w:val="single" w:color="auto" w:sz="4" w:space="0"/>
                  </w:tcBorders>
                  <w:noWrap w:val="0"/>
                  <w:vAlign w:val="center"/>
                </w:tcPr>
                <w:p w14:paraId="457F99C8">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leftChars="0" w:right="0" w:firstLine="0" w:firstLineChars="0"/>
                    <w:jc w:val="both"/>
                    <w:textAlignment w:val="auto"/>
                    <w:rPr>
                      <w:rFonts w:hint="default" w:ascii="Times New Roman" w:hAnsi="Times New Roman" w:eastAsia="宋体" w:cs="Times New Roman"/>
                      <w:b w:val="0"/>
                      <w:bCs w:val="0"/>
                      <w:color w:val="auto"/>
                      <w:kern w:val="0"/>
                      <w:sz w:val="21"/>
                      <w:szCs w:val="21"/>
                      <w:u w:val="none" w:color="auto"/>
                    </w:rPr>
                  </w:pPr>
                  <w:r>
                    <w:rPr>
                      <w:rFonts w:hint="eastAsia" w:ascii="Times New Roman" w:hAnsi="Times New Roman" w:cs="Times New Roman"/>
                      <w:b w:val="0"/>
                      <w:bCs w:val="0"/>
                      <w:color w:val="auto"/>
                      <w:kern w:val="0"/>
                      <w:sz w:val="21"/>
                      <w:szCs w:val="21"/>
                      <w:u w:val="none" w:color="auto"/>
                      <w:lang w:val="en-US" w:eastAsia="zh-CN" w:bidi="ar"/>
                    </w:rPr>
                    <w:t>本项目是扩建项目，</w:t>
                  </w:r>
                  <w:r>
                    <w:rPr>
                      <w:rFonts w:hint="eastAsia" w:ascii="Times New Roman" w:hAnsi="Times New Roman" w:eastAsia="宋体" w:cs="Times New Roman"/>
                      <w:b w:val="0"/>
                      <w:bCs w:val="0"/>
                      <w:color w:val="auto"/>
                      <w:kern w:val="0"/>
                      <w:sz w:val="21"/>
                      <w:szCs w:val="21"/>
                      <w:u w:val="none" w:color="auto"/>
                      <w:vertAlign w:val="baseline"/>
                      <w:lang w:val="en-US" w:eastAsia="zh-CN" w:bidi="ar"/>
                    </w:rPr>
                    <w:t>建成后全厂日均进出货物为116.7t/d，未达到150t/d，不需要安装门禁系统，利用</w:t>
                  </w:r>
                  <w:r>
                    <w:rPr>
                      <w:rFonts w:hint="eastAsia" w:ascii="Times New Roman" w:hAnsi="Times New Roman" w:cs="Times New Roman"/>
                      <w:b w:val="0"/>
                      <w:bCs w:val="0"/>
                      <w:color w:val="auto"/>
                      <w:kern w:val="0"/>
                      <w:sz w:val="21"/>
                      <w:szCs w:val="21"/>
                      <w:u w:val="none" w:color="auto"/>
                      <w:lang w:val="en-US" w:eastAsia="zh-CN" w:bidi="ar"/>
                    </w:rPr>
                    <w:t>现有</w:t>
                  </w:r>
                  <w:r>
                    <w:rPr>
                      <w:rFonts w:hint="eastAsia" w:ascii="Times New Roman" w:hAnsi="Times New Roman" w:eastAsia="宋体" w:cs="Times New Roman"/>
                      <w:b w:val="0"/>
                      <w:bCs w:val="0"/>
                      <w:color w:val="auto"/>
                      <w:kern w:val="0"/>
                      <w:sz w:val="21"/>
                      <w:szCs w:val="21"/>
                      <w:u w:val="none" w:color="auto"/>
                      <w:lang w:val="en-US" w:eastAsia="zh-CN" w:bidi="ar"/>
                    </w:rPr>
                    <w:t>视频监控系统</w:t>
                  </w:r>
                  <w:r>
                    <w:rPr>
                      <w:rFonts w:hint="default" w:ascii="Times New Roman" w:hAnsi="Times New Roman" w:eastAsia="宋体" w:cs="Times New Roman"/>
                      <w:b w:val="0"/>
                      <w:bCs w:val="0"/>
                      <w:color w:val="auto"/>
                      <w:kern w:val="0"/>
                      <w:sz w:val="21"/>
                      <w:szCs w:val="21"/>
                      <w:u w:val="none" w:color="auto"/>
                      <w:lang w:val="en-US" w:eastAsia="zh-CN" w:bidi="ar"/>
                    </w:rPr>
                    <w:t>。</w:t>
                  </w:r>
                </w:p>
              </w:tc>
              <w:tc>
                <w:tcPr>
                  <w:tcW w:w="789" w:type="dxa"/>
                  <w:tcBorders>
                    <w:top w:val="single" w:color="auto" w:sz="4" w:space="0"/>
                    <w:left w:val="nil"/>
                    <w:bottom w:val="single" w:color="auto" w:sz="12" w:space="0"/>
                    <w:right w:val="nil"/>
                  </w:tcBorders>
                  <w:noWrap w:val="0"/>
                  <w:vAlign w:val="center"/>
                </w:tcPr>
                <w:p w14:paraId="330A8BB6">
                  <w:pPr>
                    <w:pStyle w:val="23"/>
                    <w:keepNext w:val="0"/>
                    <w:keepLines w:val="0"/>
                    <w:pageBreakBefore w:val="0"/>
                    <w:widowControl w:val="0"/>
                    <w:suppressLineNumbers w:val="0"/>
                    <w:kinsoku/>
                    <w:wordWrap/>
                    <w:overflowPunct/>
                    <w:topLinePunct w:val="0"/>
                    <w:bidi w:val="0"/>
                    <w:spacing w:before="100" w:beforeAutospacing="1" w:after="100" w:afterAutospacing="1" w:line="240" w:lineRule="auto"/>
                    <w:ind w:left="0" w:leftChars="0" w:right="0" w:firstLine="0" w:firstLineChars="0"/>
                    <w:jc w:val="center"/>
                    <w:textAlignment w:val="auto"/>
                    <w:rPr>
                      <w:rFonts w:hint="default" w:ascii="Times New Roman" w:hAnsi="Times New Roman" w:eastAsia="宋体" w:cs="Times New Roman"/>
                      <w:b w:val="0"/>
                      <w:bCs w:val="0"/>
                      <w:color w:val="auto"/>
                      <w:kern w:val="0"/>
                      <w:sz w:val="21"/>
                      <w:szCs w:val="21"/>
                      <w:u w:val="none" w:color="auto"/>
                    </w:rPr>
                  </w:pPr>
                  <w:r>
                    <w:rPr>
                      <w:rFonts w:hint="default" w:ascii="Times New Roman" w:hAnsi="Times New Roman" w:eastAsia="宋体" w:cs="Times New Roman"/>
                      <w:b w:val="0"/>
                      <w:bCs w:val="0"/>
                      <w:color w:val="auto"/>
                      <w:kern w:val="0"/>
                      <w:sz w:val="21"/>
                      <w:szCs w:val="21"/>
                      <w:u w:val="none" w:color="auto"/>
                      <w:lang w:val="en-US" w:eastAsia="zh-CN" w:bidi="ar"/>
                    </w:rPr>
                    <w:t>相符</w:t>
                  </w:r>
                </w:p>
              </w:tc>
            </w:tr>
          </w:tbl>
          <w:p w14:paraId="1031E0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32"/>
                <w:szCs w:val="32"/>
              </w:rPr>
            </w:pPr>
            <w:r>
              <w:rPr>
                <w:rFonts w:hint="default" w:ascii="Times New Roman" w:hAnsi="Times New Roman" w:eastAsia="宋体" w:cs="Times New Roman"/>
                <w:color w:val="auto"/>
                <w:kern w:val="2"/>
                <w:sz w:val="24"/>
                <w:szCs w:val="24"/>
                <w:lang w:val="en-US" w:eastAsia="zh-CN" w:bidi="ar"/>
              </w:rPr>
              <w:t>经对比分析，项目建设符合《安阳市2025年大气污染防治攻坚行动方案》《安阳市2025年碧水保卫战实施方案》《安阳市2025年净土保卫战实施方案》《安阳市2025年柴油货车污染治理攻坚行动方案》的通知（安环委〔2025〕2号）中相关要求。</w:t>
            </w:r>
          </w:p>
          <w:p w14:paraId="6587FE3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lang w:val="en-US" w:eastAsia="zh-CN" w:bidi="ar"/>
              </w:rPr>
            </w:pPr>
            <w:r>
              <w:rPr>
                <w:rFonts w:hint="eastAsia" w:cs="Times New Roman"/>
                <w:b/>
                <w:bCs/>
                <w:color w:val="auto"/>
                <w:kern w:val="0"/>
                <w:sz w:val="24"/>
                <w:szCs w:val="24"/>
                <w:lang w:val="en-US" w:eastAsia="zh-CN" w:bidi="ar"/>
              </w:rPr>
              <w:t>9</w:t>
            </w:r>
            <w:r>
              <w:rPr>
                <w:rFonts w:hint="default" w:ascii="Times New Roman" w:hAnsi="Times New Roman" w:eastAsia="宋体" w:cs="Times New Roman"/>
                <w:b/>
                <w:bCs/>
                <w:color w:val="auto"/>
                <w:kern w:val="0"/>
                <w:sz w:val="24"/>
                <w:szCs w:val="24"/>
                <w:lang w:val="en-US" w:eastAsia="zh-CN" w:bidi="ar"/>
              </w:rPr>
              <w:t>.备案相符性分析</w:t>
            </w:r>
          </w:p>
          <w:p w14:paraId="08D07AE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kern w:val="0"/>
                <w:sz w:val="21"/>
                <w:szCs w:val="21"/>
                <w:lang w:val="en-US" w:eastAsia="zh-CN" w:bidi="ar"/>
              </w:rPr>
            </w:pPr>
            <w:r>
              <w:rPr>
                <w:rFonts w:hint="eastAsia" w:cs="Times New Roman"/>
                <w:b/>
                <w:bCs/>
                <w:color w:val="auto"/>
                <w:kern w:val="0"/>
                <w:sz w:val="21"/>
                <w:szCs w:val="21"/>
                <w:lang w:val="en-US" w:eastAsia="zh-CN" w:bidi="ar"/>
              </w:rPr>
              <w:t xml:space="preserve">表10  </w:t>
            </w:r>
            <w:r>
              <w:rPr>
                <w:rFonts w:hint="default" w:ascii="Times New Roman" w:hAnsi="Times New Roman" w:eastAsia="宋体" w:cs="Times New Roman"/>
                <w:b/>
                <w:bCs/>
                <w:color w:val="auto"/>
                <w:kern w:val="0"/>
                <w:sz w:val="21"/>
                <w:szCs w:val="21"/>
                <w:lang w:val="en-US" w:eastAsia="zh-CN" w:bidi="ar"/>
              </w:rPr>
              <w:t>本项目与备案相符性分析</w:t>
            </w:r>
            <w:r>
              <w:rPr>
                <w:rFonts w:hint="eastAsia" w:ascii="Times New Roman" w:hAnsi="Times New Roman" w:eastAsia="宋体" w:cs="Times New Roman"/>
                <w:b/>
                <w:bCs/>
                <w:color w:val="auto"/>
                <w:kern w:val="0"/>
                <w:sz w:val="21"/>
                <w:szCs w:val="21"/>
                <w:lang w:val="en-US" w:eastAsia="zh-CN" w:bidi="ar"/>
              </w:rPr>
              <w:t>一览</w:t>
            </w:r>
            <w:r>
              <w:rPr>
                <w:rFonts w:hint="default" w:ascii="Times New Roman" w:hAnsi="Times New Roman" w:eastAsia="宋体" w:cs="Times New Roman"/>
                <w:b/>
                <w:bCs/>
                <w:color w:val="auto"/>
                <w:kern w:val="0"/>
                <w:sz w:val="21"/>
                <w:szCs w:val="21"/>
                <w:lang w:val="en-US" w:eastAsia="zh-CN" w:bidi="ar"/>
              </w:rPr>
              <w:t>表</w:t>
            </w:r>
          </w:p>
          <w:tbl>
            <w:tblPr>
              <w:tblStyle w:val="27"/>
              <w:tblW w:w="0" w:type="auto"/>
              <w:jc w:val="center"/>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3"/>
              <w:gridCol w:w="693"/>
              <w:gridCol w:w="3161"/>
              <w:gridCol w:w="3243"/>
              <w:gridCol w:w="520"/>
            </w:tblGrid>
            <w:tr w14:paraId="4192CA9F">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tcBorders>
                    <w:tl2br w:val="nil"/>
                    <w:tr2bl w:val="nil"/>
                  </w:tcBorders>
                  <w:noWrap w:val="0"/>
                  <w:vAlign w:val="center"/>
                </w:tcPr>
                <w:p w14:paraId="66A92037">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序号</w:t>
                  </w:r>
                </w:p>
              </w:tc>
              <w:tc>
                <w:tcPr>
                  <w:tcW w:w="693" w:type="dxa"/>
                  <w:tcBorders>
                    <w:tl2br w:val="nil"/>
                    <w:tr2bl w:val="nil"/>
                  </w:tcBorders>
                  <w:noWrap w:val="0"/>
                  <w:vAlign w:val="center"/>
                </w:tcPr>
                <w:p w14:paraId="24259D8F">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类别</w:t>
                  </w:r>
                </w:p>
              </w:tc>
              <w:tc>
                <w:tcPr>
                  <w:tcW w:w="3161" w:type="dxa"/>
                  <w:tcBorders>
                    <w:tl2br w:val="nil"/>
                    <w:tr2bl w:val="nil"/>
                  </w:tcBorders>
                  <w:noWrap w:val="0"/>
                  <w:vAlign w:val="center"/>
                </w:tcPr>
                <w:p w14:paraId="093F9CD9">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备案确认书</w:t>
                  </w:r>
                </w:p>
              </w:tc>
              <w:tc>
                <w:tcPr>
                  <w:tcW w:w="3243" w:type="dxa"/>
                  <w:tcBorders>
                    <w:tl2br w:val="nil"/>
                    <w:tr2bl w:val="nil"/>
                  </w:tcBorders>
                  <w:noWrap w:val="0"/>
                  <w:vAlign w:val="center"/>
                </w:tcPr>
                <w:p w14:paraId="0AA0C27A">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项目拟建设情况</w:t>
                  </w:r>
                </w:p>
              </w:tc>
              <w:tc>
                <w:tcPr>
                  <w:tcW w:w="520" w:type="dxa"/>
                  <w:tcBorders>
                    <w:tl2br w:val="nil"/>
                    <w:tr2bl w:val="nil"/>
                  </w:tcBorders>
                  <w:noWrap w:val="0"/>
                  <w:vAlign w:val="center"/>
                </w:tcPr>
                <w:p w14:paraId="31A8EBFF">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val="en-US" w:eastAsia="zh-CN" w:bidi="ar"/>
                    </w:rPr>
                    <w:t>相符性</w:t>
                  </w:r>
                </w:p>
              </w:tc>
            </w:tr>
            <w:tr w14:paraId="675485C3">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tcBorders>
                    <w:tl2br w:val="nil"/>
                    <w:tr2bl w:val="nil"/>
                  </w:tcBorders>
                  <w:noWrap w:val="0"/>
                  <w:vAlign w:val="center"/>
                </w:tcPr>
                <w:p w14:paraId="1A98D5E2">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1</w:t>
                  </w:r>
                </w:p>
              </w:tc>
              <w:tc>
                <w:tcPr>
                  <w:tcW w:w="693" w:type="dxa"/>
                  <w:tcBorders>
                    <w:tl2br w:val="nil"/>
                    <w:tr2bl w:val="nil"/>
                  </w:tcBorders>
                  <w:noWrap w:val="0"/>
                  <w:vAlign w:val="center"/>
                </w:tcPr>
                <w:p w14:paraId="4FFE34D2">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项目名称</w:t>
                  </w:r>
                </w:p>
              </w:tc>
              <w:tc>
                <w:tcPr>
                  <w:tcW w:w="3161" w:type="dxa"/>
                  <w:tcBorders>
                    <w:tl2br w:val="nil"/>
                    <w:tr2bl w:val="nil"/>
                  </w:tcBorders>
                  <w:noWrap w:val="0"/>
                  <w:vAlign w:val="center"/>
                </w:tcPr>
                <w:p w14:paraId="64F4C44C">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rPr>
                  </w:pPr>
                  <w:r>
                    <w:rPr>
                      <w:rFonts w:hint="default" w:ascii="Times New Roman" w:hAnsi="Times New Roman" w:eastAsia="宋体" w:cs="Times New Roman"/>
                      <w:color w:val="auto"/>
                      <w:kern w:val="0"/>
                      <w:sz w:val="21"/>
                      <w:szCs w:val="21"/>
                      <w:lang w:val="en-US" w:eastAsia="zh-CN" w:bidi="ar"/>
                    </w:rPr>
                    <w:t>年产</w:t>
                  </w:r>
                  <w:r>
                    <w:rPr>
                      <w:rFonts w:hint="eastAsia" w:ascii="Times New Roman" w:hAnsi="Times New Roman" w:eastAsia="宋体" w:cs="Times New Roman"/>
                      <w:color w:val="auto"/>
                      <w:kern w:val="0"/>
                      <w:sz w:val="21"/>
                      <w:szCs w:val="21"/>
                      <w:lang w:val="en-US" w:eastAsia="zh-CN" w:bidi="ar"/>
                    </w:rPr>
                    <w:t>1500</w:t>
                  </w:r>
                  <w:r>
                    <w:rPr>
                      <w:rFonts w:hint="default" w:ascii="Times New Roman" w:hAnsi="Times New Roman" w:eastAsia="宋体" w:cs="Times New Roman"/>
                      <w:color w:val="auto"/>
                      <w:kern w:val="0"/>
                      <w:sz w:val="21"/>
                      <w:szCs w:val="21"/>
                      <w:lang w:val="en-US" w:eastAsia="zh-CN" w:bidi="ar"/>
                    </w:rPr>
                    <w:t>吨</w:t>
                  </w:r>
                  <w:r>
                    <w:rPr>
                      <w:rFonts w:hint="eastAsia" w:ascii="Times New Roman" w:hAnsi="Times New Roman" w:eastAsia="宋体" w:cs="Times New Roman"/>
                      <w:color w:val="auto"/>
                      <w:kern w:val="0"/>
                      <w:sz w:val="21"/>
                      <w:szCs w:val="21"/>
                      <w:lang w:val="en-US" w:eastAsia="zh-CN" w:bidi="ar"/>
                    </w:rPr>
                    <w:t>高性能弹簧钢丝扩建项目</w:t>
                  </w:r>
                </w:p>
              </w:tc>
              <w:tc>
                <w:tcPr>
                  <w:tcW w:w="3243" w:type="dxa"/>
                  <w:tcBorders>
                    <w:tl2br w:val="nil"/>
                    <w:tr2bl w:val="nil"/>
                  </w:tcBorders>
                  <w:noWrap w:val="0"/>
                  <w:vAlign w:val="center"/>
                </w:tcPr>
                <w:p w14:paraId="6C720D02">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年产</w:t>
                  </w:r>
                  <w:r>
                    <w:rPr>
                      <w:rFonts w:hint="eastAsia" w:ascii="Times New Roman" w:hAnsi="Times New Roman" w:eastAsia="宋体" w:cs="Times New Roman"/>
                      <w:color w:val="auto"/>
                      <w:kern w:val="0"/>
                      <w:sz w:val="21"/>
                      <w:szCs w:val="21"/>
                      <w:lang w:val="en-US" w:eastAsia="zh-CN" w:bidi="ar"/>
                    </w:rPr>
                    <w:t>1500</w:t>
                  </w:r>
                  <w:r>
                    <w:rPr>
                      <w:rFonts w:hint="default" w:ascii="Times New Roman" w:hAnsi="Times New Roman" w:eastAsia="宋体" w:cs="Times New Roman"/>
                      <w:color w:val="auto"/>
                      <w:kern w:val="0"/>
                      <w:sz w:val="21"/>
                      <w:szCs w:val="21"/>
                      <w:lang w:val="en-US" w:eastAsia="zh-CN" w:bidi="ar"/>
                    </w:rPr>
                    <w:t>吨</w:t>
                  </w:r>
                  <w:r>
                    <w:rPr>
                      <w:rFonts w:hint="eastAsia" w:ascii="Times New Roman" w:hAnsi="Times New Roman" w:eastAsia="宋体" w:cs="Times New Roman"/>
                      <w:color w:val="auto"/>
                      <w:kern w:val="0"/>
                      <w:sz w:val="21"/>
                      <w:szCs w:val="21"/>
                      <w:lang w:val="en-US" w:eastAsia="zh-CN" w:bidi="ar"/>
                    </w:rPr>
                    <w:t>高性能弹簧钢丝扩建项目</w:t>
                  </w:r>
                </w:p>
              </w:tc>
              <w:tc>
                <w:tcPr>
                  <w:tcW w:w="520" w:type="dxa"/>
                  <w:tcBorders>
                    <w:tl2br w:val="nil"/>
                    <w:tr2bl w:val="nil"/>
                  </w:tcBorders>
                  <w:noWrap w:val="0"/>
                  <w:vAlign w:val="center"/>
                </w:tcPr>
                <w:p w14:paraId="546AF4F8">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相符</w:t>
                  </w:r>
                </w:p>
              </w:tc>
            </w:tr>
            <w:tr w14:paraId="4EE397B7">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473" w:type="dxa"/>
                  <w:tcBorders>
                    <w:tl2br w:val="nil"/>
                    <w:tr2bl w:val="nil"/>
                  </w:tcBorders>
                  <w:noWrap w:val="0"/>
                  <w:vAlign w:val="center"/>
                </w:tcPr>
                <w:p w14:paraId="64093884">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2</w:t>
                  </w:r>
                </w:p>
              </w:tc>
              <w:tc>
                <w:tcPr>
                  <w:tcW w:w="693" w:type="dxa"/>
                  <w:tcBorders>
                    <w:tl2br w:val="nil"/>
                    <w:tr2bl w:val="nil"/>
                  </w:tcBorders>
                  <w:noWrap w:val="0"/>
                  <w:vAlign w:val="center"/>
                </w:tcPr>
                <w:p w14:paraId="414F0A9B">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企业名称</w:t>
                  </w:r>
                </w:p>
              </w:tc>
              <w:tc>
                <w:tcPr>
                  <w:tcW w:w="3161" w:type="dxa"/>
                  <w:tcBorders>
                    <w:tl2br w:val="nil"/>
                    <w:tr2bl w:val="nil"/>
                  </w:tcBorders>
                  <w:noWrap w:val="0"/>
                  <w:vAlign w:val="center"/>
                </w:tcPr>
                <w:p w14:paraId="408F12C3">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rPr>
                  </w:pPr>
                  <w:r>
                    <w:rPr>
                      <w:rFonts w:hint="eastAsia" w:ascii="Times New Roman" w:hAnsi="Times New Roman" w:eastAsia="宋体" w:cs="Times New Roman"/>
                      <w:color w:val="auto"/>
                      <w:kern w:val="0"/>
                      <w:sz w:val="21"/>
                      <w:szCs w:val="21"/>
                      <w:lang w:val="en-US" w:eastAsia="zh-CN" w:bidi="ar"/>
                    </w:rPr>
                    <w:t>安阳双兴</w:t>
                  </w:r>
                  <w:r>
                    <w:rPr>
                      <w:rFonts w:hint="eastAsia" w:ascii="Times New Roman" w:hAnsi="Times New Roman" w:cs="Times New Roman"/>
                      <w:color w:val="auto"/>
                      <w:kern w:val="0"/>
                      <w:sz w:val="21"/>
                      <w:szCs w:val="21"/>
                      <w:lang w:val="en-US" w:eastAsia="zh-CN" w:bidi="ar"/>
                    </w:rPr>
                    <w:t>线</w:t>
                  </w:r>
                  <w:r>
                    <w:rPr>
                      <w:rFonts w:hint="eastAsia" w:ascii="Times New Roman" w:hAnsi="Times New Roman" w:eastAsia="宋体" w:cs="Times New Roman"/>
                      <w:color w:val="auto"/>
                      <w:kern w:val="0"/>
                      <w:sz w:val="21"/>
                      <w:szCs w:val="21"/>
                      <w:lang w:val="en-US" w:eastAsia="zh-CN" w:bidi="ar"/>
                    </w:rPr>
                    <w:t>材制品有限公司</w:t>
                  </w:r>
                </w:p>
              </w:tc>
              <w:tc>
                <w:tcPr>
                  <w:tcW w:w="3243" w:type="dxa"/>
                  <w:tcBorders>
                    <w:tl2br w:val="nil"/>
                    <w:tr2bl w:val="nil"/>
                  </w:tcBorders>
                  <w:noWrap w:val="0"/>
                  <w:vAlign w:val="center"/>
                </w:tcPr>
                <w:p w14:paraId="17ACBA5E">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bidi="ar"/>
                    </w:rPr>
                    <w:t>安阳双兴</w:t>
                  </w:r>
                  <w:r>
                    <w:rPr>
                      <w:rFonts w:hint="eastAsia" w:ascii="Times New Roman" w:hAnsi="Times New Roman" w:cs="Times New Roman"/>
                      <w:color w:val="auto"/>
                      <w:kern w:val="0"/>
                      <w:sz w:val="21"/>
                      <w:szCs w:val="21"/>
                      <w:lang w:val="en-US" w:eastAsia="zh-CN" w:bidi="ar"/>
                    </w:rPr>
                    <w:t>线</w:t>
                  </w:r>
                  <w:r>
                    <w:rPr>
                      <w:rFonts w:hint="eastAsia" w:ascii="Times New Roman" w:hAnsi="Times New Roman" w:eastAsia="宋体" w:cs="Times New Roman"/>
                      <w:color w:val="auto"/>
                      <w:kern w:val="0"/>
                      <w:sz w:val="21"/>
                      <w:szCs w:val="21"/>
                      <w:lang w:val="en-US" w:eastAsia="zh-CN" w:bidi="ar"/>
                    </w:rPr>
                    <w:t>材制品有限公司</w:t>
                  </w:r>
                </w:p>
              </w:tc>
              <w:tc>
                <w:tcPr>
                  <w:tcW w:w="520" w:type="dxa"/>
                  <w:tcBorders>
                    <w:tl2br w:val="nil"/>
                    <w:tr2bl w:val="nil"/>
                  </w:tcBorders>
                  <w:noWrap w:val="0"/>
                  <w:vAlign w:val="center"/>
                </w:tcPr>
                <w:p w14:paraId="01AF2326">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相符</w:t>
                  </w:r>
                </w:p>
              </w:tc>
            </w:tr>
            <w:tr w14:paraId="4A0FF1A6">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3" w:type="dxa"/>
                  <w:tcBorders>
                    <w:tl2br w:val="nil"/>
                    <w:tr2bl w:val="nil"/>
                  </w:tcBorders>
                  <w:noWrap w:val="0"/>
                  <w:vAlign w:val="center"/>
                </w:tcPr>
                <w:p w14:paraId="3E2ED7B0">
                  <w:pPr>
                    <w:pStyle w:val="23"/>
                    <w:keepNext w:val="0"/>
                    <w:keepLines w:val="0"/>
                    <w:widowControl w:val="0"/>
                    <w:suppressLineNumbers w:val="0"/>
                    <w:spacing w:before="100" w:beforeAutospacing="1" w:after="100" w:afterAutospacing="1"/>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3</w:t>
                  </w:r>
                </w:p>
              </w:tc>
              <w:tc>
                <w:tcPr>
                  <w:tcW w:w="693" w:type="dxa"/>
                  <w:tcBorders>
                    <w:tl2br w:val="nil"/>
                    <w:tr2bl w:val="nil"/>
                  </w:tcBorders>
                  <w:noWrap w:val="0"/>
                  <w:vAlign w:val="center"/>
                </w:tcPr>
                <w:p w14:paraId="2BC64FC0">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建设性质</w:t>
                  </w:r>
                </w:p>
              </w:tc>
              <w:tc>
                <w:tcPr>
                  <w:tcW w:w="3161" w:type="dxa"/>
                  <w:tcBorders>
                    <w:tl2br w:val="nil"/>
                    <w:tr2bl w:val="nil"/>
                  </w:tcBorders>
                  <w:noWrap w:val="0"/>
                  <w:vAlign w:val="center"/>
                </w:tcPr>
                <w:p w14:paraId="54EFFE22">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扩建</w:t>
                  </w:r>
                </w:p>
              </w:tc>
              <w:tc>
                <w:tcPr>
                  <w:tcW w:w="3243" w:type="dxa"/>
                  <w:tcBorders>
                    <w:tl2br w:val="nil"/>
                    <w:tr2bl w:val="nil"/>
                  </w:tcBorders>
                  <w:noWrap w:val="0"/>
                  <w:vAlign w:val="center"/>
                </w:tcPr>
                <w:p w14:paraId="70068C45">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扩建</w:t>
                  </w:r>
                </w:p>
              </w:tc>
              <w:tc>
                <w:tcPr>
                  <w:tcW w:w="520" w:type="dxa"/>
                  <w:tcBorders>
                    <w:tl2br w:val="nil"/>
                    <w:tr2bl w:val="nil"/>
                  </w:tcBorders>
                  <w:noWrap w:val="0"/>
                  <w:vAlign w:val="center"/>
                </w:tcPr>
                <w:p w14:paraId="00E5F657">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相符</w:t>
                  </w:r>
                </w:p>
              </w:tc>
            </w:tr>
            <w:tr w14:paraId="113AFA48">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tcBorders>
                    <w:tl2br w:val="nil"/>
                    <w:tr2bl w:val="nil"/>
                  </w:tcBorders>
                  <w:noWrap w:val="0"/>
                  <w:vAlign w:val="center"/>
                </w:tcPr>
                <w:p w14:paraId="4F9DE3B7">
                  <w:pPr>
                    <w:pStyle w:val="23"/>
                    <w:keepNext w:val="0"/>
                    <w:keepLines w:val="0"/>
                    <w:widowControl w:val="0"/>
                    <w:suppressLineNumbers w:val="0"/>
                    <w:spacing w:before="100" w:beforeAutospacing="1" w:after="100" w:afterAutospacing="1"/>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4</w:t>
                  </w:r>
                </w:p>
              </w:tc>
              <w:tc>
                <w:tcPr>
                  <w:tcW w:w="693" w:type="dxa"/>
                  <w:tcBorders>
                    <w:tl2br w:val="nil"/>
                    <w:tr2bl w:val="nil"/>
                  </w:tcBorders>
                  <w:noWrap w:val="0"/>
                  <w:vAlign w:val="center"/>
                </w:tcPr>
                <w:p w14:paraId="4ACE1998">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建设地点</w:t>
                  </w:r>
                </w:p>
              </w:tc>
              <w:tc>
                <w:tcPr>
                  <w:tcW w:w="3161" w:type="dxa"/>
                  <w:tcBorders>
                    <w:tl2br w:val="nil"/>
                    <w:tr2bl w:val="nil"/>
                  </w:tcBorders>
                  <w:noWrap w:val="0"/>
                  <w:vAlign w:val="center"/>
                </w:tcPr>
                <w:p w14:paraId="75967851">
                  <w:pPr>
                    <w:pStyle w:val="23"/>
                    <w:keepNext w:val="0"/>
                    <w:keepLines w:val="0"/>
                    <w:widowControl w:val="0"/>
                    <w:suppressLineNumbers w:val="0"/>
                    <w:spacing w:before="100" w:beforeAutospacing="1" w:after="100" w:afterAutospacing="1"/>
                    <w:ind w:left="0" w:leftChars="0" w:right="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bidi="ar"/>
                    </w:rPr>
                    <w:t>安阳市汤阴县宜沟镇安阳市新型制造产业园区中兴路南头</w:t>
                  </w:r>
                </w:p>
              </w:tc>
              <w:tc>
                <w:tcPr>
                  <w:tcW w:w="3243" w:type="dxa"/>
                  <w:tcBorders>
                    <w:tl2br w:val="nil"/>
                    <w:tr2bl w:val="nil"/>
                  </w:tcBorders>
                  <w:noWrap w:val="0"/>
                  <w:vAlign w:val="center"/>
                </w:tcPr>
                <w:p w14:paraId="2ABEE4BD">
                  <w:pPr>
                    <w:pStyle w:val="23"/>
                    <w:keepNext w:val="0"/>
                    <w:keepLines w:val="0"/>
                    <w:widowControl w:val="0"/>
                    <w:suppressLineNumbers w:val="0"/>
                    <w:spacing w:before="100" w:beforeAutospacing="1" w:after="100" w:afterAutospacing="1"/>
                    <w:ind w:left="0" w:leftChars="0" w:right="0" w:firstLine="0" w:firstLineChars="0"/>
                    <w:jc w:val="center"/>
                    <w:rPr>
                      <w:rFonts w:hint="default"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lang w:val="en-US" w:eastAsia="zh-CN" w:bidi="ar"/>
                    </w:rPr>
                    <w:t>安阳市汤阴县宜沟镇安阳市新型制造产业园区中兴路南头</w:t>
                  </w:r>
                </w:p>
              </w:tc>
              <w:tc>
                <w:tcPr>
                  <w:tcW w:w="520" w:type="dxa"/>
                  <w:tcBorders>
                    <w:tl2br w:val="nil"/>
                    <w:tr2bl w:val="nil"/>
                  </w:tcBorders>
                  <w:noWrap w:val="0"/>
                  <w:vAlign w:val="center"/>
                </w:tcPr>
                <w:p w14:paraId="0AB92680">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相符</w:t>
                  </w:r>
                </w:p>
              </w:tc>
            </w:tr>
            <w:tr w14:paraId="61AEE677">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tcBorders>
                    <w:tl2br w:val="nil"/>
                    <w:tr2bl w:val="nil"/>
                  </w:tcBorders>
                  <w:noWrap w:val="0"/>
                  <w:vAlign w:val="center"/>
                </w:tcPr>
                <w:p w14:paraId="039C90F8">
                  <w:pPr>
                    <w:pStyle w:val="23"/>
                    <w:keepNext w:val="0"/>
                    <w:keepLines w:val="0"/>
                    <w:widowControl w:val="0"/>
                    <w:suppressLineNumbers w:val="0"/>
                    <w:spacing w:before="100" w:beforeAutospacing="1" w:after="100" w:afterAutospacing="1"/>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5</w:t>
                  </w:r>
                </w:p>
              </w:tc>
              <w:tc>
                <w:tcPr>
                  <w:tcW w:w="693" w:type="dxa"/>
                  <w:tcBorders>
                    <w:tl2br w:val="nil"/>
                    <w:tr2bl w:val="nil"/>
                  </w:tcBorders>
                  <w:noWrap w:val="0"/>
                  <w:vAlign w:val="center"/>
                </w:tcPr>
                <w:p w14:paraId="030A083A">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生产规模</w:t>
                  </w:r>
                </w:p>
              </w:tc>
              <w:tc>
                <w:tcPr>
                  <w:tcW w:w="3161" w:type="dxa"/>
                  <w:tcBorders>
                    <w:tl2br w:val="nil"/>
                    <w:tr2bl w:val="nil"/>
                  </w:tcBorders>
                  <w:noWrap w:val="0"/>
                  <w:vAlign w:val="center"/>
                </w:tcPr>
                <w:p w14:paraId="333C6FA0">
                  <w:pPr>
                    <w:pStyle w:val="23"/>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扩建项目的产品规格为0.5mm-1mm，全厂产品规格由原来的1mm-16mm增加为0.5mm-16mm。</w:t>
                  </w:r>
                </w:p>
              </w:tc>
              <w:tc>
                <w:tcPr>
                  <w:tcW w:w="3243" w:type="dxa"/>
                  <w:tcBorders>
                    <w:tl2br w:val="nil"/>
                    <w:tr2bl w:val="nil"/>
                  </w:tcBorders>
                  <w:noWrap w:val="0"/>
                  <w:vAlign w:val="center"/>
                </w:tcPr>
                <w:p w14:paraId="536292C7">
                  <w:pPr>
                    <w:pStyle w:val="23"/>
                    <w:keepNext w:val="0"/>
                    <w:keepLines w:val="0"/>
                    <w:widowControl w:val="0"/>
                    <w:suppressLineNumbers w:val="0"/>
                    <w:spacing w:before="100" w:beforeAutospacing="1" w:after="100" w:afterAutospacing="1"/>
                    <w:ind w:left="0" w:right="0" w:firstLine="0" w:firstLineChars="0"/>
                    <w:jc w:val="both"/>
                    <w:rPr>
                      <w:rFonts w:hint="default" w:ascii="Times New Roman" w:hAnsi="Times New Roman" w:eastAsia="宋体" w:cs="Times New Roman"/>
                      <w:color w:val="auto"/>
                      <w:kern w:val="0"/>
                      <w:sz w:val="21"/>
                      <w:szCs w:val="21"/>
                    </w:rPr>
                  </w:pPr>
                  <w:r>
                    <w:rPr>
                      <w:rFonts w:hint="eastAsia" w:ascii="Times New Roman" w:hAnsi="Times New Roman" w:cs="Times New Roman"/>
                      <w:color w:val="auto"/>
                      <w:kern w:val="0"/>
                      <w:sz w:val="21"/>
                      <w:szCs w:val="21"/>
                      <w:lang w:val="en-US" w:eastAsia="zh-CN" w:bidi="ar"/>
                    </w:rPr>
                    <w:t>扩建项目的产品规格为0.5mm-1mm，全厂产品规格由原来的1mm-16mm增加为0.5mm-16mm。</w:t>
                  </w:r>
                </w:p>
              </w:tc>
              <w:tc>
                <w:tcPr>
                  <w:tcW w:w="520" w:type="dxa"/>
                  <w:tcBorders>
                    <w:tl2br w:val="nil"/>
                    <w:tr2bl w:val="nil"/>
                  </w:tcBorders>
                  <w:noWrap w:val="0"/>
                  <w:vAlign w:val="center"/>
                </w:tcPr>
                <w:p w14:paraId="79C38271">
                  <w:pPr>
                    <w:pStyle w:val="23"/>
                    <w:keepNext w:val="0"/>
                    <w:keepLines w:val="0"/>
                    <w:widowControl w:val="0"/>
                    <w:suppressLineNumbers w:val="0"/>
                    <w:spacing w:before="100" w:beforeAutospacing="1" w:after="100" w:afterAutospacing="1"/>
                    <w:ind w:left="0" w:right="0" w:firstLine="0" w:firstLineChars="0"/>
                    <w:jc w:val="center"/>
                    <w:rPr>
                      <w:rFonts w:hint="eastAsia"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相符</w:t>
                  </w:r>
                </w:p>
              </w:tc>
            </w:tr>
            <w:tr w14:paraId="4EB5ACBB">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tcBorders>
                    <w:tl2br w:val="nil"/>
                    <w:tr2bl w:val="nil"/>
                  </w:tcBorders>
                  <w:shd w:val="clear" w:color="auto" w:fill="auto"/>
                  <w:noWrap w:val="0"/>
                  <w:vAlign w:val="center"/>
                </w:tcPr>
                <w:p w14:paraId="7C5ABB99">
                  <w:pPr>
                    <w:pStyle w:val="23"/>
                    <w:keepNext w:val="0"/>
                    <w:keepLines w:val="0"/>
                    <w:widowControl w:val="0"/>
                    <w:suppressLineNumbers w:val="0"/>
                    <w:spacing w:before="100" w:beforeAutospacing="1" w:after="100" w:afterAutospacing="1"/>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6</w:t>
                  </w:r>
                </w:p>
              </w:tc>
              <w:tc>
                <w:tcPr>
                  <w:tcW w:w="693" w:type="dxa"/>
                  <w:tcBorders>
                    <w:tl2br w:val="nil"/>
                    <w:tr2bl w:val="nil"/>
                  </w:tcBorders>
                  <w:noWrap w:val="0"/>
                  <w:vAlign w:val="center"/>
                </w:tcPr>
                <w:p w14:paraId="20792DA2">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工艺流程</w:t>
                  </w:r>
                </w:p>
              </w:tc>
              <w:tc>
                <w:tcPr>
                  <w:tcW w:w="3161" w:type="dxa"/>
                  <w:tcBorders>
                    <w:tl2br w:val="nil"/>
                    <w:tr2bl w:val="nil"/>
                  </w:tcBorders>
                  <w:noWrap w:val="0"/>
                  <w:vAlign w:val="center"/>
                </w:tcPr>
                <w:p w14:paraId="7DA1AF4F">
                  <w:pPr>
                    <w:pStyle w:val="23"/>
                    <w:keepNext w:val="0"/>
                    <w:keepLines w:val="0"/>
                    <w:widowControl w:val="0"/>
                    <w:suppressLineNumbers w:val="0"/>
                    <w:spacing w:before="100" w:beforeAutospacing="1" w:after="100" w:afterAutospacing="1"/>
                    <w:ind w:left="0" w:leftChars="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eastAsia="zh-CN"/>
                    </w:rPr>
                    <w:t>磷化后原料</w:t>
                  </w:r>
                  <w:r>
                    <w:rPr>
                      <w:rFonts w:hint="eastAsia" w:ascii="Times New Roman" w:hAnsi="Times New Roman" w:cs="Times New Roman"/>
                      <w:color w:val="auto"/>
                      <w:kern w:val="0"/>
                      <w:sz w:val="21"/>
                      <w:szCs w:val="21"/>
                      <w:lang w:val="en-US" w:eastAsia="zh-CN"/>
                    </w:rPr>
                    <w:t>→略→入库</w:t>
                  </w:r>
                </w:p>
              </w:tc>
              <w:tc>
                <w:tcPr>
                  <w:tcW w:w="3243" w:type="dxa"/>
                  <w:tcBorders>
                    <w:tl2br w:val="nil"/>
                    <w:tr2bl w:val="nil"/>
                  </w:tcBorders>
                  <w:noWrap w:val="0"/>
                  <w:vAlign w:val="center"/>
                </w:tcPr>
                <w:p w14:paraId="0F3E285F">
                  <w:pPr>
                    <w:pStyle w:val="23"/>
                    <w:keepNext w:val="0"/>
                    <w:keepLines w:val="0"/>
                    <w:widowControl w:val="0"/>
                    <w:suppressLineNumbers w:val="0"/>
                    <w:spacing w:before="100" w:beforeAutospacing="1" w:after="100" w:afterAutospacing="1"/>
                    <w:ind w:left="0" w:leftChars="0" w:right="0" w:firstLine="0" w:firstLineChars="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磷化后原料</w:t>
                  </w:r>
                  <w:r>
                    <w:rPr>
                      <w:rFonts w:hint="eastAsia" w:ascii="Times New Roman" w:hAnsi="Times New Roman" w:cs="Times New Roman"/>
                      <w:color w:val="auto"/>
                      <w:kern w:val="0"/>
                      <w:sz w:val="21"/>
                      <w:szCs w:val="21"/>
                      <w:lang w:val="en-US" w:eastAsia="zh-CN"/>
                    </w:rPr>
                    <w:t>→略→入库</w:t>
                  </w:r>
                </w:p>
              </w:tc>
              <w:tc>
                <w:tcPr>
                  <w:tcW w:w="520" w:type="dxa"/>
                  <w:tcBorders>
                    <w:tl2br w:val="nil"/>
                    <w:tr2bl w:val="nil"/>
                  </w:tcBorders>
                  <w:noWrap w:val="0"/>
                  <w:vAlign w:val="center"/>
                </w:tcPr>
                <w:p w14:paraId="41AC4028">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相符</w:t>
                  </w:r>
                </w:p>
              </w:tc>
            </w:tr>
            <w:tr w14:paraId="75FB3756">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dxa"/>
                  <w:tcBorders>
                    <w:tl2br w:val="nil"/>
                    <w:tr2bl w:val="nil"/>
                  </w:tcBorders>
                  <w:shd w:val="clear" w:color="auto" w:fill="auto"/>
                  <w:noWrap w:val="0"/>
                  <w:vAlign w:val="center"/>
                </w:tcPr>
                <w:p w14:paraId="0FB28C08">
                  <w:pPr>
                    <w:pStyle w:val="23"/>
                    <w:keepNext w:val="0"/>
                    <w:keepLines w:val="0"/>
                    <w:widowControl w:val="0"/>
                    <w:suppressLineNumbers w:val="0"/>
                    <w:spacing w:before="100" w:beforeAutospacing="1" w:after="100" w:afterAutospacing="1"/>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7</w:t>
                  </w:r>
                </w:p>
              </w:tc>
              <w:tc>
                <w:tcPr>
                  <w:tcW w:w="693" w:type="dxa"/>
                  <w:tcBorders>
                    <w:tl2br w:val="nil"/>
                    <w:tr2bl w:val="nil"/>
                  </w:tcBorders>
                  <w:noWrap w:val="0"/>
                  <w:vAlign w:val="center"/>
                </w:tcPr>
                <w:p w14:paraId="0AD18382">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i w:val="0"/>
                      <w:iCs w:val="0"/>
                      <w:color w:val="auto"/>
                      <w:kern w:val="0"/>
                      <w:sz w:val="21"/>
                      <w:szCs w:val="21"/>
                      <w:highlight w:val="none"/>
                    </w:rPr>
                  </w:pPr>
                  <w:r>
                    <w:rPr>
                      <w:rFonts w:hint="default" w:ascii="Times New Roman" w:hAnsi="Times New Roman" w:eastAsia="宋体" w:cs="Times New Roman"/>
                      <w:i w:val="0"/>
                      <w:iCs w:val="0"/>
                      <w:color w:val="auto"/>
                      <w:kern w:val="0"/>
                      <w:sz w:val="21"/>
                      <w:szCs w:val="21"/>
                      <w:highlight w:val="none"/>
                      <w:lang w:val="en-US" w:eastAsia="zh-CN" w:bidi="ar"/>
                    </w:rPr>
                    <w:t>主要设备</w:t>
                  </w:r>
                </w:p>
              </w:tc>
              <w:tc>
                <w:tcPr>
                  <w:tcW w:w="3161" w:type="dxa"/>
                  <w:tcBorders>
                    <w:tl2br w:val="nil"/>
                    <w:tr2bl w:val="nil"/>
                  </w:tcBorders>
                  <w:noWrap w:val="0"/>
                  <w:vAlign w:val="center"/>
                </w:tcPr>
                <w:p w14:paraId="70DEF202">
                  <w:pPr>
                    <w:pStyle w:val="23"/>
                    <w:keepNext w:val="0"/>
                    <w:keepLines w:val="0"/>
                    <w:widowControl w:val="0"/>
                    <w:suppressLineNumbers w:val="0"/>
                    <w:spacing w:before="100" w:beforeAutospacing="1" w:after="100" w:afterAutospacing="1"/>
                    <w:ind w:left="0" w:leftChars="0" w:right="0" w:firstLine="0" w:firstLineChars="0"/>
                    <w:jc w:val="center"/>
                    <w:rPr>
                      <w:rFonts w:hint="default" w:ascii="Times New Roman" w:hAnsi="Times New Roman" w:eastAsia="宋体" w:cs="Times New Roman"/>
                      <w:i w:val="0"/>
                      <w:iCs w:val="0"/>
                      <w:color w:val="auto"/>
                      <w:kern w:val="0"/>
                      <w:sz w:val="21"/>
                      <w:szCs w:val="21"/>
                      <w:highlight w:val="none"/>
                      <w:lang w:val="en-US" w:eastAsia="zh-CN"/>
                    </w:rPr>
                  </w:pPr>
                  <w:r>
                    <w:rPr>
                      <w:rFonts w:hint="eastAsia" w:ascii="Times New Roman" w:hAnsi="Times New Roman" w:cs="Times New Roman"/>
                      <w:i w:val="0"/>
                      <w:iCs w:val="0"/>
                      <w:color w:val="auto"/>
                      <w:kern w:val="0"/>
                      <w:sz w:val="21"/>
                      <w:szCs w:val="21"/>
                      <w:highlight w:val="none"/>
                      <w:lang w:eastAsia="zh-CN"/>
                    </w:rPr>
                    <w:t>热处理生产线、单头拉丝机、剪切机、拉力试验机等</w:t>
                  </w:r>
                </w:p>
              </w:tc>
              <w:tc>
                <w:tcPr>
                  <w:tcW w:w="3243" w:type="dxa"/>
                  <w:tcBorders>
                    <w:tl2br w:val="nil"/>
                    <w:tr2bl w:val="nil"/>
                  </w:tcBorders>
                  <w:noWrap w:val="0"/>
                  <w:vAlign w:val="center"/>
                </w:tcPr>
                <w:p w14:paraId="6185D567">
                  <w:pPr>
                    <w:pStyle w:val="23"/>
                    <w:keepNext w:val="0"/>
                    <w:keepLines w:val="0"/>
                    <w:widowControl w:val="0"/>
                    <w:suppressLineNumbers w:val="0"/>
                    <w:spacing w:before="100" w:beforeAutospacing="1" w:after="100" w:afterAutospacing="1"/>
                    <w:ind w:left="0" w:leftChars="0" w:right="0" w:firstLine="0" w:firstLineChars="0"/>
                    <w:jc w:val="center"/>
                    <w:rPr>
                      <w:rFonts w:hint="default" w:ascii="Times New Roman" w:hAnsi="Times New Roman" w:eastAsia="宋体" w:cs="Times New Roman"/>
                      <w:i w:val="0"/>
                      <w:iCs w:val="0"/>
                      <w:color w:val="auto"/>
                      <w:kern w:val="0"/>
                      <w:sz w:val="21"/>
                      <w:szCs w:val="21"/>
                      <w:highlight w:val="none"/>
                      <w:lang w:val="en-US"/>
                    </w:rPr>
                  </w:pPr>
                  <w:r>
                    <w:rPr>
                      <w:rFonts w:hint="eastAsia" w:ascii="Times New Roman" w:hAnsi="Times New Roman" w:cs="Times New Roman"/>
                      <w:i w:val="0"/>
                      <w:iCs w:val="0"/>
                      <w:color w:val="auto"/>
                      <w:kern w:val="0"/>
                      <w:sz w:val="21"/>
                      <w:szCs w:val="21"/>
                      <w:highlight w:val="none"/>
                      <w:lang w:eastAsia="zh-CN"/>
                    </w:rPr>
                    <w:t>热处理生产线、单头拉丝机、剪切机、拉力试验机等</w:t>
                  </w:r>
                </w:p>
              </w:tc>
              <w:tc>
                <w:tcPr>
                  <w:tcW w:w="520" w:type="dxa"/>
                  <w:tcBorders>
                    <w:tl2br w:val="nil"/>
                    <w:tr2bl w:val="nil"/>
                  </w:tcBorders>
                  <w:noWrap w:val="0"/>
                  <w:vAlign w:val="center"/>
                </w:tcPr>
                <w:p w14:paraId="384F83AA">
                  <w:pPr>
                    <w:pStyle w:val="23"/>
                    <w:keepNext w:val="0"/>
                    <w:keepLines w:val="0"/>
                    <w:widowControl w:val="0"/>
                    <w:suppressLineNumbers w:val="0"/>
                    <w:spacing w:before="100" w:beforeAutospacing="1" w:after="100" w:afterAutospacing="1"/>
                    <w:ind w:left="0" w:right="0" w:firstLine="0" w:firstLineChars="0"/>
                    <w:jc w:val="center"/>
                    <w:rPr>
                      <w:rFonts w:hint="eastAsia" w:ascii="Times New Roman" w:hAnsi="Times New Roman" w:eastAsia="宋体" w:cs="Times New Roman"/>
                      <w:i w:val="0"/>
                      <w:iCs w:val="0"/>
                      <w:color w:val="auto"/>
                      <w:kern w:val="0"/>
                      <w:sz w:val="21"/>
                      <w:szCs w:val="21"/>
                      <w:highlight w:val="none"/>
                      <w:lang w:eastAsia="zh-CN"/>
                    </w:rPr>
                  </w:pPr>
                  <w:r>
                    <w:rPr>
                      <w:rFonts w:hint="eastAsia" w:ascii="Times New Roman" w:hAnsi="Times New Roman" w:cs="Times New Roman"/>
                      <w:color w:val="auto"/>
                      <w:kern w:val="0"/>
                      <w:sz w:val="21"/>
                      <w:szCs w:val="21"/>
                      <w:lang w:val="en-US" w:eastAsia="zh-CN"/>
                    </w:rPr>
                    <w:t>相符</w:t>
                  </w:r>
                </w:p>
              </w:tc>
            </w:tr>
            <w:tr w14:paraId="2F7A7FBF">
              <w:tblPrEx>
                <w:tblBorders>
                  <w:top w:val="single" w:color="auto" w:sz="4" w:space="0"/>
                  <w:left w:val="none" w:color="auto" w:sz="0" w:space="0"/>
                  <w:bottom w:val="single" w:color="000000"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473" w:type="dxa"/>
                  <w:tcBorders>
                    <w:tl2br w:val="nil"/>
                    <w:tr2bl w:val="nil"/>
                  </w:tcBorders>
                  <w:noWrap w:val="0"/>
                  <w:vAlign w:val="center"/>
                </w:tcPr>
                <w:p w14:paraId="60E002CB">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8</w:t>
                  </w:r>
                </w:p>
              </w:tc>
              <w:tc>
                <w:tcPr>
                  <w:tcW w:w="693" w:type="dxa"/>
                  <w:tcBorders>
                    <w:tl2br w:val="nil"/>
                    <w:tr2bl w:val="nil"/>
                  </w:tcBorders>
                  <w:noWrap w:val="0"/>
                  <w:vAlign w:val="center"/>
                </w:tcPr>
                <w:p w14:paraId="3544DB24">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项目总投资</w:t>
                  </w:r>
                </w:p>
              </w:tc>
              <w:tc>
                <w:tcPr>
                  <w:tcW w:w="3161" w:type="dxa"/>
                  <w:tcBorders>
                    <w:tl2br w:val="nil"/>
                    <w:tr2bl w:val="nil"/>
                  </w:tcBorders>
                  <w:noWrap w:val="0"/>
                  <w:vAlign w:val="center"/>
                </w:tcPr>
                <w:p w14:paraId="463AA332">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200万元</w:t>
                  </w:r>
                </w:p>
              </w:tc>
              <w:tc>
                <w:tcPr>
                  <w:tcW w:w="3243" w:type="dxa"/>
                  <w:tcBorders>
                    <w:tl2br w:val="nil"/>
                    <w:tr2bl w:val="nil"/>
                  </w:tcBorders>
                  <w:noWrap w:val="0"/>
                  <w:vAlign w:val="center"/>
                </w:tcPr>
                <w:p w14:paraId="4BEE4A3C">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200万元</w:t>
                  </w:r>
                </w:p>
              </w:tc>
              <w:tc>
                <w:tcPr>
                  <w:tcW w:w="520" w:type="dxa"/>
                  <w:tcBorders>
                    <w:tl2br w:val="nil"/>
                    <w:tr2bl w:val="nil"/>
                  </w:tcBorders>
                  <w:noWrap w:val="0"/>
                  <w:vAlign w:val="center"/>
                </w:tcPr>
                <w:p w14:paraId="28F66F34">
                  <w:pPr>
                    <w:pStyle w:val="23"/>
                    <w:keepNext w:val="0"/>
                    <w:keepLines w:val="0"/>
                    <w:widowControl w:val="0"/>
                    <w:suppressLineNumbers w:val="0"/>
                    <w:spacing w:before="100" w:beforeAutospacing="1" w:after="100" w:afterAutospacing="1"/>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相符</w:t>
                  </w:r>
                </w:p>
              </w:tc>
            </w:tr>
          </w:tbl>
          <w:p w14:paraId="5EC14A84">
            <w:pPr>
              <w:keepNext w:val="0"/>
              <w:keepLines w:val="0"/>
              <w:widowControl w:val="0"/>
              <w:numPr>
                <w:ilvl w:val="0"/>
                <w:numId w:val="0"/>
              </w:numPr>
              <w:suppressLineNumbers w:val="0"/>
              <w:autoSpaceDE w:val="0"/>
              <w:autoSpaceDN w:val="0"/>
              <w:adjustRightInd w:val="0"/>
              <w:snapToGrid w:val="0"/>
              <w:spacing w:before="0" w:beforeAutospacing="0" w:after="0" w:afterAutospacing="0" w:line="360" w:lineRule="auto"/>
              <w:ind w:left="420" w:leftChars="200" w:right="0" w:rightChars="0"/>
              <w:jc w:val="both"/>
              <w:rPr>
                <w:rFonts w:hint="eastAsia" w:cs="Times New Roman"/>
                <w:b w:val="0"/>
                <w:bCs w:val="0"/>
                <w:color w:val="auto"/>
                <w:kern w:val="0"/>
                <w:sz w:val="24"/>
                <w:szCs w:val="24"/>
                <w:lang w:val="en-US" w:eastAsia="zh-CN" w:bidi="ar"/>
              </w:rPr>
            </w:pPr>
            <w:r>
              <w:rPr>
                <w:rFonts w:hint="eastAsia" w:cs="Times New Roman"/>
                <w:b w:val="0"/>
                <w:bCs w:val="0"/>
                <w:color w:val="auto"/>
                <w:kern w:val="0"/>
                <w:sz w:val="24"/>
                <w:szCs w:val="24"/>
                <w:lang w:val="en-US" w:eastAsia="zh-CN" w:bidi="ar"/>
              </w:rPr>
              <w:t>综上本项目拟建设情况与备案相符。</w:t>
            </w:r>
          </w:p>
          <w:p w14:paraId="1F8361E8">
            <w:pPr>
              <w:keepNext w:val="0"/>
              <w:keepLines w:val="0"/>
              <w:widowControl w:val="0"/>
              <w:numPr>
                <w:ilvl w:val="0"/>
                <w:numId w:val="0"/>
              </w:numPr>
              <w:suppressLineNumbers w:val="0"/>
              <w:autoSpaceDE w:val="0"/>
              <w:autoSpaceDN w:val="0"/>
              <w:adjustRightInd w:val="0"/>
              <w:snapToGrid w:val="0"/>
              <w:spacing w:before="0" w:beforeAutospacing="0" w:after="0" w:afterAutospacing="0" w:line="360" w:lineRule="auto"/>
              <w:ind w:left="420" w:leftChars="200" w:right="0" w:rightChars="0"/>
              <w:jc w:val="both"/>
              <w:rPr>
                <w:rFonts w:hint="eastAsia" w:cs="Times New Roman"/>
                <w:b/>
                <w:bCs/>
                <w:color w:val="auto"/>
                <w:kern w:val="0"/>
                <w:sz w:val="24"/>
                <w:szCs w:val="24"/>
                <w:lang w:val="en-US" w:eastAsia="zh-CN" w:bidi="ar"/>
              </w:rPr>
            </w:pPr>
            <w:r>
              <w:rPr>
                <w:rFonts w:hint="eastAsia" w:cs="Times New Roman"/>
                <w:b/>
                <w:bCs/>
                <w:color w:val="auto"/>
                <w:kern w:val="0"/>
                <w:sz w:val="24"/>
                <w:szCs w:val="24"/>
                <w:lang w:val="en-US" w:eastAsia="zh-CN" w:bidi="ar"/>
              </w:rPr>
              <w:t>10.依托工程</w:t>
            </w:r>
          </w:p>
          <w:p w14:paraId="70D0D65D">
            <w:pPr>
              <w:keepNext w:val="0"/>
              <w:keepLines w:val="0"/>
              <w:widowControl w:val="0"/>
              <w:numPr>
                <w:ilvl w:val="0"/>
                <w:numId w:val="0"/>
              </w:numPr>
              <w:suppressLineNumbers w:val="0"/>
              <w:autoSpaceDE w:val="0"/>
              <w:autoSpaceDN w:val="0"/>
              <w:adjustRightInd w:val="0"/>
              <w:snapToGrid w:val="0"/>
              <w:spacing w:before="0" w:beforeAutospacing="0" w:after="0" w:afterAutospacing="0" w:line="360" w:lineRule="auto"/>
              <w:ind w:left="420" w:leftChars="200" w:right="0" w:rightChars="0"/>
              <w:jc w:val="both"/>
              <w:rPr>
                <w:rFonts w:hint="eastAsia" w:cs="Times New Roman"/>
                <w:b/>
                <w:bCs/>
                <w:color w:val="auto"/>
                <w:kern w:val="0"/>
                <w:sz w:val="24"/>
                <w:szCs w:val="24"/>
                <w:vertAlign w:val="baseline"/>
                <w:lang w:val="en-US" w:eastAsia="zh-CN" w:bidi="ar"/>
              </w:rPr>
            </w:pPr>
            <w:r>
              <w:rPr>
                <w:rFonts w:hint="eastAsia" w:cs="Times New Roman"/>
                <w:b/>
                <w:bCs/>
                <w:color w:val="auto"/>
                <w:kern w:val="0"/>
                <w:sz w:val="24"/>
                <w:szCs w:val="24"/>
                <w:lang w:val="en-US" w:eastAsia="zh-CN" w:bidi="ar"/>
              </w:rPr>
              <w:t>10.1</w:t>
            </w:r>
            <w:r>
              <w:rPr>
                <w:rFonts w:hint="eastAsia" w:cs="Times New Roman"/>
                <w:b/>
                <w:bCs/>
                <w:color w:val="auto"/>
                <w:kern w:val="0"/>
                <w:sz w:val="24"/>
                <w:szCs w:val="24"/>
                <w:vertAlign w:val="baseline"/>
                <w:lang w:val="en-US" w:eastAsia="zh-CN" w:bidi="ar"/>
              </w:rPr>
              <w:t>冷却循环系统</w:t>
            </w:r>
          </w:p>
          <w:p w14:paraId="14161FE4">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rightChars="0" w:firstLine="480" w:firstLineChars="200"/>
              <w:jc w:val="left"/>
              <w:textAlignment w:val="auto"/>
              <w:rPr>
                <w:rFonts w:hint="default"/>
                <w:color w:val="auto"/>
                <w:sz w:val="24"/>
                <w:szCs w:val="24"/>
                <w:vertAlign w:val="superscript"/>
                <w:lang w:val="en-US" w:eastAsia="zh-CN"/>
              </w:rPr>
            </w:pPr>
            <w:r>
              <w:rPr>
                <w:rFonts w:hint="eastAsia" w:cs="Times New Roman"/>
                <w:color w:val="auto"/>
                <w:sz w:val="24"/>
                <w:szCs w:val="24"/>
                <w:highlight w:val="none"/>
                <w:u w:val="none" w:color="auto"/>
                <w:lang w:val="en-US" w:eastAsia="zh-CN"/>
              </w:rPr>
              <w:t>厂区有4个冷却池分别为冷却池#1（87.5m</w:t>
            </w:r>
            <w:r>
              <w:rPr>
                <w:rFonts w:hint="eastAsia" w:cs="Times New Roman"/>
                <w:color w:val="auto"/>
                <w:sz w:val="24"/>
                <w:szCs w:val="24"/>
                <w:highlight w:val="none"/>
                <w:u w:val="none" w:color="auto"/>
                <w:vertAlign w:val="superscript"/>
                <w:lang w:val="en-US" w:eastAsia="zh-CN"/>
              </w:rPr>
              <w:t>3</w:t>
            </w:r>
            <w:r>
              <w:rPr>
                <w:rFonts w:hint="eastAsia" w:cs="Times New Roman"/>
                <w:color w:val="auto"/>
                <w:sz w:val="24"/>
                <w:szCs w:val="24"/>
                <w:highlight w:val="none"/>
                <w:u w:val="none" w:color="auto"/>
                <w:vertAlign w:val="baseline"/>
                <w:lang w:val="en-US" w:eastAsia="zh-CN"/>
              </w:rPr>
              <w:t>，生产车间中段东侧外，冷却塔冷却，循环水量为</w:t>
            </w:r>
            <w:r>
              <w:rPr>
                <w:rFonts w:hint="eastAsia"/>
                <w:color w:val="auto"/>
                <w:sz w:val="24"/>
                <w:szCs w:val="24"/>
                <w:vertAlign w:val="baseline"/>
                <w:lang w:val="en-US" w:eastAsia="zh-CN"/>
              </w:rPr>
              <w:t>360</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/d</w:t>
            </w:r>
            <w:r>
              <w:rPr>
                <w:rFonts w:hint="eastAsia" w:cs="Times New Roman"/>
                <w:color w:val="auto"/>
                <w:sz w:val="24"/>
                <w:szCs w:val="24"/>
                <w:highlight w:val="none"/>
                <w:u w:val="none" w:color="auto"/>
                <w:lang w:val="en-US" w:eastAsia="zh-CN"/>
              </w:rPr>
              <w:t>）</w:t>
            </w:r>
            <w:r>
              <w:rPr>
                <w:rFonts w:hint="eastAsia" w:cs="Times New Roman"/>
                <w:color w:val="auto"/>
                <w:sz w:val="24"/>
                <w:szCs w:val="24"/>
                <w:highlight w:val="none"/>
                <w:u w:val="none" w:color="auto"/>
                <w:vertAlign w:val="baseline"/>
                <w:lang w:val="en-US" w:eastAsia="zh-CN"/>
              </w:rPr>
              <w:t>、</w:t>
            </w:r>
            <w:r>
              <w:rPr>
                <w:rFonts w:hint="eastAsia" w:cs="Times New Roman"/>
                <w:color w:val="auto"/>
                <w:sz w:val="24"/>
                <w:szCs w:val="24"/>
                <w:highlight w:val="none"/>
                <w:u w:val="none" w:color="auto"/>
                <w:lang w:val="en-US" w:eastAsia="zh-CN"/>
              </w:rPr>
              <w:t>冷却池#2</w:t>
            </w:r>
            <w:r>
              <w:rPr>
                <w:rFonts w:hint="eastAsia" w:cs="Times New Roman"/>
                <w:color w:val="auto"/>
                <w:sz w:val="24"/>
                <w:szCs w:val="24"/>
                <w:highlight w:val="none"/>
                <w:u w:val="none" w:color="auto"/>
                <w:vertAlign w:val="baseline"/>
                <w:lang w:val="en-US" w:eastAsia="zh-CN"/>
              </w:rPr>
              <w:t>（9</w:t>
            </w:r>
            <w:r>
              <w:rPr>
                <w:rFonts w:hint="eastAsia" w:cs="Times New Roman"/>
                <w:color w:val="auto"/>
                <w:sz w:val="24"/>
                <w:szCs w:val="24"/>
                <w:highlight w:val="none"/>
                <w:u w:val="none" w:color="auto"/>
                <w:lang w:val="en-US" w:eastAsia="zh-CN"/>
              </w:rPr>
              <w:t>m</w:t>
            </w:r>
            <w:r>
              <w:rPr>
                <w:rFonts w:hint="eastAsia" w:cs="Times New Roman"/>
                <w:color w:val="auto"/>
                <w:sz w:val="24"/>
                <w:szCs w:val="24"/>
                <w:highlight w:val="none"/>
                <w:u w:val="none" w:color="auto"/>
                <w:vertAlign w:val="superscript"/>
                <w:lang w:val="en-US" w:eastAsia="zh-CN"/>
              </w:rPr>
              <w:t>3</w:t>
            </w:r>
            <w:r>
              <w:rPr>
                <w:rFonts w:hint="eastAsia" w:cs="Times New Roman"/>
                <w:color w:val="auto"/>
                <w:sz w:val="24"/>
                <w:szCs w:val="24"/>
                <w:highlight w:val="none"/>
                <w:u w:val="none" w:color="auto"/>
                <w:vertAlign w:val="baseline"/>
                <w:lang w:val="en-US" w:eastAsia="zh-CN"/>
              </w:rPr>
              <w:t>生产车间北段西侧外，冷却塔冷却，循环水量为</w:t>
            </w:r>
            <w:r>
              <w:rPr>
                <w:rFonts w:hint="eastAsia"/>
                <w:color w:val="auto"/>
                <w:sz w:val="24"/>
                <w:szCs w:val="24"/>
                <w:vertAlign w:val="baseline"/>
                <w:lang w:val="en-US" w:eastAsia="zh-CN"/>
              </w:rPr>
              <w:t>120</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/d</w:t>
            </w:r>
            <w:r>
              <w:rPr>
                <w:rFonts w:hint="eastAsia" w:cs="Times New Roman"/>
                <w:color w:val="auto"/>
                <w:sz w:val="24"/>
                <w:szCs w:val="24"/>
                <w:highlight w:val="none"/>
                <w:u w:val="none" w:color="auto"/>
                <w:vertAlign w:val="baseline"/>
                <w:lang w:val="en-US" w:eastAsia="zh-CN"/>
              </w:rPr>
              <w:t>）、</w:t>
            </w:r>
            <w:r>
              <w:rPr>
                <w:rFonts w:hint="eastAsia" w:cs="Times New Roman"/>
                <w:color w:val="auto"/>
                <w:sz w:val="24"/>
                <w:szCs w:val="24"/>
                <w:highlight w:val="none"/>
                <w:u w:val="none" w:color="auto"/>
                <w:lang w:val="en-US" w:eastAsia="zh-CN"/>
              </w:rPr>
              <w:t>冷却池#3（15m</w:t>
            </w:r>
            <w:r>
              <w:rPr>
                <w:rFonts w:hint="eastAsia" w:cs="Times New Roman"/>
                <w:color w:val="auto"/>
                <w:sz w:val="24"/>
                <w:szCs w:val="24"/>
                <w:highlight w:val="none"/>
                <w:u w:val="none" w:color="auto"/>
                <w:vertAlign w:val="superscript"/>
                <w:lang w:val="en-US" w:eastAsia="zh-CN"/>
              </w:rPr>
              <w:t>3</w:t>
            </w:r>
            <w:r>
              <w:rPr>
                <w:rFonts w:hint="eastAsia" w:cs="Times New Roman"/>
                <w:color w:val="auto"/>
                <w:sz w:val="24"/>
                <w:szCs w:val="24"/>
                <w:highlight w:val="none"/>
                <w:u w:val="none" w:color="auto"/>
                <w:vertAlign w:val="baseline"/>
                <w:lang w:val="en-US" w:eastAsia="zh-CN"/>
              </w:rPr>
              <w:t>，生产车间中段西侧外，冷却塔冷却，循环水量为</w:t>
            </w:r>
            <w:r>
              <w:rPr>
                <w:rFonts w:hint="eastAsia"/>
                <w:color w:val="auto"/>
                <w:sz w:val="24"/>
                <w:szCs w:val="24"/>
                <w:vertAlign w:val="baseline"/>
                <w:lang w:val="en-US" w:eastAsia="zh-CN"/>
              </w:rPr>
              <w:t>120</w:t>
            </w:r>
            <w:r>
              <w:rPr>
                <w:rFonts w:hint="eastAsia"/>
                <w:color w:val="auto"/>
                <w:sz w:val="24"/>
                <w:szCs w:val="24"/>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/d</w:t>
            </w:r>
            <w:r>
              <w:rPr>
                <w:rFonts w:hint="eastAsia" w:cs="Times New Roman"/>
                <w:color w:val="auto"/>
                <w:sz w:val="24"/>
                <w:szCs w:val="24"/>
                <w:highlight w:val="none"/>
                <w:u w:val="none" w:color="auto"/>
                <w:lang w:val="en-US" w:eastAsia="zh-CN"/>
              </w:rPr>
              <w:t>）</w:t>
            </w:r>
            <w:r>
              <w:rPr>
                <w:rFonts w:hint="eastAsia" w:cs="Times New Roman"/>
                <w:color w:val="auto"/>
                <w:sz w:val="24"/>
                <w:szCs w:val="24"/>
                <w:highlight w:val="none"/>
                <w:u w:val="none" w:color="auto"/>
                <w:vertAlign w:val="baseline"/>
                <w:lang w:val="en-US" w:eastAsia="zh-CN"/>
              </w:rPr>
              <w:t>、</w:t>
            </w:r>
            <w:r>
              <w:rPr>
                <w:rFonts w:hint="eastAsia" w:cs="Times New Roman"/>
                <w:color w:val="auto"/>
                <w:sz w:val="24"/>
                <w:szCs w:val="24"/>
                <w:highlight w:val="none"/>
                <w:u w:val="none" w:color="auto"/>
                <w:lang w:val="en-US" w:eastAsia="zh-CN"/>
              </w:rPr>
              <w:t>冷却池#4（</w:t>
            </w:r>
            <w:r>
              <w:rPr>
                <w:rFonts w:hint="eastAsia" w:cs="Times New Roman"/>
                <w:color w:val="auto"/>
                <w:sz w:val="24"/>
                <w:szCs w:val="24"/>
                <w:highlight w:val="none"/>
                <w:u w:val="none" w:color="auto"/>
                <w:vertAlign w:val="baseline"/>
                <w:lang w:val="en-US" w:eastAsia="zh-CN"/>
              </w:rPr>
              <w:t>5</w:t>
            </w:r>
            <w:r>
              <w:rPr>
                <w:rFonts w:hint="eastAsia" w:cs="Times New Roman"/>
                <w:color w:val="auto"/>
                <w:sz w:val="24"/>
                <w:szCs w:val="24"/>
                <w:highlight w:val="none"/>
                <w:u w:val="none" w:color="auto"/>
                <w:lang w:val="en-US" w:eastAsia="zh-CN"/>
              </w:rPr>
              <w:t>m</w:t>
            </w:r>
            <w:r>
              <w:rPr>
                <w:rFonts w:hint="eastAsia" w:cs="Times New Roman"/>
                <w:color w:val="auto"/>
                <w:sz w:val="24"/>
                <w:szCs w:val="24"/>
                <w:highlight w:val="none"/>
                <w:u w:val="none" w:color="auto"/>
                <w:vertAlign w:val="superscript"/>
                <w:lang w:val="en-US" w:eastAsia="zh-CN"/>
              </w:rPr>
              <w:t>3</w:t>
            </w:r>
            <w:r>
              <w:rPr>
                <w:rFonts w:hint="eastAsia" w:cs="Times New Roman"/>
                <w:color w:val="auto"/>
                <w:sz w:val="24"/>
                <w:szCs w:val="24"/>
                <w:highlight w:val="none"/>
                <w:u w:val="none" w:color="auto"/>
                <w:vertAlign w:val="baseline"/>
                <w:lang w:val="en-US" w:eastAsia="zh-CN"/>
              </w:rPr>
              <w:t>，生产车间南段西侧外，自然冷却</w:t>
            </w:r>
            <w:r>
              <w:rPr>
                <w:rFonts w:hint="eastAsia" w:cs="Times New Roman"/>
                <w:color w:val="auto"/>
                <w:sz w:val="24"/>
                <w:szCs w:val="24"/>
                <w:highlight w:val="none"/>
                <w:u w:val="none" w:color="auto"/>
                <w:lang w:val="en-US" w:eastAsia="zh-CN"/>
              </w:rPr>
              <w:t>），总容积为116.5m</w:t>
            </w:r>
            <w:r>
              <w:rPr>
                <w:rFonts w:hint="eastAsia" w:cs="Times New Roman"/>
                <w:color w:val="auto"/>
                <w:sz w:val="24"/>
                <w:szCs w:val="24"/>
                <w:highlight w:val="none"/>
                <w:u w:val="none" w:color="auto"/>
                <w:vertAlign w:val="superscript"/>
                <w:lang w:val="en-US" w:eastAsia="zh-CN"/>
              </w:rPr>
              <w:t>3</w:t>
            </w:r>
            <w:r>
              <w:rPr>
                <w:rFonts w:hint="eastAsia" w:cs="Times New Roman"/>
                <w:color w:val="auto"/>
                <w:sz w:val="24"/>
                <w:szCs w:val="24"/>
                <w:highlight w:val="none"/>
                <w:u w:val="none" w:color="auto"/>
                <w:vertAlign w:val="baseline"/>
                <w:lang w:val="en-US" w:eastAsia="zh-CN"/>
              </w:rPr>
              <w:t>。</w:t>
            </w:r>
            <w:r>
              <w:rPr>
                <w:rFonts w:hint="eastAsia" w:cs="Times New Roman"/>
                <w:color w:val="auto"/>
                <w:sz w:val="24"/>
                <w:szCs w:val="24"/>
                <w:highlight w:val="none"/>
                <w:u w:val="none" w:color="auto"/>
                <w:lang w:val="en-US" w:eastAsia="zh-CN"/>
              </w:rPr>
              <w:t>本项目利用冷却池#2、冷却池#3、冷却池#4总容积为29m</w:t>
            </w:r>
            <w:r>
              <w:rPr>
                <w:rFonts w:hint="eastAsia" w:cs="Times New Roman"/>
                <w:color w:val="auto"/>
                <w:sz w:val="24"/>
                <w:szCs w:val="24"/>
                <w:highlight w:val="none"/>
                <w:u w:val="none" w:color="auto"/>
                <w:vertAlign w:val="superscript"/>
                <w:lang w:val="en-US" w:eastAsia="zh-CN"/>
              </w:rPr>
              <w:t>3</w:t>
            </w:r>
            <w:r>
              <w:rPr>
                <w:rFonts w:hint="eastAsia" w:cs="Times New Roman"/>
                <w:color w:val="auto"/>
                <w:sz w:val="24"/>
                <w:szCs w:val="24"/>
                <w:highlight w:val="none"/>
                <w:u w:val="none" w:color="auto"/>
                <w:vertAlign w:val="baseline"/>
                <w:lang w:val="en-US" w:eastAsia="zh-CN"/>
              </w:rPr>
              <w:t>，</w:t>
            </w:r>
            <w:r>
              <w:rPr>
                <w:rFonts w:hint="eastAsia"/>
                <w:b w:val="0"/>
                <w:bCs w:val="0"/>
                <w:color w:val="auto"/>
                <w:sz w:val="24"/>
                <w:szCs w:val="24"/>
                <w:u w:val="none"/>
                <w:lang w:val="en-US" w:eastAsia="zh-CN"/>
              </w:rPr>
              <w:t>本项目依托现有冷却塔#2和冷却塔#3，循环总水量为240m</w:t>
            </w:r>
            <w:r>
              <w:rPr>
                <w:rFonts w:hint="eastAsia"/>
                <w:b w:val="0"/>
                <w:bCs w:val="0"/>
                <w:color w:val="auto"/>
                <w:sz w:val="24"/>
                <w:szCs w:val="24"/>
                <w:u w:val="none"/>
                <w:vertAlign w:val="superscript"/>
                <w:lang w:val="en-US" w:eastAsia="zh-CN"/>
              </w:rPr>
              <w:t>3</w:t>
            </w:r>
            <w:r>
              <w:rPr>
                <w:rFonts w:hint="eastAsia"/>
                <w:b w:val="0"/>
                <w:bCs w:val="0"/>
                <w:color w:val="auto"/>
                <w:sz w:val="24"/>
                <w:szCs w:val="24"/>
                <w:u w:val="none"/>
                <w:vertAlign w:val="baseline"/>
                <w:lang w:val="en-US" w:eastAsia="zh-CN"/>
              </w:rPr>
              <w:t>/d，扩建前冷却循环水量为4.2m</w:t>
            </w:r>
            <w:r>
              <w:rPr>
                <w:rFonts w:hint="eastAsia"/>
                <w:b w:val="0"/>
                <w:bCs w:val="0"/>
                <w:color w:val="auto"/>
                <w:sz w:val="24"/>
                <w:szCs w:val="24"/>
                <w:u w:val="none"/>
                <w:vertAlign w:val="superscript"/>
                <w:lang w:val="en-US" w:eastAsia="zh-CN"/>
              </w:rPr>
              <w:t>3</w:t>
            </w:r>
            <w:r>
              <w:rPr>
                <w:rFonts w:hint="eastAsia"/>
                <w:b w:val="0"/>
                <w:bCs w:val="0"/>
                <w:color w:val="auto"/>
                <w:sz w:val="24"/>
                <w:szCs w:val="24"/>
                <w:u w:val="none"/>
                <w:vertAlign w:val="baseline"/>
                <w:lang w:val="en-US" w:eastAsia="zh-CN"/>
              </w:rPr>
              <w:t>/d，扩建后为4.6m</w:t>
            </w:r>
            <w:r>
              <w:rPr>
                <w:rFonts w:hint="eastAsia"/>
                <w:b w:val="0"/>
                <w:bCs w:val="0"/>
                <w:color w:val="auto"/>
                <w:sz w:val="24"/>
                <w:szCs w:val="24"/>
                <w:u w:val="none"/>
                <w:vertAlign w:val="superscript"/>
                <w:lang w:val="en-US" w:eastAsia="zh-CN"/>
              </w:rPr>
              <w:t>3</w:t>
            </w:r>
            <w:r>
              <w:rPr>
                <w:rFonts w:hint="eastAsia"/>
                <w:b w:val="0"/>
                <w:bCs w:val="0"/>
                <w:color w:val="auto"/>
                <w:sz w:val="24"/>
                <w:szCs w:val="24"/>
                <w:u w:val="none"/>
                <w:vertAlign w:val="baseline"/>
                <w:lang w:val="en-US" w:eastAsia="zh-CN"/>
              </w:rPr>
              <w:t>/d，冷却池与冷却塔满足扩建后全厂冷却循环水量。</w:t>
            </w:r>
          </w:p>
          <w:p w14:paraId="41F03203">
            <w:pPr>
              <w:keepNext w:val="0"/>
              <w:keepLines w:val="0"/>
              <w:widowControl w:val="0"/>
              <w:numPr>
                <w:ilvl w:val="0"/>
                <w:numId w:val="0"/>
              </w:numPr>
              <w:suppressLineNumbers w:val="0"/>
              <w:autoSpaceDE w:val="0"/>
              <w:autoSpaceDN w:val="0"/>
              <w:adjustRightInd w:val="0"/>
              <w:snapToGrid w:val="0"/>
              <w:spacing w:before="0" w:beforeAutospacing="0" w:after="0" w:afterAutospacing="0" w:line="360" w:lineRule="auto"/>
              <w:ind w:left="420" w:leftChars="200" w:right="0" w:rightChars="0"/>
              <w:jc w:val="both"/>
              <w:rPr>
                <w:rFonts w:hint="default" w:cs="Times New Roman"/>
                <w:b/>
                <w:bCs/>
                <w:color w:val="auto"/>
                <w:kern w:val="0"/>
                <w:sz w:val="24"/>
                <w:szCs w:val="24"/>
                <w:vertAlign w:val="baseline"/>
                <w:lang w:val="en-US" w:eastAsia="zh-CN" w:bidi="ar"/>
              </w:rPr>
            </w:pPr>
            <w:r>
              <w:rPr>
                <w:rFonts w:hint="eastAsia" w:cs="Times New Roman"/>
                <w:b/>
                <w:bCs/>
                <w:color w:val="auto"/>
                <w:kern w:val="0"/>
                <w:sz w:val="24"/>
                <w:szCs w:val="24"/>
                <w:vertAlign w:val="baseline"/>
                <w:lang w:val="en-US" w:eastAsia="zh-CN" w:bidi="ar"/>
              </w:rPr>
              <w:t>10.2仓库</w:t>
            </w:r>
          </w:p>
          <w:p w14:paraId="2DD6AB41">
            <w:pPr>
              <w:keepNext w:val="0"/>
              <w:keepLines w:val="0"/>
              <w:widowControl w:val="0"/>
              <w:suppressLineNumbers w:val="0"/>
              <w:autoSpaceDE w:val="0"/>
              <w:autoSpaceDN w:val="0"/>
              <w:adjustRightInd w:val="0"/>
              <w:snapToGrid w:val="0"/>
              <w:spacing w:before="0" w:beforeAutospacing="0" w:after="0" w:afterAutospacing="0" w:line="360" w:lineRule="auto"/>
              <w:ind w:left="0" w:leftChars="0" w:right="0" w:rightChars="0" w:firstLine="480" w:firstLineChars="200"/>
              <w:jc w:val="both"/>
              <w:rPr>
                <w:rFonts w:hint="eastAsia" w:cs="Times New Roman"/>
                <w:b w:val="0"/>
                <w:bCs w:val="0"/>
                <w:color w:val="auto"/>
                <w:kern w:val="0"/>
                <w:sz w:val="24"/>
                <w:szCs w:val="24"/>
                <w:lang w:val="en-US" w:eastAsia="zh-CN" w:bidi="ar"/>
              </w:rPr>
            </w:pPr>
            <w:r>
              <w:rPr>
                <w:rFonts w:hint="eastAsia" w:cs="Times New Roman"/>
                <w:b w:val="0"/>
                <w:bCs w:val="0"/>
                <w:color w:val="auto"/>
                <w:kern w:val="0"/>
                <w:sz w:val="24"/>
                <w:szCs w:val="24"/>
                <w:lang w:val="en-US" w:eastAsia="zh-CN" w:bidi="ar"/>
              </w:rPr>
              <w:t>项目成品间、一般固废间、原料存放区、剪切</w:t>
            </w:r>
            <w:r>
              <w:rPr>
                <w:rFonts w:hint="default" w:cs="Times New Roman"/>
                <w:b w:val="0"/>
                <w:bCs w:val="0"/>
                <w:color w:val="auto"/>
                <w:kern w:val="0"/>
                <w:sz w:val="24"/>
                <w:szCs w:val="24"/>
                <w:lang w:val="en-US" w:eastAsia="zh-CN" w:bidi="ar"/>
              </w:rPr>
              <w:t>线</w:t>
            </w:r>
            <w:r>
              <w:rPr>
                <w:rFonts w:hint="eastAsia" w:cs="Times New Roman"/>
                <w:b w:val="0"/>
                <w:bCs w:val="0"/>
                <w:color w:val="auto"/>
                <w:kern w:val="0"/>
                <w:sz w:val="24"/>
                <w:szCs w:val="24"/>
                <w:lang w:val="en-US" w:eastAsia="zh-CN" w:bidi="ar"/>
              </w:rPr>
              <w:t>利用现有仓库。现有仓库面积2800m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lang w:val="en-US" w:eastAsia="zh-CN" w:bidi="ar"/>
              </w:rPr>
              <w:t>，其中成品间面积700m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lang w:val="en-US" w:eastAsia="zh-CN" w:bidi="ar"/>
              </w:rPr>
              <w:t>、一般固废间面积20m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lang w:val="en-US" w:eastAsia="zh-CN" w:bidi="ar"/>
              </w:rPr>
              <w:t>、原料存放区面积1380m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lang w:val="en-US" w:eastAsia="zh-CN" w:bidi="ar"/>
              </w:rPr>
              <w:t>、剩余700m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lang w:val="en-US" w:eastAsia="zh-CN" w:bidi="ar"/>
              </w:rPr>
              <w:t>放置剪切</w:t>
            </w:r>
            <w:r>
              <w:rPr>
                <w:rFonts w:hint="default" w:cs="Times New Roman"/>
                <w:b w:val="0"/>
                <w:bCs w:val="0"/>
                <w:color w:val="auto"/>
                <w:kern w:val="0"/>
                <w:sz w:val="24"/>
                <w:szCs w:val="24"/>
                <w:lang w:val="en-US" w:eastAsia="zh-CN" w:bidi="ar"/>
              </w:rPr>
              <w:t>线</w:t>
            </w:r>
            <w:r>
              <w:rPr>
                <w:rFonts w:hint="eastAsia" w:cs="Times New Roman"/>
                <w:b w:val="0"/>
                <w:bCs w:val="0"/>
                <w:color w:val="auto"/>
                <w:kern w:val="0"/>
                <w:sz w:val="24"/>
                <w:szCs w:val="24"/>
                <w:lang w:val="en-US" w:eastAsia="zh-CN" w:bidi="ar"/>
              </w:rPr>
              <w:t>，本项目利用现有仓库可行。</w:t>
            </w:r>
          </w:p>
          <w:p w14:paraId="5002809F">
            <w:pPr>
              <w:keepNext w:val="0"/>
              <w:keepLines w:val="0"/>
              <w:widowControl w:val="0"/>
              <w:suppressLineNumbers w:val="0"/>
              <w:autoSpaceDE w:val="0"/>
              <w:autoSpaceDN w:val="0"/>
              <w:adjustRightInd w:val="0"/>
              <w:snapToGrid w:val="0"/>
              <w:spacing w:before="0" w:beforeAutospacing="0" w:after="0" w:afterAutospacing="0" w:line="360" w:lineRule="auto"/>
              <w:ind w:left="0" w:leftChars="0" w:right="0" w:rightChars="0" w:firstLine="482" w:firstLineChars="200"/>
              <w:jc w:val="both"/>
              <w:rPr>
                <w:rFonts w:hint="eastAsia" w:cs="Times New Roman"/>
                <w:b/>
                <w:bCs/>
                <w:color w:val="auto"/>
                <w:kern w:val="0"/>
                <w:sz w:val="24"/>
                <w:szCs w:val="24"/>
                <w:lang w:val="en-US" w:eastAsia="zh-CN" w:bidi="ar"/>
              </w:rPr>
            </w:pPr>
            <w:r>
              <w:rPr>
                <w:rFonts w:hint="eastAsia" w:cs="Times New Roman"/>
                <w:b/>
                <w:bCs/>
                <w:color w:val="auto"/>
                <w:kern w:val="0"/>
                <w:sz w:val="24"/>
                <w:szCs w:val="24"/>
                <w:vertAlign w:val="baseline"/>
                <w:lang w:val="en-US" w:eastAsia="zh-CN" w:bidi="ar"/>
              </w:rPr>
              <w:t>10.3</w:t>
            </w:r>
            <w:r>
              <w:rPr>
                <w:rFonts w:hint="eastAsia" w:cs="Times New Roman"/>
                <w:b/>
                <w:bCs/>
                <w:color w:val="auto"/>
                <w:kern w:val="0"/>
                <w:sz w:val="24"/>
                <w:szCs w:val="24"/>
                <w:lang w:val="en-US" w:eastAsia="zh-CN" w:bidi="ar"/>
              </w:rPr>
              <w:t>生产车间</w:t>
            </w:r>
          </w:p>
          <w:p w14:paraId="367774F7">
            <w:pPr>
              <w:keepNext w:val="0"/>
              <w:keepLines w:val="0"/>
              <w:widowControl w:val="0"/>
              <w:suppressLineNumbers w:val="0"/>
              <w:autoSpaceDE w:val="0"/>
              <w:autoSpaceDN w:val="0"/>
              <w:adjustRightInd w:val="0"/>
              <w:snapToGrid w:val="0"/>
              <w:spacing w:before="0" w:beforeAutospacing="0" w:after="0" w:afterAutospacing="0" w:line="360" w:lineRule="auto"/>
              <w:ind w:left="0" w:leftChars="0" w:right="0" w:rightChars="0" w:firstLine="480" w:firstLineChars="200"/>
              <w:jc w:val="both"/>
              <w:rPr>
                <w:rFonts w:hint="eastAsia" w:cs="Times New Roman"/>
                <w:b w:val="0"/>
                <w:bCs w:val="0"/>
                <w:color w:val="auto"/>
                <w:kern w:val="0"/>
                <w:sz w:val="24"/>
                <w:szCs w:val="24"/>
                <w:vertAlign w:val="baseline"/>
                <w:lang w:val="en-US" w:eastAsia="zh-CN" w:bidi="ar"/>
              </w:rPr>
            </w:pPr>
            <w:r>
              <w:rPr>
                <w:rFonts w:hint="eastAsia" w:cs="Times New Roman"/>
                <w:b w:val="0"/>
                <w:bCs w:val="0"/>
                <w:color w:val="auto"/>
                <w:kern w:val="0"/>
                <w:sz w:val="24"/>
                <w:szCs w:val="24"/>
                <w:lang w:val="en-US" w:eastAsia="zh-CN" w:bidi="ar"/>
              </w:rPr>
              <w:t>现有车间面积5300m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lang w:val="en-US" w:eastAsia="zh-CN" w:bidi="ar"/>
              </w:rPr>
              <w:t>，现有项目已利用车间面积1050m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vertAlign w:val="baseline"/>
                <w:lang w:val="en-US" w:eastAsia="zh-CN" w:bidi="ar"/>
              </w:rPr>
              <w:t>，本项目需要用地面积1460m</w:t>
            </w:r>
            <w:r>
              <w:rPr>
                <w:rFonts w:hint="eastAsia" w:cs="Times New Roman"/>
                <w:b w:val="0"/>
                <w:bCs w:val="0"/>
                <w:color w:val="auto"/>
                <w:kern w:val="0"/>
                <w:sz w:val="24"/>
                <w:szCs w:val="24"/>
                <w:vertAlign w:val="superscript"/>
                <w:lang w:val="en-US" w:eastAsia="zh-CN" w:bidi="ar"/>
              </w:rPr>
              <w:t>2</w:t>
            </w:r>
            <w:r>
              <w:rPr>
                <w:rFonts w:hint="eastAsia" w:cs="Times New Roman"/>
                <w:b w:val="0"/>
                <w:bCs w:val="0"/>
                <w:color w:val="auto"/>
                <w:kern w:val="0"/>
                <w:sz w:val="24"/>
                <w:szCs w:val="24"/>
                <w:vertAlign w:val="baseline"/>
                <w:lang w:val="en-US" w:eastAsia="zh-CN" w:bidi="ar"/>
              </w:rPr>
              <w:t>，</w:t>
            </w:r>
            <w:r>
              <w:rPr>
                <w:rFonts w:hint="eastAsia" w:cs="Times New Roman"/>
                <w:b w:val="0"/>
                <w:bCs w:val="0"/>
                <w:color w:val="auto"/>
                <w:kern w:val="0"/>
                <w:sz w:val="24"/>
                <w:szCs w:val="24"/>
                <w:lang w:val="en-US" w:eastAsia="zh-CN" w:bidi="ar"/>
              </w:rPr>
              <w:t>本项目利用现有生产车间可行</w:t>
            </w:r>
            <w:r>
              <w:rPr>
                <w:rFonts w:hint="eastAsia" w:cs="Times New Roman"/>
                <w:b w:val="0"/>
                <w:bCs w:val="0"/>
                <w:color w:val="auto"/>
                <w:kern w:val="0"/>
                <w:sz w:val="24"/>
                <w:szCs w:val="24"/>
                <w:vertAlign w:val="baseline"/>
                <w:lang w:val="en-US" w:eastAsia="zh-CN" w:bidi="ar"/>
              </w:rPr>
              <w:t>。</w:t>
            </w:r>
          </w:p>
          <w:p w14:paraId="55D166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b w:val="0"/>
                <w:bCs w:val="0"/>
                <w:color w:val="auto"/>
                <w:kern w:val="0"/>
                <w:sz w:val="24"/>
                <w:szCs w:val="24"/>
                <w:vertAlign w:val="baseline"/>
                <w:lang w:val="en-US" w:eastAsia="zh-CN" w:bidi="ar"/>
              </w:rPr>
            </w:pPr>
          </w:p>
          <w:p w14:paraId="453D3E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cs="Times New Roman"/>
                <w:b w:val="0"/>
                <w:bCs w:val="0"/>
                <w:color w:val="auto"/>
                <w:kern w:val="0"/>
                <w:sz w:val="24"/>
                <w:szCs w:val="24"/>
                <w:vertAlign w:val="baseline"/>
                <w:lang w:val="en-US" w:eastAsia="zh-CN" w:bidi="ar"/>
              </w:rPr>
            </w:pPr>
          </w:p>
          <w:p w14:paraId="2D85C713">
            <w:pPr>
              <w:pStyle w:val="2"/>
              <w:keepLines w:val="0"/>
              <w:suppressLineNumbers w:val="0"/>
              <w:spacing w:beforeAutospacing="0" w:afterAutospacing="0"/>
              <w:ind w:right="0"/>
              <w:rPr>
                <w:rFonts w:hint="eastAsia" w:cs="Times New Roman"/>
                <w:b w:val="0"/>
                <w:bCs w:val="0"/>
                <w:color w:val="auto"/>
                <w:kern w:val="0"/>
                <w:sz w:val="24"/>
                <w:szCs w:val="24"/>
                <w:vertAlign w:val="baseline"/>
                <w:lang w:val="en-US" w:eastAsia="zh-CN" w:bidi="ar"/>
              </w:rPr>
            </w:pPr>
          </w:p>
          <w:p w14:paraId="1C83CEE6">
            <w:pPr>
              <w:keepNext w:val="0"/>
              <w:keepLines w:val="0"/>
              <w:suppressLineNumbers w:val="0"/>
              <w:spacing w:before="0" w:beforeAutospacing="0" w:after="0" w:afterAutospacing="0"/>
              <w:ind w:left="0" w:right="0"/>
              <w:rPr>
                <w:rFonts w:hint="eastAsia"/>
                <w:lang w:val="en-US" w:eastAsia="zh-CN"/>
              </w:rPr>
            </w:pPr>
          </w:p>
        </w:tc>
      </w:tr>
    </w:tbl>
    <w:p w14:paraId="7AA7447E">
      <w:pPr>
        <w:spacing w:line="360" w:lineRule="auto"/>
        <w:outlineLvl w:val="0"/>
        <w:rPr>
          <w:rFonts w:ascii="Times New Roman" w:hAnsi="Times New Roman" w:eastAsia="黑体" w:cs="Times New Roman"/>
          <w:color w:val="000000"/>
          <w:sz w:val="30"/>
          <w:highlight w:val="none"/>
          <w:u w:val="none" w:color="auto"/>
        </w:rPr>
        <w:sectPr>
          <w:footerReference r:id="rId4" w:type="default"/>
          <w:pgSz w:w="11906" w:h="16838"/>
          <w:pgMar w:top="1101" w:right="1531" w:bottom="1457"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6B130195">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ascii="Times New Roman" w:hAnsi="Times New Roman" w:eastAsia="黑体" w:cs="Times New Roman"/>
          <w:snapToGrid w:val="0"/>
          <w:color w:val="000000"/>
          <w:sz w:val="24"/>
          <w:szCs w:val="24"/>
          <w:highlight w:val="none"/>
          <w:u w:val="none" w:color="auto"/>
        </w:rPr>
      </w:pPr>
      <w:bookmarkStart w:id="11" w:name="_Toc26459"/>
      <w:bookmarkStart w:id="12" w:name="_Toc18988"/>
      <w:bookmarkStart w:id="13" w:name="_Toc23199"/>
      <w:r>
        <w:rPr>
          <w:rFonts w:hint="eastAsia" w:ascii="Times New Roman" w:hAnsi="Times New Roman" w:eastAsia="黑体" w:cs="Times New Roman"/>
          <w:snapToGrid w:val="0"/>
          <w:color w:val="000000"/>
          <w:sz w:val="30"/>
          <w:szCs w:val="30"/>
          <w:highlight w:val="none"/>
          <w:u w:val="none" w:color="auto"/>
        </w:rPr>
        <w:t>二、建设项目工程分析</w:t>
      </w:r>
      <w:bookmarkEnd w:id="11"/>
      <w:bookmarkEnd w:id="12"/>
      <w:bookmarkEnd w:id="13"/>
    </w:p>
    <w:tbl>
      <w:tblPr>
        <w:tblStyle w:val="27"/>
        <w:tblW w:w="90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407"/>
      </w:tblGrid>
      <w:tr w14:paraId="2E6356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4" w:hRule="atLeast"/>
          <w:jc w:val="center"/>
        </w:trPr>
        <w:tc>
          <w:tcPr>
            <w:tcW w:w="436" w:type="dxa"/>
            <w:noWrap w:val="0"/>
            <w:vAlign w:val="center"/>
          </w:tcPr>
          <w:p w14:paraId="61677C91">
            <w:pPr>
              <w:pStyle w:val="23"/>
              <w:keepNext w:val="0"/>
              <w:keepLines w:val="0"/>
              <w:suppressLineNumbers w:val="0"/>
              <w:adjustRightInd w:val="0"/>
              <w:snapToGrid w:val="0"/>
              <w:spacing w:before="0" w:beforeAutospacing="0" w:after="0" w:afterAutospacing="0"/>
              <w:ind w:left="0" w:right="0"/>
              <w:jc w:val="center"/>
              <w:rPr>
                <w:rFonts w:ascii="Times New Roman" w:hAnsi="Times New Roman" w:cs="Times New Roman"/>
                <w:color w:val="auto"/>
                <w:sz w:val="21"/>
                <w:szCs w:val="21"/>
                <w:highlight w:val="none"/>
                <w:u w:val="none" w:color="auto"/>
              </w:rPr>
            </w:pPr>
            <w:r>
              <w:rPr>
                <w:rFonts w:hint="eastAsia" w:ascii="Times New Roman" w:hAnsi="Times New Roman" w:cs="Times New Roman"/>
                <w:color w:val="auto"/>
                <w:sz w:val="21"/>
                <w:szCs w:val="21"/>
                <w:highlight w:val="none"/>
                <w:u w:val="none" w:color="auto"/>
              </w:rPr>
              <w:t>建设内容</w:t>
            </w:r>
          </w:p>
        </w:tc>
        <w:tc>
          <w:tcPr>
            <w:tcW w:w="8634" w:type="dxa"/>
            <w:noWrap w:val="0"/>
            <w:vAlign w:val="center"/>
          </w:tcPr>
          <w:p w14:paraId="7FC1A2CA">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1</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项目由来</w:t>
            </w:r>
          </w:p>
          <w:p w14:paraId="3D09D6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安阳双兴线材制品有限公司</w:t>
            </w:r>
            <w:r>
              <w:rPr>
                <w:rFonts w:hint="eastAsia" w:ascii="Times New Roman" w:hAnsi="Times New Roman" w:eastAsia="宋体" w:cs="Times New Roman"/>
                <w:b w:val="0"/>
                <w:bCs w:val="0"/>
                <w:color w:val="auto"/>
                <w:sz w:val="24"/>
                <w:szCs w:val="24"/>
                <w:lang w:val="en-US" w:eastAsia="zh-CN"/>
              </w:rPr>
              <w:t>原产量</w:t>
            </w:r>
            <w:r>
              <w:rPr>
                <w:rFonts w:hint="eastAsia" w:cs="Times New Roman"/>
                <w:b w:val="0"/>
                <w:bCs w:val="0"/>
                <w:color w:val="auto"/>
                <w:sz w:val="24"/>
                <w:szCs w:val="24"/>
                <w:lang w:val="en-US" w:eastAsia="zh-CN"/>
              </w:rPr>
              <w:t>16000</w:t>
            </w:r>
            <w:r>
              <w:rPr>
                <w:rFonts w:hint="eastAsia" w:ascii="Times New Roman" w:hAnsi="Times New Roman" w:eastAsia="宋体" w:cs="Times New Roman"/>
                <w:b w:val="0"/>
                <w:bCs w:val="0"/>
                <w:color w:val="auto"/>
                <w:sz w:val="24"/>
                <w:szCs w:val="24"/>
                <w:lang w:val="en-US" w:eastAsia="zh-CN"/>
              </w:rPr>
              <w:t>吨/年</w:t>
            </w:r>
            <w:r>
              <w:rPr>
                <w:rFonts w:hint="eastAsia" w:cs="Times New Roman"/>
                <w:b w:val="0"/>
                <w:bCs w:val="0"/>
                <w:color w:val="auto"/>
                <w:sz w:val="24"/>
                <w:szCs w:val="24"/>
                <w:lang w:val="en-US" w:eastAsia="zh-CN"/>
              </w:rPr>
              <w:t>，规格为</w:t>
            </w:r>
            <w:r>
              <w:rPr>
                <w:rFonts w:hint="default" w:ascii="Times New Roman" w:hAnsi="Times New Roman" w:eastAsia="宋体" w:cs="Times New Roman"/>
                <w:color w:val="auto"/>
                <w:sz w:val="24"/>
                <w:szCs w:val="24"/>
                <w:lang w:eastAsia="zh-CN"/>
              </w:rPr>
              <w:t>Φ</w:t>
            </w:r>
            <w:r>
              <w:rPr>
                <w:rFonts w:hint="default" w:ascii="Times New Roman" w:hAnsi="Times New Roman" w:eastAsia="宋体" w:cs="Times New Roman"/>
                <w:color w:val="auto"/>
                <w:sz w:val="24"/>
                <w:szCs w:val="24"/>
                <w:lang w:val="en-US" w:eastAsia="zh-CN"/>
              </w:rPr>
              <w:t>1.0</w:t>
            </w:r>
            <w:r>
              <w:rPr>
                <w:rFonts w:hint="eastAsia" w:cs="Times New Roman"/>
                <w:color w:val="auto"/>
                <w:sz w:val="24"/>
                <w:szCs w:val="24"/>
                <w:lang w:val="en-US" w:eastAsia="zh-CN"/>
              </w:rPr>
              <w:t>mm</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Φ</w:t>
            </w:r>
            <w:r>
              <w:rPr>
                <w:rFonts w:hint="default" w:ascii="Times New Roman" w:hAnsi="Times New Roman" w:eastAsia="宋体" w:cs="Times New Roman"/>
                <w:color w:val="auto"/>
                <w:sz w:val="24"/>
                <w:szCs w:val="24"/>
                <w:lang w:val="en-US" w:eastAsia="zh-CN"/>
              </w:rPr>
              <w:t>16</w:t>
            </w:r>
            <w:r>
              <w:rPr>
                <w:rFonts w:hint="eastAsia" w:cs="Times New Roman"/>
                <w:color w:val="auto"/>
                <w:sz w:val="24"/>
                <w:szCs w:val="24"/>
                <w:lang w:val="en-US" w:eastAsia="zh-CN"/>
              </w:rPr>
              <w:t>mm，本项目在原有的</w:t>
            </w:r>
            <w:r>
              <w:rPr>
                <w:rFonts w:hint="eastAsia" w:ascii="Times New Roman" w:hAnsi="Times New Roman" w:eastAsia="宋体" w:cs="Times New Roman"/>
                <w:b w:val="0"/>
                <w:bCs w:val="0"/>
                <w:color w:val="auto"/>
                <w:sz w:val="24"/>
                <w:szCs w:val="24"/>
                <w:lang w:val="en-US" w:eastAsia="zh-CN"/>
              </w:rPr>
              <w:t>基础上增加1500吨/年</w:t>
            </w:r>
            <w:r>
              <w:rPr>
                <w:rFonts w:hint="eastAsia" w:cs="Times New Roman"/>
                <w:b w:val="0"/>
                <w:bCs w:val="0"/>
                <w:color w:val="auto"/>
                <w:sz w:val="24"/>
                <w:szCs w:val="24"/>
                <w:lang w:val="en-US" w:eastAsia="zh-CN"/>
              </w:rPr>
              <w:t>，规格为</w:t>
            </w:r>
            <w:r>
              <w:rPr>
                <w:rFonts w:hint="default" w:ascii="Times New Roman" w:hAnsi="Times New Roman" w:eastAsia="宋体" w:cs="Times New Roman"/>
                <w:color w:val="auto"/>
                <w:sz w:val="24"/>
                <w:szCs w:val="24"/>
                <w:lang w:eastAsia="zh-CN"/>
              </w:rPr>
              <w:t>Φ</w:t>
            </w:r>
            <w:r>
              <w:rPr>
                <w:rFonts w:hint="eastAsia" w:cs="Times New Roman"/>
                <w:color w:val="auto"/>
                <w:sz w:val="24"/>
                <w:szCs w:val="24"/>
                <w:lang w:val="en-US" w:eastAsia="zh-CN"/>
              </w:rPr>
              <w:t>0.5mm</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Φ</w:t>
            </w:r>
            <w:r>
              <w:rPr>
                <w:rFonts w:hint="default" w:ascii="Times New Roman" w:hAnsi="Times New Roman" w:eastAsia="宋体" w:cs="Times New Roman"/>
                <w:color w:val="auto"/>
                <w:sz w:val="24"/>
                <w:szCs w:val="24"/>
                <w:lang w:val="en-US" w:eastAsia="zh-CN"/>
              </w:rPr>
              <w:t>1</w:t>
            </w:r>
            <w:r>
              <w:rPr>
                <w:rFonts w:hint="eastAsia" w:cs="Times New Roman"/>
                <w:color w:val="auto"/>
                <w:sz w:val="24"/>
                <w:szCs w:val="24"/>
                <w:lang w:val="en-US" w:eastAsia="zh-CN"/>
              </w:rPr>
              <w:t>mm的</w:t>
            </w:r>
            <w:r>
              <w:rPr>
                <w:rFonts w:hint="eastAsia" w:ascii="Times New Roman" w:hAnsi="Times New Roman" w:eastAsia="宋体" w:cs="Times New Roman"/>
                <w:b w:val="0"/>
                <w:bCs w:val="0"/>
                <w:color w:val="auto"/>
                <w:sz w:val="24"/>
                <w:szCs w:val="24"/>
                <w:lang w:val="en-US" w:eastAsia="zh-CN"/>
              </w:rPr>
              <w:t>高性能弹簧钢丝，属于扩建项目，不新增用地和厂房。</w:t>
            </w:r>
            <w:r>
              <w:rPr>
                <w:rFonts w:hint="default" w:ascii="Times New Roman" w:hAnsi="Times New Roman" w:eastAsia="宋体" w:cs="Times New Roman"/>
                <w:color w:val="auto"/>
                <w:sz w:val="24"/>
                <w:szCs w:val="24"/>
              </w:rPr>
              <w:t>本项目</w:t>
            </w:r>
            <w:r>
              <w:rPr>
                <w:rFonts w:hint="eastAsia" w:cs="Times New Roman"/>
                <w:color w:val="auto"/>
                <w:sz w:val="24"/>
                <w:szCs w:val="24"/>
                <w:lang w:eastAsia="zh-CN"/>
              </w:rPr>
              <w:t>已经汤阴县发展和改革委员会备案</w:t>
            </w:r>
            <w:r>
              <w:rPr>
                <w:rFonts w:hint="default" w:ascii="Times New Roman" w:hAnsi="Times New Roman" w:eastAsia="宋体" w:cs="Times New Roman"/>
                <w:color w:val="auto"/>
                <w:sz w:val="24"/>
                <w:szCs w:val="24"/>
                <w:highlight w:val="none"/>
                <w:lang w:val="en-US" w:eastAsia="zh-CN"/>
              </w:rPr>
              <w:t>，项目</w:t>
            </w:r>
            <w:r>
              <w:rPr>
                <w:rFonts w:hint="default" w:ascii="Times New Roman" w:hAnsi="Times New Roman" w:eastAsia="宋体" w:cs="Times New Roman"/>
                <w:color w:val="auto"/>
                <w:sz w:val="24"/>
                <w:szCs w:val="24"/>
                <w:lang w:val="en-US" w:eastAsia="zh-CN"/>
              </w:rPr>
              <w:t>代码为</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2506-410523-04-01-123477</w:t>
            </w:r>
            <w:r>
              <w:rPr>
                <w:rFonts w:hint="default" w:ascii="Times New Roman" w:hAnsi="Times New Roman" w:eastAsia="宋体" w:cs="Times New Roman"/>
                <w:color w:val="auto"/>
                <w:sz w:val="24"/>
                <w:szCs w:val="24"/>
                <w:highlight w:val="none"/>
                <w:lang w:val="en-US" w:eastAsia="zh-CN"/>
              </w:rPr>
              <w:t>（见附件</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lang w:val="en-US" w:eastAsia="zh-CN"/>
              </w:rPr>
              <w:t>）。</w:t>
            </w:r>
          </w:p>
          <w:p w14:paraId="7E2FF9E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根据《中华人民共和国环境影响评价法》（国务院第253号令）、《建设项目环境保护管理条例》（国务院令第682号）和《河南省建设项目环境保护条例》等</w:t>
            </w:r>
            <w:r>
              <w:rPr>
                <w:rFonts w:hint="eastAsia" w:cs="Times New Roman"/>
                <w:color w:val="auto"/>
                <w:sz w:val="24"/>
                <w:szCs w:val="24"/>
                <w:lang w:val="en-US" w:eastAsia="zh-CN"/>
              </w:rPr>
              <w:t>法律法规</w:t>
            </w:r>
            <w:r>
              <w:rPr>
                <w:rFonts w:hint="default" w:ascii="Times New Roman" w:hAnsi="Times New Roman" w:eastAsia="宋体" w:cs="Times New Roman"/>
                <w:color w:val="auto"/>
                <w:sz w:val="24"/>
                <w:szCs w:val="24"/>
                <w:lang w:val="en-US" w:eastAsia="zh-CN"/>
              </w:rPr>
              <w:t>的规定，本项目需进行环境影响评价。依据生态环境部令第16号《建设项目环境影响评价分类管理名录》（2021年版），本项目</w:t>
            </w:r>
            <w:r>
              <w:rPr>
                <w:rFonts w:hint="default" w:ascii="Times New Roman" w:hAnsi="Times New Roman" w:eastAsia="宋体" w:cs="Times New Roman"/>
                <w:color w:val="auto"/>
                <w:sz w:val="24"/>
                <w:szCs w:val="24"/>
                <w:highlight w:val="none"/>
                <w:lang w:val="en-US" w:eastAsia="zh-CN"/>
              </w:rPr>
              <w:t>属于“</w:t>
            </w:r>
            <w:r>
              <w:rPr>
                <w:rFonts w:hint="eastAsia" w:ascii="Times New Roman" w:hAnsi="Times New Roman" w:eastAsia="宋体" w:cs="Times New Roman"/>
                <w:color w:val="auto"/>
                <w:sz w:val="24"/>
                <w:szCs w:val="24"/>
                <w:highlight w:val="none"/>
                <w:lang w:val="en-US" w:eastAsia="zh-CN"/>
              </w:rPr>
              <w:t>三十</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金属加工制造66</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金属丝绳及其制品制造项目334</w:t>
            </w:r>
            <w:r>
              <w:rPr>
                <w:rFonts w:hint="default" w:ascii="Times New Roman" w:hAnsi="Times New Roman" w:eastAsia="宋体" w:cs="Times New Roman"/>
                <w:color w:val="auto"/>
                <w:sz w:val="24"/>
                <w:szCs w:val="24"/>
                <w:highlight w:val="none"/>
                <w:lang w:val="en-US" w:eastAsia="zh-CN"/>
              </w:rPr>
              <w:t>--其他（仅分割、焊接、组装的除外；年用非溶剂型低VOCs含量涂料10吨以下的除外）</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lang w:val="en-US" w:eastAsia="zh-CN"/>
              </w:rPr>
              <w:t>应该编制环境影响报告表。建设单位委托</w:t>
            </w:r>
            <w:r>
              <w:rPr>
                <w:rFonts w:hint="eastAsia" w:ascii="Times New Roman" w:hAnsi="Times New Roman" w:eastAsia="宋体" w:cs="Times New Roman"/>
                <w:color w:val="auto"/>
                <w:sz w:val="24"/>
                <w:szCs w:val="24"/>
                <w:lang w:val="en-US" w:eastAsia="zh-CN"/>
              </w:rPr>
              <w:t>本公司</w:t>
            </w:r>
            <w:r>
              <w:rPr>
                <w:rFonts w:hint="default" w:ascii="Times New Roman" w:hAnsi="Times New Roman" w:eastAsia="宋体" w:cs="Times New Roman"/>
                <w:color w:val="auto"/>
                <w:sz w:val="24"/>
                <w:szCs w:val="24"/>
                <w:lang w:val="en-US" w:eastAsia="zh-CN"/>
              </w:rPr>
              <w:t>承担了该项目的环境影响评价工作。</w:t>
            </w:r>
            <w:r>
              <w:rPr>
                <w:rFonts w:hint="eastAsia" w:cs="Times New Roman"/>
                <w:color w:val="auto"/>
                <w:sz w:val="24"/>
                <w:szCs w:val="24"/>
                <w:lang w:val="en-US" w:eastAsia="zh-CN"/>
              </w:rPr>
              <w:t>我公司</w:t>
            </w:r>
            <w:r>
              <w:rPr>
                <w:rFonts w:hint="default" w:ascii="Times New Roman" w:hAnsi="Times New Roman" w:eastAsia="宋体" w:cs="Times New Roman"/>
                <w:color w:val="auto"/>
                <w:sz w:val="24"/>
                <w:szCs w:val="24"/>
                <w:lang w:val="en-US" w:eastAsia="zh-CN"/>
              </w:rPr>
              <w:t>接受委托后，经现场踏勘、收集相关资料的基础上，本着“科学、公正、客观</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的原则，编制完成了该项目环境影响报告表。</w:t>
            </w:r>
          </w:p>
          <w:p w14:paraId="391F0D5B">
            <w:pPr>
              <w:pStyle w:val="10"/>
              <w:keepNext w:val="0"/>
              <w:keepLines w:val="0"/>
              <w:suppressLineNumbers w:val="0"/>
              <w:spacing w:before="0" w:beforeAutospacing="0" w:after="0" w:afterAutospacing="0" w:line="360" w:lineRule="auto"/>
              <w:ind w:left="0" w:leftChars="0" w:right="0" w:firstLine="0" w:firstLineChars="0"/>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kern w:val="0"/>
                <w:sz w:val="24"/>
                <w:szCs w:val="24"/>
                <w:lang w:val="en-US" w:eastAsia="zh-CN" w:bidi="ar"/>
              </w:rPr>
              <w:t>2</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sz w:val="24"/>
                <w:szCs w:val="24"/>
                <w:highlight w:val="none"/>
                <w:u w:val="none" w:color="auto"/>
              </w:rPr>
              <w:t>地理位置及周边概况</w:t>
            </w:r>
          </w:p>
          <w:p w14:paraId="3DDD3226">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rPr>
              <w:t>本项目位于</w:t>
            </w:r>
            <w:r>
              <w:rPr>
                <w:rFonts w:hint="default" w:ascii="Times New Roman" w:hAnsi="Times New Roman" w:eastAsia="宋体" w:cs="Times New Roman"/>
                <w:b w:val="0"/>
                <w:bCs w:val="0"/>
                <w:color w:val="auto"/>
                <w:sz w:val="24"/>
                <w:szCs w:val="24"/>
                <w:highlight w:val="none"/>
                <w:u w:val="none" w:color="auto"/>
                <w:lang w:val="en-US" w:eastAsia="zh-CN"/>
              </w:rPr>
              <w:t>安阳市汤阴县宜沟镇安阳市新型制造产业园区中兴路南头，项目周边</w:t>
            </w:r>
            <w:r>
              <w:rPr>
                <w:rFonts w:hint="default" w:ascii="Times New Roman" w:hAnsi="Times New Roman" w:eastAsia="宋体" w:cs="Times New Roman"/>
                <w:color w:val="auto"/>
                <w:sz w:val="24"/>
                <w:szCs w:val="24"/>
                <w:lang w:val="en-US" w:eastAsia="zh-CN"/>
              </w:rPr>
              <w:t>主要为企业、本项目</w:t>
            </w:r>
            <w:r>
              <w:rPr>
                <w:rFonts w:hint="eastAsia" w:cs="Times New Roman"/>
                <w:color w:val="auto"/>
                <w:sz w:val="24"/>
                <w:szCs w:val="24"/>
                <w:lang w:val="en-US" w:eastAsia="zh-CN"/>
              </w:rPr>
              <w:t>北厂界</w:t>
            </w:r>
            <w:r>
              <w:rPr>
                <w:rFonts w:hint="default" w:ascii="Times New Roman" w:hAnsi="Times New Roman" w:eastAsia="宋体" w:cs="Times New Roman"/>
                <w:color w:val="auto"/>
                <w:sz w:val="24"/>
                <w:szCs w:val="24"/>
                <w:lang w:val="en-US" w:eastAsia="zh-CN"/>
              </w:rPr>
              <w:t>北方向45m的园河丽景小区、北方向270m的宜沟镇政府、北方向275m的瑞和苑小区，南方向102m的宜沟镇、东南方向388m的江王庄村。周边环境详见附图2。</w:t>
            </w:r>
          </w:p>
          <w:p w14:paraId="1B4F657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3.</w:t>
            </w:r>
            <w:r>
              <w:rPr>
                <w:rFonts w:hint="default" w:ascii="Times New Roman" w:hAnsi="Times New Roman" w:eastAsia="宋体" w:cs="Times New Roman"/>
                <w:b/>
                <w:bCs/>
                <w:color w:val="auto"/>
                <w:kern w:val="0"/>
                <w:sz w:val="24"/>
                <w:szCs w:val="24"/>
                <w:lang w:val="en-US" w:eastAsia="zh-CN" w:bidi="ar"/>
              </w:rPr>
              <w:t>项目组成及主要建设内容</w:t>
            </w:r>
          </w:p>
          <w:p w14:paraId="240FF5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bCs/>
                <w:color w:val="auto"/>
                <w:sz w:val="24"/>
                <w:szCs w:val="24"/>
                <w:highlight w:val="none"/>
                <w:u w:val="none" w:color="auto"/>
                <w:lang w:val="en-US" w:eastAsia="zh-CN"/>
              </w:rPr>
              <w:t>本次扩建项目在现有厂区内进行改造提升，不新增用地。生产规模在原年产16000吨高性能弹簧新钢丝</w:t>
            </w:r>
            <w:r>
              <w:rPr>
                <w:rFonts w:hint="eastAsia" w:cs="Times New Roman"/>
                <w:bCs/>
                <w:color w:val="auto"/>
                <w:sz w:val="24"/>
                <w:szCs w:val="24"/>
                <w:highlight w:val="none"/>
                <w:u w:val="none" w:color="auto"/>
                <w:lang w:val="en-US" w:eastAsia="zh-CN"/>
              </w:rPr>
              <w:t>的基础上</w:t>
            </w:r>
            <w:r>
              <w:rPr>
                <w:rFonts w:hint="eastAsia" w:ascii="Times New Roman" w:hAnsi="Times New Roman" w:eastAsia="宋体" w:cs="Times New Roman"/>
                <w:bCs/>
                <w:color w:val="auto"/>
                <w:sz w:val="24"/>
                <w:szCs w:val="24"/>
                <w:highlight w:val="none"/>
                <w:u w:val="none" w:color="auto"/>
                <w:lang w:val="en-US" w:eastAsia="zh-CN"/>
              </w:rPr>
              <w:t>增加年产1500吨高性能弹簧新钢丝，新增热处理生产线3条、单头拉丝机10台、</w:t>
            </w:r>
            <w:r>
              <w:rPr>
                <w:rFonts w:hint="eastAsia" w:hAnsi="宋体" w:cs="Times New Roman"/>
                <w:color w:val="auto"/>
                <w:kern w:val="2"/>
                <w:sz w:val="24"/>
                <w:szCs w:val="24"/>
                <w:lang w:val="en-US" w:eastAsia="zh-CN" w:bidi="ar-SA"/>
              </w:rPr>
              <w:t>剪切</w:t>
            </w:r>
            <w:r>
              <w:rPr>
                <w:rFonts w:hint="eastAsia" w:ascii="Times New Roman" w:hAnsi="宋体" w:eastAsia="宋体" w:cs="Times New Roman"/>
                <w:color w:val="auto"/>
                <w:kern w:val="2"/>
                <w:sz w:val="24"/>
                <w:szCs w:val="24"/>
                <w:lang w:val="en-US" w:eastAsia="zh-CN" w:bidi="ar-SA"/>
              </w:rPr>
              <w:t>机5台、</w:t>
            </w:r>
            <w:r>
              <w:rPr>
                <w:rFonts w:hint="eastAsia" w:ascii="Times New Roman" w:hAnsi="Times New Roman" w:eastAsia="宋体" w:cs="Times New Roman"/>
                <w:color w:val="auto"/>
                <w:sz w:val="24"/>
                <w:szCs w:val="24"/>
                <w:lang w:val="en-US" w:eastAsia="zh-CN"/>
              </w:rPr>
              <w:t>拉力试验机10台。</w:t>
            </w:r>
            <w:r>
              <w:rPr>
                <w:rFonts w:hint="eastAsia" w:ascii="Times New Roman" w:hAnsi="Times New Roman" w:eastAsia="宋体" w:cs="Times New Roman"/>
                <w:bCs/>
                <w:color w:val="auto"/>
                <w:sz w:val="24"/>
                <w:szCs w:val="24"/>
                <w:highlight w:val="none"/>
                <w:u w:val="none" w:color="auto"/>
                <w:lang w:eastAsia="zh-CN"/>
              </w:rPr>
              <w:t>主要</w:t>
            </w:r>
            <w:r>
              <w:rPr>
                <w:rFonts w:hint="eastAsia" w:cs="Times New Roman"/>
                <w:bCs/>
                <w:color w:val="auto"/>
                <w:sz w:val="24"/>
                <w:szCs w:val="24"/>
                <w:highlight w:val="none"/>
                <w:u w:val="none" w:color="auto"/>
                <w:lang w:eastAsia="zh-CN"/>
              </w:rPr>
              <w:t>工艺</w:t>
            </w:r>
            <w:r>
              <w:rPr>
                <w:rFonts w:hint="eastAsia" w:ascii="Times New Roman" w:hAnsi="Times New Roman" w:eastAsia="宋体" w:cs="Times New Roman"/>
                <w:bCs/>
                <w:color w:val="auto"/>
                <w:sz w:val="24"/>
                <w:szCs w:val="24"/>
                <w:highlight w:val="none"/>
                <w:u w:val="none" w:color="auto"/>
                <w:lang w:eastAsia="zh-CN"/>
              </w:rPr>
              <w:t>流程：</w:t>
            </w:r>
            <w:r>
              <w:rPr>
                <w:rFonts w:hint="eastAsia" w:cs="Times New Roman"/>
                <w:bCs/>
                <w:color w:val="auto"/>
                <w:sz w:val="24"/>
                <w:szCs w:val="24"/>
                <w:highlight w:val="none"/>
                <w:u w:val="none" w:color="auto"/>
                <w:lang w:eastAsia="zh-CN"/>
              </w:rPr>
              <w:t>磷化后原料</w:t>
            </w:r>
            <w:r>
              <w:rPr>
                <w:rFonts w:hint="eastAsia" w:cs="Times New Roman"/>
                <w:bCs/>
                <w:color w:val="auto"/>
                <w:sz w:val="24"/>
                <w:szCs w:val="24"/>
                <w:highlight w:val="none"/>
                <w:u w:val="none" w:color="auto"/>
                <w:lang w:val="en-US" w:eastAsia="zh-CN"/>
              </w:rPr>
              <w:t>→检验→拉拔→检验→热处理→检验→验斤（剪切）→包装→入库</w:t>
            </w:r>
            <w:r>
              <w:rPr>
                <w:rFonts w:hint="eastAsia" w:ascii="Times New Roman" w:hAnsi="Times New Roman" w:eastAsia="宋体" w:cs="Times New Roman"/>
                <w:bCs/>
                <w:color w:val="auto"/>
                <w:sz w:val="24"/>
                <w:szCs w:val="24"/>
                <w:highlight w:val="none"/>
                <w:u w:val="none" w:color="auto"/>
                <w:lang w:eastAsia="zh-CN"/>
              </w:rPr>
              <w:t>。</w:t>
            </w:r>
            <w:r>
              <w:rPr>
                <w:rFonts w:hint="default" w:ascii="Times New Roman" w:hAnsi="Times New Roman" w:eastAsia="宋体" w:cs="Times New Roman"/>
                <w:bCs/>
                <w:color w:val="auto"/>
                <w:sz w:val="24"/>
                <w:szCs w:val="24"/>
                <w:highlight w:val="none"/>
                <w:u w:val="none" w:color="auto"/>
                <w:lang w:eastAsia="zh-CN"/>
              </w:rPr>
              <w:t>本项目由主体工程、辅助工程、公用工程和环保工程组成，主要建设内容见下表。</w:t>
            </w:r>
          </w:p>
          <w:p w14:paraId="3E1511B5">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kern w:val="0"/>
                <w:sz w:val="21"/>
                <w:szCs w:val="21"/>
                <w:highlight w:val="none"/>
                <w:u w:val="none" w:color="auto"/>
              </w:rPr>
            </w:pPr>
            <w:r>
              <w:rPr>
                <w:rFonts w:hint="eastAsia" w:cs="Times New Roman"/>
                <w:b/>
                <w:bCs/>
                <w:color w:val="auto"/>
                <w:kern w:val="0"/>
                <w:sz w:val="21"/>
                <w:szCs w:val="21"/>
                <w:highlight w:val="none"/>
                <w:u w:val="none" w:color="auto"/>
                <w:lang w:eastAsia="zh-CN"/>
              </w:rPr>
              <w:t>表</w:t>
            </w:r>
            <w:r>
              <w:rPr>
                <w:rFonts w:hint="eastAsia" w:cs="Times New Roman"/>
                <w:b/>
                <w:bCs/>
                <w:color w:val="auto"/>
                <w:kern w:val="0"/>
                <w:sz w:val="21"/>
                <w:szCs w:val="21"/>
                <w:highlight w:val="none"/>
                <w:u w:val="none" w:color="auto"/>
                <w:lang w:val="en-US" w:eastAsia="zh-CN"/>
              </w:rPr>
              <w:t xml:space="preserve">11  </w:t>
            </w:r>
            <w:r>
              <w:rPr>
                <w:rFonts w:hint="default" w:ascii="Times New Roman" w:hAnsi="Times New Roman" w:eastAsia="宋体" w:cs="Times New Roman"/>
                <w:b/>
                <w:bCs/>
                <w:color w:val="auto"/>
                <w:kern w:val="0"/>
                <w:sz w:val="21"/>
                <w:szCs w:val="21"/>
                <w:highlight w:val="none"/>
                <w:u w:val="none" w:color="auto"/>
              </w:rPr>
              <w:t>项目组成一览表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767"/>
              <w:gridCol w:w="4601"/>
              <w:gridCol w:w="2108"/>
            </w:tblGrid>
            <w:tr w14:paraId="27E06E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87" w:type="pct"/>
                  <w:tcBorders>
                    <w:tl2br w:val="nil"/>
                    <w:tr2bl w:val="nil"/>
                  </w:tcBorders>
                  <w:noWrap w:val="0"/>
                  <w:vAlign w:val="center"/>
                </w:tcPr>
                <w:p w14:paraId="33ECE04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color w:val="auto"/>
                      <w:szCs w:val="21"/>
                      <w:highlight w:val="none"/>
                      <w:u w:val="none" w:color="auto"/>
                    </w:rPr>
                  </w:pPr>
                  <w:r>
                    <w:rPr>
                      <w:rFonts w:hint="default" w:ascii="Times New Roman" w:hAnsi="Times New Roman" w:eastAsia="宋体" w:cs="Times New Roman"/>
                      <w:b/>
                      <w:color w:val="auto"/>
                      <w:szCs w:val="21"/>
                      <w:highlight w:val="none"/>
                      <w:u w:val="none" w:color="auto"/>
                    </w:rPr>
                    <w:t>类别</w:t>
                  </w:r>
                </w:p>
              </w:tc>
              <w:tc>
                <w:tcPr>
                  <w:tcW w:w="961" w:type="pct"/>
                  <w:tcBorders>
                    <w:tl2br w:val="nil"/>
                    <w:tr2bl w:val="nil"/>
                  </w:tcBorders>
                  <w:noWrap w:val="0"/>
                  <w:vAlign w:val="center"/>
                </w:tcPr>
                <w:p w14:paraId="4856534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color w:val="auto"/>
                      <w:szCs w:val="21"/>
                      <w:highlight w:val="none"/>
                      <w:u w:val="none" w:color="auto"/>
                    </w:rPr>
                  </w:pPr>
                  <w:r>
                    <w:rPr>
                      <w:rFonts w:hint="default" w:ascii="Times New Roman" w:hAnsi="Times New Roman" w:eastAsia="宋体" w:cs="Times New Roman"/>
                      <w:b/>
                      <w:color w:val="auto"/>
                      <w:szCs w:val="21"/>
                      <w:highlight w:val="none"/>
                      <w:u w:val="none" w:color="auto"/>
                    </w:rPr>
                    <w:t>名称</w:t>
                  </w:r>
                </w:p>
              </w:tc>
              <w:tc>
                <w:tcPr>
                  <w:tcW w:w="2503" w:type="pct"/>
                  <w:tcBorders>
                    <w:tl2br w:val="nil"/>
                    <w:tr2bl w:val="nil"/>
                  </w:tcBorders>
                  <w:noWrap w:val="0"/>
                  <w:vAlign w:val="center"/>
                </w:tcPr>
                <w:p w14:paraId="1CCDFEE8">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color w:val="auto"/>
                      <w:szCs w:val="21"/>
                      <w:highlight w:val="none"/>
                      <w:u w:val="none" w:color="auto"/>
                    </w:rPr>
                  </w:pPr>
                  <w:r>
                    <w:rPr>
                      <w:rFonts w:hint="default" w:ascii="Times New Roman" w:hAnsi="Times New Roman" w:eastAsia="宋体" w:cs="Times New Roman"/>
                      <w:b/>
                      <w:color w:val="auto"/>
                      <w:szCs w:val="21"/>
                      <w:highlight w:val="none"/>
                      <w:u w:val="none" w:color="auto"/>
                    </w:rPr>
                    <w:t>建设内容及规模</w:t>
                  </w:r>
                </w:p>
              </w:tc>
              <w:tc>
                <w:tcPr>
                  <w:tcW w:w="1147" w:type="pct"/>
                  <w:tcBorders>
                    <w:tl2br w:val="nil"/>
                    <w:tr2bl w:val="nil"/>
                  </w:tcBorders>
                  <w:noWrap w:val="0"/>
                  <w:vAlign w:val="center"/>
                </w:tcPr>
                <w:p w14:paraId="74F4C2F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color w:val="auto"/>
                      <w:szCs w:val="21"/>
                      <w:highlight w:val="none"/>
                      <w:u w:val="none" w:color="auto"/>
                      <w:lang w:eastAsia="zh-CN"/>
                    </w:rPr>
                  </w:pPr>
                  <w:r>
                    <w:rPr>
                      <w:rFonts w:hint="default" w:ascii="Times New Roman" w:hAnsi="Times New Roman" w:eastAsia="宋体" w:cs="Times New Roman"/>
                      <w:b/>
                      <w:color w:val="auto"/>
                      <w:szCs w:val="21"/>
                      <w:highlight w:val="none"/>
                      <w:u w:val="none" w:color="auto"/>
                      <w:lang w:eastAsia="zh-CN"/>
                    </w:rPr>
                    <w:t>备注</w:t>
                  </w:r>
                </w:p>
              </w:tc>
            </w:tr>
            <w:tr w14:paraId="398FA7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387" w:type="pct"/>
                  <w:tcBorders>
                    <w:tl2br w:val="nil"/>
                    <w:tr2bl w:val="nil"/>
                  </w:tcBorders>
                  <w:noWrap w:val="0"/>
                  <w:vAlign w:val="center"/>
                </w:tcPr>
                <w:p w14:paraId="00217AF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lang w:eastAsia="zh-CN"/>
                    </w:rPr>
                  </w:pPr>
                  <w:r>
                    <w:rPr>
                      <w:rFonts w:hint="default" w:ascii="Times New Roman" w:hAnsi="Times New Roman" w:eastAsia="宋体" w:cs="Times New Roman"/>
                      <w:color w:val="auto"/>
                      <w:szCs w:val="21"/>
                      <w:highlight w:val="none"/>
                      <w:u w:val="none" w:color="auto"/>
                    </w:rPr>
                    <w:t>主体</w:t>
                  </w:r>
                  <w:r>
                    <w:rPr>
                      <w:rFonts w:hint="default" w:ascii="Times New Roman" w:hAnsi="Times New Roman" w:eastAsia="宋体" w:cs="Times New Roman"/>
                      <w:color w:val="auto"/>
                      <w:szCs w:val="21"/>
                      <w:highlight w:val="none"/>
                      <w:u w:val="none" w:color="auto"/>
                      <w:lang w:eastAsia="zh-CN"/>
                    </w:rPr>
                    <w:t>工程</w:t>
                  </w:r>
                </w:p>
              </w:tc>
              <w:tc>
                <w:tcPr>
                  <w:tcW w:w="961" w:type="pct"/>
                  <w:tcBorders>
                    <w:tl2br w:val="nil"/>
                    <w:tr2bl w:val="nil"/>
                  </w:tcBorders>
                  <w:noWrap w:val="0"/>
                  <w:vAlign w:val="center"/>
                </w:tcPr>
                <w:p w14:paraId="6EDE171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生产车间</w:t>
                  </w:r>
                  <w:r>
                    <w:rPr>
                      <w:rFonts w:hint="eastAsia" w:ascii="Times New Roman" w:hAnsi="Times New Roman" w:eastAsia="宋体" w:cs="Times New Roman"/>
                      <w:color w:val="auto"/>
                      <w:lang w:val="en-US" w:eastAsia="zh-CN"/>
                    </w:rPr>
                    <w:t>#1</w:t>
                  </w:r>
                </w:p>
              </w:tc>
              <w:tc>
                <w:tcPr>
                  <w:tcW w:w="2503" w:type="pct"/>
                  <w:tcBorders>
                    <w:tl2br w:val="nil"/>
                    <w:tr2bl w:val="nil"/>
                  </w:tcBorders>
                  <w:noWrap w:val="0"/>
                  <w:vAlign w:val="center"/>
                </w:tcPr>
                <w:p w14:paraId="2099EBA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vertAlign w:val="baseline"/>
                      <w:lang w:val="en-US" w:eastAsia="zh-CN"/>
                    </w:rPr>
                  </w:pPr>
                  <w:r>
                    <w:rPr>
                      <w:rFonts w:hint="default" w:ascii="Times New Roman" w:hAnsi="Times New Roman" w:eastAsia="宋体" w:cs="Times New Roman"/>
                      <w:b w:val="0"/>
                      <w:bCs w:val="0"/>
                      <w:color w:val="auto"/>
                      <w:szCs w:val="21"/>
                      <w:highlight w:val="none"/>
                      <w:u w:val="none" w:color="auto"/>
                      <w:lang w:val="en-US" w:eastAsia="zh-CN"/>
                    </w:rPr>
                    <w:t>钢结构，1F，建筑面积</w:t>
                  </w:r>
                  <w:r>
                    <w:rPr>
                      <w:rFonts w:hint="eastAsia" w:cs="Times New Roman"/>
                      <w:b w:val="0"/>
                      <w:bCs w:val="0"/>
                      <w:color w:val="auto"/>
                      <w:szCs w:val="21"/>
                      <w:highlight w:val="none"/>
                      <w:u w:val="none" w:color="auto"/>
                      <w:lang w:val="en-US" w:eastAsia="zh-CN"/>
                    </w:rPr>
                    <w:t>53</w:t>
                  </w:r>
                  <w:r>
                    <w:rPr>
                      <w:rFonts w:hint="eastAsia" w:ascii="Times New Roman" w:hAnsi="Times New Roman" w:eastAsia="宋体" w:cs="Times New Roman"/>
                      <w:b w:val="0"/>
                      <w:bCs w:val="0"/>
                      <w:color w:val="auto"/>
                      <w:szCs w:val="21"/>
                      <w:highlight w:val="none"/>
                      <w:u w:val="none" w:color="auto"/>
                      <w:lang w:val="en-US" w:eastAsia="zh-CN"/>
                    </w:rPr>
                    <w:t>00</w:t>
                  </w:r>
                  <w:r>
                    <w:rPr>
                      <w:rFonts w:hint="default" w:ascii="Times New Roman" w:hAnsi="Times New Roman" w:eastAsia="宋体" w:cs="Times New Roman"/>
                      <w:b w:val="0"/>
                      <w:bCs w:val="0"/>
                      <w:color w:val="auto"/>
                      <w:szCs w:val="21"/>
                      <w:highlight w:val="none"/>
                      <w:u w:val="none" w:color="auto"/>
                      <w:lang w:val="en-US" w:eastAsia="zh-CN"/>
                    </w:rPr>
                    <w:t>m</w:t>
                  </w:r>
                  <w:r>
                    <w:rPr>
                      <w:rFonts w:hint="default" w:ascii="Times New Roman" w:hAnsi="Times New Roman" w:eastAsia="宋体" w:cs="Times New Roman"/>
                      <w:b w:val="0"/>
                      <w:bCs w:val="0"/>
                      <w:color w:val="auto"/>
                      <w:szCs w:val="21"/>
                      <w:highlight w:val="none"/>
                      <w:u w:val="none" w:color="auto"/>
                      <w:vertAlign w:val="superscript"/>
                      <w:lang w:val="en-US" w:eastAsia="zh-CN"/>
                    </w:rPr>
                    <w:t>2</w:t>
                  </w:r>
                  <w:r>
                    <w:rPr>
                      <w:rFonts w:hint="eastAsia" w:ascii="Times New Roman" w:hAnsi="Times New Roman" w:eastAsia="宋体" w:cs="Times New Roman"/>
                      <w:b w:val="0"/>
                      <w:bCs w:val="0"/>
                      <w:color w:val="auto"/>
                      <w:szCs w:val="21"/>
                      <w:highlight w:val="none"/>
                      <w:u w:val="none" w:color="auto"/>
                      <w:vertAlign w:val="baseline"/>
                      <w:lang w:val="en-US" w:eastAsia="zh-CN"/>
                    </w:rPr>
                    <w:t>，生产制造</w:t>
                  </w:r>
                  <w:r>
                    <w:rPr>
                      <w:rFonts w:hint="eastAsia" w:cs="Times New Roman"/>
                      <w:b w:val="0"/>
                      <w:bCs w:val="0"/>
                      <w:color w:val="auto"/>
                      <w:szCs w:val="21"/>
                      <w:highlight w:val="none"/>
                      <w:u w:val="none" w:color="auto"/>
                      <w:vertAlign w:val="baseline"/>
                      <w:lang w:val="en-US" w:eastAsia="zh-CN"/>
                    </w:rPr>
                    <w:t>。</w:t>
                  </w:r>
                </w:p>
              </w:tc>
              <w:tc>
                <w:tcPr>
                  <w:tcW w:w="1147" w:type="pct"/>
                  <w:tcBorders>
                    <w:tl2br w:val="nil"/>
                    <w:tr2bl w:val="nil"/>
                  </w:tcBorders>
                  <w:noWrap w:val="0"/>
                  <w:vAlign w:val="center"/>
                </w:tcPr>
                <w:p w14:paraId="00C98A2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val="en-US" w:eastAsia="zh-CN"/>
                    </w:rPr>
                  </w:pPr>
                  <w:r>
                    <w:rPr>
                      <w:rFonts w:hint="eastAsia" w:ascii="Times New Roman" w:hAnsi="Times New Roman" w:eastAsia="宋体" w:cs="Times New Roman"/>
                      <w:b w:val="0"/>
                      <w:bCs w:val="0"/>
                      <w:color w:val="auto"/>
                      <w:szCs w:val="21"/>
                      <w:highlight w:val="none"/>
                      <w:u w:val="none" w:color="auto"/>
                      <w:lang w:val="en-US" w:eastAsia="zh-CN"/>
                    </w:rPr>
                    <w:t>依托现有</w:t>
                  </w:r>
                </w:p>
              </w:tc>
            </w:tr>
            <w:tr w14:paraId="4B0ED3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387" w:type="pct"/>
                  <w:vMerge w:val="restart"/>
                  <w:tcBorders>
                    <w:tl2br w:val="nil"/>
                    <w:tr2bl w:val="nil"/>
                  </w:tcBorders>
                  <w:noWrap w:val="0"/>
                  <w:vAlign w:val="center"/>
                </w:tcPr>
                <w:p w14:paraId="180B9F07">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辅助工程</w:t>
                  </w:r>
                </w:p>
              </w:tc>
              <w:tc>
                <w:tcPr>
                  <w:tcW w:w="961" w:type="pct"/>
                  <w:tcBorders>
                    <w:tl2br w:val="nil"/>
                    <w:tr2bl w:val="nil"/>
                  </w:tcBorders>
                  <w:noWrap w:val="0"/>
                  <w:vAlign w:val="center"/>
                </w:tcPr>
                <w:p w14:paraId="30F0B5F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val="en-US" w:eastAsia="zh-CN"/>
                    </w:rPr>
                  </w:pPr>
                  <w:r>
                    <w:rPr>
                      <w:rFonts w:hint="eastAsia" w:ascii="Times New Roman" w:hAnsi="Times New Roman" w:eastAsia="宋体" w:cs="Times New Roman"/>
                      <w:b w:val="0"/>
                      <w:bCs w:val="0"/>
                      <w:color w:val="auto"/>
                      <w:szCs w:val="21"/>
                      <w:highlight w:val="none"/>
                      <w:u w:val="none" w:color="auto"/>
                      <w:lang w:val="en-US" w:eastAsia="zh-CN"/>
                    </w:rPr>
                    <w:t>办公室</w:t>
                  </w:r>
                </w:p>
              </w:tc>
              <w:tc>
                <w:tcPr>
                  <w:tcW w:w="2503" w:type="pct"/>
                  <w:tcBorders>
                    <w:tl2br w:val="nil"/>
                    <w:tr2bl w:val="nil"/>
                  </w:tcBorders>
                  <w:noWrap w:val="0"/>
                  <w:vAlign w:val="center"/>
                </w:tcPr>
                <w:p w14:paraId="018099A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val="en-US" w:eastAsia="zh-CN"/>
                    </w:rPr>
                  </w:pPr>
                  <w:r>
                    <w:rPr>
                      <w:rFonts w:hint="eastAsia" w:ascii="Times New Roman" w:hAnsi="Times New Roman" w:eastAsia="宋体" w:cs="Times New Roman"/>
                      <w:b w:val="0"/>
                      <w:bCs w:val="0"/>
                      <w:color w:val="auto"/>
                      <w:szCs w:val="21"/>
                      <w:highlight w:val="none"/>
                      <w:u w:val="none" w:color="auto"/>
                      <w:lang w:eastAsia="zh-CN"/>
                    </w:rPr>
                    <w:t>砖混结构，</w:t>
                  </w:r>
                  <w:r>
                    <w:rPr>
                      <w:rFonts w:hint="eastAsia" w:ascii="Times New Roman" w:hAnsi="Times New Roman" w:eastAsia="宋体" w:cs="Times New Roman"/>
                      <w:b w:val="0"/>
                      <w:bCs w:val="0"/>
                      <w:color w:val="auto"/>
                      <w:szCs w:val="21"/>
                      <w:highlight w:val="none"/>
                      <w:u w:val="none" w:color="auto"/>
                      <w:lang w:val="en-US" w:eastAsia="zh-CN"/>
                    </w:rPr>
                    <w:t>3</w:t>
                  </w:r>
                  <w:r>
                    <w:rPr>
                      <w:rFonts w:hint="eastAsia" w:ascii="Times New Roman" w:hAnsi="Times New Roman" w:eastAsia="宋体" w:cs="Times New Roman"/>
                      <w:b w:val="0"/>
                      <w:bCs w:val="0"/>
                      <w:color w:val="auto"/>
                      <w:szCs w:val="21"/>
                      <w:highlight w:val="none"/>
                      <w:u w:val="none" w:color="auto"/>
                      <w:lang w:eastAsia="zh-CN"/>
                    </w:rPr>
                    <w:t>F，建筑面积</w:t>
                  </w:r>
                  <w:r>
                    <w:rPr>
                      <w:rFonts w:hint="eastAsia" w:ascii="Times New Roman" w:hAnsi="Times New Roman" w:eastAsia="宋体" w:cs="Times New Roman"/>
                      <w:b w:val="0"/>
                      <w:bCs w:val="0"/>
                      <w:color w:val="auto"/>
                      <w:szCs w:val="21"/>
                      <w:highlight w:val="none"/>
                      <w:u w:val="none" w:color="auto"/>
                      <w:lang w:val="en-US" w:eastAsia="zh-CN"/>
                    </w:rPr>
                    <w:t>1800m</w:t>
                  </w:r>
                  <w:r>
                    <w:rPr>
                      <w:rFonts w:hint="eastAsia" w:ascii="Times New Roman" w:hAnsi="Times New Roman" w:eastAsia="宋体" w:cs="Times New Roman"/>
                      <w:b w:val="0"/>
                      <w:bCs w:val="0"/>
                      <w:color w:val="auto"/>
                      <w:szCs w:val="21"/>
                      <w:highlight w:val="none"/>
                      <w:u w:val="none" w:color="auto"/>
                      <w:vertAlign w:val="superscript"/>
                      <w:lang w:val="en-US" w:eastAsia="zh-CN"/>
                    </w:rPr>
                    <w:t>2</w:t>
                  </w:r>
                  <w:r>
                    <w:rPr>
                      <w:rFonts w:hint="eastAsia" w:ascii="Times New Roman" w:hAnsi="Times New Roman" w:eastAsia="宋体" w:cs="Times New Roman"/>
                      <w:b w:val="0"/>
                      <w:bCs w:val="0"/>
                      <w:color w:val="auto"/>
                      <w:szCs w:val="21"/>
                      <w:highlight w:val="none"/>
                      <w:u w:val="none" w:color="auto"/>
                      <w:lang w:val="en-US" w:eastAsia="zh-CN"/>
                    </w:rPr>
                    <w:t>，办公、休息</w:t>
                  </w:r>
                  <w:r>
                    <w:rPr>
                      <w:rFonts w:hint="eastAsia" w:cs="Times New Roman"/>
                      <w:b w:val="0"/>
                      <w:bCs w:val="0"/>
                      <w:color w:val="auto"/>
                      <w:szCs w:val="21"/>
                      <w:highlight w:val="none"/>
                      <w:u w:val="none" w:color="auto"/>
                      <w:lang w:val="en-US" w:eastAsia="zh-CN"/>
                    </w:rPr>
                    <w:t>。</w:t>
                  </w:r>
                </w:p>
              </w:tc>
              <w:tc>
                <w:tcPr>
                  <w:tcW w:w="1147" w:type="pct"/>
                  <w:tcBorders>
                    <w:tl2br w:val="nil"/>
                    <w:tr2bl w:val="nil"/>
                  </w:tcBorders>
                  <w:noWrap w:val="0"/>
                  <w:vAlign w:val="center"/>
                </w:tcPr>
                <w:p w14:paraId="3ED8399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eastAsia="zh-CN"/>
                    </w:rPr>
                  </w:pPr>
                  <w:r>
                    <w:rPr>
                      <w:rFonts w:hint="eastAsia" w:ascii="Times New Roman" w:hAnsi="Times New Roman" w:eastAsia="宋体" w:cs="Times New Roman"/>
                      <w:b w:val="0"/>
                      <w:bCs w:val="0"/>
                      <w:color w:val="auto"/>
                      <w:szCs w:val="21"/>
                      <w:highlight w:val="none"/>
                      <w:u w:val="none" w:color="auto"/>
                      <w:lang w:val="en-US" w:eastAsia="zh-CN"/>
                    </w:rPr>
                    <w:t>依托</w:t>
                  </w:r>
                  <w:r>
                    <w:rPr>
                      <w:rFonts w:hint="eastAsia" w:ascii="Times New Roman" w:hAnsi="Times New Roman" w:eastAsia="宋体" w:cs="Times New Roman"/>
                      <w:b w:val="0"/>
                      <w:bCs w:val="0"/>
                      <w:color w:val="auto"/>
                      <w:szCs w:val="21"/>
                      <w:highlight w:val="none"/>
                      <w:u w:val="none" w:color="auto"/>
                      <w:lang w:eastAsia="zh-CN"/>
                    </w:rPr>
                    <w:t>现有</w:t>
                  </w:r>
                </w:p>
              </w:tc>
            </w:tr>
            <w:tr w14:paraId="7413CA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387" w:type="pct"/>
                  <w:vMerge w:val="continue"/>
                  <w:tcBorders>
                    <w:tl2br w:val="nil"/>
                    <w:tr2bl w:val="nil"/>
                  </w:tcBorders>
                  <w:noWrap w:val="0"/>
                  <w:vAlign w:val="center"/>
                </w:tcPr>
                <w:p w14:paraId="4B7B675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eastAsia="zh-CN"/>
                    </w:rPr>
                  </w:pPr>
                </w:p>
              </w:tc>
              <w:tc>
                <w:tcPr>
                  <w:tcW w:w="961" w:type="pct"/>
                  <w:tcBorders>
                    <w:tl2br w:val="nil"/>
                    <w:tr2bl w:val="nil"/>
                  </w:tcBorders>
                  <w:noWrap w:val="0"/>
                  <w:vAlign w:val="center"/>
                </w:tcPr>
                <w:p w14:paraId="518F84B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val="en-US" w:eastAsia="zh-CN"/>
                    </w:rPr>
                  </w:pPr>
                  <w:r>
                    <w:rPr>
                      <w:rFonts w:hint="eastAsia" w:ascii="Times New Roman" w:hAnsi="Times New Roman" w:eastAsia="宋体" w:cs="Times New Roman"/>
                      <w:b w:val="0"/>
                      <w:bCs w:val="0"/>
                      <w:color w:val="auto"/>
                      <w:szCs w:val="21"/>
                      <w:highlight w:val="none"/>
                      <w:u w:val="none" w:color="auto"/>
                      <w:lang w:val="en-US" w:eastAsia="zh-CN"/>
                    </w:rPr>
                    <w:t>配电室</w:t>
                  </w:r>
                </w:p>
              </w:tc>
              <w:tc>
                <w:tcPr>
                  <w:tcW w:w="2503" w:type="pct"/>
                  <w:tcBorders>
                    <w:tl2br w:val="nil"/>
                    <w:tr2bl w:val="nil"/>
                  </w:tcBorders>
                  <w:noWrap w:val="0"/>
                  <w:vAlign w:val="center"/>
                </w:tcPr>
                <w:p w14:paraId="29A3044F">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b w:val="0"/>
                      <w:bCs w:val="0"/>
                      <w:color w:val="auto"/>
                      <w:szCs w:val="21"/>
                      <w:highlight w:val="none"/>
                      <w:u w:val="none" w:color="auto"/>
                      <w:lang w:val="en-US" w:eastAsia="zh-CN"/>
                    </w:rPr>
                  </w:pPr>
                  <w:r>
                    <w:rPr>
                      <w:rFonts w:hint="default" w:ascii="Times New Roman" w:hAnsi="Times New Roman" w:eastAsia="宋体" w:cs="Times New Roman"/>
                      <w:color w:val="auto"/>
                    </w:rPr>
                    <w:t>钢结构，1F，建筑面积</w:t>
                  </w:r>
                  <w:r>
                    <w:rPr>
                      <w:rFonts w:hint="eastAsia" w:ascii="Times New Roman" w:hAnsi="Times New Roman" w:eastAsia="宋体" w:cs="Times New Roman"/>
                      <w:color w:val="auto"/>
                      <w:lang w:val="en-US" w:eastAsia="zh-CN"/>
                    </w:rPr>
                    <w:t>220</w:t>
                  </w:r>
                  <w:r>
                    <w:rPr>
                      <w:rFonts w:hint="default" w:ascii="Times New Roman" w:hAnsi="Times New Roman" w:eastAsia="宋体" w:cs="Times New Roman"/>
                      <w:color w:val="auto"/>
                      <w:sz w:val="21"/>
                      <w:szCs w:val="24"/>
                      <w:u w:val="none" w:color="auto"/>
                    </w:rPr>
                    <w:t>m</w:t>
                  </w:r>
                  <w:r>
                    <w:rPr>
                      <w:rFonts w:hint="default" w:ascii="Times New Roman" w:hAnsi="Times New Roman" w:eastAsia="宋体" w:cs="Times New Roman"/>
                      <w:color w:val="auto"/>
                      <w:sz w:val="21"/>
                      <w:szCs w:val="24"/>
                      <w:u w:val="none" w:color="auto"/>
                      <w:vertAlign w:val="superscript"/>
                    </w:rPr>
                    <w:t>2</w:t>
                  </w:r>
                  <w:r>
                    <w:rPr>
                      <w:rFonts w:hint="eastAsia" w:ascii="Times New Roman" w:hAnsi="Times New Roman" w:eastAsia="宋体" w:cs="Times New Roman"/>
                      <w:color w:val="auto"/>
                      <w:sz w:val="21"/>
                      <w:szCs w:val="24"/>
                      <w:u w:val="none" w:color="auto"/>
                      <w:lang w:eastAsia="zh-CN"/>
                    </w:rPr>
                    <w:t>，供电。</w:t>
                  </w:r>
                </w:p>
              </w:tc>
              <w:tc>
                <w:tcPr>
                  <w:tcW w:w="1147" w:type="pct"/>
                  <w:tcBorders>
                    <w:tl2br w:val="nil"/>
                    <w:tr2bl w:val="nil"/>
                  </w:tcBorders>
                  <w:noWrap w:val="0"/>
                  <w:vAlign w:val="center"/>
                </w:tcPr>
                <w:p w14:paraId="21104CB8">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依托现有</w:t>
                  </w:r>
                </w:p>
              </w:tc>
            </w:tr>
            <w:tr w14:paraId="071C58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87" w:type="pct"/>
                  <w:tcBorders>
                    <w:tl2br w:val="nil"/>
                    <w:tr2bl w:val="nil"/>
                  </w:tcBorders>
                  <w:noWrap w:val="0"/>
                  <w:vAlign w:val="center"/>
                </w:tcPr>
                <w:p w14:paraId="7886CFF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eastAsia="zh-CN"/>
                    </w:rPr>
                  </w:pPr>
                  <w:r>
                    <w:rPr>
                      <w:rFonts w:hint="default" w:ascii="Times New Roman" w:hAnsi="Times New Roman" w:eastAsia="宋体" w:cs="Times New Roman"/>
                      <w:b w:val="0"/>
                      <w:bCs w:val="0"/>
                      <w:color w:val="auto"/>
                      <w:szCs w:val="21"/>
                      <w:highlight w:val="none"/>
                      <w:u w:val="none" w:color="auto"/>
                      <w:lang w:eastAsia="zh-CN"/>
                    </w:rPr>
                    <w:t>储运工程</w:t>
                  </w:r>
                </w:p>
              </w:tc>
              <w:tc>
                <w:tcPr>
                  <w:tcW w:w="961" w:type="pct"/>
                  <w:tcBorders>
                    <w:tl2br w:val="nil"/>
                    <w:tr2bl w:val="nil"/>
                  </w:tcBorders>
                  <w:noWrap w:val="0"/>
                  <w:vAlign w:val="center"/>
                </w:tcPr>
                <w:p w14:paraId="6B88A0F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b w:val="0"/>
                      <w:bCs w:val="0"/>
                      <w:color w:val="auto"/>
                      <w:szCs w:val="21"/>
                      <w:highlight w:val="none"/>
                      <w:u w:val="none" w:color="auto"/>
                      <w:lang w:val="en-US" w:eastAsia="zh-CN"/>
                    </w:rPr>
                    <w:t>仓库</w:t>
                  </w:r>
                </w:p>
              </w:tc>
              <w:tc>
                <w:tcPr>
                  <w:tcW w:w="2503" w:type="pct"/>
                  <w:tcBorders>
                    <w:tl2br w:val="nil"/>
                    <w:tr2bl w:val="nil"/>
                  </w:tcBorders>
                  <w:noWrap w:val="0"/>
                  <w:vAlign w:val="center"/>
                </w:tcPr>
                <w:p w14:paraId="64960FD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eastAsia" w:ascii="Times New Roman" w:hAnsi="Times New Roman" w:eastAsia="宋体" w:cs="Times New Roman"/>
                      <w:color w:val="auto"/>
                    </w:rPr>
                    <w:t>钢结构，1F，建筑面积</w:t>
                  </w:r>
                  <w:r>
                    <w:rPr>
                      <w:rFonts w:hint="eastAsia" w:ascii="Times New Roman" w:hAnsi="Times New Roman" w:eastAsia="宋体" w:cs="Times New Roman"/>
                      <w:color w:val="auto"/>
                      <w:lang w:val="en-US" w:eastAsia="zh-CN"/>
                    </w:rPr>
                    <w:t>2</w:t>
                  </w:r>
                  <w:r>
                    <w:rPr>
                      <w:rFonts w:hint="eastAsia" w:cs="Times New Roman"/>
                      <w:color w:val="auto"/>
                      <w:lang w:val="en-US" w:eastAsia="zh-CN"/>
                    </w:rPr>
                    <w:t>8</w:t>
                  </w:r>
                  <w:r>
                    <w:rPr>
                      <w:rFonts w:hint="eastAsia" w:ascii="Times New Roman" w:hAnsi="Times New Roman" w:eastAsia="宋体" w:cs="Times New Roman"/>
                      <w:color w:val="auto"/>
                      <w:lang w:val="en-US" w:eastAsia="zh-CN"/>
                    </w:rPr>
                    <w:t>00</w:t>
                  </w:r>
                  <w:r>
                    <w:rPr>
                      <w:rFonts w:hint="eastAsia" w:ascii="Times New Roman" w:hAnsi="Times New Roman" w:eastAsia="宋体" w:cs="Times New Roman"/>
                      <w:color w:val="auto"/>
                      <w:sz w:val="21"/>
                      <w:szCs w:val="24"/>
                      <w:u w:val="none" w:color="auto"/>
                    </w:rPr>
                    <w:t>m</w:t>
                  </w:r>
                  <w:r>
                    <w:rPr>
                      <w:rFonts w:hint="eastAsia" w:ascii="Times New Roman" w:hAnsi="Times New Roman" w:eastAsia="宋体" w:cs="Times New Roman"/>
                      <w:color w:val="auto"/>
                      <w:sz w:val="21"/>
                      <w:szCs w:val="24"/>
                      <w:u w:val="none" w:color="auto"/>
                      <w:vertAlign w:val="superscript"/>
                    </w:rPr>
                    <w:t>2</w:t>
                  </w:r>
                  <w:r>
                    <w:rPr>
                      <w:rFonts w:hint="eastAsia" w:ascii="Times New Roman" w:hAnsi="Times New Roman" w:eastAsia="宋体" w:cs="Times New Roman"/>
                      <w:color w:val="auto"/>
                      <w:lang w:val="en-US" w:eastAsia="zh-CN"/>
                    </w:rPr>
                    <w:t>，用于存放原材料、成品。</w:t>
                  </w:r>
                </w:p>
              </w:tc>
              <w:tc>
                <w:tcPr>
                  <w:tcW w:w="1147" w:type="pct"/>
                  <w:tcBorders>
                    <w:tl2br w:val="nil"/>
                    <w:tr2bl w:val="nil"/>
                  </w:tcBorders>
                  <w:noWrap w:val="0"/>
                  <w:vAlign w:val="center"/>
                </w:tcPr>
                <w:p w14:paraId="7A6EC22E">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rPr>
                    <w:t>依托现有</w:t>
                  </w:r>
                </w:p>
              </w:tc>
            </w:tr>
            <w:tr w14:paraId="569778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87" w:type="pct"/>
                  <w:vMerge w:val="restart"/>
                  <w:tcBorders>
                    <w:tl2br w:val="nil"/>
                    <w:tr2bl w:val="nil"/>
                  </w:tcBorders>
                  <w:noWrap w:val="0"/>
                  <w:vAlign w:val="center"/>
                </w:tcPr>
                <w:p w14:paraId="52C1842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公用</w:t>
                  </w:r>
                </w:p>
                <w:p w14:paraId="51888B8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工程</w:t>
                  </w:r>
                </w:p>
              </w:tc>
              <w:tc>
                <w:tcPr>
                  <w:tcW w:w="961" w:type="pct"/>
                  <w:tcBorders>
                    <w:tl2br w:val="nil"/>
                    <w:tr2bl w:val="nil"/>
                  </w:tcBorders>
                  <w:noWrap w:val="0"/>
                  <w:vAlign w:val="center"/>
                </w:tcPr>
                <w:p w14:paraId="4410C68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给水</w:t>
                  </w:r>
                </w:p>
              </w:tc>
              <w:tc>
                <w:tcPr>
                  <w:tcW w:w="2503" w:type="pct"/>
                  <w:tcBorders>
                    <w:tl2br w:val="nil"/>
                    <w:tr2bl w:val="nil"/>
                  </w:tcBorders>
                  <w:noWrap w:val="0"/>
                  <w:vAlign w:val="center"/>
                </w:tcPr>
                <w:p w14:paraId="35049B8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0" w:lineRule="atLeast"/>
                    <w:ind w:left="-107" w:leftChars="-51" w:right="-23" w:rightChars="-11"/>
                    <w:jc w:val="center"/>
                    <w:textAlignment w:val="auto"/>
                    <w:rPr>
                      <w:rFonts w:hint="eastAsia" w:ascii="Times New Roman" w:hAnsi="Times New Roman" w:eastAsia="宋体" w:cs="Times New Roman"/>
                      <w:b w:val="0"/>
                      <w:bCs w:val="0"/>
                      <w:color w:val="auto"/>
                      <w:szCs w:val="21"/>
                      <w:highlight w:val="none"/>
                      <w:u w:val="none" w:color="auto"/>
                      <w:lang w:val="en-US" w:eastAsia="zh-CN"/>
                    </w:rPr>
                  </w:pPr>
                  <w:r>
                    <w:rPr>
                      <w:rFonts w:hint="default" w:ascii="Times New Roman" w:hAnsi="Times New Roman" w:eastAsia="宋体" w:cs="Times New Roman"/>
                      <w:color w:val="auto"/>
                      <w:lang w:val="en-US" w:eastAsia="zh-CN"/>
                    </w:rPr>
                    <w:t>项目区内有</w:t>
                  </w:r>
                  <w:r>
                    <w:rPr>
                      <w:rFonts w:hint="eastAsia" w:cs="Times New Roman"/>
                      <w:color w:val="auto"/>
                      <w:lang w:val="en-US" w:eastAsia="zh-CN"/>
                    </w:rPr>
                    <w:t>自备</w:t>
                  </w:r>
                  <w:r>
                    <w:rPr>
                      <w:rFonts w:hint="default" w:ascii="Times New Roman" w:hAnsi="Times New Roman" w:eastAsia="宋体" w:cs="Times New Roman"/>
                      <w:color w:val="auto"/>
                      <w:lang w:val="en-US" w:eastAsia="zh-CN"/>
                    </w:rPr>
                    <w:t>井，可以满足项目需求</w:t>
                  </w:r>
                  <w:r>
                    <w:rPr>
                      <w:rFonts w:hint="eastAsia" w:cs="Times New Roman"/>
                      <w:color w:val="auto"/>
                      <w:lang w:val="en-US" w:eastAsia="zh-CN"/>
                    </w:rPr>
                    <w:t>。</w:t>
                  </w:r>
                  <w:r>
                    <w:rPr>
                      <w:rFonts w:hint="eastAsia" w:ascii="Times New Roman" w:hAnsi="Times New Roman" w:eastAsia="宋体" w:cs="Times New Roman"/>
                      <w:color w:val="auto"/>
                      <w:lang w:val="en-US" w:eastAsia="zh-CN"/>
                    </w:rPr>
                    <w:t>待集中供水实施后停用自备井，改用集中供水。</w:t>
                  </w:r>
                </w:p>
              </w:tc>
              <w:tc>
                <w:tcPr>
                  <w:tcW w:w="1147" w:type="pct"/>
                  <w:tcBorders>
                    <w:tl2br w:val="nil"/>
                    <w:tr2bl w:val="nil"/>
                  </w:tcBorders>
                  <w:noWrap w:val="0"/>
                  <w:vAlign w:val="center"/>
                </w:tcPr>
                <w:p w14:paraId="65A9615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val="en-US" w:eastAsia="zh-CN"/>
                    </w:rPr>
                  </w:pPr>
                  <w:r>
                    <w:rPr>
                      <w:rFonts w:hint="eastAsia" w:cs="Times New Roman"/>
                      <w:b w:val="0"/>
                      <w:bCs w:val="0"/>
                      <w:color w:val="auto"/>
                      <w:szCs w:val="21"/>
                      <w:highlight w:val="none"/>
                      <w:u w:val="none" w:color="auto"/>
                      <w:lang w:val="en-US" w:eastAsia="zh-CN"/>
                    </w:rPr>
                    <w:t>取水证见附件10</w:t>
                  </w:r>
                </w:p>
              </w:tc>
            </w:tr>
            <w:tr w14:paraId="2D023E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87" w:type="pct"/>
                  <w:vMerge w:val="continue"/>
                  <w:tcBorders>
                    <w:tl2br w:val="nil"/>
                    <w:tr2bl w:val="nil"/>
                  </w:tcBorders>
                  <w:noWrap w:val="0"/>
                  <w:vAlign w:val="center"/>
                </w:tcPr>
                <w:p w14:paraId="224BD91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p>
              </w:tc>
              <w:tc>
                <w:tcPr>
                  <w:tcW w:w="961" w:type="pct"/>
                  <w:tcBorders>
                    <w:tl2br w:val="nil"/>
                    <w:tr2bl w:val="nil"/>
                  </w:tcBorders>
                  <w:noWrap w:val="0"/>
                  <w:vAlign w:val="center"/>
                </w:tcPr>
                <w:p w14:paraId="03D42B8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排水</w:t>
                  </w:r>
                </w:p>
              </w:tc>
              <w:tc>
                <w:tcPr>
                  <w:tcW w:w="2503" w:type="pct"/>
                  <w:tcBorders>
                    <w:tl2br w:val="nil"/>
                    <w:tr2bl w:val="nil"/>
                  </w:tcBorders>
                  <w:noWrap w:val="0"/>
                  <w:vAlign w:val="center"/>
                </w:tcPr>
                <w:p w14:paraId="268AFBA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0" w:lineRule="atLeast"/>
                    <w:ind w:left="-107" w:leftChars="-51" w:right="-23" w:rightChars="-11"/>
                    <w:jc w:val="center"/>
                    <w:textAlignment w:val="auto"/>
                    <w:rPr>
                      <w:rFonts w:hint="default" w:ascii="Times New Roman" w:hAnsi="Times New Roman" w:eastAsia="宋体" w:cs="Times New Roman"/>
                      <w:b w:val="0"/>
                      <w:bCs w:val="0"/>
                      <w:color w:val="auto"/>
                      <w:szCs w:val="21"/>
                      <w:highlight w:val="none"/>
                      <w:u w:val="none" w:color="auto"/>
                      <w:lang w:eastAsia="zh-CN"/>
                    </w:rPr>
                  </w:pPr>
                  <w:r>
                    <w:rPr>
                      <w:rFonts w:hint="eastAsia" w:cs="Times New Roman"/>
                      <w:b w:val="0"/>
                      <w:bCs w:val="0"/>
                      <w:color w:val="auto"/>
                      <w:szCs w:val="21"/>
                      <w:highlight w:val="none"/>
                      <w:u w:val="none" w:color="auto"/>
                      <w:lang w:eastAsia="zh-CN"/>
                    </w:rPr>
                    <w:t>冷却水利用现有冷却池（</w:t>
                  </w:r>
                  <w:r>
                    <w:rPr>
                      <w:rFonts w:hint="eastAsia" w:cs="Times New Roman"/>
                      <w:b w:val="0"/>
                      <w:bCs w:val="0"/>
                      <w:color w:val="auto"/>
                      <w:szCs w:val="21"/>
                      <w:highlight w:val="none"/>
                      <w:u w:val="none" w:color="auto"/>
                      <w:lang w:val="en-US" w:eastAsia="zh-CN"/>
                    </w:rPr>
                    <w:t>29m</w:t>
                  </w:r>
                  <w:r>
                    <w:rPr>
                      <w:rFonts w:hint="eastAsia" w:cs="Times New Roman"/>
                      <w:b w:val="0"/>
                      <w:bCs w:val="0"/>
                      <w:color w:val="auto"/>
                      <w:szCs w:val="21"/>
                      <w:highlight w:val="none"/>
                      <w:u w:val="none" w:color="auto"/>
                      <w:vertAlign w:val="superscript"/>
                      <w:lang w:val="en-US" w:eastAsia="zh-CN"/>
                    </w:rPr>
                    <w:t>3</w:t>
                  </w:r>
                  <w:r>
                    <w:rPr>
                      <w:rFonts w:hint="eastAsia" w:cs="Times New Roman"/>
                      <w:b w:val="0"/>
                      <w:bCs w:val="0"/>
                      <w:color w:val="auto"/>
                      <w:szCs w:val="21"/>
                      <w:highlight w:val="none"/>
                      <w:u w:val="none" w:color="auto"/>
                      <w:lang w:eastAsia="zh-CN"/>
                    </w:rPr>
                    <w:t>）和冷却塔（</w:t>
                  </w:r>
                  <w:r>
                    <w:rPr>
                      <w:rFonts w:hint="eastAsia" w:cs="Times New Roman"/>
                      <w:b w:val="0"/>
                      <w:bCs w:val="0"/>
                      <w:color w:val="auto"/>
                      <w:szCs w:val="21"/>
                      <w:highlight w:val="none"/>
                      <w:u w:val="none" w:color="auto"/>
                      <w:lang w:val="en-US" w:eastAsia="zh-CN"/>
                    </w:rPr>
                    <w:t>240m</w:t>
                  </w:r>
                  <w:r>
                    <w:rPr>
                      <w:rFonts w:hint="eastAsia" w:cs="Times New Roman"/>
                      <w:b w:val="0"/>
                      <w:bCs w:val="0"/>
                      <w:color w:val="auto"/>
                      <w:szCs w:val="21"/>
                      <w:highlight w:val="none"/>
                      <w:u w:val="none" w:color="auto"/>
                      <w:vertAlign w:val="superscript"/>
                      <w:lang w:val="en-US" w:eastAsia="zh-CN"/>
                    </w:rPr>
                    <w:t>3</w:t>
                  </w:r>
                  <w:r>
                    <w:rPr>
                      <w:rFonts w:hint="eastAsia" w:cs="Times New Roman"/>
                      <w:b w:val="0"/>
                      <w:bCs w:val="0"/>
                      <w:color w:val="auto"/>
                      <w:szCs w:val="21"/>
                      <w:highlight w:val="none"/>
                      <w:u w:val="none" w:color="auto"/>
                      <w:vertAlign w:val="baseline"/>
                      <w:lang w:val="en-US" w:eastAsia="zh-CN"/>
                    </w:rPr>
                    <w:t>/d</w:t>
                  </w:r>
                  <w:r>
                    <w:rPr>
                      <w:rFonts w:hint="eastAsia" w:cs="Times New Roman"/>
                      <w:b w:val="0"/>
                      <w:bCs w:val="0"/>
                      <w:color w:val="auto"/>
                      <w:szCs w:val="21"/>
                      <w:highlight w:val="none"/>
                      <w:u w:val="none" w:color="auto"/>
                      <w:lang w:eastAsia="zh-CN"/>
                    </w:rPr>
                    <w:t>）冷却处理，循环使用</w:t>
                  </w:r>
                </w:p>
              </w:tc>
              <w:tc>
                <w:tcPr>
                  <w:tcW w:w="1147" w:type="pct"/>
                  <w:tcBorders>
                    <w:tl2br w:val="nil"/>
                    <w:tr2bl w:val="nil"/>
                  </w:tcBorders>
                  <w:noWrap w:val="0"/>
                  <w:vAlign w:val="center"/>
                </w:tcPr>
                <w:p w14:paraId="779BAB3C">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val="en-US" w:eastAsia="zh-CN"/>
                    </w:rPr>
                  </w:pPr>
                  <w:r>
                    <w:rPr>
                      <w:rFonts w:hint="default" w:ascii="Times New Roman" w:hAnsi="Times New Roman" w:eastAsia="宋体" w:cs="Times New Roman"/>
                      <w:b w:val="0"/>
                      <w:bCs w:val="0"/>
                      <w:color w:val="auto"/>
                      <w:szCs w:val="21"/>
                      <w:highlight w:val="none"/>
                      <w:u w:val="none" w:color="auto"/>
                      <w:lang w:val="en-US" w:eastAsia="zh-CN"/>
                    </w:rPr>
                    <w:t>/</w:t>
                  </w:r>
                </w:p>
              </w:tc>
            </w:tr>
            <w:tr w14:paraId="22FB01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87" w:type="pct"/>
                  <w:vMerge w:val="continue"/>
                  <w:tcBorders>
                    <w:tl2br w:val="nil"/>
                    <w:tr2bl w:val="nil"/>
                  </w:tcBorders>
                  <w:noWrap w:val="0"/>
                  <w:vAlign w:val="center"/>
                </w:tcPr>
                <w:p w14:paraId="2971F9B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p>
              </w:tc>
              <w:tc>
                <w:tcPr>
                  <w:tcW w:w="961" w:type="pct"/>
                  <w:tcBorders>
                    <w:tl2br w:val="nil"/>
                    <w:tr2bl w:val="nil"/>
                  </w:tcBorders>
                  <w:noWrap w:val="0"/>
                  <w:vAlign w:val="center"/>
                </w:tcPr>
                <w:p w14:paraId="44D6923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供电</w:t>
                  </w:r>
                </w:p>
              </w:tc>
              <w:tc>
                <w:tcPr>
                  <w:tcW w:w="2503" w:type="pct"/>
                  <w:tcBorders>
                    <w:tl2br w:val="nil"/>
                    <w:tr2bl w:val="nil"/>
                  </w:tcBorders>
                  <w:noWrap w:val="0"/>
                  <w:vAlign w:val="center"/>
                </w:tcPr>
                <w:p w14:paraId="4263B10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0" w:lineRule="atLeast"/>
                    <w:ind w:left="-107" w:leftChars="-51" w:right="-23" w:rightChars="-11"/>
                    <w:jc w:val="center"/>
                    <w:textAlignment w:val="auto"/>
                    <w:rPr>
                      <w:rFonts w:hint="default" w:ascii="Times New Roman" w:hAnsi="Times New Roman" w:eastAsia="宋体" w:cs="Times New Roman"/>
                      <w:b w:val="0"/>
                      <w:bCs w:val="0"/>
                      <w:color w:val="auto"/>
                      <w:szCs w:val="21"/>
                      <w:highlight w:val="none"/>
                      <w:u w:val="none" w:color="auto"/>
                      <w:lang w:eastAsia="zh-CN"/>
                    </w:rPr>
                  </w:pPr>
                  <w:r>
                    <w:rPr>
                      <w:rFonts w:hint="default" w:ascii="Times New Roman" w:hAnsi="Times New Roman" w:eastAsia="宋体" w:cs="Times New Roman"/>
                      <w:color w:val="auto"/>
                      <w:lang w:val="en-US" w:eastAsia="zh-CN"/>
                    </w:rPr>
                    <w:t>市政供电，可以满足项目需求</w:t>
                  </w:r>
                  <w:r>
                    <w:rPr>
                      <w:rFonts w:hint="eastAsia" w:cs="Times New Roman"/>
                      <w:color w:val="auto"/>
                      <w:lang w:val="en-US" w:eastAsia="zh-CN"/>
                    </w:rPr>
                    <w:t>。</w:t>
                  </w:r>
                </w:p>
              </w:tc>
              <w:tc>
                <w:tcPr>
                  <w:tcW w:w="1147" w:type="pct"/>
                  <w:tcBorders>
                    <w:tl2br w:val="nil"/>
                    <w:tr2bl w:val="nil"/>
                  </w:tcBorders>
                  <w:noWrap w:val="0"/>
                  <w:vAlign w:val="center"/>
                </w:tcPr>
                <w:p w14:paraId="1260BE6E">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val="en-US" w:eastAsia="zh-CN"/>
                    </w:rPr>
                  </w:pPr>
                  <w:r>
                    <w:rPr>
                      <w:rFonts w:hint="default" w:ascii="Times New Roman" w:hAnsi="Times New Roman" w:eastAsia="宋体" w:cs="Times New Roman"/>
                      <w:b w:val="0"/>
                      <w:bCs w:val="0"/>
                      <w:color w:val="auto"/>
                      <w:szCs w:val="21"/>
                      <w:highlight w:val="none"/>
                      <w:u w:val="none" w:color="auto"/>
                      <w:lang w:val="en-US" w:eastAsia="zh-CN"/>
                    </w:rPr>
                    <w:t>/</w:t>
                  </w:r>
                </w:p>
              </w:tc>
            </w:tr>
            <w:tr w14:paraId="64DC26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87" w:type="pct"/>
                  <w:vMerge w:val="restart"/>
                  <w:tcBorders>
                    <w:tl2br w:val="nil"/>
                    <w:tr2bl w:val="nil"/>
                  </w:tcBorders>
                  <w:noWrap w:val="0"/>
                  <w:vAlign w:val="center"/>
                </w:tcPr>
                <w:p w14:paraId="2A1D7152">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环保</w:t>
                  </w:r>
                </w:p>
                <w:p w14:paraId="189D13AD">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工程</w:t>
                  </w:r>
                </w:p>
              </w:tc>
              <w:tc>
                <w:tcPr>
                  <w:tcW w:w="961" w:type="pct"/>
                  <w:tcBorders>
                    <w:tl2br w:val="nil"/>
                    <w:tr2bl w:val="nil"/>
                  </w:tcBorders>
                  <w:noWrap w:val="0"/>
                  <w:vAlign w:val="center"/>
                </w:tcPr>
                <w:p w14:paraId="6B9D4EB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color w:val="auto"/>
                      <w:szCs w:val="21"/>
                      <w:highlight w:val="none"/>
                      <w:u w:val="none" w:color="auto"/>
                    </w:rPr>
                    <w:t>废水处理</w:t>
                  </w:r>
                </w:p>
              </w:tc>
              <w:tc>
                <w:tcPr>
                  <w:tcW w:w="2503" w:type="pct"/>
                  <w:tcBorders>
                    <w:tl2br w:val="nil"/>
                    <w:tr2bl w:val="nil"/>
                  </w:tcBorders>
                  <w:noWrap w:val="0"/>
                  <w:vAlign w:val="center"/>
                </w:tcPr>
                <w:p w14:paraId="58B2BAF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pacing w:val="-10"/>
                      <w:szCs w:val="21"/>
                      <w:highlight w:val="none"/>
                      <w:u w:val="none" w:color="auto"/>
                    </w:rPr>
                  </w:pPr>
                  <w:r>
                    <w:rPr>
                      <w:rFonts w:hint="eastAsia" w:cs="Times New Roman"/>
                      <w:color w:val="auto"/>
                      <w:lang w:val="en-US" w:eastAsia="zh-CN"/>
                    </w:rPr>
                    <w:t>冷却池（29m</w:t>
                  </w:r>
                  <w:r>
                    <w:rPr>
                      <w:rFonts w:hint="eastAsia" w:cs="Times New Roman"/>
                      <w:color w:val="auto"/>
                      <w:vertAlign w:val="superscript"/>
                      <w:lang w:val="en-US" w:eastAsia="zh-CN"/>
                    </w:rPr>
                    <w:t>3</w:t>
                  </w:r>
                  <w:r>
                    <w:rPr>
                      <w:rFonts w:hint="eastAsia" w:cs="Times New Roman"/>
                      <w:color w:val="auto"/>
                      <w:lang w:val="en-US" w:eastAsia="zh-CN"/>
                    </w:rPr>
                    <w:t>）</w:t>
                  </w:r>
                </w:p>
              </w:tc>
              <w:tc>
                <w:tcPr>
                  <w:tcW w:w="1147" w:type="pct"/>
                  <w:tcBorders>
                    <w:tl2br w:val="nil"/>
                    <w:tr2bl w:val="nil"/>
                  </w:tcBorders>
                  <w:noWrap w:val="0"/>
                  <w:vAlign w:val="center"/>
                </w:tcPr>
                <w:p w14:paraId="4877938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val="0"/>
                      <w:bCs w:val="0"/>
                      <w:color w:val="auto"/>
                      <w:szCs w:val="21"/>
                      <w:highlight w:val="none"/>
                      <w:u w:val="none" w:color="auto"/>
                      <w:lang w:eastAsia="zh-CN"/>
                    </w:rPr>
                  </w:pPr>
                  <w:r>
                    <w:rPr>
                      <w:rFonts w:hint="default" w:ascii="Times New Roman" w:hAnsi="Times New Roman" w:eastAsia="宋体" w:cs="Times New Roman"/>
                      <w:color w:val="auto"/>
                    </w:rPr>
                    <w:t>依托现有</w:t>
                  </w:r>
                </w:p>
              </w:tc>
            </w:tr>
            <w:tr w14:paraId="7F243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87" w:type="pct"/>
                  <w:vMerge w:val="continue"/>
                  <w:tcBorders>
                    <w:tl2br w:val="nil"/>
                    <w:tr2bl w:val="nil"/>
                  </w:tcBorders>
                  <w:noWrap w:val="0"/>
                  <w:vAlign w:val="center"/>
                </w:tcPr>
                <w:p w14:paraId="4A989A7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p>
              </w:tc>
              <w:tc>
                <w:tcPr>
                  <w:tcW w:w="961" w:type="pct"/>
                  <w:tcBorders>
                    <w:tl2br w:val="nil"/>
                    <w:tr2bl w:val="nil"/>
                  </w:tcBorders>
                  <w:noWrap w:val="0"/>
                  <w:vAlign w:val="center"/>
                </w:tcPr>
                <w:p w14:paraId="20135938">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噪声防治</w:t>
                  </w:r>
                </w:p>
              </w:tc>
              <w:tc>
                <w:tcPr>
                  <w:tcW w:w="2503" w:type="pct"/>
                  <w:tcBorders>
                    <w:tl2br w:val="nil"/>
                    <w:tr2bl w:val="nil"/>
                  </w:tcBorders>
                  <w:noWrap w:val="0"/>
                  <w:vAlign w:val="center"/>
                </w:tcPr>
                <w:p w14:paraId="52568614">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lang w:eastAsia="zh-CN"/>
                    </w:rPr>
                  </w:pPr>
                  <w:r>
                    <w:rPr>
                      <w:rFonts w:hint="default" w:ascii="Times New Roman" w:hAnsi="Times New Roman" w:eastAsia="宋体" w:cs="Times New Roman"/>
                      <w:color w:val="auto"/>
                      <w:szCs w:val="21"/>
                      <w:highlight w:val="none"/>
                      <w:u w:val="none" w:color="auto"/>
                    </w:rPr>
                    <w:t>基础</w:t>
                  </w:r>
                  <w:r>
                    <w:rPr>
                      <w:rFonts w:hint="default" w:ascii="Times New Roman" w:hAnsi="Times New Roman" w:eastAsia="宋体" w:cs="Times New Roman"/>
                      <w:color w:val="auto"/>
                      <w:szCs w:val="21"/>
                      <w:highlight w:val="none"/>
                      <w:u w:val="none" w:color="auto"/>
                      <w:lang w:eastAsia="zh-CN"/>
                    </w:rPr>
                    <w:t>减振</w:t>
                  </w:r>
                  <w:r>
                    <w:rPr>
                      <w:rFonts w:hint="default" w:ascii="Times New Roman" w:hAnsi="Times New Roman" w:eastAsia="宋体" w:cs="Times New Roman"/>
                      <w:color w:val="auto"/>
                      <w:szCs w:val="21"/>
                      <w:highlight w:val="none"/>
                      <w:u w:val="none" w:color="auto"/>
                    </w:rPr>
                    <w:t>、厂房隔声</w:t>
                  </w:r>
                  <w:r>
                    <w:rPr>
                      <w:rFonts w:hint="default" w:ascii="Times New Roman" w:hAnsi="Times New Roman" w:eastAsia="宋体" w:cs="Times New Roman"/>
                      <w:color w:val="auto"/>
                      <w:szCs w:val="21"/>
                      <w:highlight w:val="none"/>
                      <w:u w:val="none" w:color="auto"/>
                      <w:lang w:eastAsia="zh-CN"/>
                    </w:rPr>
                    <w:t>。</w:t>
                  </w:r>
                </w:p>
              </w:tc>
              <w:tc>
                <w:tcPr>
                  <w:tcW w:w="1147" w:type="pct"/>
                  <w:tcBorders>
                    <w:tl2br w:val="nil"/>
                    <w:tr2bl w:val="nil"/>
                  </w:tcBorders>
                  <w:noWrap w:val="0"/>
                  <w:vAlign w:val="center"/>
                </w:tcPr>
                <w:p w14:paraId="25E7D2A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lang w:val="en-US" w:eastAsia="zh-CN"/>
                    </w:rPr>
                  </w:pPr>
                  <w:r>
                    <w:rPr>
                      <w:rFonts w:hint="default" w:ascii="Times New Roman" w:hAnsi="Times New Roman" w:eastAsia="宋体" w:cs="Times New Roman"/>
                      <w:color w:val="auto"/>
                      <w:szCs w:val="21"/>
                      <w:highlight w:val="none"/>
                      <w:u w:val="none" w:color="auto"/>
                      <w:lang w:val="en-US" w:eastAsia="zh-CN"/>
                    </w:rPr>
                    <w:t>/</w:t>
                  </w:r>
                </w:p>
              </w:tc>
            </w:tr>
            <w:tr w14:paraId="5911E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87" w:type="pct"/>
                  <w:vMerge w:val="continue"/>
                  <w:tcBorders>
                    <w:tl2br w:val="nil"/>
                    <w:tr2bl w:val="nil"/>
                  </w:tcBorders>
                  <w:noWrap w:val="0"/>
                  <w:vAlign w:val="center"/>
                </w:tcPr>
                <w:p w14:paraId="18529EA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p>
              </w:tc>
              <w:tc>
                <w:tcPr>
                  <w:tcW w:w="961" w:type="pct"/>
                  <w:vMerge w:val="restart"/>
                  <w:tcBorders>
                    <w:tl2br w:val="nil"/>
                    <w:tr2bl w:val="nil"/>
                  </w:tcBorders>
                  <w:noWrap w:val="0"/>
                  <w:vAlign w:val="center"/>
                </w:tcPr>
                <w:p w14:paraId="07BD64D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szCs w:val="21"/>
                      <w:highlight w:val="none"/>
                      <w:u w:val="none" w:color="auto"/>
                    </w:rPr>
                    <w:t>固废处理</w:t>
                  </w:r>
                </w:p>
              </w:tc>
              <w:tc>
                <w:tcPr>
                  <w:tcW w:w="2503" w:type="pct"/>
                  <w:tcBorders>
                    <w:tl2br w:val="nil"/>
                    <w:tr2bl w:val="nil"/>
                  </w:tcBorders>
                  <w:noWrap w:val="0"/>
                  <w:vAlign w:val="center"/>
                </w:tcPr>
                <w:p w14:paraId="04A615E0">
                  <w:pPr>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color w:val="auto"/>
                      <w:szCs w:val="21"/>
                      <w:highlight w:val="none"/>
                      <w:u w:val="none" w:color="auto"/>
                    </w:rPr>
                  </w:pPr>
                  <w:r>
                    <w:rPr>
                      <w:rFonts w:hint="default" w:ascii="Times New Roman" w:hAnsi="Times New Roman" w:eastAsia="宋体" w:cs="Times New Roman"/>
                      <w:color w:val="auto"/>
                      <w:kern w:val="0"/>
                      <w:sz w:val="21"/>
                      <w:szCs w:val="21"/>
                      <w:highlight w:val="none"/>
                      <w:u w:val="none" w:color="auto"/>
                      <w:lang w:val="en-US" w:eastAsia="zh-CN"/>
                    </w:rPr>
                    <w:t>本项目</w:t>
                  </w:r>
                  <w:r>
                    <w:rPr>
                      <w:rFonts w:hint="eastAsia" w:cs="Times New Roman"/>
                      <w:color w:val="auto"/>
                      <w:kern w:val="0"/>
                      <w:sz w:val="21"/>
                      <w:szCs w:val="21"/>
                      <w:highlight w:val="none"/>
                      <w:u w:val="none" w:color="auto"/>
                      <w:lang w:val="en-US" w:eastAsia="zh-CN"/>
                    </w:rPr>
                    <w:t>不合格原料</w:t>
                  </w:r>
                  <w:r>
                    <w:rPr>
                      <w:rFonts w:hint="default" w:ascii="Times New Roman" w:hAnsi="Times New Roman" w:eastAsia="宋体" w:cs="Times New Roman"/>
                      <w:color w:val="auto"/>
                      <w:kern w:val="0"/>
                      <w:sz w:val="21"/>
                      <w:szCs w:val="21"/>
                      <w:highlight w:val="none"/>
                      <w:u w:val="none" w:color="auto"/>
                      <w:lang w:val="en-US" w:eastAsia="zh-CN"/>
                    </w:rPr>
                    <w:t>暂存于一般固废间，定期退货</w:t>
                  </w:r>
                  <w:r>
                    <w:rPr>
                      <w:rFonts w:hint="eastAsia" w:ascii="Times New Roman" w:hAnsi="Times New Roman" w:cs="Times New Roman"/>
                      <w:color w:val="auto"/>
                      <w:kern w:val="0"/>
                      <w:sz w:val="21"/>
                      <w:szCs w:val="21"/>
                      <w:highlight w:val="none"/>
                      <w:u w:val="none" w:color="auto"/>
                      <w:lang w:val="en-US" w:eastAsia="zh-CN"/>
                    </w:rPr>
                    <w:t>。</w:t>
                  </w:r>
                </w:p>
              </w:tc>
              <w:tc>
                <w:tcPr>
                  <w:tcW w:w="1147" w:type="pct"/>
                  <w:vMerge w:val="restart"/>
                  <w:tcBorders>
                    <w:tl2br w:val="nil"/>
                    <w:tr2bl w:val="nil"/>
                  </w:tcBorders>
                  <w:noWrap w:val="0"/>
                  <w:vAlign w:val="center"/>
                </w:tcPr>
                <w:p w14:paraId="4596896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highlight w:val="none"/>
                      <w:u w:val="none" w:color="auto"/>
                      <w:lang w:val="en-US" w:eastAsia="zh-CN"/>
                    </w:rPr>
                  </w:pPr>
                  <w:r>
                    <w:rPr>
                      <w:rFonts w:hint="eastAsia" w:ascii="Times New Roman" w:hAnsi="Times New Roman" w:eastAsia="宋体" w:cs="Times New Roman"/>
                      <w:color w:val="auto"/>
                      <w:szCs w:val="21"/>
                      <w:highlight w:val="none"/>
                      <w:u w:val="none" w:color="auto"/>
                      <w:lang w:val="en-US" w:eastAsia="zh-CN"/>
                    </w:rPr>
                    <w:t>固废间依托现有</w:t>
                  </w:r>
                </w:p>
              </w:tc>
            </w:tr>
            <w:tr w14:paraId="71FA0B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387" w:type="pct"/>
                  <w:vMerge w:val="continue"/>
                  <w:tcBorders>
                    <w:tl2br w:val="nil"/>
                    <w:tr2bl w:val="nil"/>
                  </w:tcBorders>
                  <w:noWrap w:val="0"/>
                  <w:vAlign w:val="center"/>
                </w:tcPr>
                <w:p w14:paraId="67D02364">
                  <w:pPr>
                    <w:keepNext w:val="0"/>
                    <w:keepLines w:val="0"/>
                    <w:suppressLineNumbers w:val="0"/>
                    <w:spacing w:before="0" w:beforeAutospacing="0" w:after="0" w:afterAutospacing="0" w:line="240" w:lineRule="auto"/>
                    <w:ind w:left="0" w:right="0"/>
                    <w:jc w:val="center"/>
                    <w:rPr>
                      <w:rFonts w:hint="default" w:ascii="Calibri" w:hAnsi="Calibri" w:eastAsia="宋体" w:cs="Times New Roman"/>
                      <w:color w:val="auto"/>
                    </w:rPr>
                  </w:pPr>
                </w:p>
              </w:tc>
              <w:tc>
                <w:tcPr>
                  <w:tcW w:w="961" w:type="pct"/>
                  <w:vMerge w:val="continue"/>
                  <w:tcBorders>
                    <w:tl2br w:val="nil"/>
                    <w:tr2bl w:val="nil"/>
                  </w:tcBorders>
                  <w:noWrap w:val="0"/>
                  <w:vAlign w:val="center"/>
                </w:tcPr>
                <w:p w14:paraId="247A8F11">
                  <w:pPr>
                    <w:keepNext w:val="0"/>
                    <w:keepLines w:val="0"/>
                    <w:suppressLineNumbers w:val="0"/>
                    <w:spacing w:before="0" w:beforeAutospacing="0" w:after="0" w:afterAutospacing="0" w:line="240" w:lineRule="auto"/>
                    <w:ind w:left="0" w:right="0"/>
                    <w:jc w:val="center"/>
                    <w:rPr>
                      <w:rFonts w:hint="default" w:ascii="Calibri" w:hAnsi="Calibri" w:eastAsia="宋体" w:cs="Times New Roman"/>
                      <w:color w:val="auto"/>
                    </w:rPr>
                  </w:pPr>
                </w:p>
              </w:tc>
              <w:tc>
                <w:tcPr>
                  <w:tcW w:w="2503" w:type="pct"/>
                  <w:tcBorders>
                    <w:tl2br w:val="nil"/>
                    <w:tr2bl w:val="nil"/>
                  </w:tcBorders>
                  <w:noWrap w:val="0"/>
                  <w:vAlign w:val="center"/>
                </w:tcPr>
                <w:p w14:paraId="58B060DA">
                  <w:pPr>
                    <w:keepNext w:val="0"/>
                    <w:keepLines w:val="0"/>
                    <w:suppressLineNumbers w:val="0"/>
                    <w:spacing w:before="0" w:beforeAutospacing="0" w:after="0" w:afterAutospacing="0" w:line="240" w:lineRule="auto"/>
                    <w:ind w:left="0" w:right="0"/>
                    <w:jc w:val="both"/>
                    <w:rPr>
                      <w:rFonts w:hint="default" w:ascii="Times New Roman" w:hAnsi="Times New Roman" w:eastAsia="宋体" w:cs="Times New Roman"/>
                      <w:color w:val="auto"/>
                      <w:kern w:val="0"/>
                      <w:sz w:val="21"/>
                      <w:szCs w:val="21"/>
                      <w:highlight w:val="none"/>
                      <w:u w:val="none" w:color="auto"/>
                      <w:lang w:val="en-US" w:eastAsia="zh-CN"/>
                    </w:rPr>
                  </w:pPr>
                  <w:r>
                    <w:rPr>
                      <w:rFonts w:hint="eastAsia" w:cs="Times New Roman"/>
                      <w:color w:val="auto"/>
                      <w:kern w:val="0"/>
                      <w:sz w:val="21"/>
                      <w:szCs w:val="21"/>
                      <w:highlight w:val="none"/>
                      <w:u w:val="none" w:color="auto"/>
                      <w:lang w:val="en-US" w:eastAsia="zh-CN"/>
                    </w:rPr>
                    <w:t>不合格产品</w:t>
                  </w:r>
                  <w:r>
                    <w:rPr>
                      <w:rFonts w:hint="default" w:ascii="Times New Roman" w:hAnsi="Times New Roman" w:eastAsia="宋体" w:cs="Times New Roman"/>
                      <w:color w:val="auto"/>
                      <w:kern w:val="0"/>
                      <w:sz w:val="21"/>
                      <w:szCs w:val="21"/>
                      <w:highlight w:val="none"/>
                      <w:u w:val="none" w:color="auto"/>
                      <w:lang w:val="en-US" w:eastAsia="zh-CN"/>
                    </w:rPr>
                    <w:t>、边角料、废包装带暂存一般固废间</w:t>
                  </w:r>
                  <w:r>
                    <w:rPr>
                      <w:rFonts w:hint="eastAsia" w:cs="Times New Roman"/>
                      <w:color w:val="auto"/>
                      <w:kern w:val="0"/>
                      <w:sz w:val="21"/>
                      <w:szCs w:val="21"/>
                      <w:highlight w:val="none"/>
                      <w:u w:val="none" w:color="auto"/>
                      <w:lang w:val="en-US" w:eastAsia="zh-CN"/>
                    </w:rPr>
                    <w:t>，</w:t>
                  </w:r>
                  <w:r>
                    <w:rPr>
                      <w:rFonts w:hint="default" w:ascii="Times New Roman" w:hAnsi="Times New Roman" w:eastAsia="宋体" w:cs="Times New Roman"/>
                      <w:color w:val="auto"/>
                      <w:kern w:val="0"/>
                      <w:sz w:val="21"/>
                      <w:szCs w:val="21"/>
                      <w:highlight w:val="none"/>
                      <w:u w:val="none" w:color="auto"/>
                      <w:lang w:val="en-US" w:eastAsia="zh-CN"/>
                    </w:rPr>
                    <w:t>定期外售</w:t>
                  </w:r>
                  <w:r>
                    <w:rPr>
                      <w:rFonts w:hint="eastAsia" w:ascii="Times New Roman" w:hAnsi="Times New Roman" w:cs="Times New Roman"/>
                      <w:color w:val="auto"/>
                      <w:kern w:val="0"/>
                      <w:sz w:val="21"/>
                      <w:szCs w:val="21"/>
                      <w:highlight w:val="none"/>
                      <w:u w:val="none" w:color="auto"/>
                      <w:lang w:val="en-US" w:eastAsia="zh-CN"/>
                    </w:rPr>
                    <w:t>。</w:t>
                  </w:r>
                </w:p>
              </w:tc>
              <w:tc>
                <w:tcPr>
                  <w:tcW w:w="1147" w:type="pct"/>
                  <w:vMerge w:val="continue"/>
                  <w:tcBorders>
                    <w:tl2br w:val="nil"/>
                    <w:tr2bl w:val="nil"/>
                  </w:tcBorders>
                  <w:noWrap w:val="0"/>
                  <w:vAlign w:val="center"/>
                </w:tcPr>
                <w:p w14:paraId="7965FB57">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u w:val="none" w:color="auto"/>
                      <w:lang w:val="en-US" w:eastAsia="zh-CN"/>
                    </w:rPr>
                  </w:pPr>
                </w:p>
              </w:tc>
            </w:tr>
            <w:tr w14:paraId="15281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7" w:type="pct"/>
                  <w:vMerge w:val="continue"/>
                  <w:tcBorders>
                    <w:tl2br w:val="nil"/>
                    <w:tr2bl w:val="nil"/>
                  </w:tcBorders>
                  <w:noWrap w:val="0"/>
                  <w:vAlign w:val="center"/>
                </w:tcPr>
                <w:p w14:paraId="77E0E84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u w:val="none" w:color="auto"/>
                      <w:lang w:val="en-US" w:eastAsia="zh-CN"/>
                    </w:rPr>
                  </w:pPr>
                </w:p>
              </w:tc>
              <w:tc>
                <w:tcPr>
                  <w:tcW w:w="961" w:type="pct"/>
                  <w:vMerge w:val="continue"/>
                  <w:tcBorders>
                    <w:tl2br w:val="nil"/>
                    <w:tr2bl w:val="nil"/>
                  </w:tcBorders>
                  <w:noWrap w:val="0"/>
                  <w:vAlign w:val="center"/>
                </w:tcPr>
                <w:p w14:paraId="5344AC3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u w:val="none" w:color="auto"/>
                      <w:lang w:val="en-US" w:eastAsia="zh-CN"/>
                    </w:rPr>
                  </w:pPr>
                </w:p>
              </w:tc>
              <w:tc>
                <w:tcPr>
                  <w:tcW w:w="2503" w:type="pct"/>
                  <w:tcBorders>
                    <w:tl2br w:val="nil"/>
                    <w:tr2bl w:val="nil"/>
                  </w:tcBorders>
                  <w:noWrap w:val="0"/>
                  <w:vAlign w:val="center"/>
                </w:tcPr>
                <w:p w14:paraId="6D2B6803">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kern w:val="0"/>
                      <w:sz w:val="21"/>
                      <w:szCs w:val="21"/>
                      <w:highlight w:val="none"/>
                      <w:u w:val="none" w:color="auto"/>
                      <w:lang w:val="en-US" w:eastAsia="zh-CN"/>
                    </w:rPr>
                  </w:pPr>
                  <w:r>
                    <w:rPr>
                      <w:rFonts w:hint="default" w:ascii="Times New Roman" w:hAnsi="Times New Roman" w:eastAsia="宋体" w:cs="Times New Roman"/>
                      <w:color w:val="auto"/>
                      <w:kern w:val="0"/>
                      <w:sz w:val="21"/>
                      <w:szCs w:val="21"/>
                      <w:highlight w:val="none"/>
                      <w:u w:val="none" w:color="auto"/>
                      <w:lang w:val="en-US" w:eastAsia="zh-CN"/>
                    </w:rPr>
                    <w:t>职工生活垃圾经垃圾桶由环卫部门统一清运。</w:t>
                  </w:r>
                </w:p>
              </w:tc>
              <w:tc>
                <w:tcPr>
                  <w:tcW w:w="1147" w:type="pct"/>
                  <w:vMerge w:val="continue"/>
                  <w:tcBorders>
                    <w:tl2br w:val="nil"/>
                    <w:tr2bl w:val="nil"/>
                  </w:tcBorders>
                  <w:noWrap w:val="0"/>
                  <w:vAlign w:val="center"/>
                </w:tcPr>
                <w:p w14:paraId="0FBFF12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kern w:val="0"/>
                      <w:sz w:val="21"/>
                      <w:szCs w:val="21"/>
                      <w:highlight w:val="none"/>
                      <w:u w:val="none" w:color="auto"/>
                      <w:lang w:val="en-US" w:eastAsia="zh-CN"/>
                    </w:rPr>
                  </w:pPr>
                </w:p>
              </w:tc>
            </w:tr>
          </w:tbl>
          <w:p w14:paraId="2BBEA9C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4.主要生产设备</w:t>
            </w:r>
          </w:p>
          <w:p w14:paraId="609AFA8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kern w:val="0"/>
                <w:sz w:val="21"/>
                <w:szCs w:val="21"/>
                <w:highlight w:val="none"/>
                <w:u w:val="none" w:color="auto"/>
                <w:lang w:val="zh-CN"/>
              </w:rPr>
            </w:pPr>
            <w:r>
              <w:rPr>
                <w:rFonts w:hint="eastAsia" w:cs="Times New Roman"/>
                <w:b/>
                <w:bCs/>
                <w:color w:val="auto"/>
                <w:kern w:val="0"/>
                <w:sz w:val="21"/>
                <w:szCs w:val="21"/>
                <w:highlight w:val="none"/>
                <w:u w:val="none" w:color="auto"/>
                <w:lang w:val="zh-CN"/>
              </w:rPr>
              <w:t>表</w:t>
            </w:r>
            <w:r>
              <w:rPr>
                <w:rFonts w:hint="eastAsia" w:cs="Times New Roman"/>
                <w:b/>
                <w:bCs/>
                <w:color w:val="auto"/>
                <w:kern w:val="0"/>
                <w:sz w:val="21"/>
                <w:szCs w:val="21"/>
                <w:highlight w:val="none"/>
                <w:u w:val="none" w:color="auto"/>
                <w:lang w:val="en-US" w:eastAsia="zh-CN"/>
              </w:rPr>
              <w:t xml:space="preserve">12  </w:t>
            </w:r>
            <w:r>
              <w:rPr>
                <w:rFonts w:hint="default" w:ascii="Times New Roman" w:hAnsi="Times New Roman" w:eastAsia="宋体" w:cs="Times New Roman"/>
                <w:b/>
                <w:bCs/>
                <w:color w:val="auto"/>
                <w:kern w:val="0"/>
                <w:sz w:val="21"/>
                <w:szCs w:val="21"/>
                <w:highlight w:val="none"/>
                <w:u w:val="none" w:color="auto"/>
                <w:lang w:val="zh-CN"/>
              </w:rPr>
              <w:t>本项目生产设备内容一览表</w:t>
            </w:r>
          </w:p>
          <w:tbl>
            <w:tblPr>
              <w:tblStyle w:val="27"/>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7"/>
              <w:gridCol w:w="985"/>
              <w:gridCol w:w="2274"/>
              <w:gridCol w:w="640"/>
              <w:gridCol w:w="985"/>
              <w:gridCol w:w="2273"/>
              <w:gridCol w:w="667"/>
              <w:gridCol w:w="780"/>
            </w:tblGrid>
            <w:tr w14:paraId="477101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319" w:type="pct"/>
                  <w:vMerge w:val="restart"/>
                  <w:tcBorders>
                    <w:top w:val="single" w:color="auto" w:sz="12" w:space="0"/>
                    <w:bottom w:val="single" w:color="auto" w:sz="4" w:space="0"/>
                    <w:right w:val="single" w:color="auto" w:sz="4" w:space="0"/>
                  </w:tcBorders>
                  <w:shd w:val="clear" w:color="auto" w:fill="auto"/>
                  <w:noWrap w:val="0"/>
                  <w:vAlign w:val="center"/>
                </w:tcPr>
                <w:p w14:paraId="41B759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
                    </w:rPr>
                    <w:t>序号</w:t>
                  </w:r>
                </w:p>
              </w:tc>
              <w:tc>
                <w:tcPr>
                  <w:tcW w:w="2121" w:type="pct"/>
                  <w:gridSpan w:val="3"/>
                  <w:tcBorders>
                    <w:top w:val="single" w:color="auto" w:sz="12" w:space="0"/>
                    <w:left w:val="single" w:color="auto" w:sz="4" w:space="0"/>
                    <w:bottom w:val="single" w:color="auto" w:sz="4" w:space="0"/>
                    <w:right w:val="single" w:color="auto" w:sz="4" w:space="0"/>
                  </w:tcBorders>
                  <w:shd w:val="clear" w:color="auto" w:fill="auto"/>
                  <w:noWrap w:val="0"/>
                  <w:vAlign w:val="center"/>
                </w:tcPr>
                <w:p w14:paraId="3AD946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现有工程设备内容</w:t>
                  </w:r>
                </w:p>
              </w:tc>
              <w:tc>
                <w:tcPr>
                  <w:tcW w:w="2135" w:type="pct"/>
                  <w:gridSpan w:val="3"/>
                  <w:tcBorders>
                    <w:top w:val="single" w:color="auto" w:sz="12" w:space="0"/>
                    <w:left w:val="single" w:color="auto" w:sz="4" w:space="0"/>
                    <w:bottom w:val="single" w:color="auto" w:sz="4" w:space="0"/>
                    <w:right w:val="single" w:color="auto" w:sz="4" w:space="0"/>
                  </w:tcBorders>
                  <w:shd w:val="clear" w:color="auto" w:fill="auto"/>
                  <w:noWrap w:val="0"/>
                  <w:vAlign w:val="center"/>
                </w:tcPr>
                <w:p w14:paraId="3719C7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highlight w:val="none"/>
                      <w:lang w:eastAsia="zh-CN"/>
                    </w:rPr>
                    <w:t>扩建</w:t>
                  </w:r>
                  <w:r>
                    <w:rPr>
                      <w:rFonts w:hint="default" w:ascii="Times New Roman" w:hAnsi="Times New Roman" w:eastAsia="宋体" w:cs="Times New Roman"/>
                      <w:b/>
                      <w:bCs/>
                      <w:color w:val="auto"/>
                      <w:sz w:val="21"/>
                      <w:szCs w:val="21"/>
                      <w:highlight w:val="none"/>
                      <w:vertAlign w:val="baseline"/>
                      <w:lang w:eastAsia="zh-CN"/>
                    </w:rPr>
                    <w:t>后设备内容</w:t>
                  </w:r>
                </w:p>
              </w:tc>
              <w:tc>
                <w:tcPr>
                  <w:tcW w:w="424" w:type="pct"/>
                  <w:vMerge w:val="restart"/>
                  <w:tcBorders>
                    <w:top w:val="single" w:color="auto" w:sz="12" w:space="0"/>
                    <w:left w:val="single" w:color="auto" w:sz="4" w:space="0"/>
                  </w:tcBorders>
                  <w:shd w:val="clear" w:color="auto" w:fill="auto"/>
                  <w:noWrap w:val="0"/>
                  <w:vAlign w:val="center"/>
                </w:tcPr>
                <w:p w14:paraId="2102C1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
                    </w:rPr>
                    <w:t>备注</w:t>
                  </w:r>
                </w:p>
              </w:tc>
            </w:tr>
            <w:tr w14:paraId="60B8F0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9" w:type="pct"/>
                  <w:vMerge w:val="continue"/>
                  <w:tcBorders>
                    <w:top w:val="single" w:color="auto" w:sz="4" w:space="0"/>
                    <w:bottom w:val="single" w:color="auto" w:sz="4" w:space="0"/>
                    <w:right w:val="single" w:color="auto" w:sz="4" w:space="0"/>
                  </w:tcBorders>
                  <w:noWrap w:val="0"/>
                  <w:vAlign w:val="center"/>
                </w:tcPr>
                <w:p w14:paraId="003341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kern w:val="2"/>
                      <w:sz w:val="21"/>
                      <w:szCs w:val="21"/>
                    </w:rPr>
                  </w:pPr>
                </w:p>
              </w:tc>
              <w:tc>
                <w:tcPr>
                  <w:tcW w:w="536" w:type="pct"/>
                  <w:tcBorders>
                    <w:top w:val="single" w:color="auto" w:sz="4" w:space="0"/>
                    <w:left w:val="single" w:color="auto" w:sz="4" w:space="0"/>
                    <w:bottom w:val="single" w:color="auto" w:sz="4" w:space="0"/>
                    <w:right w:val="single" w:color="auto" w:sz="4" w:space="0"/>
                  </w:tcBorders>
                  <w:noWrap w:val="0"/>
                  <w:vAlign w:val="center"/>
                </w:tcPr>
                <w:p w14:paraId="542BE8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2"/>
                      <w:sz w:val="21"/>
                      <w:szCs w:val="21"/>
                      <w:lang w:val="en-US" w:eastAsia="zh-CN" w:bidi="ar"/>
                    </w:rPr>
                  </w:pPr>
                  <w:r>
                    <w:rPr>
                      <w:rFonts w:hint="eastAsia" w:ascii="Times New Roman" w:hAnsi="Times New Roman" w:eastAsia="宋体" w:cs="Times New Roman"/>
                      <w:b/>
                      <w:bCs/>
                      <w:color w:val="auto"/>
                      <w:kern w:val="2"/>
                      <w:sz w:val="21"/>
                      <w:szCs w:val="21"/>
                      <w:lang w:val="en-US" w:eastAsia="zh-CN" w:bidi="ar"/>
                    </w:rPr>
                    <w:t>设备</w:t>
                  </w:r>
                </w:p>
                <w:p w14:paraId="6DA71A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名称</w:t>
                  </w:r>
                </w:p>
              </w:tc>
              <w:tc>
                <w:tcPr>
                  <w:tcW w:w="1237" w:type="pct"/>
                  <w:tcBorders>
                    <w:top w:val="single" w:color="auto" w:sz="4" w:space="0"/>
                    <w:left w:val="single" w:color="auto" w:sz="4" w:space="0"/>
                    <w:bottom w:val="single" w:color="auto" w:sz="4" w:space="0"/>
                    <w:right w:val="single" w:color="auto" w:sz="4" w:space="0"/>
                  </w:tcBorders>
                  <w:noWrap w:val="0"/>
                  <w:vAlign w:val="center"/>
                </w:tcPr>
                <w:p w14:paraId="687A19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规格型号</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44D834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2"/>
                      <w:sz w:val="21"/>
                      <w:szCs w:val="21"/>
                      <w:lang w:val="en-US" w:eastAsia="zh-CN" w:bidi="ar"/>
                    </w:rPr>
                  </w:pPr>
                  <w:r>
                    <w:rPr>
                      <w:rFonts w:hint="eastAsia" w:ascii="Times New Roman" w:hAnsi="Times New Roman" w:eastAsia="宋体" w:cs="Times New Roman"/>
                      <w:b/>
                      <w:bCs/>
                      <w:color w:val="auto"/>
                      <w:kern w:val="2"/>
                      <w:sz w:val="21"/>
                      <w:szCs w:val="21"/>
                      <w:lang w:val="en-US" w:eastAsia="zh-CN" w:bidi="ar"/>
                    </w:rPr>
                    <w:t>数量</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6F950F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bCs/>
                      <w:color w:val="auto"/>
                      <w:kern w:val="2"/>
                      <w:sz w:val="21"/>
                      <w:szCs w:val="21"/>
                      <w:lang w:val="en-US" w:eastAsia="zh-CN" w:bidi="ar"/>
                    </w:rPr>
                  </w:pPr>
                  <w:r>
                    <w:rPr>
                      <w:rFonts w:hint="eastAsia" w:ascii="Times New Roman" w:hAnsi="Times New Roman" w:eastAsia="宋体" w:cs="Times New Roman"/>
                      <w:b/>
                      <w:bCs/>
                      <w:color w:val="auto"/>
                      <w:kern w:val="2"/>
                      <w:sz w:val="21"/>
                      <w:szCs w:val="21"/>
                      <w:lang w:val="en-US" w:eastAsia="zh-CN" w:bidi="ar"/>
                    </w:rPr>
                    <w:t>设备</w:t>
                  </w:r>
                </w:p>
                <w:p w14:paraId="552E63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bCs/>
                      <w:color w:val="auto"/>
                      <w:kern w:val="2"/>
                      <w:sz w:val="21"/>
                      <w:szCs w:val="21"/>
                      <w:lang w:val="en-US" w:eastAsia="zh-CN" w:bidi="ar"/>
                    </w:rPr>
                  </w:pPr>
                  <w:r>
                    <w:rPr>
                      <w:rFonts w:hint="eastAsia" w:ascii="Times New Roman" w:hAnsi="Times New Roman" w:eastAsia="宋体" w:cs="Times New Roman"/>
                      <w:b/>
                      <w:bCs/>
                      <w:color w:val="auto"/>
                      <w:kern w:val="2"/>
                      <w:sz w:val="21"/>
                      <w:szCs w:val="21"/>
                      <w:lang w:val="en-US" w:eastAsia="zh-CN" w:bidi="ar"/>
                    </w:rPr>
                    <w:t>名称</w:t>
                  </w:r>
                </w:p>
              </w:tc>
              <w:tc>
                <w:tcPr>
                  <w:tcW w:w="1236" w:type="pct"/>
                  <w:tcBorders>
                    <w:top w:val="single" w:color="auto" w:sz="4" w:space="0"/>
                    <w:left w:val="single" w:color="auto" w:sz="4" w:space="0"/>
                    <w:bottom w:val="single" w:color="auto" w:sz="4" w:space="0"/>
                    <w:right w:val="single" w:color="auto" w:sz="4" w:space="0"/>
                  </w:tcBorders>
                  <w:noWrap w:val="0"/>
                  <w:vAlign w:val="center"/>
                </w:tcPr>
                <w:p w14:paraId="3CE0FE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bCs/>
                      <w:color w:val="auto"/>
                      <w:kern w:val="2"/>
                      <w:sz w:val="21"/>
                      <w:szCs w:val="21"/>
                      <w:lang w:val="en-US" w:eastAsia="zh-CN" w:bidi="ar"/>
                    </w:rPr>
                  </w:pPr>
                  <w:r>
                    <w:rPr>
                      <w:rFonts w:hint="eastAsia" w:ascii="Times New Roman" w:hAnsi="Times New Roman" w:eastAsia="宋体" w:cs="Times New Roman"/>
                      <w:b/>
                      <w:bCs/>
                      <w:color w:val="auto"/>
                      <w:kern w:val="2"/>
                      <w:sz w:val="21"/>
                      <w:szCs w:val="21"/>
                      <w:lang w:val="en-US" w:eastAsia="zh-CN" w:bidi="ar"/>
                    </w:rPr>
                    <w:t>规格型号</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53C664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kern w:val="2"/>
                      <w:sz w:val="21"/>
                      <w:szCs w:val="21"/>
                      <w:lang w:val="en-US"/>
                    </w:rPr>
                  </w:pPr>
                  <w:r>
                    <w:rPr>
                      <w:rFonts w:hint="eastAsia" w:ascii="Times New Roman" w:hAnsi="Times New Roman" w:eastAsia="宋体" w:cs="Times New Roman"/>
                      <w:b/>
                      <w:bCs/>
                      <w:color w:val="auto"/>
                      <w:kern w:val="2"/>
                      <w:sz w:val="21"/>
                      <w:szCs w:val="21"/>
                      <w:lang w:val="en-US" w:eastAsia="zh-CN" w:bidi="ar"/>
                    </w:rPr>
                    <w:t>数量</w:t>
                  </w:r>
                </w:p>
              </w:tc>
              <w:tc>
                <w:tcPr>
                  <w:tcW w:w="424" w:type="pct"/>
                  <w:vMerge w:val="continue"/>
                  <w:tcBorders>
                    <w:left w:val="single" w:color="auto" w:sz="4" w:space="0"/>
                    <w:bottom w:val="single" w:color="auto" w:sz="4" w:space="0"/>
                  </w:tcBorders>
                  <w:noWrap w:val="0"/>
                  <w:vAlign w:val="center"/>
                </w:tcPr>
                <w:p w14:paraId="28A3B9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2"/>
                      <w:sz w:val="21"/>
                      <w:szCs w:val="21"/>
                    </w:rPr>
                  </w:pPr>
                </w:p>
              </w:tc>
            </w:tr>
            <w:tr w14:paraId="03433B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tcBorders>
                    <w:top w:val="single" w:color="auto" w:sz="4" w:space="0"/>
                    <w:bottom w:val="single" w:color="auto" w:sz="4" w:space="0"/>
                    <w:right w:val="single" w:color="auto" w:sz="4" w:space="0"/>
                  </w:tcBorders>
                  <w:noWrap w:val="0"/>
                  <w:vAlign w:val="center"/>
                </w:tcPr>
                <w:p w14:paraId="467BFE4E">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bCs/>
                      <w:color w:val="auto"/>
                      <w:sz w:val="24"/>
                      <w:lang w:val="en-US" w:eastAsia="zh-CN"/>
                    </w:rPr>
                    <w:t>1</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65873A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rPr>
                  </w:pPr>
                  <w:r>
                    <w:rPr>
                      <w:rFonts w:hint="default" w:ascii="Times New Roman" w:hAnsi="Times New Roman" w:eastAsia="宋体" w:cs="Times New Roman"/>
                      <w:color w:val="auto"/>
                      <w:sz w:val="21"/>
                      <w:szCs w:val="21"/>
                      <w:lang w:eastAsia="zh-CN"/>
                    </w:rPr>
                    <w:t>单头拉丝机</w:t>
                  </w:r>
                </w:p>
              </w:tc>
              <w:tc>
                <w:tcPr>
                  <w:tcW w:w="2274" w:type="dxa"/>
                  <w:tcBorders>
                    <w:top w:val="single" w:color="auto" w:sz="4" w:space="0"/>
                    <w:left w:val="single" w:color="auto" w:sz="4" w:space="0"/>
                    <w:bottom w:val="single" w:color="auto" w:sz="4" w:space="0"/>
                    <w:right w:val="single" w:color="auto" w:sz="4" w:space="0"/>
                  </w:tcBorders>
                  <w:noWrap w:val="0"/>
                  <w:vAlign w:val="center"/>
                </w:tcPr>
                <w:p w14:paraId="23BC04A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22FF1F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5台</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42F7E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单头拉丝机</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7B274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78DFDF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lang w:val="en-US" w:eastAsia="zh-CN"/>
                    </w:rPr>
                    <w:t>5台</w:t>
                  </w:r>
                </w:p>
              </w:tc>
              <w:tc>
                <w:tcPr>
                  <w:tcW w:w="424" w:type="pct"/>
                  <w:tcBorders>
                    <w:top w:val="single" w:color="auto" w:sz="4" w:space="0"/>
                    <w:left w:val="single" w:color="auto" w:sz="4" w:space="0"/>
                    <w:bottom w:val="single" w:color="auto" w:sz="4" w:space="0"/>
                  </w:tcBorders>
                  <w:noWrap w:val="0"/>
                  <w:vAlign w:val="center"/>
                </w:tcPr>
                <w:p w14:paraId="4A0DDBEC">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rPr>
                  </w:pPr>
                  <w:r>
                    <w:rPr>
                      <w:rFonts w:hint="eastAsia" w:ascii="Calibri" w:hAnsi="Calibri" w:eastAsia="宋体" w:cs="Times New Roman"/>
                      <w:bCs/>
                      <w:color w:val="auto"/>
                      <w:sz w:val="21"/>
                      <w:szCs w:val="21"/>
                      <w:lang w:val="en-US" w:eastAsia="zh-CN"/>
                    </w:rPr>
                    <w:t>原有设备</w:t>
                  </w:r>
                </w:p>
              </w:tc>
            </w:tr>
            <w:tr w14:paraId="1853E3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319" w:type="pct"/>
                  <w:tcBorders>
                    <w:top w:val="single" w:color="auto" w:sz="4" w:space="0"/>
                    <w:bottom w:val="single" w:color="auto" w:sz="4" w:space="0"/>
                    <w:right w:val="single" w:color="auto" w:sz="4" w:space="0"/>
                  </w:tcBorders>
                  <w:noWrap w:val="0"/>
                  <w:vAlign w:val="center"/>
                </w:tcPr>
                <w:p w14:paraId="70D86DEF">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bCs/>
                      <w:color w:val="auto"/>
                      <w:sz w:val="24"/>
                      <w:lang w:val="en-US" w:eastAsia="zh-CN"/>
                    </w:rPr>
                    <w:t>2</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456BC8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连续拉丝机</w:t>
                  </w:r>
                </w:p>
              </w:tc>
              <w:tc>
                <w:tcPr>
                  <w:tcW w:w="2274" w:type="dxa"/>
                  <w:tcBorders>
                    <w:top w:val="single" w:color="auto" w:sz="4" w:space="0"/>
                    <w:left w:val="single" w:color="auto" w:sz="4" w:space="0"/>
                    <w:bottom w:val="single" w:color="auto" w:sz="4" w:space="0"/>
                    <w:right w:val="single" w:color="auto" w:sz="4" w:space="0"/>
                  </w:tcBorders>
                  <w:noWrap w:val="0"/>
                  <w:vAlign w:val="center"/>
                </w:tcPr>
                <w:p w14:paraId="1A1469D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6F7204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2台</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66F2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连续拉丝机</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0185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261F49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lang w:val="en-US" w:eastAsia="zh-CN"/>
                    </w:rPr>
                    <w:t>2台</w:t>
                  </w:r>
                </w:p>
              </w:tc>
              <w:tc>
                <w:tcPr>
                  <w:tcW w:w="424" w:type="pct"/>
                  <w:tcBorders>
                    <w:top w:val="single" w:color="auto" w:sz="4" w:space="0"/>
                    <w:left w:val="single" w:color="auto" w:sz="4" w:space="0"/>
                    <w:bottom w:val="single" w:color="auto" w:sz="4" w:space="0"/>
                  </w:tcBorders>
                  <w:noWrap w:val="0"/>
                  <w:vAlign w:val="center"/>
                </w:tcPr>
                <w:p w14:paraId="760E0C9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rPr>
                  </w:pPr>
                  <w:r>
                    <w:rPr>
                      <w:rFonts w:hint="eastAsia" w:ascii="Calibri" w:hAnsi="Calibri" w:eastAsia="宋体" w:cs="Times New Roman"/>
                      <w:bCs/>
                      <w:color w:val="auto"/>
                      <w:sz w:val="21"/>
                      <w:szCs w:val="21"/>
                      <w:lang w:val="en-US" w:eastAsia="zh-CN"/>
                    </w:rPr>
                    <w:t>原有设备</w:t>
                  </w:r>
                </w:p>
              </w:tc>
            </w:tr>
            <w:tr w14:paraId="6BA6D7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19" w:type="pct"/>
                  <w:tcBorders>
                    <w:top w:val="single" w:color="auto" w:sz="4" w:space="0"/>
                    <w:bottom w:val="single" w:color="auto" w:sz="4" w:space="0"/>
                    <w:right w:val="single" w:color="auto" w:sz="4" w:space="0"/>
                  </w:tcBorders>
                  <w:noWrap w:val="0"/>
                  <w:vAlign w:val="center"/>
                </w:tcPr>
                <w:p w14:paraId="33370D5C">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bCs/>
                      <w:color w:val="auto"/>
                      <w:sz w:val="24"/>
                      <w:lang w:val="en-US" w:eastAsia="zh-CN"/>
                    </w:rPr>
                    <w:t>3</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4AA834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连续拉丝机</w:t>
                  </w:r>
                </w:p>
              </w:tc>
              <w:tc>
                <w:tcPr>
                  <w:tcW w:w="2274" w:type="dxa"/>
                  <w:tcBorders>
                    <w:top w:val="single" w:color="auto" w:sz="4" w:space="0"/>
                    <w:left w:val="single" w:color="auto" w:sz="4" w:space="0"/>
                    <w:bottom w:val="single" w:color="auto" w:sz="4" w:space="0"/>
                    <w:right w:val="single" w:color="auto" w:sz="4" w:space="0"/>
                  </w:tcBorders>
                  <w:noWrap w:val="0"/>
                  <w:vAlign w:val="center"/>
                </w:tcPr>
                <w:p w14:paraId="2DFDC75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3D0AD0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3台</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B9DD8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连续拉丝机</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05CBC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43DB72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lang w:val="en-US" w:eastAsia="zh-CN"/>
                    </w:rPr>
                    <w:t>3台</w:t>
                  </w:r>
                </w:p>
              </w:tc>
              <w:tc>
                <w:tcPr>
                  <w:tcW w:w="424" w:type="pct"/>
                  <w:tcBorders>
                    <w:top w:val="single" w:color="auto" w:sz="4" w:space="0"/>
                    <w:left w:val="single" w:color="auto" w:sz="4" w:space="0"/>
                    <w:bottom w:val="single" w:color="auto" w:sz="4" w:space="0"/>
                  </w:tcBorders>
                  <w:noWrap w:val="0"/>
                  <w:vAlign w:val="center"/>
                </w:tcPr>
                <w:p w14:paraId="02B56BF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rPr>
                  </w:pPr>
                  <w:r>
                    <w:rPr>
                      <w:rFonts w:hint="eastAsia" w:ascii="Calibri" w:hAnsi="Calibri" w:eastAsia="宋体" w:cs="Times New Roman"/>
                      <w:bCs/>
                      <w:color w:val="auto"/>
                      <w:sz w:val="21"/>
                      <w:szCs w:val="21"/>
                      <w:lang w:val="en-US" w:eastAsia="zh-CN"/>
                    </w:rPr>
                    <w:t>原有设备</w:t>
                  </w:r>
                </w:p>
              </w:tc>
            </w:tr>
            <w:tr w14:paraId="326F03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319" w:type="pct"/>
                  <w:tcBorders>
                    <w:top w:val="single" w:color="auto" w:sz="4" w:space="0"/>
                    <w:bottom w:val="single" w:color="auto" w:sz="4" w:space="0"/>
                    <w:right w:val="single" w:color="auto" w:sz="4" w:space="0"/>
                  </w:tcBorders>
                  <w:noWrap w:val="0"/>
                  <w:vAlign w:val="center"/>
                </w:tcPr>
                <w:p w14:paraId="0549B39C">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4"/>
                      <w:lang w:val="en-US" w:eastAsia="zh-CN"/>
                    </w:rPr>
                    <w:t>4</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04224C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热处理生产线</w:t>
                  </w:r>
                </w:p>
              </w:tc>
              <w:tc>
                <w:tcPr>
                  <w:tcW w:w="2274" w:type="dxa"/>
                  <w:tcBorders>
                    <w:top w:val="single" w:color="auto" w:sz="4" w:space="0"/>
                    <w:left w:val="single" w:color="auto" w:sz="4" w:space="0"/>
                    <w:bottom w:val="single" w:color="auto" w:sz="4" w:space="0"/>
                    <w:right w:val="single" w:color="auto" w:sz="4" w:space="0"/>
                  </w:tcBorders>
                  <w:noWrap w:val="0"/>
                  <w:vAlign w:val="center"/>
                </w:tcPr>
                <w:p w14:paraId="34330B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lang w:val="en-US"/>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02151F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1条</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3B318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热处理生产线</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BA8D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7350EF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lang w:val="en-US" w:eastAsia="zh-CN"/>
                    </w:rPr>
                    <w:t>1条</w:t>
                  </w:r>
                </w:p>
              </w:tc>
              <w:tc>
                <w:tcPr>
                  <w:tcW w:w="424" w:type="pct"/>
                  <w:tcBorders>
                    <w:top w:val="single" w:color="auto" w:sz="4" w:space="0"/>
                    <w:left w:val="single" w:color="auto" w:sz="4" w:space="0"/>
                    <w:bottom w:val="single" w:color="auto" w:sz="4" w:space="0"/>
                  </w:tcBorders>
                  <w:noWrap w:val="0"/>
                  <w:vAlign w:val="center"/>
                </w:tcPr>
                <w:p w14:paraId="5D77F04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Calibri" w:hAnsi="Calibri" w:eastAsia="宋体" w:cs="Times New Roman"/>
                      <w:bCs/>
                      <w:color w:val="auto"/>
                      <w:sz w:val="21"/>
                      <w:szCs w:val="21"/>
                      <w:lang w:val="en-US" w:eastAsia="zh-CN"/>
                    </w:rPr>
                    <w:t>原有设备</w:t>
                  </w:r>
                </w:p>
              </w:tc>
            </w:tr>
            <w:tr w14:paraId="52E2C9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tcBorders>
                    <w:top w:val="single" w:color="auto" w:sz="4" w:space="0"/>
                    <w:bottom w:val="single" w:color="auto" w:sz="4" w:space="0"/>
                    <w:right w:val="single" w:color="auto" w:sz="4" w:space="0"/>
                  </w:tcBorders>
                  <w:noWrap w:val="0"/>
                  <w:vAlign w:val="center"/>
                </w:tcPr>
                <w:p w14:paraId="782D50D9">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4"/>
                      <w:lang w:val="en-US" w:eastAsia="zh-CN"/>
                    </w:rPr>
                    <w:t>5</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4EB4E2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热处理生产线</w:t>
                  </w:r>
                </w:p>
              </w:tc>
              <w:tc>
                <w:tcPr>
                  <w:tcW w:w="2274" w:type="dxa"/>
                  <w:tcBorders>
                    <w:top w:val="single" w:color="auto" w:sz="4" w:space="0"/>
                    <w:left w:val="single" w:color="auto" w:sz="4" w:space="0"/>
                    <w:bottom w:val="single" w:color="auto" w:sz="4" w:space="0"/>
                    <w:right w:val="single" w:color="auto" w:sz="4" w:space="0"/>
                  </w:tcBorders>
                  <w:noWrap w:val="0"/>
                  <w:vAlign w:val="center"/>
                </w:tcPr>
                <w:p w14:paraId="10763A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lang w:val="en-US"/>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781BB4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1条</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8655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热处理生产线</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7F18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4DB8E2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lang w:val="en-US" w:eastAsia="zh-CN"/>
                    </w:rPr>
                    <w:t>1条</w:t>
                  </w:r>
                </w:p>
              </w:tc>
              <w:tc>
                <w:tcPr>
                  <w:tcW w:w="424" w:type="pct"/>
                  <w:tcBorders>
                    <w:top w:val="single" w:color="auto" w:sz="4" w:space="0"/>
                    <w:left w:val="single" w:color="auto" w:sz="4" w:space="0"/>
                    <w:bottom w:val="single" w:color="auto" w:sz="4" w:space="0"/>
                  </w:tcBorders>
                  <w:noWrap w:val="0"/>
                  <w:vAlign w:val="center"/>
                </w:tcPr>
                <w:p w14:paraId="63D2C3E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Calibri" w:hAnsi="Calibri" w:eastAsia="宋体" w:cs="Times New Roman"/>
                      <w:bCs/>
                      <w:color w:val="auto"/>
                      <w:sz w:val="21"/>
                      <w:szCs w:val="21"/>
                      <w:lang w:val="en-US" w:eastAsia="zh-CN"/>
                    </w:rPr>
                    <w:t>原有设备</w:t>
                  </w:r>
                </w:p>
              </w:tc>
            </w:tr>
            <w:tr w14:paraId="120106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tcBorders>
                    <w:top w:val="single" w:color="auto" w:sz="4" w:space="0"/>
                    <w:bottom w:val="single" w:color="auto" w:sz="4" w:space="0"/>
                    <w:right w:val="single" w:color="auto" w:sz="4" w:space="0"/>
                  </w:tcBorders>
                  <w:shd w:val="clear" w:color="auto" w:fill="auto"/>
                  <w:noWrap w:val="0"/>
                  <w:vAlign w:val="center"/>
                </w:tcPr>
                <w:p w14:paraId="6269DA49">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4"/>
                      <w:lang w:val="en-US" w:eastAsia="zh-CN"/>
                    </w:rPr>
                    <w:t>6</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01DCB8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冷却塔</w:t>
                  </w:r>
                </w:p>
              </w:tc>
              <w:tc>
                <w:tcPr>
                  <w:tcW w:w="2274" w:type="dxa"/>
                  <w:tcBorders>
                    <w:top w:val="single" w:color="auto" w:sz="4" w:space="0"/>
                    <w:left w:val="single" w:color="auto" w:sz="4" w:space="0"/>
                    <w:bottom w:val="single" w:color="auto" w:sz="4" w:space="0"/>
                    <w:right w:val="single" w:color="auto" w:sz="4" w:space="0"/>
                  </w:tcBorders>
                  <w:noWrap w:val="0"/>
                  <w:vAlign w:val="center"/>
                </w:tcPr>
                <w:p w14:paraId="2602D79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3AF31C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2台</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2833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eastAsia="zh-CN"/>
                    </w:rPr>
                    <w:t>冷却塔</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7BDB4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21B358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2台</w:t>
                  </w:r>
                </w:p>
              </w:tc>
              <w:tc>
                <w:tcPr>
                  <w:tcW w:w="424" w:type="pct"/>
                  <w:tcBorders>
                    <w:top w:val="single" w:color="auto" w:sz="4" w:space="0"/>
                    <w:left w:val="single" w:color="auto" w:sz="4" w:space="0"/>
                    <w:bottom w:val="single" w:color="auto" w:sz="4" w:space="0"/>
                  </w:tcBorders>
                  <w:noWrap w:val="0"/>
                  <w:vAlign w:val="center"/>
                </w:tcPr>
                <w:p w14:paraId="6C7C260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Calibri" w:hAnsi="Calibri" w:eastAsia="宋体" w:cs="Times New Roman"/>
                      <w:bCs/>
                      <w:color w:val="auto"/>
                      <w:sz w:val="21"/>
                      <w:szCs w:val="21"/>
                      <w:lang w:val="en-US" w:eastAsia="zh-CN"/>
                    </w:rPr>
                  </w:pPr>
                  <w:r>
                    <w:rPr>
                      <w:rFonts w:hint="eastAsia" w:ascii="Calibri" w:hAnsi="Calibri" w:eastAsia="宋体" w:cs="Times New Roman"/>
                      <w:bCs/>
                      <w:color w:val="auto"/>
                      <w:sz w:val="21"/>
                      <w:szCs w:val="21"/>
                      <w:lang w:val="en-US" w:eastAsia="zh-CN"/>
                    </w:rPr>
                    <w:t>原有设备</w:t>
                  </w:r>
                </w:p>
              </w:tc>
            </w:tr>
            <w:tr w14:paraId="7F5465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tcBorders>
                    <w:top w:val="single" w:color="auto" w:sz="4" w:space="0"/>
                    <w:bottom w:val="single" w:color="auto" w:sz="4" w:space="0"/>
                    <w:right w:val="single" w:color="auto" w:sz="4" w:space="0"/>
                  </w:tcBorders>
                  <w:shd w:val="clear" w:color="auto" w:fill="auto"/>
                  <w:noWrap w:val="0"/>
                  <w:vAlign w:val="center"/>
                </w:tcPr>
                <w:p w14:paraId="4B6FDD4E">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4"/>
                      <w:lang w:val="en-US" w:eastAsia="zh-CN"/>
                    </w:rPr>
                    <w:t>7</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5E8AF17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237" w:type="pct"/>
                  <w:tcBorders>
                    <w:top w:val="single" w:color="auto" w:sz="4" w:space="0"/>
                    <w:left w:val="single" w:color="auto" w:sz="4" w:space="0"/>
                    <w:bottom w:val="single" w:color="auto" w:sz="4" w:space="0"/>
                    <w:right w:val="single" w:color="auto" w:sz="4" w:space="0"/>
                  </w:tcBorders>
                  <w:noWrap w:val="0"/>
                  <w:vAlign w:val="center"/>
                </w:tcPr>
                <w:p w14:paraId="24BBFD0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3A94E5F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cs="Times New Roman"/>
                      <w:bCs/>
                      <w:color w:val="auto"/>
                      <w:sz w:val="21"/>
                      <w:szCs w:val="21"/>
                      <w:lang w:val="en-US" w:eastAsia="zh-CN"/>
                    </w:rPr>
                  </w:pPr>
                  <w:r>
                    <w:rPr>
                      <w:rFonts w:hint="eastAsia" w:cs="Times New Roman"/>
                      <w:color w:val="auto"/>
                      <w:kern w:val="2"/>
                      <w:sz w:val="21"/>
                      <w:szCs w:val="21"/>
                      <w:lang w:val="en-US" w:eastAsia="zh-CN" w:bidi="ar-SA"/>
                    </w:rPr>
                    <w:t>/</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48DC36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热处理生产线</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AD866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1D6327C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1条</w:t>
                  </w:r>
                </w:p>
              </w:tc>
              <w:tc>
                <w:tcPr>
                  <w:tcW w:w="424" w:type="pct"/>
                  <w:tcBorders>
                    <w:top w:val="single" w:color="auto" w:sz="4" w:space="0"/>
                    <w:left w:val="single" w:color="auto" w:sz="4" w:space="0"/>
                    <w:bottom w:val="single" w:color="auto" w:sz="4" w:space="0"/>
                  </w:tcBorders>
                  <w:noWrap w:val="0"/>
                  <w:vAlign w:val="center"/>
                </w:tcPr>
                <w:p w14:paraId="07865D5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Calibri" w:hAnsi="Calibri" w:eastAsia="宋体" w:cs="Times New Roman"/>
                      <w:bCs/>
                      <w:color w:val="auto"/>
                      <w:sz w:val="21"/>
                      <w:szCs w:val="21"/>
                      <w:lang w:val="en-US" w:eastAsia="zh-CN"/>
                    </w:rPr>
                    <w:t>新增设备</w:t>
                  </w:r>
                </w:p>
              </w:tc>
            </w:tr>
            <w:tr w14:paraId="11854C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tcBorders>
                    <w:top w:val="single" w:color="auto" w:sz="4" w:space="0"/>
                    <w:bottom w:val="single" w:color="auto" w:sz="4" w:space="0"/>
                    <w:right w:val="single" w:color="auto" w:sz="4" w:space="0"/>
                  </w:tcBorders>
                  <w:shd w:val="clear" w:color="auto" w:fill="auto"/>
                  <w:noWrap w:val="0"/>
                  <w:vAlign w:val="center"/>
                </w:tcPr>
                <w:p w14:paraId="11F72ABA">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sz w:val="24"/>
                      <w:lang w:val="en-US" w:eastAsia="zh-CN"/>
                    </w:rPr>
                    <w:t>8</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42D9334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237" w:type="pct"/>
                  <w:tcBorders>
                    <w:top w:val="single" w:color="auto" w:sz="4" w:space="0"/>
                    <w:left w:val="single" w:color="auto" w:sz="4" w:space="0"/>
                    <w:bottom w:val="single" w:color="auto" w:sz="4" w:space="0"/>
                    <w:right w:val="single" w:color="auto" w:sz="4" w:space="0"/>
                  </w:tcBorders>
                  <w:noWrap w:val="0"/>
                  <w:vAlign w:val="center"/>
                </w:tcPr>
                <w:p w14:paraId="01E8BFF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0DC8E79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cs="Times New Roman"/>
                      <w:bCs/>
                      <w:color w:val="auto"/>
                      <w:sz w:val="21"/>
                      <w:szCs w:val="21"/>
                      <w:lang w:val="en-US" w:eastAsia="zh-CN"/>
                    </w:rPr>
                  </w:pPr>
                  <w:r>
                    <w:rPr>
                      <w:rFonts w:hint="eastAsia" w:cs="Times New Roman"/>
                      <w:color w:val="auto"/>
                      <w:kern w:val="2"/>
                      <w:sz w:val="21"/>
                      <w:szCs w:val="21"/>
                      <w:lang w:val="en-US" w:eastAsia="zh-CN" w:bidi="ar-SA"/>
                    </w:rPr>
                    <w:t>/</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716F88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热处理生产线</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19B2E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33EC8FF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1条</w:t>
                  </w:r>
                </w:p>
              </w:tc>
              <w:tc>
                <w:tcPr>
                  <w:tcW w:w="424" w:type="pct"/>
                  <w:tcBorders>
                    <w:top w:val="single" w:color="auto" w:sz="4" w:space="0"/>
                    <w:left w:val="single" w:color="auto" w:sz="4" w:space="0"/>
                    <w:bottom w:val="single" w:color="auto" w:sz="4" w:space="0"/>
                  </w:tcBorders>
                  <w:noWrap w:val="0"/>
                  <w:vAlign w:val="center"/>
                </w:tcPr>
                <w:p w14:paraId="568DA18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Calibri" w:hAnsi="Calibri" w:eastAsia="宋体" w:cs="Times New Roman"/>
                      <w:bCs/>
                      <w:color w:val="auto"/>
                      <w:kern w:val="2"/>
                      <w:sz w:val="21"/>
                      <w:szCs w:val="21"/>
                      <w:lang w:val="en-US" w:eastAsia="zh-CN" w:bidi="ar-SA"/>
                    </w:rPr>
                  </w:pPr>
                  <w:r>
                    <w:rPr>
                      <w:rFonts w:hint="eastAsia" w:ascii="Calibri" w:hAnsi="Calibri" w:eastAsia="宋体" w:cs="Times New Roman"/>
                      <w:bCs/>
                      <w:color w:val="auto"/>
                      <w:sz w:val="21"/>
                      <w:szCs w:val="21"/>
                      <w:lang w:val="en-US" w:eastAsia="zh-CN"/>
                    </w:rPr>
                    <w:t>新增设备</w:t>
                  </w:r>
                </w:p>
              </w:tc>
            </w:tr>
            <w:tr w14:paraId="4A2A6B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tcBorders>
                    <w:top w:val="single" w:color="auto" w:sz="4" w:space="0"/>
                    <w:bottom w:val="single" w:color="auto" w:sz="4" w:space="0"/>
                    <w:right w:val="single" w:color="auto" w:sz="4" w:space="0"/>
                  </w:tcBorders>
                  <w:shd w:val="clear" w:color="auto" w:fill="auto"/>
                  <w:noWrap w:val="0"/>
                  <w:vAlign w:val="center"/>
                </w:tcPr>
                <w:p w14:paraId="0827DE17">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sz w:val="24"/>
                      <w:lang w:val="en-US" w:eastAsia="zh-CN"/>
                    </w:rPr>
                    <w:t>9</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3613488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237" w:type="pct"/>
                  <w:tcBorders>
                    <w:top w:val="single" w:color="auto" w:sz="4" w:space="0"/>
                    <w:left w:val="single" w:color="auto" w:sz="4" w:space="0"/>
                    <w:bottom w:val="single" w:color="auto" w:sz="4" w:space="0"/>
                    <w:right w:val="single" w:color="auto" w:sz="4" w:space="0"/>
                  </w:tcBorders>
                  <w:noWrap w:val="0"/>
                  <w:vAlign w:val="center"/>
                </w:tcPr>
                <w:p w14:paraId="1C95D35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64E2B05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cs="Times New Roman"/>
                      <w:bCs/>
                      <w:color w:val="auto"/>
                      <w:sz w:val="21"/>
                      <w:szCs w:val="21"/>
                      <w:lang w:val="en-US" w:eastAsia="zh-CN"/>
                    </w:rPr>
                  </w:pPr>
                  <w:r>
                    <w:rPr>
                      <w:rFonts w:hint="eastAsia" w:cs="Times New Roman"/>
                      <w:color w:val="auto"/>
                      <w:kern w:val="2"/>
                      <w:sz w:val="21"/>
                      <w:szCs w:val="21"/>
                      <w:lang w:val="en-US" w:eastAsia="zh-CN" w:bidi="ar-SA"/>
                    </w:rPr>
                    <w:t>/</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27D7CC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热处理生产线</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44C69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607E2E9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1条</w:t>
                  </w:r>
                </w:p>
              </w:tc>
              <w:tc>
                <w:tcPr>
                  <w:tcW w:w="424" w:type="pct"/>
                  <w:tcBorders>
                    <w:top w:val="single" w:color="auto" w:sz="4" w:space="0"/>
                    <w:left w:val="single" w:color="auto" w:sz="4" w:space="0"/>
                    <w:bottom w:val="single" w:color="auto" w:sz="4" w:space="0"/>
                  </w:tcBorders>
                  <w:noWrap w:val="0"/>
                  <w:vAlign w:val="center"/>
                </w:tcPr>
                <w:p w14:paraId="2F02C58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Calibri" w:hAnsi="Calibri" w:eastAsia="宋体" w:cs="Times New Roman"/>
                      <w:bCs/>
                      <w:color w:val="auto"/>
                      <w:kern w:val="2"/>
                      <w:sz w:val="21"/>
                      <w:szCs w:val="21"/>
                      <w:lang w:val="en-US" w:eastAsia="zh-CN" w:bidi="ar-SA"/>
                    </w:rPr>
                  </w:pPr>
                  <w:r>
                    <w:rPr>
                      <w:rFonts w:hint="eastAsia" w:ascii="Calibri" w:hAnsi="Calibri" w:eastAsia="宋体" w:cs="Times New Roman"/>
                      <w:bCs/>
                      <w:color w:val="auto"/>
                      <w:sz w:val="21"/>
                      <w:szCs w:val="21"/>
                      <w:lang w:val="en-US" w:eastAsia="zh-CN"/>
                    </w:rPr>
                    <w:t>新增设备</w:t>
                  </w:r>
                </w:p>
              </w:tc>
            </w:tr>
            <w:tr w14:paraId="548231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19" w:type="pct"/>
                  <w:tcBorders>
                    <w:top w:val="single" w:color="auto" w:sz="4" w:space="0"/>
                    <w:bottom w:val="single" w:color="auto" w:sz="4" w:space="0"/>
                    <w:right w:val="single" w:color="auto" w:sz="4" w:space="0"/>
                  </w:tcBorders>
                  <w:shd w:val="clear" w:color="auto" w:fill="auto"/>
                  <w:noWrap w:val="0"/>
                  <w:vAlign w:val="center"/>
                </w:tcPr>
                <w:p w14:paraId="3868F8F7">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sz w:val="24"/>
                      <w:lang w:val="en-US" w:eastAsia="zh-CN"/>
                    </w:rPr>
                    <w:t>10</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47EECE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237" w:type="pct"/>
                  <w:tcBorders>
                    <w:top w:val="single" w:color="auto" w:sz="4" w:space="0"/>
                    <w:left w:val="single" w:color="auto" w:sz="4" w:space="0"/>
                    <w:bottom w:val="single" w:color="auto" w:sz="4" w:space="0"/>
                    <w:right w:val="single" w:color="auto" w:sz="4" w:space="0"/>
                  </w:tcBorders>
                  <w:noWrap w:val="0"/>
                  <w:vAlign w:val="center"/>
                </w:tcPr>
                <w:p w14:paraId="530CB5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341E85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lang w:val="en-US" w:eastAsia="zh-CN" w:bidi="ar-SA"/>
                    </w:rPr>
                    <w:t>/</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1BD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单头拉丝机</w:t>
                  </w:r>
                </w:p>
              </w:tc>
              <w:tc>
                <w:tcPr>
                  <w:tcW w:w="227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7DC1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0EEAE9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10台</w:t>
                  </w:r>
                </w:p>
              </w:tc>
              <w:tc>
                <w:tcPr>
                  <w:tcW w:w="424" w:type="pct"/>
                  <w:tcBorders>
                    <w:top w:val="single" w:color="auto" w:sz="4" w:space="0"/>
                    <w:left w:val="single" w:color="auto" w:sz="4" w:space="0"/>
                    <w:bottom w:val="single" w:color="auto" w:sz="4" w:space="0"/>
                  </w:tcBorders>
                  <w:noWrap w:val="0"/>
                  <w:vAlign w:val="center"/>
                </w:tcPr>
                <w:p w14:paraId="1B3ED67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Calibri" w:hAnsi="Calibri" w:eastAsia="宋体" w:cs="Times New Roman"/>
                      <w:bCs/>
                      <w:color w:val="auto"/>
                      <w:kern w:val="2"/>
                      <w:sz w:val="21"/>
                      <w:szCs w:val="21"/>
                      <w:lang w:val="en-US" w:eastAsia="zh-CN" w:bidi="ar-SA"/>
                    </w:rPr>
                  </w:pPr>
                  <w:r>
                    <w:rPr>
                      <w:rFonts w:hint="eastAsia" w:ascii="Calibri" w:hAnsi="Calibri" w:eastAsia="宋体" w:cs="Times New Roman"/>
                      <w:bCs/>
                      <w:color w:val="auto"/>
                      <w:sz w:val="21"/>
                      <w:szCs w:val="21"/>
                      <w:lang w:val="en-US" w:eastAsia="zh-CN"/>
                    </w:rPr>
                    <w:t>新增设备</w:t>
                  </w:r>
                </w:p>
              </w:tc>
            </w:tr>
            <w:tr w14:paraId="1F82BE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19" w:type="pct"/>
                  <w:tcBorders>
                    <w:top w:val="single" w:color="auto" w:sz="4" w:space="0"/>
                    <w:bottom w:val="single" w:color="auto" w:sz="4" w:space="0"/>
                    <w:right w:val="single" w:color="auto" w:sz="4" w:space="0"/>
                  </w:tcBorders>
                  <w:shd w:val="clear" w:color="auto" w:fill="auto"/>
                  <w:noWrap w:val="0"/>
                  <w:vAlign w:val="center"/>
                </w:tcPr>
                <w:p w14:paraId="575CB163">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sz w:val="24"/>
                      <w:lang w:val="en-US" w:eastAsia="zh-CN"/>
                    </w:rPr>
                    <w:t>11</w:t>
                  </w:r>
                </w:p>
              </w:tc>
              <w:tc>
                <w:tcPr>
                  <w:tcW w:w="536" w:type="pct"/>
                  <w:tcBorders>
                    <w:top w:val="single" w:color="auto" w:sz="4" w:space="0"/>
                    <w:left w:val="single" w:color="auto" w:sz="4" w:space="0"/>
                    <w:bottom w:val="single" w:color="auto" w:sz="4" w:space="0"/>
                    <w:right w:val="single" w:color="auto" w:sz="4" w:space="0"/>
                  </w:tcBorders>
                  <w:noWrap w:val="0"/>
                  <w:vAlign w:val="center"/>
                </w:tcPr>
                <w:p w14:paraId="2360F8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237" w:type="pct"/>
                  <w:tcBorders>
                    <w:top w:val="single" w:color="auto" w:sz="4" w:space="0"/>
                    <w:left w:val="single" w:color="auto" w:sz="4" w:space="0"/>
                    <w:bottom w:val="single" w:color="auto" w:sz="4" w:space="0"/>
                    <w:right w:val="single" w:color="auto" w:sz="4" w:space="0"/>
                  </w:tcBorders>
                  <w:noWrap w:val="0"/>
                  <w:vAlign w:val="center"/>
                </w:tcPr>
                <w:p w14:paraId="493B44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yellow"/>
                      <w:lang w:val="en-US" w:eastAsia="zh-CN" w:bidi="ar-SA"/>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4" w:space="0"/>
                    <w:right w:val="single" w:color="auto" w:sz="4" w:space="0"/>
                  </w:tcBorders>
                  <w:noWrap w:val="0"/>
                  <w:vAlign w:val="center"/>
                </w:tcPr>
                <w:p w14:paraId="7A1499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53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3C432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hAnsi="宋体" w:cs="Times New Roman"/>
                      <w:color w:val="auto"/>
                      <w:kern w:val="2"/>
                      <w:sz w:val="21"/>
                      <w:szCs w:val="21"/>
                      <w:lang w:val="en-US" w:eastAsia="zh-CN" w:bidi="ar-SA"/>
                    </w:rPr>
                    <w:t>剪切机</w:t>
                  </w:r>
                </w:p>
              </w:tc>
              <w:tc>
                <w:tcPr>
                  <w:tcW w:w="2273" w:type="dxa"/>
                  <w:tcBorders>
                    <w:top w:val="single" w:color="auto" w:sz="4" w:space="0"/>
                    <w:left w:val="single" w:color="auto" w:sz="4" w:space="0"/>
                    <w:bottom w:val="single" w:color="auto" w:sz="4" w:space="0"/>
                    <w:right w:val="single" w:color="auto" w:sz="4" w:space="0"/>
                  </w:tcBorders>
                  <w:noWrap w:val="0"/>
                  <w:vAlign w:val="center"/>
                </w:tcPr>
                <w:p w14:paraId="21CDDC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62" w:type="pct"/>
                  <w:tcBorders>
                    <w:top w:val="single" w:color="auto" w:sz="4" w:space="0"/>
                    <w:left w:val="single" w:color="auto" w:sz="4" w:space="0"/>
                    <w:bottom w:val="single" w:color="auto" w:sz="4" w:space="0"/>
                    <w:right w:val="single" w:color="auto" w:sz="4" w:space="0"/>
                  </w:tcBorders>
                  <w:noWrap w:val="0"/>
                  <w:vAlign w:val="center"/>
                </w:tcPr>
                <w:p w14:paraId="543F0C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kern w:val="2"/>
                      <w:sz w:val="21"/>
                      <w:szCs w:val="21"/>
                      <w:lang w:val="en-US" w:eastAsia="zh-CN" w:bidi="ar-SA"/>
                    </w:rPr>
                    <w:t>5台</w:t>
                  </w:r>
                </w:p>
              </w:tc>
              <w:tc>
                <w:tcPr>
                  <w:tcW w:w="424" w:type="pct"/>
                  <w:tcBorders>
                    <w:top w:val="single" w:color="auto" w:sz="4" w:space="0"/>
                    <w:left w:val="single" w:color="auto" w:sz="4" w:space="0"/>
                    <w:bottom w:val="single" w:color="auto" w:sz="4" w:space="0"/>
                  </w:tcBorders>
                  <w:noWrap w:val="0"/>
                  <w:vAlign w:val="center"/>
                </w:tcPr>
                <w:p w14:paraId="7D8ED6D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Calibri" w:hAnsi="Calibri" w:eastAsia="宋体" w:cs="Times New Roman"/>
                      <w:bCs/>
                      <w:color w:val="auto"/>
                      <w:kern w:val="2"/>
                      <w:sz w:val="21"/>
                      <w:szCs w:val="21"/>
                      <w:lang w:val="en-US" w:eastAsia="zh-CN" w:bidi="ar-SA"/>
                    </w:rPr>
                  </w:pPr>
                  <w:r>
                    <w:rPr>
                      <w:rFonts w:hint="eastAsia" w:ascii="Calibri" w:hAnsi="Calibri" w:eastAsia="宋体" w:cs="Times New Roman"/>
                      <w:bCs/>
                      <w:color w:val="auto"/>
                      <w:sz w:val="21"/>
                      <w:szCs w:val="21"/>
                      <w:lang w:val="en-US" w:eastAsia="zh-CN"/>
                    </w:rPr>
                    <w:t>新增设备</w:t>
                  </w:r>
                </w:p>
              </w:tc>
            </w:tr>
            <w:tr w14:paraId="602459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319" w:type="pct"/>
                  <w:tcBorders>
                    <w:top w:val="single" w:color="auto" w:sz="4" w:space="0"/>
                    <w:bottom w:val="single" w:color="auto" w:sz="12" w:space="0"/>
                    <w:right w:val="single" w:color="auto" w:sz="4" w:space="0"/>
                  </w:tcBorders>
                  <w:noWrap w:val="0"/>
                  <w:vAlign w:val="center"/>
                </w:tcPr>
                <w:p w14:paraId="1EDA93DE">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4"/>
                      <w:lang w:val="en-US" w:eastAsia="zh-CN"/>
                    </w:rPr>
                  </w:pPr>
                  <w:r>
                    <w:rPr>
                      <w:rFonts w:hint="default" w:ascii="Times New Roman" w:hAnsi="Times New Roman" w:cs="Times New Roman"/>
                      <w:bCs/>
                      <w:color w:val="auto"/>
                      <w:sz w:val="24"/>
                      <w:lang w:val="en-US" w:eastAsia="zh-CN"/>
                    </w:rPr>
                    <w:t>12</w:t>
                  </w:r>
                </w:p>
              </w:tc>
              <w:tc>
                <w:tcPr>
                  <w:tcW w:w="536" w:type="pct"/>
                  <w:tcBorders>
                    <w:top w:val="single" w:color="auto" w:sz="4" w:space="0"/>
                    <w:left w:val="single" w:color="auto" w:sz="4" w:space="0"/>
                    <w:bottom w:val="single" w:color="auto" w:sz="12" w:space="0"/>
                    <w:right w:val="single" w:color="auto" w:sz="4" w:space="0"/>
                  </w:tcBorders>
                  <w:noWrap w:val="0"/>
                  <w:vAlign w:val="center"/>
                </w:tcPr>
                <w:p w14:paraId="3FB88D7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237" w:type="pct"/>
                  <w:tcBorders>
                    <w:top w:val="single" w:color="auto" w:sz="4" w:space="0"/>
                    <w:left w:val="single" w:color="auto" w:sz="4" w:space="0"/>
                    <w:bottom w:val="single" w:color="auto" w:sz="12" w:space="0"/>
                    <w:right w:val="single" w:color="auto" w:sz="4" w:space="0"/>
                  </w:tcBorders>
                  <w:noWrap w:val="0"/>
                  <w:vAlign w:val="center"/>
                </w:tcPr>
                <w:p w14:paraId="3DF1234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47" w:type="pct"/>
                  <w:tcBorders>
                    <w:top w:val="single" w:color="auto" w:sz="4" w:space="0"/>
                    <w:left w:val="single" w:color="auto" w:sz="4" w:space="0"/>
                    <w:bottom w:val="single" w:color="auto" w:sz="12" w:space="0"/>
                    <w:right w:val="single" w:color="auto" w:sz="4" w:space="0"/>
                  </w:tcBorders>
                  <w:noWrap w:val="0"/>
                  <w:vAlign w:val="center"/>
                </w:tcPr>
                <w:p w14:paraId="2275A18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color w:val="auto"/>
                      <w:kern w:val="2"/>
                      <w:sz w:val="21"/>
                      <w:szCs w:val="21"/>
                      <w:lang w:val="en-US" w:eastAsia="zh-CN" w:bidi="ar-SA"/>
                    </w:rPr>
                    <w:t>/</w:t>
                  </w:r>
                </w:p>
              </w:tc>
              <w:tc>
                <w:tcPr>
                  <w:tcW w:w="536" w:type="pct"/>
                  <w:tcBorders>
                    <w:top w:val="single" w:color="auto" w:sz="4" w:space="0"/>
                    <w:left w:val="single" w:color="auto" w:sz="4" w:space="0"/>
                    <w:bottom w:val="single" w:color="auto" w:sz="12" w:space="0"/>
                    <w:right w:val="single" w:color="auto" w:sz="4" w:space="0"/>
                  </w:tcBorders>
                  <w:shd w:val="clear" w:color="auto" w:fill="auto"/>
                  <w:noWrap w:val="0"/>
                  <w:vAlign w:val="center"/>
                </w:tcPr>
                <w:p w14:paraId="027EAAE0">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拉力试验机</w:t>
                  </w:r>
                </w:p>
              </w:tc>
              <w:tc>
                <w:tcPr>
                  <w:tcW w:w="1236" w:type="pct"/>
                  <w:tcBorders>
                    <w:top w:val="single" w:color="auto" w:sz="4" w:space="0"/>
                    <w:left w:val="single" w:color="auto" w:sz="4" w:space="0"/>
                    <w:bottom w:val="single" w:color="auto" w:sz="12" w:space="0"/>
                    <w:right w:val="single" w:color="auto" w:sz="4" w:space="0"/>
                  </w:tcBorders>
                  <w:noWrap w:val="0"/>
                  <w:vAlign w:val="center"/>
                </w:tcPr>
                <w:p w14:paraId="5AAC341D">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w:t>
                  </w:r>
                </w:p>
              </w:tc>
              <w:tc>
                <w:tcPr>
                  <w:tcW w:w="362" w:type="pct"/>
                  <w:tcBorders>
                    <w:top w:val="single" w:color="auto" w:sz="4" w:space="0"/>
                    <w:left w:val="single" w:color="auto" w:sz="4" w:space="0"/>
                    <w:bottom w:val="single" w:color="auto" w:sz="12" w:space="0"/>
                    <w:right w:val="single" w:color="auto" w:sz="4" w:space="0"/>
                  </w:tcBorders>
                  <w:noWrap w:val="0"/>
                  <w:vAlign w:val="center"/>
                </w:tcPr>
                <w:p w14:paraId="32B9CA5F">
                  <w:pPr>
                    <w:keepNext w:val="0"/>
                    <w:keepLines w:val="0"/>
                    <w:pageBreakBefore w:val="0"/>
                    <w:widowControl w:val="0"/>
                    <w:suppressLineNumbers w:val="0"/>
                    <w:tabs>
                      <w:tab w:val="left" w:pos="5475"/>
                    </w:tabs>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bCs/>
                      <w:color w:val="auto"/>
                      <w:sz w:val="21"/>
                      <w:szCs w:val="21"/>
                      <w:lang w:val="en-US" w:eastAsia="zh-CN"/>
                    </w:rPr>
                    <w:t>10</w:t>
                  </w:r>
                  <w:r>
                    <w:rPr>
                      <w:rFonts w:hint="default" w:ascii="Times New Roman" w:hAnsi="Times New Roman" w:eastAsia="宋体" w:cs="Times New Roman"/>
                      <w:bCs/>
                      <w:color w:val="auto"/>
                      <w:sz w:val="21"/>
                      <w:szCs w:val="21"/>
                      <w:lang w:val="en-US" w:eastAsia="zh-CN"/>
                    </w:rPr>
                    <w:t>台</w:t>
                  </w:r>
                </w:p>
              </w:tc>
              <w:tc>
                <w:tcPr>
                  <w:tcW w:w="424" w:type="pct"/>
                  <w:tcBorders>
                    <w:top w:val="single" w:color="auto" w:sz="4" w:space="0"/>
                    <w:left w:val="single" w:color="auto" w:sz="4" w:space="0"/>
                    <w:bottom w:val="single" w:color="auto" w:sz="12" w:space="0"/>
                  </w:tcBorders>
                  <w:noWrap w:val="0"/>
                  <w:vAlign w:val="center"/>
                </w:tcPr>
                <w:p w14:paraId="3DC76C5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Calibri" w:hAnsi="Calibri" w:eastAsia="宋体" w:cs="Times New Roman"/>
                      <w:bCs/>
                      <w:color w:val="auto"/>
                      <w:kern w:val="2"/>
                      <w:sz w:val="21"/>
                      <w:szCs w:val="21"/>
                      <w:lang w:val="en-US" w:eastAsia="zh-CN" w:bidi="ar-SA"/>
                    </w:rPr>
                  </w:pPr>
                  <w:r>
                    <w:rPr>
                      <w:rFonts w:hint="eastAsia" w:ascii="Calibri" w:hAnsi="Calibri" w:eastAsia="宋体" w:cs="Times New Roman"/>
                      <w:bCs/>
                      <w:color w:val="auto"/>
                      <w:sz w:val="21"/>
                      <w:szCs w:val="21"/>
                      <w:lang w:val="en-US" w:eastAsia="zh-CN"/>
                    </w:rPr>
                    <w:t>新增设备</w:t>
                  </w:r>
                </w:p>
              </w:tc>
            </w:tr>
          </w:tbl>
          <w:p w14:paraId="57D644AE">
            <w:pPr>
              <w:keepNext w:val="0"/>
              <w:keepLines w:val="0"/>
              <w:suppressLineNumbers w:val="0"/>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color w:val="auto"/>
                <w:kern w:val="0"/>
                <w:sz w:val="24"/>
                <w:szCs w:val="24"/>
                <w:vertAlign w:val="baseline"/>
                <w:lang w:val="en-US" w:eastAsia="zh-CN" w:bidi="ar"/>
              </w:rPr>
            </w:pPr>
            <w:r>
              <w:rPr>
                <w:rFonts w:hint="default" w:ascii="Times New Roman" w:hAnsi="Times New Roman" w:eastAsia="宋体" w:cs="Times New Roman"/>
                <w:bCs/>
                <w:color w:val="auto"/>
                <w:sz w:val="24"/>
                <w:szCs w:val="24"/>
                <w:highlight w:val="none"/>
                <w:u w:val="none" w:color="auto"/>
                <w:lang w:eastAsia="zh-CN"/>
              </w:rPr>
              <w:t>根据《产业结构调整指导目录（2024年本）》（中华人民共和国国家发展和改革委员会令第29号）以及《高耗能机电设备淘汰目录（全四批）》，本项目所选用的有型号设备均不在淘汰落后设备之列，无型号设备不</w:t>
            </w:r>
            <w:r>
              <w:rPr>
                <w:rFonts w:hint="eastAsia" w:ascii="Times New Roman" w:hAnsi="Times New Roman" w:eastAsia="宋体" w:cs="Times New Roman"/>
                <w:bCs/>
                <w:color w:val="auto"/>
                <w:sz w:val="24"/>
                <w:szCs w:val="24"/>
                <w:highlight w:val="none"/>
                <w:u w:val="none" w:color="auto"/>
                <w:lang w:eastAsia="zh-CN"/>
              </w:rPr>
              <w:t>得</w:t>
            </w:r>
            <w:r>
              <w:rPr>
                <w:rFonts w:hint="default" w:ascii="Times New Roman" w:hAnsi="Times New Roman" w:eastAsia="宋体" w:cs="Times New Roman"/>
                <w:bCs/>
                <w:color w:val="auto"/>
                <w:sz w:val="24"/>
                <w:szCs w:val="24"/>
                <w:highlight w:val="none"/>
                <w:u w:val="none" w:color="auto"/>
                <w:lang w:eastAsia="zh-CN"/>
              </w:rPr>
              <w:t>在淘汰落后设备之列。</w:t>
            </w:r>
          </w:p>
          <w:p w14:paraId="6CDA1B7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5.</w:t>
            </w:r>
            <w:r>
              <w:rPr>
                <w:rFonts w:hint="default" w:ascii="Times New Roman" w:hAnsi="Times New Roman" w:eastAsia="宋体" w:cs="Times New Roman"/>
                <w:b/>
                <w:bCs/>
                <w:color w:val="auto"/>
                <w:kern w:val="0"/>
                <w:sz w:val="24"/>
                <w:szCs w:val="24"/>
                <w:lang w:val="en-US" w:eastAsia="zh-CN" w:bidi="ar"/>
              </w:rPr>
              <w:t>项目生产规模与产品方案</w:t>
            </w:r>
          </w:p>
          <w:p w14:paraId="6D3E06F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val="0"/>
                <w:color w:val="auto"/>
                <w:sz w:val="24"/>
                <w:szCs w:val="24"/>
                <w:highlight w:val="none"/>
                <w:u w:val="none" w:color="auto"/>
                <w:lang w:eastAsia="zh-CN"/>
              </w:rPr>
            </w:pPr>
            <w:r>
              <w:rPr>
                <w:rFonts w:hint="default" w:ascii="Times New Roman" w:hAnsi="Times New Roman" w:eastAsia="宋体" w:cs="Times New Roman"/>
                <w:b w:val="0"/>
                <w:bCs w:val="0"/>
                <w:color w:val="auto"/>
                <w:sz w:val="24"/>
                <w:szCs w:val="24"/>
                <w:highlight w:val="none"/>
                <w:u w:val="none" w:color="auto"/>
                <w:lang w:val="en-US" w:eastAsia="zh-CN"/>
              </w:rPr>
              <w:t>生产规模及产品方案一览表见下表：</w:t>
            </w:r>
          </w:p>
          <w:p w14:paraId="6990D8F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黑体" w:cs="Times New Roman"/>
                <w:b/>
                <w:bCs/>
                <w:color w:val="auto"/>
                <w:kern w:val="0"/>
                <w:sz w:val="18"/>
                <w:szCs w:val="18"/>
                <w:highlight w:val="none"/>
                <w:u w:val="none" w:color="auto"/>
              </w:rPr>
            </w:pPr>
            <w:r>
              <w:rPr>
                <w:rFonts w:hint="eastAsia" w:cs="Times New Roman"/>
                <w:b/>
                <w:bCs/>
                <w:color w:val="auto"/>
                <w:kern w:val="0"/>
                <w:sz w:val="21"/>
                <w:szCs w:val="21"/>
                <w:highlight w:val="none"/>
                <w:u w:val="none" w:color="auto"/>
                <w:lang w:eastAsia="zh-CN"/>
              </w:rPr>
              <w:t>表</w:t>
            </w:r>
            <w:r>
              <w:rPr>
                <w:rFonts w:hint="eastAsia" w:cs="Times New Roman"/>
                <w:b/>
                <w:bCs/>
                <w:color w:val="auto"/>
                <w:kern w:val="0"/>
                <w:sz w:val="21"/>
                <w:szCs w:val="21"/>
                <w:highlight w:val="none"/>
                <w:u w:val="none" w:color="auto"/>
                <w:lang w:val="en-US" w:eastAsia="zh-CN"/>
              </w:rPr>
              <w:t xml:space="preserve">13  </w:t>
            </w:r>
            <w:r>
              <w:rPr>
                <w:rFonts w:hint="default" w:ascii="Times New Roman" w:hAnsi="Times New Roman" w:eastAsia="宋体" w:cs="Times New Roman"/>
                <w:b/>
                <w:bCs/>
                <w:color w:val="auto"/>
                <w:kern w:val="0"/>
                <w:sz w:val="21"/>
                <w:szCs w:val="21"/>
                <w:highlight w:val="none"/>
                <w:u w:val="none" w:color="auto"/>
              </w:rPr>
              <w:t>生产规模及产品方案一览表</w:t>
            </w:r>
          </w:p>
          <w:tbl>
            <w:tblPr>
              <w:tblStyle w:val="2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2009"/>
              <w:gridCol w:w="2064"/>
              <w:gridCol w:w="2353"/>
              <w:gridCol w:w="1888"/>
            </w:tblGrid>
            <w:tr w14:paraId="49D97F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90" w:hRule="atLeast"/>
                <w:jc w:val="center"/>
              </w:trPr>
              <w:tc>
                <w:tcPr>
                  <w:tcW w:w="475" w:type="pct"/>
                  <w:tcBorders>
                    <w:top w:val="single" w:color="auto" w:sz="4" w:space="0"/>
                    <w:bottom w:val="single" w:color="auto" w:sz="4" w:space="0"/>
                    <w:right w:val="single" w:color="auto" w:sz="4" w:space="0"/>
                  </w:tcBorders>
                  <w:noWrap w:val="0"/>
                  <w:vAlign w:val="center"/>
                </w:tcPr>
                <w:p w14:paraId="33B90417">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序号</w:t>
                  </w:r>
                </w:p>
              </w:tc>
              <w:tc>
                <w:tcPr>
                  <w:tcW w:w="1093" w:type="pct"/>
                  <w:tcBorders>
                    <w:top w:val="single" w:color="auto" w:sz="4" w:space="0"/>
                    <w:left w:val="single" w:color="auto" w:sz="4" w:space="0"/>
                    <w:bottom w:val="single" w:color="auto" w:sz="4" w:space="0"/>
                    <w:right w:val="single" w:color="auto" w:sz="4" w:space="0"/>
                  </w:tcBorders>
                  <w:noWrap w:val="0"/>
                  <w:vAlign w:val="center"/>
                </w:tcPr>
                <w:p w14:paraId="63CC69A2">
                  <w:pPr>
                    <w:keepNext w:val="0"/>
                    <w:keepLines w:val="0"/>
                    <w:widowControl w:val="0"/>
                    <w:suppressLineNumbers w:val="0"/>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产品名称</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30552059">
                  <w:pPr>
                    <w:keepNext w:val="0"/>
                    <w:keepLines w:val="0"/>
                    <w:widowControl w:val="0"/>
                    <w:suppressLineNumbers w:val="0"/>
                    <w:autoSpaceDE w:val="0"/>
                    <w:autoSpaceDN/>
                    <w:adjustRightInd w:val="0"/>
                    <w:snapToGrid w:val="0"/>
                    <w:spacing w:before="0" w:beforeAutospacing="0" w:after="0" w:afterAutospacing="0"/>
                    <w:ind w:left="0" w:right="0"/>
                    <w:jc w:val="center"/>
                    <w:rPr>
                      <w:rFonts w:hint="eastAsia"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规格</w:t>
                  </w:r>
                </w:p>
              </w:tc>
              <w:tc>
                <w:tcPr>
                  <w:tcW w:w="1280" w:type="pct"/>
                  <w:tcBorders>
                    <w:top w:val="single" w:color="auto" w:sz="4" w:space="0"/>
                    <w:left w:val="single" w:color="auto" w:sz="4" w:space="0"/>
                    <w:bottom w:val="single" w:color="auto" w:sz="4" w:space="0"/>
                    <w:right w:val="single" w:color="auto" w:sz="4" w:space="0"/>
                  </w:tcBorders>
                  <w:noWrap w:val="0"/>
                  <w:vAlign w:val="center"/>
                </w:tcPr>
                <w:p w14:paraId="4A98D23F">
                  <w:pPr>
                    <w:keepNext w:val="0"/>
                    <w:keepLines w:val="0"/>
                    <w:widowControl w:val="0"/>
                    <w:suppressLineNumbers w:val="0"/>
                    <w:autoSpaceDE w:val="0"/>
                    <w:autoSpaceDN/>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生产规模</w:t>
                  </w:r>
                </w:p>
              </w:tc>
              <w:tc>
                <w:tcPr>
                  <w:tcW w:w="1027" w:type="pct"/>
                  <w:tcBorders>
                    <w:top w:val="single" w:color="auto" w:sz="4" w:space="0"/>
                    <w:left w:val="single" w:color="auto" w:sz="4" w:space="0"/>
                    <w:bottom w:val="single" w:color="auto" w:sz="4" w:space="0"/>
                  </w:tcBorders>
                  <w:noWrap w:val="0"/>
                  <w:vAlign w:val="center"/>
                </w:tcPr>
                <w:p w14:paraId="649E30A9">
                  <w:pPr>
                    <w:keepNext w:val="0"/>
                    <w:keepLines w:val="0"/>
                    <w:widowControl w:val="0"/>
                    <w:suppressLineNumbers w:val="0"/>
                    <w:autoSpaceDE w:val="0"/>
                    <w:autoSpaceDN/>
                    <w:adjustRightInd w:val="0"/>
                    <w:snapToGrid w:val="0"/>
                    <w:spacing w:before="0" w:beforeAutospacing="0" w:after="0" w:afterAutospacing="0"/>
                    <w:ind w:left="0" w:right="0"/>
                    <w:jc w:val="center"/>
                    <w:rPr>
                      <w:rFonts w:hint="eastAsia"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备注</w:t>
                  </w:r>
                </w:p>
              </w:tc>
            </w:tr>
            <w:tr w14:paraId="78B385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5" w:type="pct"/>
                  <w:tcBorders>
                    <w:top w:val="single" w:color="auto" w:sz="4" w:space="0"/>
                    <w:bottom w:val="single" w:color="auto" w:sz="4" w:space="0"/>
                    <w:right w:val="single" w:color="auto" w:sz="4" w:space="0"/>
                  </w:tcBorders>
                  <w:noWrap w:val="0"/>
                  <w:vAlign w:val="center"/>
                </w:tcPr>
                <w:p w14:paraId="7ACC047B">
                  <w:pPr>
                    <w:keepNext w:val="0"/>
                    <w:keepLines w:val="0"/>
                    <w:suppressLineNumbers w:val="0"/>
                    <w:tabs>
                      <w:tab w:val="left" w:pos="5475"/>
                    </w:tabs>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Cs/>
                      <w:color w:val="auto"/>
                      <w:sz w:val="24"/>
                    </w:rPr>
                    <w:t>1</w:t>
                  </w:r>
                </w:p>
              </w:tc>
              <w:tc>
                <w:tcPr>
                  <w:tcW w:w="1093" w:type="pct"/>
                  <w:tcBorders>
                    <w:top w:val="single" w:color="auto" w:sz="4" w:space="0"/>
                    <w:left w:val="single" w:color="auto" w:sz="4" w:space="0"/>
                    <w:bottom w:val="single" w:color="auto" w:sz="4" w:space="0"/>
                    <w:right w:val="single" w:color="auto" w:sz="4" w:space="0"/>
                  </w:tcBorders>
                  <w:noWrap w:val="0"/>
                  <w:vAlign w:val="center"/>
                </w:tcPr>
                <w:p w14:paraId="7ABD2E93">
                  <w:pPr>
                    <w:keepNext w:val="0"/>
                    <w:keepLines w:val="0"/>
                    <w:suppressLineNumbers w:val="0"/>
                    <w:tabs>
                      <w:tab w:val="left" w:pos="5475"/>
                    </w:tabs>
                    <w:spacing w:before="0" w:beforeAutospacing="0" w:after="0" w:afterAutospacing="0"/>
                    <w:ind w:left="0" w:right="0"/>
                    <w:jc w:val="center"/>
                    <w:rPr>
                      <w:rFonts w:hint="eastAsia"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color w:val="auto"/>
                      <w:sz w:val="21"/>
                      <w:szCs w:val="21"/>
                      <w:lang w:eastAsia="zh-CN"/>
                    </w:rPr>
                    <w:t>水淬火</w:t>
                  </w:r>
                  <w:r>
                    <w:rPr>
                      <w:rFonts w:hint="default" w:ascii="Times New Roman" w:hAnsi="Times New Roman" w:eastAsia="宋体" w:cs="Times New Roman"/>
                      <w:color w:val="auto"/>
                      <w:sz w:val="21"/>
                      <w:szCs w:val="21"/>
                      <w:lang w:val="en-US" w:eastAsia="zh-CN"/>
                    </w:rPr>
                    <w:t>--回火钢丝</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46DB92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highlight w:val="none"/>
                      <w:lang w:val="en-US" w:eastAsia="zh-CN"/>
                    </w:rPr>
                    <w:t>16000</w:t>
                  </w:r>
                  <w:r>
                    <w:rPr>
                      <w:rFonts w:hint="default" w:ascii="Times New Roman" w:hAnsi="Times New Roman" w:eastAsia="宋体" w:cs="Times New Roman"/>
                      <w:color w:val="auto"/>
                      <w:sz w:val="21"/>
                      <w:szCs w:val="21"/>
                      <w:highlight w:val="none"/>
                      <w:lang w:val="en-US" w:eastAsia="zh-CN"/>
                    </w:rPr>
                    <w:t>吨</w:t>
                  </w:r>
                  <w:r>
                    <w:rPr>
                      <w:rFonts w:hint="default" w:ascii="Times New Roman" w:hAnsi="Times New Roman" w:eastAsia="宋体" w:cs="Times New Roman"/>
                      <w:bCs/>
                      <w:color w:val="auto"/>
                      <w:sz w:val="21"/>
                      <w:szCs w:val="21"/>
                      <w:lang w:val="en-US" w:eastAsia="zh-CN"/>
                    </w:rPr>
                    <w:t>/年</w:t>
                  </w:r>
                </w:p>
              </w:tc>
              <w:tc>
                <w:tcPr>
                  <w:tcW w:w="1280" w:type="pct"/>
                  <w:tcBorders>
                    <w:top w:val="single" w:color="auto" w:sz="4" w:space="0"/>
                    <w:left w:val="single" w:color="auto" w:sz="4" w:space="0"/>
                    <w:bottom w:val="single" w:color="auto" w:sz="4" w:space="0"/>
                    <w:right w:val="single" w:color="auto" w:sz="4" w:space="0"/>
                  </w:tcBorders>
                  <w:noWrap w:val="0"/>
                  <w:vAlign w:val="center"/>
                </w:tcPr>
                <w:p w14:paraId="3CE420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default" w:cs="Times New Roman"/>
                      <w:color w:val="auto"/>
                      <w:sz w:val="21"/>
                      <w:szCs w:val="21"/>
                      <w:lang w:eastAsia="zh-CN"/>
                    </w:rPr>
                    <w:t>现有项目</w:t>
                  </w:r>
                  <w:r>
                    <w:rPr>
                      <w:rFonts w:hint="default" w:ascii="Times New Roman" w:hAnsi="Times New Roman" w:eastAsia="宋体" w:cs="Times New Roman"/>
                      <w:color w:val="auto"/>
                      <w:sz w:val="21"/>
                      <w:szCs w:val="21"/>
                      <w:lang w:val="en-US" w:eastAsia="zh-CN"/>
                    </w:rPr>
                    <w:t>规格：</w:t>
                  </w:r>
                  <w:r>
                    <w:rPr>
                      <w:rFonts w:hint="default" w:ascii="Times New Roman" w:hAnsi="Times New Roman" w:eastAsia="宋体" w:cs="Times New Roman"/>
                      <w:color w:val="auto"/>
                      <w:sz w:val="21"/>
                      <w:szCs w:val="21"/>
                      <w:lang w:eastAsia="zh-CN"/>
                    </w:rPr>
                    <w:t>Φ</w:t>
                  </w:r>
                  <w:r>
                    <w:rPr>
                      <w:rFonts w:hint="default" w:ascii="Times New Roman" w:hAnsi="Times New Roman" w:eastAsia="宋体" w:cs="Times New Roman"/>
                      <w:color w:val="auto"/>
                      <w:sz w:val="21"/>
                      <w:szCs w:val="21"/>
                      <w:lang w:val="en-US" w:eastAsia="zh-CN"/>
                    </w:rPr>
                    <w:t>1.0</w:t>
                  </w:r>
                  <w:r>
                    <w:rPr>
                      <w:rFonts w:hint="eastAsia" w:cs="Times New Roman"/>
                      <w:color w:val="auto"/>
                      <w:sz w:val="21"/>
                      <w:szCs w:val="21"/>
                      <w:lang w:val="en-US" w:eastAsia="zh-CN"/>
                    </w:rPr>
                    <w:t>mm</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eastAsia="zh-CN"/>
                    </w:rPr>
                    <w:t>Φ</w:t>
                  </w:r>
                  <w:r>
                    <w:rPr>
                      <w:rFonts w:hint="default" w:ascii="Times New Roman" w:hAnsi="Times New Roman" w:eastAsia="宋体" w:cs="Times New Roman"/>
                      <w:color w:val="auto"/>
                      <w:sz w:val="21"/>
                      <w:szCs w:val="21"/>
                      <w:lang w:val="en-US" w:eastAsia="zh-CN"/>
                    </w:rPr>
                    <w:t>16</w:t>
                  </w:r>
                  <w:r>
                    <w:rPr>
                      <w:rFonts w:hint="eastAsia" w:cs="Times New Roman"/>
                      <w:color w:val="auto"/>
                      <w:sz w:val="21"/>
                      <w:szCs w:val="21"/>
                      <w:lang w:val="en-US" w:eastAsia="zh-CN"/>
                    </w:rPr>
                    <w:t>mm</w:t>
                  </w:r>
                </w:p>
              </w:tc>
              <w:tc>
                <w:tcPr>
                  <w:tcW w:w="1027" w:type="pct"/>
                  <w:tcBorders>
                    <w:top w:val="single" w:color="auto" w:sz="4" w:space="0"/>
                    <w:left w:val="single" w:color="auto" w:sz="4" w:space="0"/>
                    <w:bottom w:val="single" w:color="auto" w:sz="4" w:space="0"/>
                  </w:tcBorders>
                  <w:noWrap w:val="0"/>
                  <w:vAlign w:val="center"/>
                </w:tcPr>
                <w:p w14:paraId="0B54CE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eastAsia" w:ascii="Calibri" w:hAnsi="Calibri" w:eastAsia="宋体" w:cs="Times New Roman"/>
                      <w:color w:val="auto"/>
                      <w:kern w:val="2"/>
                      <w:sz w:val="21"/>
                      <w:szCs w:val="21"/>
                      <w:highlight w:val="none"/>
                      <w:lang w:val="en-US" w:eastAsia="zh-CN" w:bidi="ar-SA"/>
                    </w:rPr>
                    <w:t>原有</w:t>
                  </w:r>
                </w:p>
              </w:tc>
            </w:tr>
            <w:tr w14:paraId="72152F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5" w:type="pct"/>
                  <w:tcBorders>
                    <w:top w:val="single" w:color="auto" w:sz="4" w:space="0"/>
                    <w:bottom w:val="single" w:color="auto" w:sz="4" w:space="0"/>
                    <w:right w:val="single" w:color="auto" w:sz="4" w:space="0"/>
                  </w:tcBorders>
                  <w:noWrap w:val="0"/>
                  <w:vAlign w:val="center"/>
                </w:tcPr>
                <w:p w14:paraId="67728EA1">
                  <w:pPr>
                    <w:keepNext w:val="0"/>
                    <w:keepLines w:val="0"/>
                    <w:suppressLineNumbers w:val="0"/>
                    <w:tabs>
                      <w:tab w:val="left" w:pos="5475"/>
                    </w:tabs>
                    <w:spacing w:before="0" w:beforeAutospacing="0" w:after="0" w:afterAutospacing="0"/>
                    <w:ind w:left="0" w:right="0"/>
                    <w:jc w:val="center"/>
                    <w:rPr>
                      <w:rFonts w:hint="default"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bCs/>
                      <w:color w:val="auto"/>
                      <w:sz w:val="24"/>
                    </w:rPr>
                    <w:t>2</w:t>
                  </w:r>
                </w:p>
              </w:tc>
              <w:tc>
                <w:tcPr>
                  <w:tcW w:w="1093" w:type="pct"/>
                  <w:tcBorders>
                    <w:top w:val="single" w:color="auto" w:sz="4" w:space="0"/>
                    <w:left w:val="single" w:color="auto" w:sz="4" w:space="0"/>
                    <w:bottom w:val="single" w:color="auto" w:sz="4" w:space="0"/>
                    <w:right w:val="single" w:color="auto" w:sz="4" w:space="0"/>
                  </w:tcBorders>
                  <w:noWrap w:val="0"/>
                  <w:vAlign w:val="center"/>
                </w:tcPr>
                <w:p w14:paraId="30DCE519">
                  <w:pPr>
                    <w:keepNext w:val="0"/>
                    <w:keepLines w:val="0"/>
                    <w:suppressLineNumbers w:val="0"/>
                    <w:tabs>
                      <w:tab w:val="left" w:pos="5475"/>
                    </w:tabs>
                    <w:spacing w:before="0" w:beforeAutospacing="0" w:after="0" w:afterAutospacing="0"/>
                    <w:ind w:left="0" w:right="0"/>
                    <w:jc w:val="center"/>
                    <w:rPr>
                      <w:rFonts w:hint="eastAsia" w:ascii="Times New Roman" w:hAnsi="Times New Roman" w:eastAsia="宋体" w:cs="Times New Roman"/>
                      <w:b w:val="0"/>
                      <w:bCs w:val="0"/>
                      <w:color w:val="auto"/>
                      <w:kern w:val="2"/>
                      <w:sz w:val="21"/>
                      <w:szCs w:val="21"/>
                      <w:lang w:val="en-US" w:eastAsia="zh-CN" w:bidi="ar"/>
                    </w:rPr>
                  </w:pPr>
                  <w:r>
                    <w:rPr>
                      <w:rFonts w:hint="default" w:ascii="Times New Roman" w:hAnsi="Times New Roman" w:eastAsia="宋体" w:cs="Times New Roman"/>
                      <w:color w:val="auto"/>
                      <w:sz w:val="21"/>
                      <w:szCs w:val="21"/>
                      <w:lang w:eastAsia="zh-CN"/>
                    </w:rPr>
                    <w:t>水淬火</w:t>
                  </w:r>
                  <w:r>
                    <w:rPr>
                      <w:rFonts w:hint="default" w:ascii="Times New Roman" w:hAnsi="Times New Roman" w:eastAsia="宋体" w:cs="Times New Roman"/>
                      <w:color w:val="auto"/>
                      <w:sz w:val="21"/>
                      <w:szCs w:val="21"/>
                      <w:lang w:val="en-US" w:eastAsia="zh-CN"/>
                    </w:rPr>
                    <w:t>--回火钢丝</w:t>
                  </w:r>
                </w:p>
              </w:tc>
              <w:tc>
                <w:tcPr>
                  <w:tcW w:w="1123" w:type="pct"/>
                  <w:tcBorders>
                    <w:top w:val="single" w:color="auto" w:sz="4" w:space="0"/>
                    <w:left w:val="single" w:color="auto" w:sz="4" w:space="0"/>
                    <w:bottom w:val="single" w:color="auto" w:sz="4" w:space="0"/>
                    <w:right w:val="single" w:color="auto" w:sz="4" w:space="0"/>
                  </w:tcBorders>
                  <w:noWrap w:val="0"/>
                  <w:vAlign w:val="center"/>
                </w:tcPr>
                <w:p w14:paraId="221EFAA1">
                  <w:pPr>
                    <w:keepNext w:val="0"/>
                    <w:keepLines w:val="0"/>
                    <w:suppressLineNumbers w:val="0"/>
                    <w:tabs>
                      <w:tab w:val="left" w:pos="5475"/>
                    </w:tabs>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bCs/>
                      <w:color w:val="auto"/>
                      <w:sz w:val="21"/>
                      <w:szCs w:val="21"/>
                      <w:lang w:val="en-US" w:eastAsia="zh-CN"/>
                    </w:rPr>
                    <w:t>1500吨/年</w:t>
                  </w:r>
                </w:p>
              </w:tc>
              <w:tc>
                <w:tcPr>
                  <w:tcW w:w="1280" w:type="pct"/>
                  <w:tcBorders>
                    <w:top w:val="single" w:color="auto" w:sz="4" w:space="0"/>
                    <w:left w:val="single" w:color="auto" w:sz="4" w:space="0"/>
                    <w:bottom w:val="single" w:color="auto" w:sz="4" w:space="0"/>
                    <w:right w:val="single" w:color="auto" w:sz="4" w:space="0"/>
                  </w:tcBorders>
                  <w:noWrap w:val="0"/>
                  <w:vAlign w:val="center"/>
                </w:tcPr>
                <w:p w14:paraId="664F94AD">
                  <w:pPr>
                    <w:keepNext w:val="0"/>
                    <w:keepLines w:val="0"/>
                    <w:suppressLineNumbers w:val="0"/>
                    <w:tabs>
                      <w:tab w:val="left" w:pos="5475"/>
                    </w:tabs>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
                    </w:rPr>
                  </w:pPr>
                  <w:r>
                    <w:rPr>
                      <w:rFonts w:hint="eastAsia" w:cs="Times New Roman"/>
                      <w:color w:val="auto"/>
                      <w:sz w:val="21"/>
                      <w:szCs w:val="21"/>
                      <w:highlight w:val="none"/>
                      <w:lang w:val="en-US" w:eastAsia="zh-CN"/>
                    </w:rPr>
                    <w:t>扩建项目</w:t>
                  </w:r>
                  <w:r>
                    <w:rPr>
                      <w:rFonts w:hint="default" w:ascii="Times New Roman" w:hAnsi="Times New Roman" w:eastAsia="宋体" w:cs="Times New Roman"/>
                      <w:color w:val="auto"/>
                      <w:sz w:val="21"/>
                      <w:szCs w:val="21"/>
                      <w:highlight w:val="none"/>
                      <w:lang w:val="en-US" w:eastAsia="zh-CN"/>
                    </w:rPr>
                    <w:t>规格：</w:t>
                  </w:r>
                  <w:r>
                    <w:rPr>
                      <w:rFonts w:hint="default" w:ascii="Times New Roman" w:hAnsi="Times New Roman" w:eastAsia="宋体" w:cs="Times New Roman"/>
                      <w:color w:val="auto"/>
                      <w:sz w:val="21"/>
                      <w:szCs w:val="21"/>
                      <w:highlight w:val="none"/>
                      <w:lang w:eastAsia="zh-CN"/>
                    </w:rPr>
                    <w:t>Φ</w:t>
                  </w:r>
                  <w:r>
                    <w:rPr>
                      <w:rFonts w:hint="default" w:ascii="Times New Roman" w:hAnsi="Times New Roman" w:eastAsia="宋体" w:cs="Times New Roman"/>
                      <w:bCs/>
                      <w:color w:val="auto"/>
                      <w:sz w:val="21"/>
                      <w:szCs w:val="21"/>
                      <w:highlight w:val="none"/>
                      <w:lang w:val="en-US" w:eastAsia="zh-CN"/>
                    </w:rPr>
                    <w:t>0.</w:t>
                  </w:r>
                  <w:r>
                    <w:rPr>
                      <w:rFonts w:hint="eastAsia" w:cs="Times New Roman"/>
                      <w:bCs/>
                      <w:color w:val="auto"/>
                      <w:sz w:val="21"/>
                      <w:szCs w:val="21"/>
                      <w:highlight w:val="none"/>
                      <w:lang w:val="en-US" w:eastAsia="zh-CN"/>
                    </w:rPr>
                    <w:t>5</w:t>
                  </w:r>
                  <w:r>
                    <w:rPr>
                      <w:rFonts w:hint="default" w:ascii="Times New Roman" w:hAnsi="Times New Roman" w:eastAsia="宋体" w:cs="Times New Roman"/>
                      <w:bCs/>
                      <w:color w:val="auto"/>
                      <w:sz w:val="21"/>
                      <w:szCs w:val="21"/>
                      <w:highlight w:val="none"/>
                      <w:lang w:val="en-US" w:eastAsia="zh-CN"/>
                    </w:rPr>
                    <w:t>mm-</w:t>
                  </w:r>
                  <w:r>
                    <w:rPr>
                      <w:rFonts w:hint="default" w:ascii="Times New Roman" w:hAnsi="Times New Roman" w:eastAsia="宋体" w:cs="Times New Roman"/>
                      <w:color w:val="auto"/>
                      <w:sz w:val="21"/>
                      <w:szCs w:val="21"/>
                      <w:highlight w:val="none"/>
                      <w:lang w:eastAsia="zh-CN"/>
                    </w:rPr>
                    <w:t>Φ</w:t>
                  </w:r>
                  <w:r>
                    <w:rPr>
                      <w:rFonts w:hint="eastAsia" w:cs="Times New Roman"/>
                      <w:bCs/>
                      <w:color w:val="auto"/>
                      <w:sz w:val="21"/>
                      <w:szCs w:val="21"/>
                      <w:highlight w:val="none"/>
                      <w:lang w:val="en-US" w:eastAsia="zh-CN"/>
                    </w:rPr>
                    <w:t>1</w:t>
                  </w:r>
                  <w:r>
                    <w:rPr>
                      <w:rFonts w:hint="default" w:ascii="Times New Roman" w:hAnsi="Times New Roman" w:eastAsia="宋体" w:cs="Times New Roman"/>
                      <w:bCs/>
                      <w:color w:val="auto"/>
                      <w:sz w:val="21"/>
                      <w:szCs w:val="21"/>
                      <w:highlight w:val="none"/>
                      <w:lang w:val="en-US" w:eastAsia="zh-CN"/>
                    </w:rPr>
                    <w:t>mm</w:t>
                  </w:r>
                </w:p>
              </w:tc>
              <w:tc>
                <w:tcPr>
                  <w:tcW w:w="1027" w:type="pct"/>
                  <w:tcBorders>
                    <w:top w:val="single" w:color="auto" w:sz="4" w:space="0"/>
                    <w:left w:val="single" w:color="auto" w:sz="4" w:space="0"/>
                    <w:bottom w:val="single" w:color="auto" w:sz="4" w:space="0"/>
                  </w:tcBorders>
                  <w:noWrap w:val="0"/>
                  <w:vAlign w:val="center"/>
                </w:tcPr>
                <w:p w14:paraId="0A376FA6">
                  <w:pPr>
                    <w:keepNext w:val="0"/>
                    <w:keepLines w:val="0"/>
                    <w:suppressLineNumbers w:val="0"/>
                    <w:tabs>
                      <w:tab w:val="left" w:pos="5475"/>
                    </w:tabs>
                    <w:spacing w:before="0" w:beforeAutospacing="0" w:after="0" w:afterAutospacing="0"/>
                    <w:ind w:left="0" w:right="0"/>
                    <w:jc w:val="center"/>
                    <w:rPr>
                      <w:rFonts w:hint="eastAsia" w:ascii="Times New Roman" w:hAnsi="Times New Roman" w:eastAsia="宋体" w:cs="Times New Roman"/>
                      <w:color w:val="auto"/>
                      <w:kern w:val="2"/>
                      <w:sz w:val="21"/>
                      <w:szCs w:val="21"/>
                      <w:lang w:val="en-US" w:eastAsia="zh-CN" w:bidi="ar"/>
                    </w:rPr>
                  </w:pPr>
                  <w:r>
                    <w:rPr>
                      <w:rFonts w:hint="eastAsia" w:ascii="Calibri" w:hAnsi="Calibri" w:eastAsia="宋体" w:cs="Times New Roman"/>
                      <w:bCs/>
                      <w:color w:val="auto"/>
                      <w:sz w:val="21"/>
                      <w:szCs w:val="21"/>
                      <w:lang w:val="en-US" w:eastAsia="zh-CN"/>
                    </w:rPr>
                    <w:t>新增</w:t>
                  </w:r>
                </w:p>
              </w:tc>
            </w:tr>
          </w:tbl>
          <w:p w14:paraId="4E8CF851">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6.</w:t>
            </w:r>
            <w:r>
              <w:rPr>
                <w:rFonts w:hint="default" w:ascii="Times New Roman" w:hAnsi="Times New Roman" w:eastAsia="宋体" w:cs="Times New Roman"/>
                <w:b/>
                <w:bCs/>
                <w:color w:val="auto"/>
                <w:kern w:val="0"/>
                <w:sz w:val="24"/>
                <w:szCs w:val="24"/>
                <w:lang w:val="en-US" w:eastAsia="zh-CN" w:bidi="ar"/>
              </w:rPr>
              <w:t>主要原辅料消耗情况</w:t>
            </w:r>
          </w:p>
          <w:p w14:paraId="20E7E58D">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highlight w:val="none"/>
                <w:u w:val="none" w:color="auto"/>
              </w:rPr>
            </w:pPr>
            <w:r>
              <w:rPr>
                <w:rFonts w:hint="default" w:ascii="Times New Roman" w:hAnsi="Times New Roman" w:eastAsia="宋体" w:cs="Times New Roman"/>
                <w:color w:val="auto"/>
                <w:sz w:val="24"/>
                <w:szCs w:val="24"/>
                <w:lang w:val="en-US" w:eastAsia="zh-CN"/>
              </w:rPr>
              <w:t>本项目</w:t>
            </w:r>
            <w:r>
              <w:rPr>
                <w:rFonts w:hint="eastAsia" w:ascii="Times New Roman" w:hAnsi="Times New Roman" w:eastAsia="宋体" w:cs="Times New Roman"/>
                <w:color w:val="auto"/>
                <w:sz w:val="24"/>
                <w:szCs w:val="24"/>
                <w:lang w:val="en-US" w:eastAsia="zh-CN"/>
              </w:rPr>
              <w:t>主要</w:t>
            </w:r>
            <w:r>
              <w:rPr>
                <w:rFonts w:hint="default" w:ascii="Times New Roman" w:hAnsi="Times New Roman" w:eastAsia="宋体" w:cs="Times New Roman"/>
                <w:color w:val="auto"/>
                <w:sz w:val="24"/>
                <w:szCs w:val="24"/>
                <w:lang w:val="en-US" w:eastAsia="zh-CN"/>
              </w:rPr>
              <w:t>原辅材料</w:t>
            </w:r>
            <w:r>
              <w:rPr>
                <w:rFonts w:hint="eastAsia" w:ascii="Times New Roman" w:hAnsi="Times New Roman" w:eastAsia="宋体" w:cs="Times New Roman"/>
                <w:color w:val="auto"/>
                <w:sz w:val="24"/>
                <w:szCs w:val="24"/>
                <w:lang w:val="en-US" w:eastAsia="zh-CN"/>
              </w:rPr>
              <w:t>及能源消耗</w:t>
            </w:r>
            <w:r>
              <w:rPr>
                <w:rFonts w:hint="default" w:ascii="Times New Roman" w:hAnsi="Times New Roman" w:eastAsia="宋体" w:cs="Times New Roman"/>
                <w:color w:val="auto"/>
                <w:sz w:val="24"/>
                <w:szCs w:val="24"/>
                <w:lang w:val="en-US" w:eastAsia="zh-CN"/>
              </w:rPr>
              <w:t>见下表：</w:t>
            </w:r>
          </w:p>
          <w:p w14:paraId="3C1C9C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黑体" w:cs="Times New Roman"/>
                <w:b/>
                <w:bCs/>
                <w:color w:val="auto"/>
                <w:kern w:val="0"/>
                <w:szCs w:val="21"/>
                <w:highlight w:val="none"/>
                <w:u w:val="none" w:color="auto"/>
              </w:rPr>
            </w:pPr>
            <w:r>
              <w:rPr>
                <w:rFonts w:hint="eastAsia" w:cs="Times New Roman"/>
                <w:b/>
                <w:bCs/>
                <w:color w:val="auto"/>
                <w:kern w:val="0"/>
                <w:sz w:val="21"/>
                <w:szCs w:val="21"/>
                <w:highlight w:val="none"/>
                <w:u w:val="none" w:color="auto"/>
                <w:lang w:eastAsia="zh-CN"/>
              </w:rPr>
              <w:t>表</w:t>
            </w:r>
            <w:r>
              <w:rPr>
                <w:rFonts w:hint="eastAsia" w:cs="Times New Roman"/>
                <w:b/>
                <w:bCs/>
                <w:color w:val="auto"/>
                <w:kern w:val="0"/>
                <w:sz w:val="21"/>
                <w:szCs w:val="21"/>
                <w:highlight w:val="none"/>
                <w:u w:val="none" w:color="auto"/>
                <w:lang w:val="en-US" w:eastAsia="zh-CN"/>
              </w:rPr>
              <w:t xml:space="preserve">14  </w:t>
            </w:r>
            <w:r>
              <w:rPr>
                <w:rFonts w:hint="default" w:ascii="Times New Roman" w:hAnsi="Times New Roman" w:eastAsia="宋体" w:cs="Times New Roman"/>
                <w:b/>
                <w:bCs/>
                <w:color w:val="auto"/>
                <w:kern w:val="0"/>
                <w:sz w:val="21"/>
                <w:szCs w:val="21"/>
                <w:highlight w:val="none"/>
                <w:u w:val="none" w:color="auto"/>
              </w:rPr>
              <w:t>主要原辅材料及能源消耗</w:t>
            </w:r>
          </w:p>
          <w:tbl>
            <w:tblPr>
              <w:tblStyle w:val="2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190"/>
              <w:gridCol w:w="1701"/>
              <w:gridCol w:w="1600"/>
              <w:gridCol w:w="1794"/>
              <w:gridCol w:w="1962"/>
            </w:tblGrid>
            <w:tr w14:paraId="785BC3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512" w:type="pct"/>
                  <w:tcBorders>
                    <w:top w:val="single" w:color="auto" w:sz="12" w:space="0"/>
                    <w:bottom w:val="single" w:color="auto" w:sz="4" w:space="0"/>
                    <w:right w:val="single" w:color="auto" w:sz="4" w:space="0"/>
                  </w:tcBorders>
                  <w:noWrap w:val="0"/>
                  <w:vAlign w:val="center"/>
                </w:tcPr>
                <w:p w14:paraId="54BDFB1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b/>
                      <w:bCs/>
                      <w:color w:val="auto"/>
                      <w:spacing w:val="6"/>
                      <w:sz w:val="21"/>
                      <w:szCs w:val="24"/>
                    </w:rPr>
                  </w:pPr>
                  <w:r>
                    <w:rPr>
                      <w:rFonts w:hint="default" w:ascii="Times New Roman" w:hAnsi="Times New Roman" w:eastAsia="宋体" w:cs="Times New Roman"/>
                      <w:b/>
                      <w:bCs/>
                      <w:color w:val="auto"/>
                      <w:spacing w:val="6"/>
                      <w:sz w:val="21"/>
                      <w:szCs w:val="24"/>
                    </w:rPr>
                    <w:t>序号</w:t>
                  </w:r>
                </w:p>
              </w:tc>
              <w:tc>
                <w:tcPr>
                  <w:tcW w:w="647" w:type="pct"/>
                  <w:tcBorders>
                    <w:top w:val="single" w:color="auto" w:sz="12" w:space="0"/>
                    <w:left w:val="single" w:color="auto" w:sz="4" w:space="0"/>
                    <w:bottom w:val="single" w:color="auto" w:sz="4" w:space="0"/>
                    <w:right w:val="single" w:color="auto" w:sz="4" w:space="0"/>
                  </w:tcBorders>
                  <w:noWrap w:val="0"/>
                  <w:vAlign w:val="center"/>
                </w:tcPr>
                <w:p w14:paraId="7E565FF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b/>
                      <w:bCs/>
                      <w:color w:val="auto"/>
                      <w:spacing w:val="6"/>
                      <w:sz w:val="21"/>
                      <w:szCs w:val="24"/>
                    </w:rPr>
                  </w:pPr>
                  <w:r>
                    <w:rPr>
                      <w:rFonts w:hint="default" w:ascii="Times New Roman" w:hAnsi="Times New Roman" w:eastAsia="宋体" w:cs="Times New Roman"/>
                      <w:b/>
                      <w:bCs/>
                      <w:color w:val="auto"/>
                      <w:spacing w:val="6"/>
                      <w:sz w:val="21"/>
                      <w:szCs w:val="24"/>
                    </w:rPr>
                    <w:t>原辅料名称</w:t>
                  </w:r>
                </w:p>
              </w:tc>
              <w:tc>
                <w:tcPr>
                  <w:tcW w:w="925" w:type="pct"/>
                  <w:tcBorders>
                    <w:top w:val="single" w:color="auto" w:sz="12" w:space="0"/>
                    <w:left w:val="single" w:color="auto" w:sz="4" w:space="0"/>
                    <w:bottom w:val="single" w:color="auto" w:sz="4" w:space="0"/>
                    <w:right w:val="single" w:color="auto" w:sz="4" w:space="0"/>
                  </w:tcBorders>
                  <w:noWrap w:val="0"/>
                  <w:vAlign w:val="center"/>
                </w:tcPr>
                <w:p w14:paraId="0422072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eastAsia" w:cs="Times New Roman"/>
                      <w:b/>
                      <w:bCs/>
                      <w:color w:val="auto"/>
                      <w:sz w:val="21"/>
                      <w:szCs w:val="24"/>
                      <w:lang w:eastAsia="zh-CN"/>
                    </w:rPr>
                  </w:pPr>
                  <w:r>
                    <w:rPr>
                      <w:rFonts w:hint="eastAsia" w:cs="Times New Roman"/>
                      <w:b/>
                      <w:bCs/>
                      <w:color w:val="auto"/>
                      <w:sz w:val="21"/>
                      <w:szCs w:val="24"/>
                      <w:lang w:eastAsia="zh-CN"/>
                    </w:rPr>
                    <w:t>原有工程原料</w:t>
                  </w:r>
                </w:p>
                <w:p w14:paraId="43C5607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eastAsia" w:ascii="Times New Roman" w:hAnsi="Times New Roman" w:eastAsia="宋体" w:cs="Times New Roman"/>
                      <w:b/>
                      <w:bCs/>
                      <w:color w:val="auto"/>
                      <w:sz w:val="21"/>
                      <w:szCs w:val="24"/>
                      <w:lang w:eastAsia="zh-CN"/>
                    </w:rPr>
                  </w:pPr>
                  <w:r>
                    <w:rPr>
                      <w:rFonts w:hint="eastAsia" w:cs="Times New Roman"/>
                      <w:b/>
                      <w:bCs/>
                      <w:color w:val="auto"/>
                      <w:sz w:val="21"/>
                      <w:szCs w:val="24"/>
                      <w:lang w:eastAsia="zh-CN"/>
                    </w:rPr>
                    <w:t>年用量</w:t>
                  </w:r>
                </w:p>
              </w:tc>
              <w:tc>
                <w:tcPr>
                  <w:tcW w:w="870" w:type="pct"/>
                  <w:tcBorders>
                    <w:top w:val="single" w:color="auto" w:sz="12" w:space="0"/>
                    <w:left w:val="single" w:color="auto" w:sz="4" w:space="0"/>
                    <w:bottom w:val="single" w:color="auto" w:sz="4" w:space="0"/>
                  </w:tcBorders>
                  <w:noWrap w:val="0"/>
                  <w:vAlign w:val="center"/>
                </w:tcPr>
                <w:p w14:paraId="2EDF4A1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eastAsia" w:cs="Times New Roman"/>
                      <w:b/>
                      <w:bCs/>
                      <w:color w:val="auto"/>
                      <w:spacing w:val="6"/>
                      <w:sz w:val="21"/>
                      <w:szCs w:val="24"/>
                      <w:lang w:eastAsia="zh-CN"/>
                    </w:rPr>
                  </w:pPr>
                  <w:r>
                    <w:rPr>
                      <w:rFonts w:hint="eastAsia" w:cs="Times New Roman"/>
                      <w:b/>
                      <w:bCs/>
                      <w:color w:val="auto"/>
                      <w:spacing w:val="6"/>
                      <w:sz w:val="21"/>
                      <w:szCs w:val="24"/>
                      <w:lang w:eastAsia="zh-CN"/>
                    </w:rPr>
                    <w:t>新增原料</w:t>
                  </w:r>
                </w:p>
                <w:p w14:paraId="6EAF83E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eastAsia" w:ascii="Times New Roman" w:hAnsi="Times New Roman" w:eastAsia="宋体" w:cs="Times New Roman"/>
                      <w:b/>
                      <w:bCs/>
                      <w:color w:val="auto"/>
                      <w:spacing w:val="6"/>
                      <w:sz w:val="21"/>
                      <w:szCs w:val="24"/>
                      <w:lang w:eastAsia="zh-CN"/>
                    </w:rPr>
                  </w:pPr>
                  <w:r>
                    <w:rPr>
                      <w:rFonts w:hint="eastAsia" w:cs="Times New Roman"/>
                      <w:b/>
                      <w:bCs/>
                      <w:color w:val="auto"/>
                      <w:spacing w:val="6"/>
                      <w:sz w:val="21"/>
                      <w:szCs w:val="24"/>
                      <w:lang w:eastAsia="zh-CN"/>
                    </w:rPr>
                    <w:t>年用量</w:t>
                  </w:r>
                </w:p>
              </w:tc>
              <w:tc>
                <w:tcPr>
                  <w:tcW w:w="976" w:type="pct"/>
                  <w:tcBorders>
                    <w:top w:val="single" w:color="auto" w:sz="12" w:space="0"/>
                    <w:left w:val="single" w:color="auto" w:sz="4" w:space="0"/>
                    <w:bottom w:val="single" w:color="auto" w:sz="4" w:space="0"/>
                  </w:tcBorders>
                  <w:noWrap w:val="0"/>
                  <w:vAlign w:val="center"/>
                </w:tcPr>
                <w:p w14:paraId="4E545AC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eastAsia" w:cs="Times New Roman"/>
                      <w:b/>
                      <w:bCs/>
                      <w:color w:val="auto"/>
                      <w:spacing w:val="6"/>
                      <w:sz w:val="21"/>
                      <w:szCs w:val="24"/>
                      <w:lang w:eastAsia="zh-CN"/>
                    </w:rPr>
                  </w:pPr>
                  <w:r>
                    <w:rPr>
                      <w:rFonts w:hint="eastAsia" w:cs="Times New Roman"/>
                      <w:b/>
                      <w:bCs/>
                      <w:color w:val="auto"/>
                      <w:spacing w:val="6"/>
                      <w:sz w:val="21"/>
                      <w:szCs w:val="24"/>
                      <w:lang w:eastAsia="zh-CN"/>
                    </w:rPr>
                    <w:t>来源</w:t>
                  </w:r>
                </w:p>
              </w:tc>
              <w:tc>
                <w:tcPr>
                  <w:tcW w:w="1067" w:type="pct"/>
                  <w:tcBorders>
                    <w:top w:val="single" w:color="auto" w:sz="12" w:space="0"/>
                    <w:left w:val="single" w:color="auto" w:sz="4" w:space="0"/>
                    <w:bottom w:val="single" w:color="auto" w:sz="4" w:space="0"/>
                  </w:tcBorders>
                  <w:noWrap w:val="0"/>
                  <w:vAlign w:val="center"/>
                </w:tcPr>
                <w:p w14:paraId="28F7C7D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jc w:val="center"/>
                    <w:textAlignment w:val="auto"/>
                    <w:rPr>
                      <w:rFonts w:hint="eastAsia" w:ascii="Times New Roman" w:hAnsi="Times New Roman" w:eastAsia="宋体" w:cs="Times New Roman"/>
                      <w:b/>
                      <w:bCs/>
                      <w:color w:val="auto"/>
                      <w:spacing w:val="6"/>
                      <w:sz w:val="21"/>
                      <w:szCs w:val="24"/>
                      <w:lang w:eastAsia="zh-CN"/>
                    </w:rPr>
                  </w:pPr>
                  <w:r>
                    <w:rPr>
                      <w:rFonts w:hint="eastAsia" w:ascii="Times New Roman" w:hAnsi="Times New Roman" w:eastAsia="宋体" w:cs="Times New Roman"/>
                      <w:b/>
                      <w:bCs/>
                      <w:color w:val="auto"/>
                      <w:spacing w:val="6"/>
                      <w:sz w:val="21"/>
                      <w:szCs w:val="24"/>
                      <w:lang w:eastAsia="zh-CN"/>
                    </w:rPr>
                    <w:t>备注</w:t>
                  </w:r>
                </w:p>
              </w:tc>
            </w:tr>
            <w:tr w14:paraId="7F149B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pct"/>
                  <w:tcBorders>
                    <w:top w:val="single" w:color="auto" w:sz="4" w:space="0"/>
                    <w:bottom w:val="single" w:color="auto" w:sz="4" w:space="0"/>
                    <w:right w:val="single" w:color="auto" w:sz="4" w:space="0"/>
                  </w:tcBorders>
                  <w:noWrap w:val="0"/>
                  <w:vAlign w:val="center"/>
                </w:tcPr>
                <w:p w14:paraId="3AFB8BDB">
                  <w:pPr>
                    <w:pStyle w:val="6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rPr>
                    <w:t>1</w:t>
                  </w:r>
                </w:p>
              </w:tc>
              <w:tc>
                <w:tcPr>
                  <w:tcW w:w="647" w:type="pct"/>
                  <w:tcBorders>
                    <w:top w:val="single" w:color="auto" w:sz="4" w:space="0"/>
                    <w:left w:val="single" w:color="auto" w:sz="4" w:space="0"/>
                    <w:bottom w:val="single" w:color="auto" w:sz="4" w:space="0"/>
                    <w:right w:val="single" w:color="auto" w:sz="4" w:space="0"/>
                  </w:tcBorders>
                  <w:noWrap w:val="0"/>
                  <w:vAlign w:val="center"/>
                </w:tcPr>
                <w:p w14:paraId="7AD78AB6">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eastAsia="zh-CN"/>
                    </w:rPr>
                    <w:t>弹簧钢盘圆</w:t>
                  </w:r>
                </w:p>
              </w:tc>
              <w:tc>
                <w:tcPr>
                  <w:tcW w:w="925" w:type="pct"/>
                  <w:tcBorders>
                    <w:top w:val="single" w:color="auto" w:sz="4" w:space="0"/>
                    <w:left w:val="single" w:color="auto" w:sz="4" w:space="0"/>
                    <w:bottom w:val="single" w:color="auto" w:sz="4" w:space="0"/>
                    <w:right w:val="single" w:color="auto" w:sz="4" w:space="0"/>
                  </w:tcBorders>
                  <w:noWrap w:val="0"/>
                  <w:vAlign w:val="center"/>
                </w:tcPr>
                <w:p w14:paraId="0666D21A">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16</w:t>
                  </w:r>
                  <w:r>
                    <w:rPr>
                      <w:rFonts w:hint="eastAsia" w:cs="Times New Roman"/>
                      <w:color w:val="auto"/>
                      <w:sz w:val="21"/>
                      <w:szCs w:val="21"/>
                      <w:highlight w:val="none"/>
                      <w:lang w:val="en-US" w:eastAsia="zh-CN"/>
                    </w:rPr>
                    <w:t>876</w:t>
                  </w:r>
                  <w:r>
                    <w:rPr>
                      <w:rFonts w:hint="default"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443</w:t>
                  </w:r>
                  <w:r>
                    <w:rPr>
                      <w:rFonts w:hint="default" w:ascii="Times New Roman" w:hAnsi="Times New Roman" w:eastAsia="宋体" w:cs="Times New Roman"/>
                      <w:color w:val="auto"/>
                      <w:sz w:val="21"/>
                      <w:szCs w:val="21"/>
                      <w:highlight w:val="none"/>
                      <w:lang w:val="en-US" w:eastAsia="zh-CN"/>
                    </w:rPr>
                    <w:t>t</w:t>
                  </w:r>
                </w:p>
              </w:tc>
              <w:tc>
                <w:tcPr>
                  <w:tcW w:w="870" w:type="pct"/>
                  <w:tcBorders>
                    <w:top w:val="single" w:color="auto" w:sz="4" w:space="0"/>
                    <w:left w:val="single" w:color="auto" w:sz="4" w:space="0"/>
                    <w:bottom w:val="single" w:color="auto" w:sz="4" w:space="0"/>
                  </w:tcBorders>
                  <w:shd w:val="clear" w:color="auto" w:fill="auto"/>
                  <w:noWrap w:val="0"/>
                  <w:vAlign w:val="center"/>
                </w:tcPr>
                <w:p w14:paraId="1BE34FD5">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cs="Times New Roman"/>
                      <w:color w:val="auto"/>
                      <w:sz w:val="21"/>
                      <w:szCs w:val="21"/>
                      <w:highlight w:val="none"/>
                      <w:lang w:val="en-US" w:eastAsia="zh-CN"/>
                    </w:rPr>
                    <w:t>1582.665</w:t>
                  </w:r>
                  <w:r>
                    <w:rPr>
                      <w:rFonts w:hint="default" w:ascii="Times New Roman" w:hAnsi="Times New Roman" w:eastAsia="宋体" w:cs="Times New Roman"/>
                      <w:color w:val="auto"/>
                      <w:sz w:val="21"/>
                      <w:szCs w:val="21"/>
                      <w:highlight w:val="none"/>
                      <w:lang w:val="en-US" w:eastAsia="zh-CN"/>
                    </w:rPr>
                    <w:t>t</w:t>
                  </w:r>
                </w:p>
              </w:tc>
              <w:tc>
                <w:tcPr>
                  <w:tcW w:w="976" w:type="pct"/>
                  <w:tcBorders>
                    <w:top w:val="single" w:color="auto" w:sz="4" w:space="0"/>
                    <w:left w:val="single" w:color="auto" w:sz="4" w:space="0"/>
                    <w:bottom w:val="single" w:color="auto" w:sz="4" w:space="0"/>
                  </w:tcBorders>
                  <w:shd w:val="clear" w:color="auto" w:fill="auto"/>
                  <w:noWrap w:val="0"/>
                  <w:vAlign w:val="center"/>
                </w:tcPr>
                <w:p w14:paraId="23A3408B">
                  <w:pPr>
                    <w:keepNext w:val="0"/>
                    <w:keepLines w:val="0"/>
                    <w:suppressLineNumbers w:val="0"/>
                    <w:spacing w:before="0" w:beforeAutospacing="0" w:after="0" w:afterAutospacing="0"/>
                    <w:ind w:left="0" w:leftChars="0" w:right="0" w:rightChars="0"/>
                    <w:jc w:val="center"/>
                    <w:rPr>
                      <w:rFonts w:hint="eastAsia" w:ascii="Calibri" w:hAnsi="Calibri" w:eastAsia="宋体" w:cs="Times New Roman"/>
                      <w:color w:val="auto"/>
                      <w:kern w:val="2"/>
                      <w:sz w:val="21"/>
                      <w:szCs w:val="21"/>
                      <w:lang w:val="en-US" w:eastAsia="zh-CN" w:bidi="ar-SA"/>
                    </w:rPr>
                  </w:pPr>
                  <w:r>
                    <w:rPr>
                      <w:rFonts w:hint="eastAsia" w:ascii="Calibri" w:hAnsi="Calibri" w:eastAsia="宋体" w:cs="Times New Roman"/>
                      <w:color w:val="auto"/>
                      <w:sz w:val="21"/>
                      <w:szCs w:val="21"/>
                      <w:lang w:val="en-US" w:eastAsia="zh-CN"/>
                    </w:rPr>
                    <w:t>外购、钢厂</w:t>
                  </w:r>
                </w:p>
              </w:tc>
              <w:tc>
                <w:tcPr>
                  <w:tcW w:w="1067" w:type="pct"/>
                  <w:tcBorders>
                    <w:top w:val="single" w:color="auto" w:sz="4" w:space="0"/>
                    <w:left w:val="single" w:color="auto" w:sz="4" w:space="0"/>
                    <w:bottom w:val="single" w:color="auto" w:sz="4" w:space="0"/>
                  </w:tcBorders>
                  <w:noWrap w:val="0"/>
                  <w:vAlign w:val="center"/>
                </w:tcPr>
                <w:p w14:paraId="7858FF1E">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21"/>
                      <w:szCs w:val="24"/>
                      <w:lang w:val="en-US"/>
                    </w:rPr>
                  </w:pPr>
                  <w:r>
                    <w:rPr>
                      <w:rFonts w:hint="eastAsia" w:ascii="Calibri" w:hAnsi="Calibri" w:eastAsia="宋体" w:cs="Times New Roman"/>
                      <w:color w:val="auto"/>
                      <w:sz w:val="21"/>
                      <w:szCs w:val="21"/>
                      <w:lang w:val="en-US" w:eastAsia="zh-CN"/>
                    </w:rPr>
                    <w:t>购买时已</w:t>
                  </w:r>
                  <w:r>
                    <w:rPr>
                      <w:rFonts w:hint="eastAsia" w:ascii="Calibri" w:hAnsi="Calibri" w:cs="Times New Roman"/>
                      <w:color w:val="auto"/>
                      <w:sz w:val="21"/>
                      <w:szCs w:val="21"/>
                      <w:lang w:val="en-US" w:eastAsia="zh-CN"/>
                    </w:rPr>
                    <w:t>酸洗</w:t>
                  </w:r>
                  <w:r>
                    <w:rPr>
                      <w:rFonts w:hint="eastAsia" w:ascii="Calibri" w:hAnsi="Calibri" w:eastAsia="宋体" w:cs="Times New Roman"/>
                      <w:color w:val="auto"/>
                      <w:sz w:val="21"/>
                      <w:szCs w:val="21"/>
                      <w:lang w:val="en-US" w:eastAsia="zh-CN"/>
                    </w:rPr>
                    <w:t>磷化</w:t>
                  </w:r>
                </w:p>
              </w:tc>
            </w:tr>
            <w:tr w14:paraId="2BF30C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pct"/>
                  <w:tcBorders>
                    <w:top w:val="single" w:color="auto" w:sz="4" w:space="0"/>
                    <w:bottom w:val="single" w:color="auto" w:sz="4" w:space="0"/>
                    <w:right w:val="single" w:color="auto" w:sz="4" w:space="0"/>
                  </w:tcBorders>
                  <w:noWrap w:val="0"/>
                  <w:vAlign w:val="center"/>
                </w:tcPr>
                <w:p w14:paraId="47180852">
                  <w:pPr>
                    <w:pStyle w:val="6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2</w:t>
                  </w:r>
                </w:p>
              </w:tc>
              <w:tc>
                <w:tcPr>
                  <w:tcW w:w="647" w:type="pct"/>
                  <w:tcBorders>
                    <w:top w:val="single" w:color="auto" w:sz="4" w:space="0"/>
                    <w:left w:val="single" w:color="auto" w:sz="4" w:space="0"/>
                    <w:bottom w:val="single" w:color="auto" w:sz="4" w:space="0"/>
                    <w:right w:val="single" w:color="auto" w:sz="4" w:space="0"/>
                  </w:tcBorders>
                  <w:noWrap w:val="0"/>
                  <w:vAlign w:val="center"/>
                </w:tcPr>
                <w:p w14:paraId="283A9FFB">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eastAsia="zh-CN"/>
                    </w:rPr>
                    <w:t>包装带</w:t>
                  </w:r>
                </w:p>
              </w:tc>
              <w:tc>
                <w:tcPr>
                  <w:tcW w:w="925" w:type="pct"/>
                  <w:tcBorders>
                    <w:top w:val="single" w:color="auto" w:sz="4" w:space="0"/>
                    <w:left w:val="single" w:color="auto" w:sz="4" w:space="0"/>
                    <w:bottom w:val="single" w:color="auto" w:sz="4" w:space="0"/>
                    <w:right w:val="single" w:color="auto" w:sz="4" w:space="0"/>
                  </w:tcBorders>
                  <w:noWrap w:val="0"/>
                  <w:vAlign w:val="center"/>
                </w:tcPr>
                <w:p w14:paraId="09BD6734">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26t</w:t>
                  </w:r>
                </w:p>
              </w:tc>
              <w:tc>
                <w:tcPr>
                  <w:tcW w:w="870" w:type="pct"/>
                  <w:tcBorders>
                    <w:top w:val="single" w:color="auto" w:sz="4" w:space="0"/>
                    <w:left w:val="single" w:color="auto" w:sz="4" w:space="0"/>
                    <w:bottom w:val="single" w:color="auto" w:sz="4" w:space="0"/>
                  </w:tcBorders>
                  <w:shd w:val="clear" w:color="auto" w:fill="auto"/>
                  <w:noWrap w:val="0"/>
                  <w:vAlign w:val="center"/>
                </w:tcPr>
                <w:p w14:paraId="33144490">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lang w:val="en-US" w:eastAsia="zh-CN"/>
                    </w:rPr>
                    <w:t>t</w:t>
                  </w:r>
                </w:p>
              </w:tc>
              <w:tc>
                <w:tcPr>
                  <w:tcW w:w="976" w:type="pct"/>
                  <w:tcBorders>
                    <w:top w:val="single" w:color="auto" w:sz="4" w:space="0"/>
                    <w:left w:val="single" w:color="auto" w:sz="4" w:space="0"/>
                    <w:bottom w:val="single" w:color="auto" w:sz="4" w:space="0"/>
                  </w:tcBorders>
                  <w:shd w:val="clear" w:color="auto" w:fill="auto"/>
                  <w:noWrap w:val="0"/>
                  <w:vAlign w:val="center"/>
                </w:tcPr>
                <w:p w14:paraId="345BF17A">
                  <w:pPr>
                    <w:keepNext w:val="0"/>
                    <w:keepLines w:val="0"/>
                    <w:suppressLineNumbers w:val="0"/>
                    <w:spacing w:before="0" w:beforeAutospacing="0" w:after="0" w:afterAutospacing="0"/>
                    <w:ind w:left="0" w:leftChars="0" w:right="0" w:rightChars="0"/>
                    <w:jc w:val="center"/>
                    <w:rPr>
                      <w:rFonts w:hint="eastAsia" w:ascii="Calibri" w:hAnsi="Calibri" w:eastAsia="宋体" w:cs="Times New Roman"/>
                      <w:color w:val="auto"/>
                      <w:kern w:val="2"/>
                      <w:sz w:val="21"/>
                      <w:szCs w:val="21"/>
                      <w:lang w:val="en-US" w:eastAsia="zh-CN" w:bidi="ar-SA"/>
                    </w:rPr>
                  </w:pPr>
                  <w:r>
                    <w:rPr>
                      <w:rFonts w:hint="eastAsia" w:ascii="Calibri" w:hAnsi="Calibri" w:eastAsia="宋体" w:cs="Times New Roman"/>
                      <w:color w:val="auto"/>
                      <w:sz w:val="21"/>
                      <w:szCs w:val="21"/>
                      <w:lang w:val="en-US" w:eastAsia="zh-CN"/>
                    </w:rPr>
                    <w:t>外购汽运</w:t>
                  </w:r>
                </w:p>
              </w:tc>
              <w:tc>
                <w:tcPr>
                  <w:tcW w:w="1067" w:type="pct"/>
                  <w:tcBorders>
                    <w:top w:val="single" w:color="auto" w:sz="4" w:space="0"/>
                    <w:left w:val="single" w:color="auto" w:sz="4" w:space="0"/>
                    <w:bottom w:val="single" w:color="auto" w:sz="4" w:space="0"/>
                  </w:tcBorders>
                  <w:noWrap w:val="0"/>
                  <w:vAlign w:val="center"/>
                </w:tcPr>
                <w:p w14:paraId="77B9A5C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21"/>
                      <w:szCs w:val="24"/>
                    </w:rPr>
                  </w:pPr>
                  <w:r>
                    <w:rPr>
                      <w:rFonts w:hint="eastAsia" w:ascii="宋体" w:hAnsi="宋体" w:eastAsia="宋体" w:cs="宋体"/>
                      <w:b w:val="0"/>
                      <w:bCs w:val="0"/>
                      <w:color w:val="auto"/>
                      <w:sz w:val="21"/>
                      <w:szCs w:val="21"/>
                      <w:lang w:val="en-US" w:eastAsia="zh-CN"/>
                    </w:rPr>
                    <w:t>/</w:t>
                  </w:r>
                </w:p>
              </w:tc>
            </w:tr>
            <w:tr w14:paraId="0A8BBF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pct"/>
                  <w:tcBorders>
                    <w:top w:val="single" w:color="auto" w:sz="4" w:space="0"/>
                    <w:bottom w:val="single" w:color="auto" w:sz="4" w:space="0"/>
                    <w:right w:val="single" w:color="auto" w:sz="4" w:space="0"/>
                  </w:tcBorders>
                  <w:shd w:val="clear" w:color="auto" w:fill="auto"/>
                  <w:noWrap w:val="0"/>
                  <w:vAlign w:val="center"/>
                </w:tcPr>
                <w:p w14:paraId="3BB15537">
                  <w:pPr>
                    <w:pStyle w:val="6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1"/>
                      <w:szCs w:val="24"/>
                      <w:lang w:val="en-US" w:eastAsia="zh-CN"/>
                    </w:rPr>
                    <w:t>3</w:t>
                  </w:r>
                </w:p>
              </w:tc>
              <w:tc>
                <w:tcPr>
                  <w:tcW w:w="647" w:type="pct"/>
                  <w:tcBorders>
                    <w:top w:val="single" w:color="auto" w:sz="4" w:space="0"/>
                    <w:left w:val="single" w:color="auto" w:sz="4" w:space="0"/>
                    <w:bottom w:val="single" w:color="auto" w:sz="4" w:space="0"/>
                    <w:right w:val="single" w:color="auto" w:sz="4" w:space="0"/>
                  </w:tcBorders>
                  <w:noWrap w:val="0"/>
                  <w:vAlign w:val="center"/>
                </w:tcPr>
                <w:p w14:paraId="2985B398">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拉丝粉</w:t>
                  </w:r>
                </w:p>
              </w:tc>
              <w:tc>
                <w:tcPr>
                  <w:tcW w:w="925" w:type="pct"/>
                  <w:tcBorders>
                    <w:top w:val="single" w:color="auto" w:sz="4" w:space="0"/>
                    <w:left w:val="single" w:color="auto" w:sz="4" w:space="0"/>
                    <w:bottom w:val="single" w:color="auto" w:sz="4" w:space="0"/>
                    <w:right w:val="single" w:color="auto" w:sz="4" w:space="0"/>
                  </w:tcBorders>
                  <w:noWrap w:val="0"/>
                  <w:vAlign w:val="center"/>
                </w:tcPr>
                <w:p w14:paraId="10B57E46">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0.32t/a</w:t>
                  </w:r>
                </w:p>
              </w:tc>
              <w:tc>
                <w:tcPr>
                  <w:tcW w:w="870" w:type="pct"/>
                  <w:tcBorders>
                    <w:top w:val="single" w:color="auto" w:sz="4" w:space="0"/>
                    <w:left w:val="single" w:color="auto" w:sz="4" w:space="0"/>
                    <w:bottom w:val="single" w:color="auto" w:sz="4" w:space="0"/>
                  </w:tcBorders>
                  <w:shd w:val="clear" w:color="auto" w:fill="auto"/>
                  <w:noWrap w:val="0"/>
                  <w:vAlign w:val="center"/>
                </w:tcPr>
                <w:p w14:paraId="5A78A5B4">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0.03t/a</w:t>
                  </w:r>
                </w:p>
              </w:tc>
              <w:tc>
                <w:tcPr>
                  <w:tcW w:w="976" w:type="pct"/>
                  <w:tcBorders>
                    <w:top w:val="single" w:color="auto" w:sz="4" w:space="0"/>
                    <w:left w:val="single" w:color="auto" w:sz="4" w:space="0"/>
                    <w:bottom w:val="single" w:color="auto" w:sz="4" w:space="0"/>
                  </w:tcBorders>
                  <w:shd w:val="clear" w:color="auto" w:fill="auto"/>
                  <w:noWrap w:val="0"/>
                  <w:vAlign w:val="center"/>
                </w:tcPr>
                <w:p w14:paraId="3814237E">
                  <w:pPr>
                    <w:keepNext w:val="0"/>
                    <w:keepLines w:val="0"/>
                    <w:suppressLineNumbers w:val="0"/>
                    <w:spacing w:before="0" w:beforeAutospacing="0" w:after="0" w:afterAutospacing="0"/>
                    <w:ind w:left="0" w:leftChars="0" w:right="0" w:rightChars="0"/>
                    <w:jc w:val="center"/>
                    <w:rPr>
                      <w:rFonts w:hint="eastAsia" w:ascii="Calibri" w:hAnsi="Calibri" w:eastAsia="宋体" w:cs="Times New Roman"/>
                      <w:color w:val="auto"/>
                      <w:sz w:val="21"/>
                      <w:szCs w:val="21"/>
                      <w:lang w:val="en-US" w:eastAsia="zh-CN"/>
                    </w:rPr>
                  </w:pPr>
                  <w:r>
                    <w:rPr>
                      <w:rFonts w:hint="eastAsia" w:ascii="Calibri" w:hAnsi="Calibri" w:eastAsia="宋体" w:cs="Times New Roman"/>
                      <w:color w:val="auto"/>
                      <w:sz w:val="21"/>
                      <w:szCs w:val="21"/>
                      <w:lang w:val="en-US" w:eastAsia="zh-CN"/>
                    </w:rPr>
                    <w:t>外购汽运</w:t>
                  </w:r>
                </w:p>
              </w:tc>
              <w:tc>
                <w:tcPr>
                  <w:tcW w:w="1067" w:type="pct"/>
                  <w:tcBorders>
                    <w:top w:val="single" w:color="auto" w:sz="4" w:space="0"/>
                    <w:left w:val="single" w:color="auto" w:sz="4" w:space="0"/>
                    <w:bottom w:val="single" w:color="auto" w:sz="4" w:space="0"/>
                  </w:tcBorders>
                  <w:noWrap w:val="0"/>
                  <w:vAlign w:val="center"/>
                </w:tcPr>
                <w:p w14:paraId="5FD7E411">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硬脂酸钙：35%~45%</w:t>
                  </w:r>
                </w:p>
                <w:p w14:paraId="755C86CF">
                  <w:pPr>
                    <w:keepNext w:val="0"/>
                    <w:keepLines w:val="0"/>
                    <w:suppressLineNumbers w:val="0"/>
                    <w:spacing w:before="0" w:beforeAutospacing="0" w:after="0" w:afterAutospacing="0"/>
                    <w:ind w:left="0" w:right="0"/>
                    <w:jc w:val="center"/>
                    <w:rPr>
                      <w:rFonts w:hint="default" w:ascii="宋体" w:hAnsi="宋体" w:cs="宋体"/>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氢氧化钙：55%~65%</w:t>
                  </w:r>
                </w:p>
              </w:tc>
            </w:tr>
            <w:tr w14:paraId="41A4AF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pct"/>
                  <w:tcBorders>
                    <w:top w:val="single" w:color="auto" w:sz="4" w:space="0"/>
                    <w:bottom w:val="single" w:color="auto" w:sz="4" w:space="0"/>
                    <w:right w:val="single" w:color="auto" w:sz="4" w:space="0"/>
                  </w:tcBorders>
                  <w:shd w:val="clear" w:color="auto" w:fill="auto"/>
                  <w:noWrap w:val="0"/>
                  <w:vAlign w:val="center"/>
                </w:tcPr>
                <w:p w14:paraId="6DAABAAB">
                  <w:pPr>
                    <w:pStyle w:val="6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1"/>
                      <w:szCs w:val="24"/>
                      <w:lang w:val="en-US" w:eastAsia="zh-CN"/>
                    </w:rPr>
                    <w:t>4</w:t>
                  </w:r>
                </w:p>
              </w:tc>
              <w:tc>
                <w:tcPr>
                  <w:tcW w:w="647" w:type="pct"/>
                  <w:tcBorders>
                    <w:top w:val="single" w:color="auto" w:sz="4" w:space="0"/>
                    <w:left w:val="single" w:color="auto" w:sz="4" w:space="0"/>
                    <w:bottom w:val="single" w:color="auto" w:sz="4" w:space="0"/>
                    <w:right w:val="single" w:color="auto" w:sz="4" w:space="0"/>
                  </w:tcBorders>
                  <w:noWrap w:val="0"/>
                  <w:vAlign w:val="center"/>
                </w:tcPr>
                <w:p w14:paraId="62833792">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水</w:t>
                  </w:r>
                </w:p>
              </w:tc>
              <w:tc>
                <w:tcPr>
                  <w:tcW w:w="925" w:type="pct"/>
                  <w:tcBorders>
                    <w:top w:val="single" w:color="auto" w:sz="4" w:space="0"/>
                    <w:left w:val="single" w:color="auto" w:sz="4" w:space="0"/>
                    <w:bottom w:val="single" w:color="auto" w:sz="4" w:space="0"/>
                    <w:right w:val="single" w:color="auto" w:sz="4" w:space="0"/>
                  </w:tcBorders>
                  <w:noWrap w:val="0"/>
                  <w:vAlign w:val="center"/>
                </w:tcPr>
                <w:p w14:paraId="1C78E0C7">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color w:val="auto"/>
                      <w:kern w:val="2"/>
                      <w:sz w:val="21"/>
                      <w:szCs w:val="21"/>
                      <w:vertAlign w:val="superscript"/>
                      <w:lang w:val="en-US" w:eastAsia="zh-CN" w:bidi="ar"/>
                    </w:rPr>
                  </w:pPr>
                  <w:r>
                    <w:rPr>
                      <w:rFonts w:hint="eastAsia" w:ascii="Times New Roman" w:hAnsi="Times New Roman" w:eastAsia="宋体" w:cs="Times New Roman"/>
                      <w:color w:val="auto"/>
                      <w:sz w:val="21"/>
                      <w:szCs w:val="21"/>
                      <w:highlight w:val="none"/>
                      <w:lang w:val="en-US" w:eastAsia="zh-CN"/>
                    </w:rPr>
                    <w:t>491</w:t>
                  </w:r>
                  <w:r>
                    <w:rPr>
                      <w:rFonts w:hint="eastAsia"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3</w:t>
                  </w:r>
                </w:p>
              </w:tc>
              <w:tc>
                <w:tcPr>
                  <w:tcW w:w="870" w:type="pct"/>
                  <w:tcBorders>
                    <w:top w:val="single" w:color="auto" w:sz="4" w:space="0"/>
                    <w:left w:val="single" w:color="auto" w:sz="4" w:space="0"/>
                    <w:bottom w:val="single" w:color="auto" w:sz="4" w:space="0"/>
                  </w:tcBorders>
                  <w:shd w:val="clear" w:color="auto" w:fill="auto"/>
                  <w:noWrap w:val="0"/>
                  <w:vAlign w:val="center"/>
                </w:tcPr>
                <w:p w14:paraId="4A94625E">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3</w:t>
                  </w:r>
                </w:p>
              </w:tc>
              <w:tc>
                <w:tcPr>
                  <w:tcW w:w="976" w:type="pct"/>
                  <w:tcBorders>
                    <w:top w:val="single" w:color="auto" w:sz="4" w:space="0"/>
                    <w:left w:val="single" w:color="auto" w:sz="4" w:space="0"/>
                    <w:bottom w:val="single" w:color="auto" w:sz="4" w:space="0"/>
                  </w:tcBorders>
                  <w:shd w:val="clear" w:color="auto" w:fill="auto"/>
                  <w:noWrap w:val="0"/>
                  <w:vAlign w:val="center"/>
                </w:tcPr>
                <w:p w14:paraId="2F4CF039">
                  <w:pPr>
                    <w:keepNext w:val="0"/>
                    <w:keepLines w:val="0"/>
                    <w:suppressLineNumbers w:val="0"/>
                    <w:spacing w:before="0" w:beforeAutospacing="0" w:after="0" w:afterAutospacing="0"/>
                    <w:ind w:left="0" w:leftChars="0" w:right="0" w:rightChars="0"/>
                    <w:jc w:val="center"/>
                    <w:rPr>
                      <w:rFonts w:hint="default" w:ascii="Calibri" w:hAnsi="Calibri" w:eastAsia="宋体" w:cs="Times New Roman"/>
                      <w:color w:val="auto"/>
                      <w:kern w:val="2"/>
                      <w:sz w:val="21"/>
                      <w:szCs w:val="21"/>
                      <w:lang w:val="en-US" w:eastAsia="zh-CN" w:bidi="ar-SA"/>
                    </w:rPr>
                  </w:pPr>
                  <w:r>
                    <w:rPr>
                      <w:rFonts w:hint="default" w:ascii="Times New Roman" w:hAnsi="Times New Roman" w:eastAsia="宋体" w:cs="Times New Roman"/>
                      <w:color w:val="auto"/>
                      <w:szCs w:val="21"/>
                      <w:highlight w:val="none"/>
                      <w:lang w:val="en-US" w:eastAsia="zh-CN"/>
                    </w:rPr>
                    <w:t>自备井</w:t>
                  </w:r>
                </w:p>
              </w:tc>
              <w:tc>
                <w:tcPr>
                  <w:tcW w:w="1067" w:type="pct"/>
                  <w:tcBorders>
                    <w:top w:val="single" w:color="auto" w:sz="4" w:space="0"/>
                    <w:left w:val="single" w:color="auto" w:sz="4" w:space="0"/>
                    <w:bottom w:val="single" w:color="auto" w:sz="4" w:space="0"/>
                  </w:tcBorders>
                  <w:noWrap w:val="0"/>
                  <w:vAlign w:val="center"/>
                </w:tcPr>
                <w:p w14:paraId="51905800">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kern w:val="2"/>
                      <w:sz w:val="21"/>
                      <w:szCs w:val="24"/>
                      <w:lang w:val="en-US" w:eastAsia="zh-CN" w:bidi="ar-SA"/>
                    </w:rPr>
                  </w:pPr>
                  <w:r>
                    <w:rPr>
                      <w:rFonts w:hint="eastAsia" w:ascii="宋体" w:hAnsi="宋体" w:eastAsia="宋体" w:cs="宋体"/>
                      <w:b w:val="0"/>
                      <w:bCs w:val="0"/>
                      <w:color w:val="auto"/>
                      <w:sz w:val="21"/>
                      <w:szCs w:val="21"/>
                      <w:lang w:val="en-US" w:eastAsia="zh-CN"/>
                    </w:rPr>
                    <w:t>/</w:t>
                  </w:r>
                </w:p>
              </w:tc>
            </w:tr>
            <w:tr w14:paraId="6A6A18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2" w:type="pct"/>
                  <w:tcBorders>
                    <w:top w:val="single" w:color="auto" w:sz="4" w:space="0"/>
                    <w:bottom w:val="single" w:color="auto" w:sz="12" w:space="0"/>
                    <w:right w:val="single" w:color="auto" w:sz="4" w:space="0"/>
                  </w:tcBorders>
                  <w:noWrap w:val="0"/>
                  <w:vAlign w:val="center"/>
                </w:tcPr>
                <w:p w14:paraId="08180422">
                  <w:pPr>
                    <w:pStyle w:val="69"/>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5</w:t>
                  </w:r>
                </w:p>
              </w:tc>
              <w:tc>
                <w:tcPr>
                  <w:tcW w:w="647" w:type="pct"/>
                  <w:tcBorders>
                    <w:top w:val="single" w:color="auto" w:sz="4" w:space="0"/>
                    <w:left w:val="single" w:color="auto" w:sz="4" w:space="0"/>
                    <w:bottom w:val="single" w:color="auto" w:sz="12" w:space="0"/>
                    <w:right w:val="single" w:color="auto" w:sz="4" w:space="0"/>
                  </w:tcBorders>
                  <w:shd w:val="clear" w:color="auto" w:fill="auto"/>
                  <w:noWrap w:val="0"/>
                  <w:vAlign w:val="center"/>
                </w:tcPr>
                <w:p w14:paraId="0036B4D4">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电</w:t>
                  </w:r>
                </w:p>
              </w:tc>
              <w:tc>
                <w:tcPr>
                  <w:tcW w:w="925" w:type="pct"/>
                  <w:tcBorders>
                    <w:top w:val="single" w:color="auto" w:sz="4" w:space="0"/>
                    <w:left w:val="single" w:color="auto" w:sz="4" w:space="0"/>
                    <w:bottom w:val="single" w:color="auto" w:sz="12" w:space="0"/>
                    <w:right w:val="single" w:color="auto" w:sz="4" w:space="0"/>
                  </w:tcBorders>
                  <w:shd w:val="clear" w:color="auto" w:fill="auto"/>
                  <w:noWrap w:val="0"/>
                  <w:vAlign w:val="center"/>
                </w:tcPr>
                <w:p w14:paraId="52906C16">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sz w:val="21"/>
                      <w:szCs w:val="21"/>
                      <w:highlight w:val="none"/>
                      <w:lang w:val="en-US" w:eastAsia="zh-CN"/>
                    </w:rPr>
                    <w:t>90万</w:t>
                  </w:r>
                  <w:r>
                    <w:rPr>
                      <w:rFonts w:hint="eastAsia" w:ascii="Times New Roman" w:hAnsi="Times New Roman" w:eastAsia="宋体" w:cs="Times New Roman"/>
                      <w:color w:val="auto"/>
                      <w:sz w:val="21"/>
                      <w:szCs w:val="21"/>
                      <w:highlight w:val="none"/>
                      <w:lang w:val="en-US" w:eastAsia="zh-CN"/>
                    </w:rPr>
                    <w:t>度</w:t>
                  </w:r>
                </w:p>
              </w:tc>
              <w:tc>
                <w:tcPr>
                  <w:tcW w:w="870" w:type="pct"/>
                  <w:tcBorders>
                    <w:top w:val="single" w:color="auto" w:sz="4" w:space="0"/>
                    <w:left w:val="single" w:color="auto" w:sz="4" w:space="0"/>
                    <w:bottom w:val="single" w:color="auto" w:sz="12" w:space="0"/>
                  </w:tcBorders>
                  <w:shd w:val="clear" w:color="auto" w:fill="auto"/>
                  <w:noWrap w:val="0"/>
                  <w:vAlign w:val="center"/>
                </w:tcPr>
                <w:p w14:paraId="56D6330A">
                  <w:pPr>
                    <w:keepNext w:val="0"/>
                    <w:keepLines w:val="0"/>
                    <w:pageBreakBefore w:val="0"/>
                    <w:widowControl w:val="0"/>
                    <w:suppressLineNumbers w:val="0"/>
                    <w:tabs>
                      <w:tab w:val="left" w:pos="5246"/>
                    </w:tabs>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1"/>
                      <w:szCs w:val="21"/>
                      <w:highlight w:val="none"/>
                      <w:lang w:val="en-US" w:eastAsia="zh-CN"/>
                    </w:rPr>
                    <w:t>10万度</w:t>
                  </w:r>
                </w:p>
              </w:tc>
              <w:tc>
                <w:tcPr>
                  <w:tcW w:w="976" w:type="pct"/>
                  <w:tcBorders>
                    <w:top w:val="single" w:color="auto" w:sz="4" w:space="0"/>
                    <w:left w:val="single" w:color="auto" w:sz="4" w:space="0"/>
                    <w:bottom w:val="single" w:color="auto" w:sz="12" w:space="0"/>
                  </w:tcBorders>
                  <w:shd w:val="clear" w:color="auto" w:fill="auto"/>
                  <w:noWrap w:val="0"/>
                  <w:vAlign w:val="center"/>
                </w:tcPr>
                <w:p w14:paraId="630A352B">
                  <w:pPr>
                    <w:keepNext w:val="0"/>
                    <w:keepLines w:val="0"/>
                    <w:suppressLineNumbers w:val="0"/>
                    <w:spacing w:before="0" w:beforeAutospacing="0" w:after="0" w:afterAutospacing="0"/>
                    <w:ind w:left="0" w:leftChars="0" w:right="0" w:rightChars="0"/>
                    <w:jc w:val="center"/>
                    <w:rPr>
                      <w:rFonts w:hint="default" w:ascii="Calibri" w:hAnsi="Calibri" w:eastAsia="宋体" w:cs="Times New Roman"/>
                      <w:color w:val="auto"/>
                      <w:kern w:val="2"/>
                      <w:sz w:val="21"/>
                      <w:szCs w:val="21"/>
                      <w:lang w:val="en-US" w:eastAsia="zh-CN" w:bidi="ar-SA"/>
                    </w:rPr>
                  </w:pPr>
                  <w:r>
                    <w:rPr>
                      <w:rFonts w:hint="default" w:ascii="Times New Roman" w:hAnsi="Times New Roman" w:eastAsia="宋体" w:cs="Times New Roman"/>
                      <w:color w:val="auto"/>
                      <w:szCs w:val="21"/>
                      <w:highlight w:val="none"/>
                      <w:lang w:val="en-US" w:eastAsia="zh-CN"/>
                    </w:rPr>
                    <w:t>市政供电</w:t>
                  </w:r>
                </w:p>
              </w:tc>
              <w:tc>
                <w:tcPr>
                  <w:tcW w:w="1067" w:type="pct"/>
                  <w:tcBorders>
                    <w:top w:val="single" w:color="auto" w:sz="4" w:space="0"/>
                    <w:left w:val="single" w:color="auto" w:sz="4" w:space="0"/>
                    <w:bottom w:val="single" w:color="auto" w:sz="12" w:space="0"/>
                  </w:tcBorders>
                  <w:shd w:val="clear" w:color="auto" w:fill="auto"/>
                  <w:noWrap w:val="0"/>
                  <w:vAlign w:val="center"/>
                </w:tcPr>
                <w:p w14:paraId="1F96BA12">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kern w:val="2"/>
                      <w:sz w:val="21"/>
                      <w:szCs w:val="24"/>
                      <w:lang w:val="en-US" w:eastAsia="zh-CN" w:bidi="ar-SA"/>
                    </w:rPr>
                  </w:pPr>
                  <w:r>
                    <w:rPr>
                      <w:rFonts w:hint="eastAsia" w:ascii="宋体" w:hAnsi="宋体" w:eastAsia="宋体" w:cs="宋体"/>
                      <w:b w:val="0"/>
                      <w:bCs w:val="0"/>
                      <w:color w:val="auto"/>
                      <w:sz w:val="21"/>
                      <w:szCs w:val="21"/>
                      <w:lang w:val="en-US" w:eastAsia="zh-CN"/>
                    </w:rPr>
                    <w:t>/</w:t>
                  </w:r>
                </w:p>
              </w:tc>
            </w:tr>
          </w:tbl>
          <w:p w14:paraId="29D91CF1">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ascii="Times New Roman" w:hAnsi="Times New Roman" w:eastAsia="宋体" w:cs="Times New Roman"/>
                <w:b w:val="0"/>
                <w:bCs/>
                <w:color w:val="auto"/>
                <w:sz w:val="24"/>
                <w:szCs w:val="24"/>
                <w:highlight w:val="none"/>
                <w:u w:val="none" w:color="auto"/>
                <w:lang w:eastAsia="zh-CN"/>
              </w:rPr>
            </w:pPr>
            <w:r>
              <w:rPr>
                <w:rFonts w:hint="eastAsia" w:ascii="Times New Roman" w:hAnsi="Times New Roman" w:eastAsia="宋体" w:cs="Times New Roman"/>
                <w:b/>
                <w:bCs w:val="0"/>
                <w:color w:val="auto"/>
                <w:sz w:val="24"/>
                <w:szCs w:val="24"/>
                <w:highlight w:val="none"/>
                <w:u w:val="none" w:color="auto"/>
                <w:lang w:eastAsia="zh-CN"/>
              </w:rPr>
              <w:t>弹簧钢盘圆：</w:t>
            </w:r>
            <w:r>
              <w:rPr>
                <w:rFonts w:hint="eastAsia" w:ascii="Times New Roman" w:hAnsi="Times New Roman" w:eastAsia="宋体" w:cs="Times New Roman"/>
                <w:b w:val="0"/>
                <w:bCs/>
                <w:color w:val="auto"/>
                <w:sz w:val="24"/>
                <w:szCs w:val="24"/>
                <w:highlight w:val="none"/>
                <w:u w:val="none" w:color="auto"/>
                <w:lang w:eastAsia="zh-CN"/>
              </w:rPr>
              <w:t>特指用于制造弹簧的盘圆，材质</w:t>
            </w:r>
            <w:r>
              <w:rPr>
                <w:rFonts w:hint="eastAsia" w:cs="Times New Roman"/>
                <w:b w:val="0"/>
                <w:bCs/>
                <w:color w:val="auto"/>
                <w:sz w:val="24"/>
                <w:szCs w:val="24"/>
                <w:highlight w:val="none"/>
                <w:u w:val="none" w:color="auto"/>
                <w:lang w:eastAsia="zh-CN"/>
              </w:rPr>
              <w:t>须具备</w:t>
            </w:r>
            <w:r>
              <w:rPr>
                <w:rFonts w:hint="eastAsia" w:ascii="Times New Roman" w:hAnsi="Times New Roman" w:eastAsia="宋体" w:cs="Times New Roman"/>
                <w:b w:val="0"/>
                <w:bCs/>
                <w:color w:val="auto"/>
                <w:sz w:val="24"/>
                <w:szCs w:val="24"/>
                <w:highlight w:val="none"/>
                <w:u w:val="none" w:color="auto"/>
                <w:lang w:eastAsia="zh-CN"/>
              </w:rPr>
              <w:t>高弹性、抗疲劳性及耐冲击性，本项目进购的是经</w:t>
            </w:r>
            <w:r>
              <w:rPr>
                <w:rFonts w:hint="eastAsia" w:cs="Times New Roman"/>
                <w:b w:val="0"/>
                <w:bCs/>
                <w:color w:val="auto"/>
                <w:sz w:val="24"/>
                <w:szCs w:val="24"/>
                <w:highlight w:val="none"/>
                <w:u w:val="none" w:color="auto"/>
                <w:lang w:eastAsia="zh-CN"/>
              </w:rPr>
              <w:t>酸洗磷化后</w:t>
            </w:r>
            <w:r>
              <w:rPr>
                <w:rFonts w:hint="eastAsia" w:ascii="Times New Roman" w:hAnsi="Times New Roman" w:eastAsia="宋体" w:cs="Times New Roman"/>
                <w:b w:val="0"/>
                <w:bCs/>
                <w:color w:val="auto"/>
                <w:sz w:val="24"/>
                <w:szCs w:val="24"/>
                <w:highlight w:val="none"/>
                <w:u w:val="none" w:color="auto"/>
                <w:lang w:eastAsia="zh-CN"/>
              </w:rPr>
              <w:t>的弹簧钢盘</w:t>
            </w:r>
            <w:r>
              <w:rPr>
                <w:rFonts w:hint="eastAsia" w:cs="Times New Roman"/>
                <w:b w:val="0"/>
                <w:bCs/>
                <w:color w:val="auto"/>
                <w:sz w:val="24"/>
                <w:szCs w:val="24"/>
                <w:highlight w:val="none"/>
                <w:u w:val="none" w:color="auto"/>
                <w:lang w:eastAsia="zh-CN"/>
              </w:rPr>
              <w:t>圆，进厂时无附着物</w:t>
            </w:r>
            <w:r>
              <w:rPr>
                <w:rFonts w:hint="eastAsia" w:ascii="Times New Roman" w:hAnsi="Times New Roman" w:eastAsia="宋体" w:cs="Times New Roman"/>
                <w:b w:val="0"/>
                <w:bCs/>
                <w:color w:val="auto"/>
                <w:sz w:val="24"/>
                <w:szCs w:val="24"/>
                <w:highlight w:val="none"/>
                <w:u w:val="none" w:color="auto"/>
                <w:lang w:eastAsia="zh-CN"/>
              </w:rPr>
              <w:t>。</w:t>
            </w:r>
          </w:p>
          <w:p w14:paraId="2716D539">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cs="Times New Roman"/>
                <w:b w:val="0"/>
                <w:bCs/>
                <w:color w:val="auto"/>
                <w:sz w:val="24"/>
                <w:szCs w:val="24"/>
                <w:highlight w:val="none"/>
                <w:u w:val="none" w:color="auto"/>
                <w:vertAlign w:val="baseline"/>
                <w:lang w:val="en-US" w:eastAsia="zh-CN"/>
              </w:rPr>
            </w:pPr>
            <w:r>
              <w:rPr>
                <w:rFonts w:hint="eastAsia" w:cs="Times New Roman"/>
                <w:b/>
                <w:bCs w:val="0"/>
                <w:color w:val="auto"/>
                <w:sz w:val="24"/>
                <w:szCs w:val="24"/>
                <w:highlight w:val="none"/>
                <w:u w:val="none" w:color="auto"/>
                <w:lang w:eastAsia="zh-CN"/>
              </w:rPr>
              <w:t>拉丝粉：</w:t>
            </w:r>
            <w:r>
              <w:rPr>
                <w:rFonts w:hint="eastAsia" w:cs="Times New Roman"/>
                <w:b w:val="0"/>
                <w:bCs/>
                <w:color w:val="auto"/>
                <w:sz w:val="24"/>
                <w:szCs w:val="24"/>
                <w:highlight w:val="none"/>
                <w:u w:val="none" w:color="auto"/>
                <w:lang w:eastAsia="zh-CN"/>
              </w:rPr>
              <w:t>本项目在拉拔时使用拉丝粉，主要成分为硬脂酸钙与氢氧化钙，在热处理、回火处理时不会发生反应产生废气，且用量为</w:t>
            </w:r>
            <w:r>
              <w:rPr>
                <w:rFonts w:hint="eastAsia" w:cs="Times New Roman"/>
                <w:b w:val="0"/>
                <w:bCs/>
                <w:color w:val="auto"/>
                <w:sz w:val="24"/>
                <w:szCs w:val="24"/>
                <w:highlight w:val="none"/>
                <w:u w:val="none" w:color="auto"/>
                <w:lang w:val="en-US" w:eastAsia="zh-CN"/>
              </w:rPr>
              <w:t>0.03t/a，随用随取，每次取少量至密闭容器，故颗粒物排放量极少，可以忽略不计；硬脂酸钙是一种有机化合物，分子式为C</w:t>
            </w:r>
            <w:r>
              <w:rPr>
                <w:rFonts w:hint="eastAsia" w:cs="Times New Roman"/>
                <w:b w:val="0"/>
                <w:bCs/>
                <w:color w:val="auto"/>
                <w:sz w:val="24"/>
                <w:szCs w:val="24"/>
                <w:highlight w:val="none"/>
                <w:u w:val="none" w:color="auto"/>
                <w:vertAlign w:val="subscript"/>
                <w:lang w:val="en-US" w:eastAsia="zh-CN"/>
              </w:rPr>
              <w:t>36</w:t>
            </w:r>
            <w:r>
              <w:rPr>
                <w:rFonts w:hint="eastAsia" w:cs="Times New Roman"/>
                <w:b w:val="0"/>
                <w:bCs/>
                <w:color w:val="auto"/>
                <w:sz w:val="24"/>
                <w:szCs w:val="24"/>
                <w:highlight w:val="none"/>
                <w:u w:val="none" w:color="auto"/>
                <w:lang w:val="en-US" w:eastAsia="zh-CN"/>
              </w:rPr>
              <w:t>H</w:t>
            </w:r>
            <w:r>
              <w:rPr>
                <w:rFonts w:hint="eastAsia" w:cs="Times New Roman"/>
                <w:b w:val="0"/>
                <w:bCs/>
                <w:color w:val="auto"/>
                <w:sz w:val="24"/>
                <w:szCs w:val="24"/>
                <w:highlight w:val="none"/>
                <w:u w:val="none" w:color="auto"/>
                <w:vertAlign w:val="subscript"/>
                <w:lang w:val="en-US" w:eastAsia="zh-CN"/>
              </w:rPr>
              <w:t>70</w:t>
            </w:r>
            <w:r>
              <w:rPr>
                <w:rFonts w:hint="eastAsia" w:cs="Times New Roman"/>
                <w:b w:val="0"/>
                <w:bCs/>
                <w:color w:val="auto"/>
                <w:sz w:val="24"/>
                <w:szCs w:val="24"/>
                <w:highlight w:val="none"/>
                <w:u w:val="none" w:color="auto"/>
                <w:lang w:val="en-US" w:eastAsia="zh-CN"/>
              </w:rPr>
              <w:t>CaO</w:t>
            </w:r>
            <w:r>
              <w:rPr>
                <w:rFonts w:hint="eastAsia" w:cs="Times New Roman"/>
                <w:b w:val="0"/>
                <w:bCs/>
                <w:color w:val="auto"/>
                <w:sz w:val="24"/>
                <w:szCs w:val="24"/>
                <w:highlight w:val="none"/>
                <w:u w:val="none" w:color="auto"/>
                <w:vertAlign w:val="subscript"/>
                <w:lang w:val="en-US" w:eastAsia="zh-CN"/>
              </w:rPr>
              <w:t>4</w:t>
            </w:r>
            <w:r>
              <w:rPr>
                <w:rFonts w:hint="eastAsia" w:cs="Times New Roman"/>
                <w:b w:val="0"/>
                <w:bCs/>
                <w:color w:val="auto"/>
                <w:sz w:val="24"/>
                <w:szCs w:val="24"/>
                <w:highlight w:val="none"/>
                <w:u w:val="none" w:color="auto"/>
                <w:vertAlign w:val="baseline"/>
                <w:lang w:val="en-US" w:eastAsia="zh-CN"/>
              </w:rPr>
              <w:t>,可用作润剂，其加热到400度时开始分解，本项目的热处理炉温度为900度，此时硬脂酸钙会发生剧烈反应，最后会生成CO</w:t>
            </w:r>
            <w:r>
              <w:rPr>
                <w:rFonts w:hint="eastAsia" w:cs="Times New Roman"/>
                <w:b w:val="0"/>
                <w:bCs/>
                <w:color w:val="auto"/>
                <w:sz w:val="24"/>
                <w:szCs w:val="24"/>
                <w:highlight w:val="none"/>
                <w:u w:val="none" w:color="auto"/>
                <w:vertAlign w:val="subscript"/>
                <w:lang w:val="en-US" w:eastAsia="zh-CN"/>
              </w:rPr>
              <w:t>2</w:t>
            </w:r>
            <w:r>
              <w:rPr>
                <w:rFonts w:hint="eastAsia" w:cs="Times New Roman"/>
                <w:b w:val="0"/>
                <w:bCs/>
                <w:color w:val="auto"/>
                <w:sz w:val="24"/>
                <w:szCs w:val="24"/>
                <w:highlight w:val="none"/>
                <w:u w:val="none" w:color="auto"/>
                <w:vertAlign w:val="baseline"/>
                <w:lang w:val="en-US" w:eastAsia="zh-CN"/>
              </w:rPr>
              <w:t>、CaO和水蒸气；氢氧化钙直接分解成CaO。</w:t>
            </w:r>
          </w:p>
          <w:p w14:paraId="10848883">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7.劳动定员及工作制度</w:t>
            </w:r>
          </w:p>
          <w:p w14:paraId="53497A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auto"/>
                <w:sz w:val="24"/>
                <w:szCs w:val="24"/>
                <w:highlight w:val="none"/>
                <w:u w:val="none" w:color="auto"/>
                <w:lang w:val="en-US" w:eastAsia="zh-CN"/>
              </w:rPr>
            </w:pPr>
            <w:r>
              <w:rPr>
                <w:rFonts w:hint="eastAsia" w:ascii="Times New Roman" w:hAnsi="Times New Roman" w:eastAsia="宋体" w:cs="Times New Roman"/>
                <w:bCs/>
                <w:color w:val="auto"/>
                <w:sz w:val="24"/>
                <w:szCs w:val="24"/>
                <w:highlight w:val="none"/>
                <w:u w:val="none" w:color="auto"/>
                <w:lang w:val="zh-CN"/>
              </w:rPr>
              <w:t>本项目不新增劳动定员，员工从现有</w:t>
            </w:r>
            <w:r>
              <w:rPr>
                <w:rFonts w:hint="eastAsia" w:ascii="Times New Roman" w:hAnsi="Times New Roman" w:eastAsia="宋体" w:cs="Times New Roman"/>
                <w:bCs/>
                <w:color w:val="auto"/>
                <w:sz w:val="24"/>
                <w:szCs w:val="24"/>
                <w:highlight w:val="none"/>
                <w:u w:val="none" w:color="auto"/>
                <w:lang w:val="en-US" w:eastAsia="zh-CN"/>
              </w:rPr>
              <w:t>20名</w:t>
            </w:r>
            <w:r>
              <w:rPr>
                <w:rFonts w:hint="eastAsia" w:ascii="Times New Roman" w:hAnsi="Times New Roman" w:eastAsia="宋体" w:cs="Times New Roman"/>
                <w:bCs/>
                <w:color w:val="auto"/>
                <w:sz w:val="24"/>
                <w:szCs w:val="24"/>
                <w:highlight w:val="none"/>
                <w:u w:val="none" w:color="auto"/>
                <w:lang w:val="zh-CN"/>
              </w:rPr>
              <w:t>职工中调配</w:t>
            </w:r>
            <w:r>
              <w:rPr>
                <w:rFonts w:hint="eastAsia" w:ascii="Times New Roman" w:hAnsi="Times New Roman" w:eastAsia="宋体" w:cs="Times New Roman"/>
                <w:bCs/>
                <w:color w:val="auto"/>
                <w:sz w:val="24"/>
                <w:szCs w:val="24"/>
                <w:highlight w:val="none"/>
                <w:u w:val="none" w:color="auto"/>
                <w:lang w:val="en-US" w:eastAsia="zh-CN"/>
              </w:rPr>
              <w:t>，全年有效工作日为300天，实行三班制，每班8小时工作制度。</w:t>
            </w:r>
          </w:p>
          <w:p w14:paraId="01BC0C94">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8.平面布置</w:t>
            </w:r>
          </w:p>
          <w:p w14:paraId="48120B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Cs/>
                <w:color w:val="auto"/>
                <w:sz w:val="24"/>
                <w:szCs w:val="24"/>
                <w:highlight w:val="none"/>
                <w:u w:val="none" w:color="auto"/>
                <w:lang w:val="zh-CN"/>
              </w:rPr>
            </w:pPr>
            <w:r>
              <w:rPr>
                <w:rFonts w:hint="eastAsia" w:ascii="Times New Roman" w:hAnsi="Times New Roman" w:eastAsia="宋体" w:cs="Times New Roman"/>
                <w:bCs/>
                <w:color w:val="auto"/>
                <w:sz w:val="24"/>
                <w:szCs w:val="24"/>
                <w:highlight w:val="none"/>
                <w:u w:val="none" w:color="auto"/>
                <w:lang w:val="zh-CN"/>
              </w:rPr>
              <w:t>本项目利用现有厂房，从南到北依次为办公区、生产车间、配电室、仓库，仓库由西至东依次为</w:t>
            </w:r>
            <w:r>
              <w:rPr>
                <w:rFonts w:hint="eastAsia" w:ascii="Times New Roman" w:hAnsi="Times New Roman" w:eastAsia="宋体" w:cs="Times New Roman"/>
                <w:bCs/>
                <w:color w:val="auto"/>
                <w:sz w:val="24"/>
                <w:szCs w:val="24"/>
                <w:highlight w:val="none"/>
                <w:u w:val="none" w:color="auto"/>
                <w:lang w:val="en-US" w:eastAsia="zh-CN"/>
              </w:rPr>
              <w:t>成品区</w:t>
            </w:r>
            <w:r>
              <w:rPr>
                <w:rFonts w:hint="eastAsia" w:cs="Times New Roman"/>
                <w:bCs/>
                <w:color w:val="auto"/>
                <w:sz w:val="24"/>
                <w:szCs w:val="24"/>
                <w:highlight w:val="none"/>
                <w:u w:val="none" w:color="auto"/>
                <w:lang w:val="en-US" w:eastAsia="zh-CN"/>
              </w:rPr>
              <w:t>、</w:t>
            </w:r>
            <w:r>
              <w:rPr>
                <w:rFonts w:hint="eastAsia" w:ascii="Times New Roman" w:hAnsi="Times New Roman" w:eastAsia="宋体" w:cs="Times New Roman"/>
                <w:bCs/>
                <w:color w:val="auto"/>
                <w:sz w:val="24"/>
                <w:szCs w:val="24"/>
                <w:highlight w:val="none"/>
                <w:u w:val="none" w:color="auto"/>
                <w:lang w:val="en-US" w:eastAsia="zh-CN"/>
              </w:rPr>
              <w:t>原料存放区、一般固废区、</w:t>
            </w:r>
            <w:r>
              <w:rPr>
                <w:rFonts w:hint="eastAsia" w:cs="Times New Roman"/>
                <w:bCs/>
                <w:color w:val="auto"/>
                <w:sz w:val="24"/>
                <w:szCs w:val="24"/>
                <w:highlight w:val="none"/>
                <w:u w:val="none" w:color="auto"/>
                <w:lang w:val="en-US" w:eastAsia="zh-CN"/>
              </w:rPr>
              <w:t>剪切</w:t>
            </w:r>
            <w:r>
              <w:rPr>
                <w:rFonts w:hint="default" w:cs="Times New Roman"/>
                <w:bCs/>
                <w:color w:val="auto"/>
                <w:sz w:val="24"/>
                <w:szCs w:val="24"/>
                <w:highlight w:val="none"/>
                <w:u w:val="none" w:color="auto"/>
                <w:lang w:eastAsia="zh-CN"/>
              </w:rPr>
              <w:t>线</w:t>
            </w:r>
            <w:r>
              <w:rPr>
                <w:rFonts w:hint="eastAsia" w:ascii="Times New Roman" w:hAnsi="Times New Roman" w:eastAsia="宋体" w:cs="Times New Roman"/>
                <w:bCs/>
                <w:color w:val="auto"/>
                <w:sz w:val="24"/>
                <w:szCs w:val="24"/>
                <w:highlight w:val="none"/>
                <w:u w:val="none" w:color="auto"/>
                <w:lang w:val="en-US" w:eastAsia="zh-CN"/>
              </w:rPr>
              <w:t>，</w:t>
            </w:r>
            <w:r>
              <w:rPr>
                <w:rFonts w:hint="eastAsia" w:cs="Times New Roman"/>
                <w:bCs/>
                <w:color w:val="auto"/>
                <w:sz w:val="24"/>
                <w:szCs w:val="24"/>
                <w:highlight w:val="none"/>
                <w:u w:val="none" w:color="auto"/>
                <w:lang w:val="en-US" w:eastAsia="zh-CN"/>
              </w:rPr>
              <w:t>各</w:t>
            </w:r>
            <w:r>
              <w:rPr>
                <w:rFonts w:hint="eastAsia" w:ascii="Times New Roman" w:hAnsi="Times New Roman" w:eastAsia="宋体" w:cs="Times New Roman"/>
                <w:bCs/>
                <w:color w:val="auto"/>
                <w:sz w:val="24"/>
                <w:szCs w:val="24"/>
                <w:highlight w:val="none"/>
                <w:u w:val="none" w:color="auto"/>
                <w:lang w:val="en-US" w:eastAsia="zh-CN"/>
              </w:rPr>
              <w:t>分区相互独立，生产工艺流畅，各建筑物紧凑合理，协调统一，平面布置比较合理，详见附图</w:t>
            </w:r>
            <w:r>
              <w:rPr>
                <w:rFonts w:hint="eastAsia" w:cs="Times New Roman"/>
                <w:bCs/>
                <w:color w:val="auto"/>
                <w:sz w:val="24"/>
                <w:szCs w:val="24"/>
                <w:highlight w:val="none"/>
                <w:u w:val="none" w:color="auto"/>
                <w:lang w:val="en-US" w:eastAsia="zh-CN"/>
              </w:rPr>
              <w:t>4</w:t>
            </w:r>
            <w:r>
              <w:rPr>
                <w:rFonts w:hint="eastAsia" w:ascii="Times New Roman" w:hAnsi="Times New Roman" w:eastAsia="宋体" w:cs="Times New Roman"/>
                <w:bCs/>
                <w:color w:val="auto"/>
                <w:sz w:val="24"/>
                <w:szCs w:val="24"/>
                <w:highlight w:val="none"/>
                <w:u w:val="none" w:color="auto"/>
                <w:lang w:val="en-US" w:eastAsia="zh-CN"/>
              </w:rPr>
              <w:t>。</w:t>
            </w:r>
          </w:p>
          <w:p w14:paraId="7F8154EF">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jc w:val="both"/>
              <w:textAlignment w:val="auto"/>
              <w:rPr>
                <w:rFonts w:hint="default" w:ascii="Times New Roman" w:hAnsi="Times New Roman" w:eastAsia="宋体" w:cs="Times New Roman"/>
                <w:b/>
                <w:bCs/>
                <w:color w:val="auto"/>
                <w:szCs w:val="24"/>
                <w:highlight w:val="none"/>
              </w:rPr>
            </w:pPr>
            <w:r>
              <w:rPr>
                <w:rFonts w:hint="default" w:ascii="Times New Roman" w:hAnsi="Times New Roman" w:eastAsia="宋体" w:cs="Times New Roman"/>
                <w:b/>
                <w:bCs/>
                <w:color w:val="auto"/>
                <w:szCs w:val="24"/>
                <w:highlight w:val="none"/>
              </w:rPr>
              <w:t>9</w:t>
            </w:r>
            <w:r>
              <w:rPr>
                <w:rFonts w:hint="default" w:ascii="Times New Roman" w:hAnsi="Times New Roman" w:eastAsia="宋体" w:cs="Times New Roman"/>
                <w:b/>
                <w:bCs/>
                <w:color w:val="auto"/>
                <w:szCs w:val="24"/>
                <w:highlight w:val="none"/>
                <w:lang w:val="en-US" w:eastAsia="zh-CN"/>
              </w:rPr>
              <w:t>.</w:t>
            </w:r>
            <w:r>
              <w:rPr>
                <w:rFonts w:hint="default" w:ascii="Times New Roman" w:hAnsi="Times New Roman" w:eastAsia="宋体" w:cs="Times New Roman"/>
                <w:b/>
                <w:bCs/>
                <w:color w:val="auto"/>
                <w:szCs w:val="24"/>
                <w:highlight w:val="none"/>
              </w:rPr>
              <w:t>公用工程</w:t>
            </w:r>
          </w:p>
          <w:p w14:paraId="473DDF1C">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1" w:firstLineChars="100"/>
              <w:jc w:val="both"/>
              <w:textAlignment w:val="auto"/>
              <w:rPr>
                <w:rFonts w:hint="default" w:ascii="Calibri" w:hAnsi="Calibri" w:eastAsia="宋体" w:cs="Times New Roman"/>
                <w:b/>
                <w:bCs/>
                <w:color w:val="auto"/>
                <w:szCs w:val="24"/>
                <w:highlight w:val="none"/>
              </w:rPr>
            </w:pPr>
            <w:r>
              <w:rPr>
                <w:rFonts w:hint="default" w:ascii="Times New Roman" w:hAnsi="Times New Roman" w:eastAsia="宋体" w:cs="Times New Roman"/>
                <w:b/>
                <w:bCs/>
                <w:color w:val="auto"/>
                <w:szCs w:val="24"/>
                <w:highlight w:val="none"/>
              </w:rPr>
              <w:t>9.1</w:t>
            </w:r>
            <w:r>
              <w:rPr>
                <w:rFonts w:hint="default" w:ascii="Calibri" w:hAnsi="Calibri" w:eastAsia="宋体" w:cs="Times New Roman"/>
                <w:b/>
                <w:bCs/>
                <w:color w:val="auto"/>
                <w:szCs w:val="24"/>
                <w:highlight w:val="none"/>
              </w:rPr>
              <w:t>供水</w:t>
            </w:r>
          </w:p>
          <w:p w14:paraId="651EEF67">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eastAsia" w:ascii="Times New Roman" w:hAnsi="Times New Roman" w:eastAsia="宋体" w:cs="Times New Roman"/>
                <w:color w:val="auto"/>
                <w:szCs w:val="24"/>
                <w:highlight w:val="none"/>
                <w:lang w:eastAsia="zh-CN"/>
              </w:rPr>
            </w:pPr>
            <w:r>
              <w:rPr>
                <w:rFonts w:hint="default" w:ascii="Times New Roman" w:hAnsi="Times New Roman" w:eastAsia="宋体" w:cs="Times New Roman"/>
                <w:color w:val="auto"/>
                <w:szCs w:val="24"/>
                <w:highlight w:val="none"/>
              </w:rPr>
              <w:t>本项目</w:t>
            </w:r>
            <w:r>
              <w:rPr>
                <w:rFonts w:hint="eastAsia" w:ascii="Times New Roman" w:hAnsi="Times New Roman" w:eastAsia="宋体" w:cs="Times New Roman"/>
                <w:color w:val="auto"/>
                <w:szCs w:val="24"/>
                <w:highlight w:val="none"/>
              </w:rPr>
              <w:t>利用</w:t>
            </w:r>
            <w:r>
              <w:rPr>
                <w:rFonts w:hint="eastAsia" w:ascii="Times New Roman" w:hAnsi="Times New Roman" w:eastAsia="宋体" w:cs="Times New Roman"/>
                <w:color w:val="auto"/>
                <w:szCs w:val="24"/>
                <w:highlight w:val="none"/>
                <w:lang w:eastAsia="zh-CN"/>
              </w:rPr>
              <w:t>公司自备井供水</w:t>
            </w:r>
            <w:r>
              <w:rPr>
                <w:rFonts w:hint="eastAsia" w:cs="Times New Roman"/>
                <w:color w:val="auto"/>
                <w:szCs w:val="24"/>
                <w:highlight w:val="none"/>
                <w:lang w:eastAsia="zh-CN"/>
              </w:rPr>
              <w:t>，</w:t>
            </w:r>
            <w:r>
              <w:rPr>
                <w:rFonts w:hint="eastAsia" w:cs="Times New Roman"/>
                <w:color w:val="auto"/>
                <w:lang w:val="en-US" w:eastAsia="zh-CN"/>
              </w:rPr>
              <w:t>待集中供水实施后停用自备井，改用集中供水。</w:t>
            </w:r>
          </w:p>
          <w:p w14:paraId="0CC790EC">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eastAsia" w:ascii="Times New Roman" w:hAnsi="Times New Roman" w:eastAsia="宋体" w:cs="Times New Roman"/>
                <w:b/>
                <w:bCs/>
                <w:color w:val="auto"/>
                <w:szCs w:val="24"/>
                <w:highlight w:val="none"/>
                <w:lang w:eastAsia="zh-CN"/>
              </w:rPr>
            </w:pPr>
            <w:r>
              <w:rPr>
                <w:rFonts w:hint="eastAsia" w:ascii="Times New Roman" w:hAnsi="Times New Roman" w:eastAsia="宋体" w:cs="Times New Roman"/>
                <w:b/>
                <w:bCs/>
                <w:color w:val="auto"/>
                <w:szCs w:val="24"/>
                <w:highlight w:val="none"/>
              </w:rPr>
              <w:t>9.1.1</w:t>
            </w:r>
            <w:r>
              <w:rPr>
                <w:rFonts w:hint="eastAsia" w:ascii="Times New Roman" w:hAnsi="Times New Roman" w:eastAsia="宋体" w:cs="Times New Roman"/>
                <w:b/>
                <w:bCs/>
                <w:color w:val="auto"/>
                <w:szCs w:val="24"/>
                <w:highlight w:val="none"/>
                <w:lang w:eastAsia="zh-CN"/>
              </w:rPr>
              <w:t>冷却用水</w:t>
            </w:r>
          </w:p>
          <w:p w14:paraId="78F9FCEB">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default" w:ascii="Times New Roman" w:hAnsi="Times New Roman" w:eastAsia="宋体" w:cs="Times New Roman"/>
                <w:color w:val="auto"/>
                <w:szCs w:val="24"/>
                <w:highlight w:val="none"/>
                <w:lang w:val="en-US" w:eastAsia="zh-CN"/>
              </w:rPr>
            </w:pPr>
            <w:r>
              <w:rPr>
                <w:rFonts w:hint="eastAsia" w:ascii="Times New Roman" w:hAnsi="Times New Roman" w:eastAsia="宋体" w:cs="Times New Roman"/>
                <w:color w:val="auto"/>
                <w:szCs w:val="24"/>
                <w:highlight w:val="none"/>
                <w:lang w:eastAsia="zh-CN"/>
              </w:rPr>
              <w:t>厂区现有冷却池</w:t>
            </w:r>
            <w:r>
              <w:rPr>
                <w:rFonts w:hint="eastAsia" w:ascii="Times New Roman" w:hAnsi="Times New Roman" w:eastAsia="宋体" w:cs="Times New Roman"/>
                <w:color w:val="auto"/>
                <w:szCs w:val="24"/>
                <w:highlight w:val="none"/>
                <w:vertAlign w:val="baseline"/>
                <w:lang w:val="en-US" w:eastAsia="zh-CN"/>
              </w:rPr>
              <w:t>，</w:t>
            </w:r>
            <w:r>
              <w:rPr>
                <w:rFonts w:hint="eastAsia" w:ascii="Times New Roman" w:hAnsi="Times New Roman" w:eastAsia="宋体" w:cs="Times New Roman"/>
                <w:color w:val="auto"/>
                <w:szCs w:val="24"/>
                <w:highlight w:val="none"/>
                <w:lang w:eastAsia="zh-CN"/>
              </w:rPr>
              <w:t>扩建前冷却用水</w:t>
            </w:r>
            <w:r>
              <w:rPr>
                <w:rFonts w:hint="eastAsia" w:cs="Times New Roman"/>
                <w:color w:val="auto"/>
                <w:szCs w:val="24"/>
                <w:highlight w:val="none"/>
                <w:lang w:eastAsia="zh-CN"/>
              </w:rPr>
              <w:t>耗损量</w:t>
            </w:r>
            <w:r>
              <w:rPr>
                <w:rFonts w:hint="eastAsia" w:ascii="Times New Roman" w:hAnsi="Times New Roman" w:eastAsia="宋体" w:cs="Times New Roman"/>
                <w:color w:val="auto"/>
                <w:szCs w:val="24"/>
                <w:highlight w:val="none"/>
                <w:lang w:val="en-US" w:eastAsia="zh-CN"/>
              </w:rPr>
              <w:t>126m</w:t>
            </w:r>
            <w:r>
              <w:rPr>
                <w:rFonts w:hint="eastAsia" w:ascii="Times New Roman" w:hAnsi="Times New Roman" w:eastAsia="宋体" w:cs="Times New Roman"/>
                <w:color w:val="auto"/>
                <w:szCs w:val="24"/>
                <w:highlight w:val="none"/>
                <w:vertAlign w:val="superscript"/>
                <w:lang w:val="en-US" w:eastAsia="zh-CN"/>
              </w:rPr>
              <w:t>3</w:t>
            </w:r>
            <w:r>
              <w:rPr>
                <w:rFonts w:hint="eastAsia" w:ascii="Times New Roman" w:hAnsi="Times New Roman" w:eastAsia="宋体" w:cs="Times New Roman"/>
                <w:color w:val="auto"/>
                <w:szCs w:val="24"/>
                <w:highlight w:val="none"/>
                <w:vertAlign w:val="baseline"/>
                <w:lang w:val="en-US" w:eastAsia="zh-CN"/>
              </w:rPr>
              <w:t>/a，扩建后新增冷却水</w:t>
            </w:r>
            <w:r>
              <w:rPr>
                <w:rFonts w:hint="eastAsia" w:cs="Times New Roman"/>
                <w:color w:val="auto"/>
                <w:szCs w:val="24"/>
                <w:highlight w:val="none"/>
                <w:vertAlign w:val="baseline"/>
                <w:lang w:val="en-US" w:eastAsia="zh-CN"/>
              </w:rPr>
              <w:t>耗损量</w:t>
            </w:r>
            <w:r>
              <w:rPr>
                <w:rFonts w:hint="eastAsia" w:ascii="Times New Roman" w:hAnsi="Times New Roman" w:eastAsia="宋体" w:cs="Times New Roman"/>
                <w:color w:val="auto"/>
                <w:szCs w:val="24"/>
                <w:highlight w:val="none"/>
                <w:vertAlign w:val="baseline"/>
                <w:lang w:val="en-US" w:eastAsia="zh-CN"/>
              </w:rPr>
              <w:t>12m</w:t>
            </w:r>
            <w:r>
              <w:rPr>
                <w:rFonts w:hint="eastAsia" w:ascii="Times New Roman" w:hAnsi="Times New Roman" w:eastAsia="宋体" w:cs="Times New Roman"/>
                <w:color w:val="auto"/>
                <w:szCs w:val="24"/>
                <w:highlight w:val="none"/>
                <w:vertAlign w:val="superscript"/>
                <w:lang w:val="en-US" w:eastAsia="zh-CN"/>
              </w:rPr>
              <w:t>3</w:t>
            </w:r>
            <w:r>
              <w:rPr>
                <w:rFonts w:hint="eastAsia" w:ascii="Times New Roman" w:hAnsi="Times New Roman" w:eastAsia="宋体" w:cs="Times New Roman"/>
                <w:color w:val="auto"/>
                <w:szCs w:val="24"/>
                <w:highlight w:val="none"/>
                <w:vertAlign w:val="baseline"/>
                <w:lang w:val="en-US" w:eastAsia="zh-CN"/>
              </w:rPr>
              <w:t>/a</w:t>
            </w:r>
            <w:r>
              <w:rPr>
                <w:rFonts w:hint="eastAsia" w:ascii="Times New Roman" w:hAnsi="Times New Roman" w:eastAsia="宋体" w:cs="Times New Roman"/>
                <w:color w:val="auto"/>
                <w:szCs w:val="24"/>
                <w:highlight w:val="none"/>
              </w:rPr>
              <w:t>。</w:t>
            </w:r>
          </w:p>
          <w:p w14:paraId="35195580">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eastAsia" w:ascii="Times New Roman" w:hAnsi="Times New Roman" w:eastAsia="宋体" w:cs="Times New Roman"/>
                <w:b/>
                <w:bCs/>
                <w:color w:val="auto"/>
                <w:szCs w:val="24"/>
                <w:highlight w:val="none"/>
                <w:lang w:val="en-US" w:eastAsia="zh-CN"/>
              </w:rPr>
            </w:pPr>
            <w:r>
              <w:rPr>
                <w:rFonts w:hint="eastAsia" w:ascii="Times New Roman" w:hAnsi="Times New Roman" w:eastAsia="宋体" w:cs="Times New Roman"/>
                <w:b/>
                <w:bCs/>
                <w:color w:val="auto"/>
                <w:szCs w:val="24"/>
                <w:highlight w:val="none"/>
              </w:rPr>
              <w:t>9.1.</w:t>
            </w:r>
            <w:r>
              <w:rPr>
                <w:rFonts w:hint="eastAsia" w:ascii="Times New Roman" w:hAnsi="Times New Roman" w:eastAsia="宋体" w:cs="Times New Roman"/>
                <w:b/>
                <w:bCs/>
                <w:color w:val="auto"/>
                <w:szCs w:val="24"/>
                <w:highlight w:val="none"/>
                <w:lang w:val="en-US" w:eastAsia="zh-CN"/>
              </w:rPr>
              <w:t>3</w:t>
            </w:r>
            <w:r>
              <w:rPr>
                <w:rFonts w:hint="eastAsia" w:cs="Times New Roman"/>
                <w:b/>
                <w:bCs/>
                <w:color w:val="auto"/>
                <w:szCs w:val="24"/>
                <w:highlight w:val="none"/>
                <w:lang w:val="en-US" w:eastAsia="zh-CN"/>
              </w:rPr>
              <w:t>淬火用水</w:t>
            </w:r>
          </w:p>
          <w:p w14:paraId="4240ED3D">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jc w:val="both"/>
              <w:textAlignment w:val="auto"/>
              <w:rPr>
                <w:rFonts w:hint="default" w:ascii="Times New Roman" w:hAnsi="Times New Roman" w:eastAsia="宋体" w:cs="Times New Roman"/>
                <w:b w:val="0"/>
                <w:bCs w:val="0"/>
                <w:color w:val="auto"/>
                <w:szCs w:val="24"/>
                <w:highlight w:val="none"/>
                <w:lang w:val="en-US" w:eastAsia="zh-CN"/>
              </w:rPr>
            </w:pPr>
            <w:r>
              <w:rPr>
                <w:rFonts w:hint="eastAsia" w:ascii="Times New Roman" w:hAnsi="Times New Roman" w:eastAsia="宋体" w:cs="Times New Roman"/>
                <w:b w:val="0"/>
                <w:bCs w:val="0"/>
                <w:color w:val="auto"/>
                <w:szCs w:val="24"/>
                <w:highlight w:val="none"/>
                <w:lang w:val="en-US" w:eastAsia="zh-CN"/>
              </w:rPr>
              <w:t>本项目利用自来水</w:t>
            </w:r>
            <w:r>
              <w:rPr>
                <w:rFonts w:hint="eastAsia" w:cs="Times New Roman"/>
                <w:b w:val="0"/>
                <w:bCs w:val="0"/>
                <w:color w:val="auto"/>
                <w:szCs w:val="24"/>
                <w:highlight w:val="none"/>
                <w:lang w:val="en-US" w:eastAsia="zh-CN"/>
              </w:rPr>
              <w:t>进行水淬</w:t>
            </w:r>
            <w:r>
              <w:rPr>
                <w:rFonts w:hint="eastAsia" w:ascii="Times New Roman" w:hAnsi="Times New Roman" w:eastAsia="宋体" w:cs="Times New Roman"/>
                <w:b w:val="0"/>
                <w:bCs w:val="0"/>
                <w:color w:val="auto"/>
                <w:szCs w:val="24"/>
                <w:highlight w:val="none"/>
                <w:lang w:val="en-US" w:eastAsia="zh-CN"/>
              </w:rPr>
              <w:t>，扩建前用量为5t/a，扩建后新增用水0.5t/a。</w:t>
            </w:r>
          </w:p>
          <w:p w14:paraId="756BE8BD">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1" w:firstLineChars="100"/>
              <w:jc w:val="both"/>
              <w:textAlignment w:val="auto"/>
              <w:rPr>
                <w:rFonts w:hint="default" w:ascii="Times New Roman" w:hAnsi="Times New Roman" w:eastAsia="宋体" w:cs="Times New Roman"/>
                <w:b/>
                <w:bCs/>
                <w:color w:val="auto"/>
                <w:szCs w:val="24"/>
                <w:highlight w:val="none"/>
              </w:rPr>
            </w:pPr>
            <w:r>
              <w:rPr>
                <w:rFonts w:hint="default" w:ascii="Times New Roman" w:hAnsi="Times New Roman" w:eastAsia="宋体" w:cs="Times New Roman"/>
                <w:b/>
                <w:bCs/>
                <w:color w:val="auto"/>
                <w:szCs w:val="24"/>
                <w:highlight w:val="none"/>
              </w:rPr>
              <w:t>9.2排水</w:t>
            </w:r>
          </w:p>
          <w:p w14:paraId="47D3DE87">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eastAsia" w:ascii="Times New Roman" w:hAnsi="Times New Roman" w:eastAsia="宋体" w:cs="Times New Roman"/>
                <w:color w:val="auto"/>
                <w:szCs w:val="24"/>
                <w:highlight w:val="none"/>
                <w:lang w:eastAsia="zh-CN"/>
              </w:rPr>
            </w:pPr>
            <w:r>
              <w:rPr>
                <w:rFonts w:hint="eastAsia" w:cs="Times New Roman"/>
                <w:color w:val="auto"/>
                <w:szCs w:val="24"/>
                <w:highlight w:val="none"/>
                <w:lang w:eastAsia="zh-CN"/>
              </w:rPr>
              <w:t>本项目冷却水循环使用，定期补充水量，不外排</w:t>
            </w:r>
            <w:r>
              <w:rPr>
                <w:rFonts w:hint="eastAsia" w:ascii="Times New Roman" w:hAnsi="Times New Roman" w:eastAsia="宋体" w:cs="Times New Roman"/>
                <w:color w:val="auto"/>
                <w:szCs w:val="24"/>
                <w:highlight w:val="none"/>
                <w:lang w:eastAsia="zh-CN"/>
              </w:rPr>
              <w:t>。</w:t>
            </w:r>
          </w:p>
          <w:p w14:paraId="2042600B">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1" w:firstLineChars="100"/>
              <w:jc w:val="both"/>
              <w:textAlignment w:val="auto"/>
              <w:rPr>
                <w:rFonts w:hint="default" w:ascii="Calibri" w:hAnsi="Calibri" w:eastAsia="宋体" w:cs="Times New Roman"/>
                <w:b/>
                <w:bCs/>
                <w:color w:val="auto"/>
                <w:szCs w:val="24"/>
                <w:highlight w:val="none"/>
              </w:rPr>
            </w:pPr>
            <w:r>
              <w:rPr>
                <w:rFonts w:hint="default" w:ascii="Times New Roman" w:hAnsi="Times New Roman" w:eastAsia="宋体" w:cs="Times New Roman"/>
                <w:b/>
                <w:bCs/>
                <w:color w:val="auto"/>
                <w:szCs w:val="24"/>
                <w:highlight w:val="none"/>
              </w:rPr>
              <w:t>9.3</w:t>
            </w:r>
            <w:r>
              <w:rPr>
                <w:rFonts w:hint="default" w:ascii="Calibri" w:hAnsi="Calibri" w:eastAsia="宋体" w:cs="Times New Roman"/>
                <w:b/>
                <w:bCs/>
                <w:color w:val="auto"/>
                <w:szCs w:val="24"/>
                <w:highlight w:val="none"/>
              </w:rPr>
              <w:t>供电</w:t>
            </w:r>
          </w:p>
          <w:p w14:paraId="70D3654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本项目用电由市政供电，新增用电10万度。</w:t>
            </w:r>
          </w:p>
        </w:tc>
      </w:tr>
      <w:tr w14:paraId="0B759F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36" w:type="dxa"/>
            <w:noWrap w:val="0"/>
            <w:vAlign w:val="center"/>
          </w:tcPr>
          <w:p w14:paraId="19AF8930">
            <w:pPr>
              <w:pStyle w:val="23"/>
              <w:keepNext w:val="0"/>
              <w:keepLines w:val="0"/>
              <w:suppressLineNumbers w:val="0"/>
              <w:adjustRightInd w:val="0"/>
              <w:snapToGrid w:val="0"/>
              <w:spacing w:before="0" w:beforeAutospacing="0" w:after="0" w:afterAutospacing="0"/>
              <w:ind w:left="0" w:right="0"/>
              <w:jc w:val="center"/>
              <w:rPr>
                <w:rFonts w:ascii="Times New Roman" w:hAnsi="Times New Roman" w:cs="Times New Roman"/>
                <w:color w:val="auto"/>
                <w:sz w:val="21"/>
                <w:szCs w:val="21"/>
                <w:highlight w:val="none"/>
                <w:u w:val="none" w:color="auto"/>
              </w:rPr>
            </w:pPr>
            <w:r>
              <w:rPr>
                <w:rFonts w:hint="eastAsia" w:ascii="Times New Roman" w:hAnsi="Times New Roman" w:cs="Times New Roman"/>
                <w:color w:val="auto"/>
                <w:sz w:val="21"/>
                <w:szCs w:val="21"/>
                <w:highlight w:val="none"/>
                <w:u w:val="none" w:color="auto"/>
              </w:rPr>
              <w:t>工艺流程和产排污环节</w:t>
            </w:r>
          </w:p>
        </w:tc>
        <w:tc>
          <w:tcPr>
            <w:tcW w:w="8634" w:type="dxa"/>
            <w:noWrap w:val="0"/>
            <w:vAlign w:val="center"/>
          </w:tcPr>
          <w:p w14:paraId="4F0CD003">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1</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施工期</w:t>
            </w:r>
          </w:p>
          <w:p w14:paraId="3DC35F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本项目主要建设</w:t>
            </w:r>
            <w:r>
              <w:rPr>
                <w:rFonts w:hint="eastAsia" w:cs="Times New Roman"/>
                <w:color w:val="auto"/>
                <w:sz w:val="24"/>
                <w:szCs w:val="24"/>
                <w:highlight w:val="none"/>
                <w:u w:val="none" w:color="auto"/>
                <w:lang w:val="en-US" w:eastAsia="zh-CN"/>
              </w:rPr>
              <w:t>3</w:t>
            </w:r>
            <w:r>
              <w:rPr>
                <w:rFonts w:hint="eastAsia" w:ascii="Times New Roman" w:hAnsi="Times New Roman" w:eastAsia="宋体" w:cs="Times New Roman"/>
                <w:color w:val="auto"/>
                <w:sz w:val="24"/>
                <w:szCs w:val="24"/>
                <w:highlight w:val="none"/>
                <w:u w:val="none" w:color="auto"/>
                <w:lang w:val="en-US" w:eastAsia="zh-CN"/>
              </w:rPr>
              <w:t>条热处理</w:t>
            </w:r>
            <w:r>
              <w:rPr>
                <w:rFonts w:hint="eastAsia" w:cs="Times New Roman"/>
                <w:color w:val="auto"/>
                <w:sz w:val="24"/>
                <w:szCs w:val="24"/>
                <w:highlight w:val="none"/>
                <w:u w:val="none" w:color="auto"/>
                <w:lang w:val="en-US" w:eastAsia="zh-CN"/>
              </w:rPr>
              <w:t>线</w:t>
            </w:r>
            <w:r>
              <w:rPr>
                <w:rFonts w:hint="default" w:ascii="Times New Roman" w:hAnsi="Times New Roman" w:eastAsia="宋体" w:cs="Times New Roman"/>
                <w:color w:val="auto"/>
                <w:sz w:val="24"/>
                <w:szCs w:val="24"/>
                <w:highlight w:val="none"/>
                <w:u w:val="none" w:color="auto"/>
                <w:lang w:val="en-US" w:eastAsia="zh-CN"/>
              </w:rPr>
              <w:t>，利用</w:t>
            </w:r>
            <w:r>
              <w:rPr>
                <w:rFonts w:hint="eastAsia" w:ascii="Times New Roman" w:hAnsi="Times New Roman" w:eastAsia="宋体" w:cs="Times New Roman"/>
                <w:color w:val="auto"/>
                <w:sz w:val="24"/>
                <w:szCs w:val="24"/>
                <w:highlight w:val="none"/>
                <w:u w:val="none" w:color="auto"/>
                <w:lang w:val="en-US" w:eastAsia="zh-CN"/>
              </w:rPr>
              <w:t>现有生产车间</w:t>
            </w:r>
            <w:r>
              <w:rPr>
                <w:rFonts w:hint="eastAsia" w:cs="Times New Roman"/>
                <w:color w:val="auto"/>
                <w:sz w:val="24"/>
                <w:szCs w:val="24"/>
                <w:highlight w:val="none"/>
                <w:u w:val="none" w:color="auto"/>
                <w:lang w:val="en-US" w:eastAsia="zh-CN"/>
              </w:rPr>
              <w:t>、仓库</w:t>
            </w:r>
            <w:r>
              <w:rPr>
                <w:rFonts w:hint="default" w:ascii="Times New Roman" w:hAnsi="Times New Roman" w:eastAsia="宋体" w:cs="Times New Roman"/>
                <w:color w:val="auto"/>
                <w:sz w:val="24"/>
                <w:szCs w:val="24"/>
                <w:highlight w:val="none"/>
                <w:u w:val="none" w:color="auto"/>
                <w:lang w:val="en-US" w:eastAsia="zh-CN"/>
              </w:rPr>
              <w:t>，施工期主要为生产设备的安装、调试，不涉及土建工程，施工期较短，因此，本次施工期环境影响可忽略不计，故本次环评对施工期环境影响不作分析。</w:t>
            </w:r>
          </w:p>
          <w:p w14:paraId="1D99905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2</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运营期</w:t>
            </w:r>
          </w:p>
          <w:p w14:paraId="1C0CF8F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241" w:firstLineChars="100"/>
              <w:jc w:val="both"/>
              <w:textAlignment w:val="auto"/>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2.1工艺流程及简述</w:t>
            </w:r>
          </w:p>
          <w:p w14:paraId="164DF3FB">
            <w:pPr>
              <w:pStyle w:val="45"/>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bCs/>
                <w:color w:val="auto"/>
                <w:sz w:val="24"/>
                <w:szCs w:val="24"/>
                <w:highlight w:val="none"/>
                <w:u w:val="none" w:color="auto"/>
              </w:rPr>
            </w:pPr>
            <w:r>
              <w:rPr>
                <w:color w:val="auto"/>
                <w:sz w:val="28"/>
              </w:rPr>
              <w:drawing>
                <wp:inline distT="0" distB="0" distL="114300" distR="114300">
                  <wp:extent cx="5386070" cy="2649220"/>
                  <wp:effectExtent l="0" t="0" r="5080" b="17780"/>
                  <wp:docPr id="19" name="ECB019B1-382A-4266-B25C-5B523AA43C14-1" descr="C:/Users/Administrator/AppData/Local/Temp/wps.izNepB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ECB019B1-382A-4266-B25C-5B523AA43C14-1" descr="C:/Users/Administrator/AppData/Local/Temp/wps.izNepBwps"/>
                          <pic:cNvPicPr>
                            <a:picLocks noChangeAspect="1"/>
                          </pic:cNvPicPr>
                        </pic:nvPicPr>
                        <pic:blipFill>
                          <a:blip r:embed="rId7"/>
                          <a:stretch>
                            <a:fillRect/>
                          </a:stretch>
                        </pic:blipFill>
                        <pic:spPr>
                          <a:xfrm>
                            <a:off x="0" y="0"/>
                            <a:ext cx="5386070" cy="2649220"/>
                          </a:xfrm>
                          <a:prstGeom prst="rect">
                            <a:avLst/>
                          </a:prstGeom>
                          <a:solidFill>
                            <a:srgbClr val="FFFFFF"/>
                          </a:solidFill>
                          <a:ln>
                            <a:noFill/>
                          </a:ln>
                        </pic:spPr>
                      </pic:pic>
                    </a:graphicData>
                  </a:graphic>
                </wp:inline>
              </w:drawing>
            </w:r>
          </w:p>
          <w:p w14:paraId="567495FD">
            <w:pPr>
              <w:pStyle w:val="45"/>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bCs/>
                <w:color w:val="auto"/>
                <w:sz w:val="24"/>
                <w:szCs w:val="24"/>
                <w:highlight w:val="none"/>
                <w:u w:val="none" w:color="auto"/>
                <w:lang w:val="zh-CN"/>
              </w:rPr>
            </w:pPr>
            <w:r>
              <w:rPr>
                <w:rFonts w:hint="default" w:ascii="Times New Roman" w:hAnsi="Times New Roman" w:eastAsia="宋体" w:cs="Times New Roman"/>
                <w:b/>
                <w:bCs/>
                <w:color w:val="auto"/>
                <w:sz w:val="24"/>
                <w:szCs w:val="24"/>
                <w:highlight w:val="none"/>
                <w:u w:val="none" w:color="auto"/>
              </w:rPr>
              <w:t>图</w:t>
            </w:r>
            <w:r>
              <w:rPr>
                <w:rFonts w:hint="default" w:ascii="Times New Roman" w:hAnsi="Times New Roman" w:eastAsia="宋体" w:cs="Times New Roman"/>
                <w:b/>
                <w:bCs/>
                <w:color w:val="auto"/>
                <w:sz w:val="24"/>
                <w:szCs w:val="24"/>
                <w:highlight w:val="none"/>
                <w:u w:val="none" w:color="auto"/>
                <w:lang w:val="en-US" w:eastAsia="zh-CN"/>
              </w:rPr>
              <w:t xml:space="preserve">1 </w:t>
            </w:r>
            <w:r>
              <w:rPr>
                <w:rFonts w:hint="default" w:ascii="Times New Roman" w:hAnsi="Times New Roman" w:eastAsia="宋体" w:cs="Times New Roman"/>
                <w:b/>
                <w:bCs/>
                <w:color w:val="auto"/>
                <w:sz w:val="24"/>
                <w:szCs w:val="24"/>
                <w:highlight w:val="none"/>
                <w:u w:val="none" w:color="auto"/>
              </w:rPr>
              <w:t xml:space="preserve">  工艺流程及产污环节示意图</w:t>
            </w:r>
          </w:p>
          <w:p w14:paraId="7429F0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auto"/>
                <w:sz w:val="24"/>
                <w:szCs w:val="24"/>
                <w:highlight w:val="yellow"/>
                <w:u w:val="none" w:color="auto"/>
                <w:lang w:val="zh-CN"/>
              </w:rPr>
            </w:pPr>
            <w:r>
              <w:rPr>
                <w:rFonts w:hint="eastAsia" w:ascii="Times New Roman" w:hAnsi="Times New Roman" w:eastAsia="宋体" w:cs="Times New Roman"/>
                <w:b/>
                <w:bCs/>
                <w:color w:val="auto"/>
                <w:sz w:val="24"/>
                <w:szCs w:val="24"/>
                <w:highlight w:val="none"/>
                <w:u w:val="none" w:color="auto"/>
                <w:lang w:val="zh-CN"/>
              </w:rPr>
              <w:t>工艺流程简述：</w:t>
            </w:r>
            <w:r>
              <w:rPr>
                <w:rFonts w:hint="eastAsia" w:cs="Times New Roman"/>
                <w:b/>
                <w:bCs/>
                <w:color w:val="auto"/>
                <w:sz w:val="24"/>
                <w:szCs w:val="24"/>
                <w:highlight w:val="none"/>
                <w:u w:val="none" w:color="auto"/>
                <w:lang w:val="zh-CN"/>
              </w:rPr>
              <w:t>略</w:t>
            </w:r>
          </w:p>
          <w:p w14:paraId="3AC440C3">
            <w:pPr>
              <w:keepNext w:val="0"/>
              <w:keepLines w:val="0"/>
              <w:suppressLineNumbers w:val="0"/>
              <w:adjustRightInd w:val="0"/>
              <w:snapToGrid w:val="0"/>
              <w:spacing w:before="0" w:beforeAutospacing="0" w:after="0" w:afterAutospacing="0" w:line="360" w:lineRule="auto"/>
              <w:ind w:left="0" w:right="0" w:firstLine="241" w:firstLineChars="100"/>
              <w:jc w:val="left"/>
              <w:rPr>
                <w:rFonts w:hint="eastAsia" w:ascii="Times New Roman" w:hAnsi="Times New Roman" w:eastAsia="宋体" w:cs="Times New Roman"/>
                <w:b/>
                <w:bCs/>
                <w:color w:val="auto"/>
                <w:sz w:val="24"/>
                <w:szCs w:val="24"/>
                <w:highlight w:val="none"/>
                <w:u w:val="none" w:color="auto"/>
                <w:lang w:eastAsia="zh-CN"/>
              </w:rPr>
            </w:pPr>
            <w:r>
              <w:rPr>
                <w:rFonts w:hint="eastAsia" w:ascii="Times New Roman" w:hAnsi="Times New Roman" w:eastAsia="宋体" w:cs="Times New Roman"/>
                <w:b/>
                <w:bCs/>
                <w:color w:val="auto"/>
                <w:sz w:val="24"/>
                <w:szCs w:val="24"/>
                <w:highlight w:val="none"/>
                <w:u w:val="none" w:color="auto"/>
              </w:rPr>
              <w:t>2.2</w:t>
            </w:r>
            <w:r>
              <w:rPr>
                <w:rFonts w:hint="eastAsia" w:ascii="Times New Roman" w:hAnsi="Times New Roman" w:eastAsia="宋体" w:cs="Times New Roman"/>
                <w:b/>
                <w:bCs/>
                <w:color w:val="auto"/>
                <w:sz w:val="24"/>
                <w:szCs w:val="24"/>
                <w:highlight w:val="none"/>
                <w:u w:val="none" w:color="auto"/>
                <w:lang w:eastAsia="zh-CN"/>
              </w:rPr>
              <w:t>物料平衡图</w:t>
            </w:r>
            <w:r>
              <w:rPr>
                <w:rFonts w:hint="eastAsia" w:ascii="Times New Roman" w:hAnsi="Times New Roman" w:eastAsia="宋体" w:cs="Times New Roman"/>
                <w:b/>
                <w:bCs/>
                <w:color w:val="auto"/>
                <w:sz w:val="24"/>
                <w:szCs w:val="24"/>
                <w:highlight w:val="none"/>
                <w:u w:val="none" w:color="auto"/>
                <w:lang w:eastAsia="zh-CN"/>
              </w:rPr>
              <w:drawing>
                <wp:inline distT="0" distB="0" distL="114300" distR="114300">
                  <wp:extent cx="5314315" cy="3110230"/>
                  <wp:effectExtent l="0" t="0" r="635" b="13970"/>
                  <wp:docPr id="20" name="ECB019B1-382A-4266-B25C-5B523AA43C14-2" descr="C:/Users/Administrator/AppData/Local/Temp/wps.bNeTem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CB019B1-382A-4266-B25C-5B523AA43C14-2" descr="C:/Users/Administrator/AppData/Local/Temp/wps.bNeTemwps"/>
                          <pic:cNvPicPr>
                            <a:picLocks noChangeAspect="1"/>
                          </pic:cNvPicPr>
                        </pic:nvPicPr>
                        <pic:blipFill>
                          <a:blip r:embed="rId8"/>
                          <a:srcRect t="5913" r="-340"/>
                          <a:stretch>
                            <a:fillRect/>
                          </a:stretch>
                        </pic:blipFill>
                        <pic:spPr>
                          <a:xfrm>
                            <a:off x="0" y="0"/>
                            <a:ext cx="5314315" cy="3110230"/>
                          </a:xfrm>
                          <a:prstGeom prst="rect">
                            <a:avLst/>
                          </a:prstGeom>
                          <a:solidFill>
                            <a:srgbClr val="FFFFFF"/>
                          </a:solidFill>
                          <a:ln>
                            <a:noFill/>
                          </a:ln>
                        </pic:spPr>
                      </pic:pic>
                    </a:graphicData>
                  </a:graphic>
                </wp:inline>
              </w:drawing>
            </w:r>
          </w:p>
          <w:p w14:paraId="30CBC011">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szCs w:val="24"/>
                <w:highlight w:val="yellow"/>
                <w:u w:val="none" w:color="auto"/>
                <w:lang w:val="en-US" w:eastAsia="zh-CN"/>
              </w:rPr>
            </w:pPr>
            <w:r>
              <w:rPr>
                <w:rFonts w:hint="eastAsia" w:cs="Times New Roman"/>
                <w:b/>
                <w:bCs/>
                <w:color w:val="auto"/>
                <w:sz w:val="24"/>
                <w:szCs w:val="24"/>
                <w:highlight w:val="none"/>
                <w:u w:val="none" w:color="auto"/>
                <w:lang w:val="en-US" w:eastAsia="zh-CN"/>
              </w:rPr>
              <w:t xml:space="preserve">图2  </w:t>
            </w:r>
            <w:r>
              <w:rPr>
                <w:rFonts w:hint="eastAsia" w:ascii="Times New Roman" w:hAnsi="Times New Roman" w:eastAsia="宋体" w:cs="Times New Roman"/>
                <w:b/>
                <w:bCs/>
                <w:color w:val="auto"/>
                <w:sz w:val="24"/>
                <w:szCs w:val="24"/>
                <w:highlight w:val="none"/>
                <w:u w:val="none" w:color="auto"/>
                <w:lang w:val="en-US" w:eastAsia="zh-CN"/>
              </w:rPr>
              <w:t>项目物料平衡图（单位：t/a）</w:t>
            </w:r>
          </w:p>
          <w:p w14:paraId="1558E0D9">
            <w:pPr>
              <w:keepNext w:val="0"/>
              <w:keepLines w:val="0"/>
              <w:suppressLineNumbers w:val="0"/>
              <w:adjustRightInd w:val="0"/>
              <w:snapToGrid w:val="0"/>
              <w:spacing w:before="0" w:beforeAutospacing="0" w:after="0" w:afterAutospacing="0" w:line="360" w:lineRule="auto"/>
              <w:ind w:left="0" w:right="0" w:firstLine="241" w:firstLineChars="100"/>
              <w:jc w:val="left"/>
              <w:rPr>
                <w:rFonts w:hint="default" w:ascii="Times New Roman" w:hAnsi="Times New Roman" w:eastAsia="宋体" w:cs="Times New Roman"/>
                <w:b/>
                <w:bCs/>
                <w:color w:val="auto"/>
                <w:sz w:val="24"/>
                <w:szCs w:val="24"/>
                <w:highlight w:val="none"/>
                <w:u w:val="none" w:color="auto"/>
                <w:lang w:val="en-US" w:eastAsia="zh-CN"/>
              </w:rPr>
            </w:pPr>
            <w:r>
              <w:rPr>
                <w:rFonts w:hint="default" w:ascii="Times New Roman" w:hAnsi="Times New Roman" w:eastAsia="宋体" w:cs="Times New Roman"/>
                <w:b/>
                <w:bCs/>
                <w:color w:val="auto"/>
                <w:sz w:val="24"/>
                <w:szCs w:val="24"/>
                <w:highlight w:val="none"/>
                <w:u w:val="none" w:color="auto"/>
                <w:lang w:val="en-US" w:eastAsia="zh-CN"/>
              </w:rPr>
              <w:t>2.3水平衡图</w:t>
            </w:r>
          </w:p>
          <w:p w14:paraId="46DEF616">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0" w:firstLineChars="100"/>
              <w:jc w:val="left"/>
              <w:textAlignment w:val="auto"/>
              <w:rPr>
                <w:rFonts w:hint="eastAsia" w:ascii="Times New Roman" w:hAnsi="Times New Roman" w:eastAsia="宋体" w:cs="Times New Roman"/>
                <w:color w:val="auto"/>
                <w:szCs w:val="24"/>
                <w:highlight w:val="none"/>
                <w:lang w:val="en-US" w:eastAsia="zh-CN"/>
              </w:rPr>
            </w:pPr>
            <w:r>
              <w:rPr>
                <w:rFonts w:hint="eastAsia" w:ascii="Times New Roman" w:hAnsi="Times New Roman" w:eastAsia="宋体" w:cs="Times New Roman"/>
                <w:color w:val="auto"/>
                <w:szCs w:val="24"/>
                <w:highlight w:val="none"/>
                <w:lang w:eastAsia="zh-CN"/>
              </w:rPr>
              <w:t>水平衡图见下图</w:t>
            </w:r>
            <w:r>
              <w:rPr>
                <w:rFonts w:hint="eastAsia" w:ascii="Times New Roman" w:hAnsi="Times New Roman" w:eastAsia="宋体" w:cs="Times New Roman"/>
                <w:color w:val="auto"/>
                <w:szCs w:val="24"/>
                <w:highlight w:val="none"/>
                <w:lang w:val="en-US" w:eastAsia="zh-CN"/>
              </w:rPr>
              <w:t>：</w:t>
            </w:r>
          </w:p>
          <w:p w14:paraId="5B6F0CC6">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0" w:firstLineChars="100"/>
              <w:jc w:val="center"/>
              <w:textAlignment w:val="auto"/>
              <w:rPr>
                <w:rFonts w:hint="eastAsia" w:ascii="Times New Roman" w:hAnsi="Times New Roman" w:eastAsia="宋体" w:cs="Times New Roman"/>
                <w:color w:val="auto"/>
                <w:szCs w:val="24"/>
                <w:highlight w:val="none"/>
                <w:lang w:val="en-US" w:eastAsia="zh-CN"/>
              </w:rPr>
            </w:pPr>
            <w:r>
              <w:rPr>
                <w:rFonts w:hint="eastAsia" w:ascii="Times New Roman" w:hAnsi="Times New Roman" w:eastAsia="宋体" w:cs="Times New Roman"/>
                <w:color w:val="auto"/>
                <w:szCs w:val="24"/>
                <w:highlight w:val="none"/>
                <w:lang w:val="en-US" w:eastAsia="zh-CN"/>
              </w:rPr>
              <w:drawing>
                <wp:inline distT="0" distB="0" distL="114300" distR="114300">
                  <wp:extent cx="4942840" cy="2095500"/>
                  <wp:effectExtent l="0" t="0" r="10160" b="0"/>
                  <wp:docPr id="21" name="ECB019B1-382A-4266-B25C-5B523AA43C14-3" descr="C:/Users/Administrator/AppData/Local/Temp/wps.CnkLot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CB019B1-382A-4266-B25C-5B523AA43C14-3" descr="C:/Users/Administrator/AppData/Local/Temp/wps.CnkLotwps"/>
                          <pic:cNvPicPr>
                            <a:picLocks noChangeAspect="1"/>
                          </pic:cNvPicPr>
                        </pic:nvPicPr>
                        <pic:blipFill>
                          <a:blip r:embed="rId9"/>
                          <a:stretch>
                            <a:fillRect/>
                          </a:stretch>
                        </pic:blipFill>
                        <pic:spPr>
                          <a:xfrm>
                            <a:off x="0" y="0"/>
                            <a:ext cx="4942840" cy="2095500"/>
                          </a:xfrm>
                          <a:prstGeom prst="rect">
                            <a:avLst/>
                          </a:prstGeom>
                          <a:solidFill>
                            <a:srgbClr val="FFFFFF"/>
                          </a:solidFill>
                          <a:ln>
                            <a:noFill/>
                          </a:ln>
                        </pic:spPr>
                      </pic:pic>
                    </a:graphicData>
                  </a:graphic>
                </wp:inline>
              </w:drawing>
            </w:r>
          </w:p>
          <w:p w14:paraId="6500A3EE">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1" w:firstLineChars="100"/>
              <w:jc w:val="center"/>
              <w:textAlignment w:val="auto"/>
              <w:rPr>
                <w:rFonts w:hint="eastAsia" w:ascii="Times New Roman" w:hAnsi="Times New Roman" w:eastAsia="宋体" w:cs="Times New Roman"/>
                <w:color w:val="auto"/>
                <w:szCs w:val="24"/>
                <w:highlight w:val="none"/>
                <w:lang w:val="en-US" w:eastAsia="zh-CN"/>
              </w:rPr>
            </w:pPr>
            <w:r>
              <w:rPr>
                <w:rFonts w:hint="eastAsia" w:cs="Times New Roman"/>
                <w:b/>
                <w:bCs/>
                <w:color w:val="auto"/>
                <w:sz w:val="24"/>
                <w:szCs w:val="24"/>
                <w:highlight w:val="none"/>
                <w:u w:val="none" w:color="auto"/>
                <w:lang w:val="en-US" w:eastAsia="zh-CN"/>
              </w:rPr>
              <w:t>图3  本</w:t>
            </w:r>
            <w:r>
              <w:rPr>
                <w:rFonts w:hint="eastAsia" w:ascii="Times New Roman" w:hAnsi="Times New Roman" w:eastAsia="宋体" w:cs="Times New Roman"/>
                <w:b/>
                <w:bCs/>
                <w:color w:val="auto"/>
                <w:sz w:val="24"/>
                <w:szCs w:val="24"/>
                <w:highlight w:val="none"/>
                <w:u w:val="none" w:color="auto"/>
                <w:lang w:val="en-US" w:eastAsia="zh-CN"/>
              </w:rPr>
              <w:t>项目</w:t>
            </w:r>
            <w:r>
              <w:rPr>
                <w:rFonts w:hint="eastAsia" w:cs="Times New Roman"/>
                <w:b/>
                <w:bCs/>
                <w:color w:val="auto"/>
                <w:sz w:val="24"/>
                <w:szCs w:val="24"/>
                <w:highlight w:val="none"/>
                <w:u w:val="none" w:color="auto"/>
                <w:lang w:val="en-US" w:eastAsia="zh-CN"/>
              </w:rPr>
              <w:t>水</w:t>
            </w:r>
            <w:r>
              <w:rPr>
                <w:rFonts w:hint="eastAsia" w:ascii="Times New Roman" w:hAnsi="Times New Roman" w:eastAsia="宋体" w:cs="Times New Roman"/>
                <w:b/>
                <w:bCs/>
                <w:color w:val="auto"/>
                <w:sz w:val="24"/>
                <w:szCs w:val="24"/>
                <w:highlight w:val="none"/>
                <w:u w:val="none" w:color="auto"/>
                <w:lang w:val="en-US" w:eastAsia="zh-CN"/>
              </w:rPr>
              <w:t>平衡图（单位：</w:t>
            </w:r>
            <w:r>
              <w:rPr>
                <w:rFonts w:hint="eastAsia" w:cs="Times New Roman"/>
                <w:b/>
                <w:bCs/>
                <w:color w:val="auto"/>
                <w:sz w:val="24"/>
                <w:szCs w:val="24"/>
                <w:highlight w:val="none"/>
                <w:u w:val="none" w:color="auto"/>
                <w:lang w:val="en-US" w:eastAsia="zh-CN"/>
              </w:rPr>
              <w:t>m</w:t>
            </w:r>
            <w:r>
              <w:rPr>
                <w:rFonts w:hint="eastAsia" w:cs="Times New Roman"/>
                <w:b/>
                <w:bCs/>
                <w:color w:val="auto"/>
                <w:sz w:val="24"/>
                <w:szCs w:val="24"/>
                <w:highlight w:val="none"/>
                <w:u w:val="none" w:color="auto"/>
                <w:vertAlign w:val="superscript"/>
                <w:lang w:val="en-US" w:eastAsia="zh-CN"/>
              </w:rPr>
              <w:t>3</w:t>
            </w:r>
            <w:r>
              <w:rPr>
                <w:rFonts w:hint="eastAsia" w:ascii="Times New Roman" w:hAnsi="Times New Roman" w:eastAsia="宋体" w:cs="Times New Roman"/>
                <w:b/>
                <w:bCs/>
                <w:color w:val="auto"/>
                <w:sz w:val="24"/>
                <w:szCs w:val="24"/>
                <w:highlight w:val="none"/>
                <w:u w:val="none" w:color="auto"/>
                <w:lang w:val="en-US" w:eastAsia="zh-CN"/>
              </w:rPr>
              <w:t>/d）</w:t>
            </w:r>
          </w:p>
          <w:p w14:paraId="31D293AF">
            <w:pPr>
              <w:pStyle w:val="5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240" w:firstLineChars="100"/>
              <w:jc w:val="center"/>
              <w:textAlignment w:val="auto"/>
              <w:rPr>
                <w:rFonts w:hint="default" w:ascii="Times New Roman" w:hAnsi="Times New Roman" w:eastAsia="宋体" w:cs="Times New Roman"/>
                <w:color w:val="auto"/>
                <w:szCs w:val="24"/>
                <w:highlight w:val="none"/>
                <w:lang w:val="en-US" w:eastAsia="zh-CN"/>
              </w:rPr>
            </w:pPr>
            <w:r>
              <w:rPr>
                <w:rFonts w:hint="default" w:ascii="Times New Roman" w:hAnsi="Times New Roman" w:eastAsia="宋体" w:cs="Times New Roman"/>
                <w:color w:val="auto"/>
                <w:szCs w:val="24"/>
                <w:highlight w:val="none"/>
                <w:lang w:val="en-US" w:eastAsia="zh-CN"/>
              </w:rPr>
              <w:drawing>
                <wp:inline distT="0" distB="0" distL="114300" distR="114300">
                  <wp:extent cx="4781550" cy="2435225"/>
                  <wp:effectExtent l="0" t="0" r="0" b="3175"/>
                  <wp:docPr id="23" name="ECB019B1-382A-4266-B25C-5B523AA43C14-4" descr="C:/Users/Administrator/AppData/Local/Temp/wps.VsHCT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ECB019B1-382A-4266-B25C-5B523AA43C14-4" descr="C:/Users/Administrator/AppData/Local/Temp/wps.VsHCTrwps"/>
                          <pic:cNvPicPr>
                            <a:picLocks noChangeAspect="1"/>
                          </pic:cNvPicPr>
                        </pic:nvPicPr>
                        <pic:blipFill>
                          <a:blip r:embed="rId10"/>
                          <a:stretch>
                            <a:fillRect/>
                          </a:stretch>
                        </pic:blipFill>
                        <pic:spPr>
                          <a:xfrm>
                            <a:off x="0" y="0"/>
                            <a:ext cx="4781550" cy="2435225"/>
                          </a:xfrm>
                          <a:prstGeom prst="rect">
                            <a:avLst/>
                          </a:prstGeom>
                          <a:solidFill>
                            <a:srgbClr val="FFFFFF"/>
                          </a:solidFill>
                          <a:ln>
                            <a:noFill/>
                          </a:ln>
                        </pic:spPr>
                      </pic:pic>
                    </a:graphicData>
                  </a:graphic>
                </wp:inline>
              </w:drawing>
            </w:r>
          </w:p>
          <w:p w14:paraId="28C9A7E1">
            <w:pPr>
              <w:keepNext w:val="0"/>
              <w:keepLines w:val="0"/>
              <w:suppressLineNumbers w:val="0"/>
              <w:adjustRightInd w:val="0"/>
              <w:snapToGrid w:val="0"/>
              <w:spacing w:before="0" w:beforeAutospacing="0" w:after="0" w:afterAutospacing="0" w:line="360" w:lineRule="auto"/>
              <w:ind w:left="0" w:right="0"/>
              <w:jc w:val="center"/>
              <w:rPr>
                <w:rFonts w:hint="eastAsia" w:ascii="Times New Roman" w:hAnsi="Times New Roman" w:eastAsia="宋体" w:cs="Times New Roman"/>
                <w:b/>
                <w:bCs/>
                <w:color w:val="auto"/>
                <w:sz w:val="24"/>
                <w:szCs w:val="24"/>
                <w:highlight w:val="none"/>
                <w:u w:val="none" w:color="auto"/>
                <w:lang w:val="en-US" w:eastAsia="zh-CN"/>
              </w:rPr>
            </w:pPr>
            <w:r>
              <w:rPr>
                <w:rFonts w:hint="eastAsia" w:cs="Times New Roman"/>
                <w:b/>
                <w:bCs/>
                <w:color w:val="auto"/>
                <w:sz w:val="24"/>
                <w:szCs w:val="24"/>
                <w:highlight w:val="none"/>
                <w:u w:val="none" w:color="auto"/>
                <w:lang w:val="en-US" w:eastAsia="zh-CN"/>
              </w:rPr>
              <w:t>图4  扩建后全厂</w:t>
            </w:r>
            <w:r>
              <w:rPr>
                <w:rFonts w:hint="eastAsia" w:ascii="Times New Roman" w:hAnsi="Times New Roman" w:eastAsia="宋体" w:cs="Times New Roman"/>
                <w:b/>
                <w:bCs/>
                <w:color w:val="auto"/>
                <w:sz w:val="24"/>
                <w:szCs w:val="24"/>
                <w:highlight w:val="none"/>
                <w:u w:val="none" w:color="auto"/>
                <w:lang w:val="en-US" w:eastAsia="zh-CN"/>
              </w:rPr>
              <w:t>项目水平衡图（单位：m</w:t>
            </w:r>
            <w:r>
              <w:rPr>
                <w:rFonts w:hint="eastAsia" w:ascii="Times New Roman" w:hAnsi="Times New Roman" w:eastAsia="宋体" w:cs="Times New Roman"/>
                <w:b/>
                <w:bCs/>
                <w:color w:val="auto"/>
                <w:sz w:val="24"/>
                <w:szCs w:val="24"/>
                <w:highlight w:val="none"/>
                <w:u w:val="none" w:color="auto"/>
                <w:vertAlign w:val="superscript"/>
                <w:lang w:val="en-US" w:eastAsia="zh-CN"/>
              </w:rPr>
              <w:t>3</w:t>
            </w:r>
            <w:r>
              <w:rPr>
                <w:rFonts w:hint="eastAsia" w:ascii="Times New Roman" w:hAnsi="Times New Roman" w:eastAsia="宋体" w:cs="Times New Roman"/>
                <w:b/>
                <w:bCs/>
                <w:color w:val="auto"/>
                <w:sz w:val="24"/>
                <w:szCs w:val="24"/>
                <w:highlight w:val="none"/>
                <w:u w:val="none" w:color="auto"/>
                <w:lang w:val="en-US" w:eastAsia="zh-CN"/>
              </w:rPr>
              <w:t>/</w:t>
            </w:r>
            <w:r>
              <w:rPr>
                <w:rFonts w:hint="eastAsia" w:cs="Times New Roman"/>
                <w:b/>
                <w:bCs/>
                <w:color w:val="auto"/>
                <w:sz w:val="24"/>
                <w:szCs w:val="24"/>
                <w:highlight w:val="none"/>
                <w:u w:val="none" w:color="auto"/>
                <w:lang w:val="en-US" w:eastAsia="zh-CN"/>
              </w:rPr>
              <w:t>d</w:t>
            </w:r>
            <w:r>
              <w:rPr>
                <w:rFonts w:hint="eastAsia" w:ascii="Times New Roman" w:hAnsi="Times New Roman" w:eastAsia="宋体" w:cs="Times New Roman"/>
                <w:b/>
                <w:bCs/>
                <w:color w:val="auto"/>
                <w:sz w:val="24"/>
                <w:szCs w:val="24"/>
                <w:highlight w:val="none"/>
                <w:u w:val="none" w:color="auto"/>
                <w:lang w:val="en-US" w:eastAsia="zh-CN"/>
              </w:rPr>
              <w:t>）</w:t>
            </w:r>
          </w:p>
          <w:p w14:paraId="31FE80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jc w:val="left"/>
              <w:textAlignment w:val="auto"/>
              <w:rPr>
                <w:rFonts w:hint="eastAsia" w:ascii="Times New Roman" w:hAnsi="Times New Roman" w:eastAsia="宋体" w:cs="Times New Roman"/>
                <w:b/>
                <w:bCs/>
                <w:color w:val="auto"/>
                <w:sz w:val="24"/>
                <w:szCs w:val="24"/>
                <w:highlight w:val="none"/>
                <w:u w:val="none" w:color="auto"/>
              </w:rPr>
            </w:pPr>
            <w:r>
              <w:rPr>
                <w:rFonts w:hint="eastAsia" w:ascii="Times New Roman" w:hAnsi="Times New Roman" w:eastAsia="宋体" w:cs="Times New Roman"/>
                <w:b/>
                <w:bCs/>
                <w:color w:val="auto"/>
                <w:sz w:val="24"/>
                <w:szCs w:val="24"/>
                <w:highlight w:val="none"/>
                <w:u w:val="none" w:color="auto"/>
                <w:lang w:val="en-US" w:eastAsia="zh-CN"/>
              </w:rPr>
              <w:t>2.4</w:t>
            </w:r>
            <w:r>
              <w:rPr>
                <w:rFonts w:hint="eastAsia" w:ascii="Times New Roman" w:hAnsi="Times New Roman" w:eastAsia="宋体" w:cs="Times New Roman"/>
                <w:b/>
                <w:bCs/>
                <w:color w:val="auto"/>
                <w:sz w:val="24"/>
                <w:szCs w:val="24"/>
                <w:highlight w:val="none"/>
                <w:u w:val="none" w:color="auto"/>
              </w:rPr>
              <w:t>产污环节</w:t>
            </w:r>
          </w:p>
          <w:p w14:paraId="5B8852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2.4.1废水</w:t>
            </w:r>
          </w:p>
          <w:p w14:paraId="76DFAB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本项目</w:t>
            </w:r>
            <w:r>
              <w:rPr>
                <w:rFonts w:hint="eastAsia" w:cs="Times New Roman"/>
                <w:color w:val="auto"/>
                <w:sz w:val="24"/>
                <w:szCs w:val="24"/>
                <w:highlight w:val="none"/>
                <w:u w:val="none" w:color="auto"/>
                <w:lang w:val="en-US" w:eastAsia="zh-CN"/>
              </w:rPr>
              <w:t>生产废</w:t>
            </w:r>
            <w:r>
              <w:rPr>
                <w:rFonts w:hint="eastAsia" w:ascii="Times New Roman" w:hAnsi="Times New Roman" w:eastAsia="宋体" w:cs="Times New Roman"/>
                <w:color w:val="auto"/>
                <w:sz w:val="24"/>
                <w:szCs w:val="24"/>
                <w:highlight w:val="none"/>
                <w:u w:val="none" w:color="auto"/>
                <w:lang w:val="en-US" w:eastAsia="zh-CN"/>
              </w:rPr>
              <w:t>水主要为</w:t>
            </w:r>
            <w:r>
              <w:rPr>
                <w:rFonts w:hint="eastAsia" w:cs="Times New Roman"/>
                <w:color w:val="auto"/>
                <w:sz w:val="24"/>
                <w:szCs w:val="24"/>
                <w:highlight w:val="none"/>
                <w:u w:val="none" w:color="auto"/>
                <w:lang w:val="en-US" w:eastAsia="zh-CN"/>
              </w:rPr>
              <w:t>钢丝出炉冷却水</w:t>
            </w:r>
            <w:r>
              <w:rPr>
                <w:rFonts w:hint="eastAsia" w:ascii="Times New Roman" w:hAnsi="Times New Roman" w:eastAsia="宋体" w:cs="Times New Roman"/>
                <w:color w:val="auto"/>
                <w:sz w:val="24"/>
                <w:szCs w:val="24"/>
                <w:highlight w:val="none"/>
                <w:u w:val="none" w:color="auto"/>
                <w:lang w:val="en-US" w:eastAsia="zh-CN"/>
              </w:rPr>
              <w:t>。</w:t>
            </w:r>
            <w:r>
              <w:rPr>
                <w:rFonts w:hint="eastAsia" w:cs="Times New Roman"/>
                <w:color w:val="auto"/>
                <w:sz w:val="24"/>
                <w:szCs w:val="24"/>
                <w:highlight w:val="none"/>
                <w:u w:val="none" w:color="auto"/>
                <w:lang w:val="en-US" w:eastAsia="zh-CN"/>
              </w:rPr>
              <w:t>冷却水</w:t>
            </w:r>
            <w:r>
              <w:rPr>
                <w:rFonts w:hint="eastAsia" w:ascii="Times New Roman" w:hAnsi="Times New Roman" w:eastAsia="宋体" w:cs="Times New Roman"/>
                <w:color w:val="auto"/>
                <w:sz w:val="24"/>
                <w:szCs w:val="24"/>
                <w:highlight w:val="none"/>
                <w:u w:val="none" w:color="auto"/>
                <w:lang w:val="en-US" w:eastAsia="zh-CN"/>
              </w:rPr>
              <w:t>经</w:t>
            </w:r>
            <w:r>
              <w:rPr>
                <w:rFonts w:hint="eastAsia" w:cs="Times New Roman"/>
                <w:color w:val="auto"/>
                <w:sz w:val="24"/>
                <w:szCs w:val="24"/>
                <w:highlight w:val="none"/>
                <w:u w:val="none" w:color="auto"/>
                <w:lang w:val="en-US" w:eastAsia="zh-CN"/>
              </w:rPr>
              <w:t>管道分别流入现有循环系统，循环水定期补充损耗，不外排；淬火用水全部蒸发损耗，不外排。</w:t>
            </w:r>
          </w:p>
          <w:p w14:paraId="04C6F0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2.4.2噪声</w:t>
            </w:r>
          </w:p>
          <w:p w14:paraId="6D101F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本项目噪声主要为</w:t>
            </w:r>
            <w:r>
              <w:rPr>
                <w:rFonts w:hint="default" w:cs="Times New Roman"/>
                <w:color w:val="auto"/>
                <w:sz w:val="24"/>
                <w:szCs w:val="24"/>
                <w:highlight w:val="none"/>
                <w:u w:val="none" w:color="auto"/>
                <w:lang w:eastAsia="zh-CN"/>
              </w:rPr>
              <w:t>单头拉丝机</w:t>
            </w:r>
            <w:r>
              <w:rPr>
                <w:rFonts w:hint="eastAsia" w:ascii="Times New Roman" w:hAnsi="Times New Roman" w:eastAsia="宋体" w:cs="Times New Roman"/>
                <w:color w:val="auto"/>
                <w:sz w:val="24"/>
                <w:szCs w:val="24"/>
                <w:highlight w:val="none"/>
                <w:u w:val="none" w:color="auto"/>
                <w:lang w:val="en-US" w:eastAsia="zh-CN"/>
              </w:rPr>
              <w:t>、热处理生产线、</w:t>
            </w:r>
            <w:r>
              <w:rPr>
                <w:rFonts w:hint="eastAsia" w:cs="Times New Roman"/>
                <w:color w:val="auto"/>
                <w:sz w:val="24"/>
                <w:szCs w:val="24"/>
                <w:highlight w:val="none"/>
                <w:u w:val="none" w:color="auto"/>
                <w:lang w:val="en-US" w:eastAsia="zh-CN"/>
              </w:rPr>
              <w:t>剪切</w:t>
            </w:r>
            <w:r>
              <w:rPr>
                <w:rFonts w:hint="eastAsia" w:ascii="Times New Roman" w:hAnsi="Times New Roman" w:eastAsia="宋体" w:cs="Times New Roman"/>
                <w:color w:val="auto"/>
                <w:sz w:val="24"/>
                <w:szCs w:val="24"/>
                <w:highlight w:val="none"/>
                <w:u w:val="none" w:color="auto"/>
                <w:lang w:val="en-US" w:eastAsia="zh-CN"/>
              </w:rPr>
              <w:t>机设备运行时产生的噪声。</w:t>
            </w:r>
          </w:p>
          <w:p w14:paraId="1ABF95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Times New Roman" w:hAnsi="Times New Roman" w:eastAsia="宋体" w:cs="Times New Roman"/>
                <w:b/>
                <w:bCs/>
                <w:color w:val="auto"/>
                <w:sz w:val="24"/>
                <w:szCs w:val="24"/>
                <w:highlight w:val="none"/>
                <w:u w:val="none" w:color="auto"/>
                <w:lang w:val="en-US" w:eastAsia="zh-CN"/>
              </w:rPr>
            </w:pPr>
            <w:r>
              <w:rPr>
                <w:rFonts w:hint="eastAsia" w:ascii="Times New Roman" w:hAnsi="Times New Roman" w:eastAsia="宋体" w:cs="Times New Roman"/>
                <w:b/>
                <w:bCs/>
                <w:color w:val="auto"/>
                <w:sz w:val="24"/>
                <w:szCs w:val="24"/>
                <w:highlight w:val="none"/>
                <w:u w:val="none" w:color="auto"/>
                <w:lang w:val="en-US" w:eastAsia="zh-CN"/>
              </w:rPr>
              <w:t>2.4.3固体废物</w:t>
            </w:r>
          </w:p>
          <w:p w14:paraId="2B7D5B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color w:val="auto"/>
                <w:sz w:val="24"/>
                <w:szCs w:val="24"/>
                <w:highlight w:val="none"/>
                <w:u w:val="none" w:color="auto"/>
                <w:lang w:val="en-US" w:eastAsia="zh-CN"/>
              </w:rPr>
              <w:t>本项目职工从现有人员调配，不新增劳动定员，无新增生活垃圾；不合格</w:t>
            </w:r>
            <w:r>
              <w:rPr>
                <w:rFonts w:hint="eastAsia" w:cs="Times New Roman"/>
                <w:color w:val="auto"/>
                <w:sz w:val="24"/>
                <w:szCs w:val="24"/>
                <w:highlight w:val="none"/>
                <w:u w:val="none" w:color="auto"/>
                <w:lang w:val="en-US" w:eastAsia="zh-CN"/>
              </w:rPr>
              <w:t>原料</w:t>
            </w:r>
            <w:r>
              <w:rPr>
                <w:rFonts w:hint="eastAsia" w:ascii="Times New Roman" w:hAnsi="Times New Roman" w:eastAsia="宋体" w:cs="Times New Roman"/>
                <w:color w:val="auto"/>
                <w:sz w:val="24"/>
                <w:szCs w:val="24"/>
                <w:highlight w:val="none"/>
                <w:u w:val="none" w:color="auto"/>
                <w:lang w:val="en-US" w:eastAsia="zh-CN"/>
              </w:rPr>
              <w:t>暂存于一般固废间，定期退货。不合格产品</w:t>
            </w:r>
            <w:r>
              <w:rPr>
                <w:rFonts w:hint="eastAsia" w:cs="Times New Roman"/>
                <w:color w:val="auto"/>
                <w:sz w:val="24"/>
                <w:szCs w:val="24"/>
                <w:highlight w:val="none"/>
                <w:u w:val="none" w:color="auto"/>
                <w:lang w:val="en-US" w:eastAsia="zh-CN"/>
              </w:rPr>
              <w:t>、</w:t>
            </w:r>
            <w:r>
              <w:rPr>
                <w:rFonts w:hint="eastAsia" w:ascii="Times New Roman" w:hAnsi="Times New Roman" w:eastAsia="宋体" w:cs="Times New Roman"/>
                <w:color w:val="auto"/>
                <w:sz w:val="24"/>
                <w:szCs w:val="24"/>
                <w:highlight w:val="none"/>
                <w:u w:val="none" w:color="auto"/>
                <w:lang w:val="en-US" w:eastAsia="zh-CN"/>
              </w:rPr>
              <w:t>边角料、废包装带，暂存于一般固废间，定期外售</w:t>
            </w:r>
            <w:r>
              <w:rPr>
                <w:rFonts w:hint="eastAsia" w:cs="Times New Roman"/>
                <w:color w:val="auto"/>
                <w:sz w:val="24"/>
                <w:szCs w:val="24"/>
                <w:highlight w:val="none"/>
                <w:u w:val="none" w:color="auto"/>
                <w:lang w:val="en-US" w:eastAsia="zh-CN"/>
              </w:rPr>
              <w:t>，</w:t>
            </w:r>
            <w:r>
              <w:rPr>
                <w:rFonts w:hint="eastAsia" w:cs="Times New Roman"/>
                <w:b/>
                <w:bCs/>
                <w:color w:val="auto"/>
                <w:sz w:val="24"/>
                <w:szCs w:val="24"/>
                <w:highlight w:val="none"/>
                <w:u w:val="single" w:color="auto"/>
                <w:lang w:val="en-US" w:eastAsia="zh-CN"/>
              </w:rPr>
              <w:t>冷却池与淬火池底泥由专业单位进行清掏处理。</w:t>
            </w:r>
          </w:p>
        </w:tc>
      </w:tr>
      <w:tr w14:paraId="4CA2F6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36" w:type="dxa"/>
            <w:noWrap w:val="0"/>
            <w:vAlign w:val="center"/>
          </w:tcPr>
          <w:p w14:paraId="4C64457F">
            <w:pPr>
              <w:pStyle w:val="23"/>
              <w:keepNext w:val="0"/>
              <w:keepLines w:val="0"/>
              <w:suppressLineNumbers w:val="0"/>
              <w:adjustRightInd w:val="0"/>
              <w:snapToGrid w:val="0"/>
              <w:spacing w:before="0" w:beforeAutospacing="0" w:after="0" w:afterAutospacing="0"/>
              <w:ind w:left="0" w:right="0"/>
              <w:jc w:val="center"/>
              <w:rPr>
                <w:rFonts w:ascii="Times New Roman" w:hAnsi="Times New Roman" w:cs="Times New Roman"/>
                <w:color w:val="auto"/>
                <w:sz w:val="21"/>
                <w:szCs w:val="21"/>
                <w:highlight w:val="none"/>
                <w:u w:val="none" w:color="auto"/>
              </w:rPr>
            </w:pPr>
            <w:r>
              <w:rPr>
                <w:rFonts w:hint="eastAsia" w:ascii="Times New Roman" w:hAnsi="Times New Roman" w:cs="Times New Roman"/>
                <w:bCs/>
                <w:color w:val="auto"/>
                <w:kern w:val="2"/>
                <w:sz w:val="24"/>
                <w:szCs w:val="24"/>
                <w:highlight w:val="none"/>
                <w:u w:val="none" w:color="auto"/>
              </w:rPr>
              <w:t>与项目有关的原有环境污染问题</w:t>
            </w:r>
          </w:p>
        </w:tc>
        <w:tc>
          <w:tcPr>
            <w:tcW w:w="8634" w:type="dxa"/>
            <w:noWrap w:val="0"/>
            <w:vAlign w:val="top"/>
          </w:tcPr>
          <w:p w14:paraId="0D6C19E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b/>
                <w:bCs w:val="0"/>
                <w:color w:val="auto"/>
                <w:sz w:val="24"/>
                <w:szCs w:val="24"/>
                <w:highlight w:val="none"/>
                <w:u w:val="none" w:color="auto"/>
                <w:lang w:val="en-US" w:eastAsia="zh-CN"/>
              </w:rPr>
            </w:pPr>
            <w:r>
              <w:rPr>
                <w:rFonts w:hint="eastAsia" w:ascii="Times New Roman" w:hAnsi="Times New Roman" w:eastAsia="宋体" w:cs="Times New Roman"/>
                <w:b/>
                <w:bCs w:val="0"/>
                <w:color w:val="auto"/>
                <w:kern w:val="2"/>
                <w:sz w:val="24"/>
                <w:szCs w:val="24"/>
                <w:lang w:val="en-US" w:eastAsia="zh-CN" w:bidi="ar-SA"/>
              </w:rPr>
              <w:t>1.</w:t>
            </w:r>
            <w:r>
              <w:rPr>
                <w:rFonts w:hint="eastAsia" w:ascii="Times New Roman" w:hAnsi="Times New Roman" w:eastAsia="宋体" w:cs="Times New Roman"/>
                <w:b/>
                <w:bCs w:val="0"/>
                <w:color w:val="auto"/>
                <w:sz w:val="24"/>
                <w:szCs w:val="24"/>
                <w:highlight w:val="none"/>
                <w:u w:val="none" w:color="auto"/>
                <w:lang w:val="en-US" w:eastAsia="zh-CN"/>
              </w:rPr>
              <w:t>公司现有项目环评审批、验收及排污许可执行情况</w:t>
            </w:r>
          </w:p>
          <w:p w14:paraId="3CE468C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val="0"/>
                <w:bCs/>
                <w:color w:val="auto"/>
                <w:sz w:val="24"/>
                <w:szCs w:val="24"/>
                <w:highlight w:val="none"/>
                <w:u w:val="none" w:color="auto"/>
                <w:lang w:val="en-US" w:eastAsia="zh-CN"/>
              </w:rPr>
            </w:pPr>
            <w:r>
              <w:rPr>
                <w:rFonts w:hint="eastAsia" w:ascii="Times New Roman" w:hAnsi="Times New Roman" w:eastAsia="宋体" w:cs="Times New Roman"/>
                <w:b/>
                <w:bCs w:val="0"/>
                <w:color w:val="auto"/>
                <w:sz w:val="24"/>
                <w:szCs w:val="24"/>
                <w:highlight w:val="none"/>
                <w:u w:val="none" w:color="auto"/>
                <w:lang w:val="en-US" w:eastAsia="zh-CN"/>
              </w:rPr>
              <w:t>1.1环评审批及验收情况</w:t>
            </w:r>
          </w:p>
          <w:p w14:paraId="36C9644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color w:val="auto"/>
                <w:sz w:val="24"/>
                <w:szCs w:val="24"/>
                <w:highlight w:val="none"/>
                <w:u w:val="none" w:color="auto"/>
                <w:lang w:val="en-US" w:eastAsia="zh-CN"/>
              </w:rPr>
            </w:pPr>
            <w:r>
              <w:rPr>
                <w:rFonts w:hint="eastAsia" w:cs="Times New Roman"/>
                <w:b w:val="0"/>
                <w:bCs/>
                <w:color w:val="auto"/>
                <w:sz w:val="24"/>
                <w:szCs w:val="24"/>
                <w:highlight w:val="none"/>
                <w:u w:val="none" w:color="auto"/>
                <w:lang w:val="en-US" w:eastAsia="zh-CN"/>
              </w:rPr>
              <w:t>安阳双兴线材制品</w:t>
            </w:r>
            <w:r>
              <w:rPr>
                <w:rFonts w:hint="eastAsia" w:ascii="Times New Roman" w:hAnsi="Times New Roman" w:eastAsia="宋体" w:cs="Times New Roman"/>
                <w:b w:val="0"/>
                <w:bCs/>
                <w:color w:val="auto"/>
                <w:sz w:val="24"/>
                <w:szCs w:val="24"/>
                <w:highlight w:val="none"/>
                <w:u w:val="none" w:color="auto"/>
                <w:lang w:val="en-US" w:eastAsia="zh-CN"/>
              </w:rPr>
              <w:t>有限公司现有项目环评审批及验收情况见下表。</w:t>
            </w:r>
          </w:p>
          <w:p w14:paraId="2FCFA22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val="0"/>
                <w:color w:val="auto"/>
                <w:sz w:val="21"/>
                <w:szCs w:val="21"/>
                <w:highlight w:val="none"/>
                <w:u w:val="none" w:color="auto"/>
                <w:lang w:val="en-US" w:eastAsia="zh-CN"/>
              </w:rPr>
            </w:pPr>
            <w:r>
              <w:rPr>
                <w:rFonts w:hint="eastAsia" w:cs="Times New Roman"/>
                <w:b/>
                <w:bCs w:val="0"/>
                <w:color w:val="auto"/>
                <w:sz w:val="21"/>
                <w:szCs w:val="21"/>
                <w:highlight w:val="none"/>
                <w:u w:val="none" w:color="auto"/>
                <w:lang w:val="en-US" w:eastAsia="zh-CN"/>
              </w:rPr>
              <w:t xml:space="preserve">表15  </w:t>
            </w:r>
            <w:r>
              <w:rPr>
                <w:rFonts w:hint="eastAsia" w:ascii="Times New Roman" w:hAnsi="Times New Roman" w:eastAsia="宋体" w:cs="Times New Roman"/>
                <w:b/>
                <w:bCs w:val="0"/>
                <w:color w:val="auto"/>
                <w:sz w:val="21"/>
                <w:szCs w:val="21"/>
                <w:highlight w:val="none"/>
                <w:u w:val="none" w:color="auto"/>
                <w:lang w:val="en-US" w:eastAsia="zh-CN"/>
              </w:rPr>
              <w:t>公司现有项目环评批复及验收情况一览表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2589"/>
              <w:gridCol w:w="1464"/>
              <w:gridCol w:w="2462"/>
              <w:gridCol w:w="1936"/>
            </w:tblGrid>
            <w:tr w14:paraId="2EDDE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1" w:type="pct"/>
                  <w:tcBorders>
                    <w:tl2br w:val="nil"/>
                    <w:tr2bl w:val="nil"/>
                  </w:tcBorders>
                  <w:noWrap w:val="0"/>
                  <w:vAlign w:val="center"/>
                </w:tcPr>
                <w:p w14:paraId="2E927748">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序号</w:t>
                  </w:r>
                </w:p>
              </w:tc>
              <w:tc>
                <w:tcPr>
                  <w:tcW w:w="1408" w:type="pct"/>
                  <w:tcBorders>
                    <w:tl2br w:val="nil"/>
                    <w:tr2bl w:val="nil"/>
                  </w:tcBorders>
                  <w:noWrap w:val="0"/>
                  <w:vAlign w:val="center"/>
                </w:tcPr>
                <w:p w14:paraId="73EC7605">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项目名称</w:t>
                  </w:r>
                </w:p>
              </w:tc>
              <w:tc>
                <w:tcPr>
                  <w:tcW w:w="796" w:type="pct"/>
                  <w:tcBorders>
                    <w:tl2br w:val="nil"/>
                    <w:tr2bl w:val="nil"/>
                  </w:tcBorders>
                  <w:noWrap w:val="0"/>
                  <w:vAlign w:val="center"/>
                </w:tcPr>
                <w:p w14:paraId="03429830">
                  <w:pPr>
                    <w:keepNext w:val="0"/>
                    <w:keepLines w:val="0"/>
                    <w:widowControl w:val="0"/>
                    <w:suppressLineNumbers w:val="0"/>
                    <w:spacing w:before="0" w:beforeAutospacing="0" w:after="0" w:afterAutospacing="0"/>
                    <w:ind w:left="0" w:right="0"/>
                    <w:jc w:val="center"/>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文件类型</w:t>
                  </w:r>
                </w:p>
              </w:tc>
              <w:tc>
                <w:tcPr>
                  <w:tcW w:w="1339" w:type="pct"/>
                  <w:tcBorders>
                    <w:tl2br w:val="nil"/>
                    <w:tr2bl w:val="nil"/>
                  </w:tcBorders>
                  <w:noWrap w:val="0"/>
                  <w:vAlign w:val="center"/>
                </w:tcPr>
                <w:p w14:paraId="445E254B">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批复时间及批复文号</w:t>
                  </w:r>
                </w:p>
              </w:tc>
              <w:tc>
                <w:tcPr>
                  <w:tcW w:w="1053" w:type="pct"/>
                  <w:tcBorders>
                    <w:tl2br w:val="nil"/>
                    <w:tr2bl w:val="nil"/>
                  </w:tcBorders>
                  <w:noWrap w:val="0"/>
                  <w:vAlign w:val="center"/>
                </w:tcPr>
                <w:p w14:paraId="7A13145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cs="宋体"/>
                      <w:b/>
                      <w:bCs/>
                      <w:color w:val="auto"/>
                      <w:kern w:val="2"/>
                      <w:sz w:val="21"/>
                      <w:szCs w:val="21"/>
                      <w:highlight w:val="none"/>
                      <w:lang w:val="en-US" w:eastAsia="zh-CN" w:bidi="ar"/>
                    </w:rPr>
                    <w:t>投运</w:t>
                  </w:r>
                  <w:r>
                    <w:rPr>
                      <w:rFonts w:hint="eastAsia" w:ascii="宋体" w:hAnsi="宋体" w:eastAsia="宋体" w:cs="宋体"/>
                      <w:b/>
                      <w:bCs/>
                      <w:color w:val="auto"/>
                      <w:kern w:val="2"/>
                      <w:sz w:val="21"/>
                      <w:szCs w:val="21"/>
                      <w:highlight w:val="none"/>
                      <w:lang w:val="en-US" w:eastAsia="zh-CN" w:bidi="ar"/>
                    </w:rPr>
                    <w:t>时间</w:t>
                  </w:r>
                </w:p>
              </w:tc>
            </w:tr>
            <w:tr w14:paraId="40C065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401" w:type="pct"/>
                  <w:tcBorders>
                    <w:tl2br w:val="nil"/>
                    <w:tr2bl w:val="nil"/>
                  </w:tcBorders>
                  <w:noWrap w:val="0"/>
                  <w:vAlign w:val="center"/>
                </w:tcPr>
                <w:p w14:paraId="1BD865F5">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1</w:t>
                  </w:r>
                </w:p>
              </w:tc>
              <w:tc>
                <w:tcPr>
                  <w:tcW w:w="1408" w:type="pct"/>
                  <w:tcBorders>
                    <w:tl2br w:val="nil"/>
                    <w:tr2bl w:val="nil"/>
                  </w:tcBorders>
                  <w:noWrap w:val="0"/>
                  <w:vAlign w:val="center"/>
                </w:tcPr>
                <w:p w14:paraId="02601044">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年产1.6万吨汽车配件用高性能材料项目</w:t>
                  </w:r>
                </w:p>
              </w:tc>
              <w:tc>
                <w:tcPr>
                  <w:tcW w:w="796" w:type="pct"/>
                  <w:tcBorders>
                    <w:tl2br w:val="nil"/>
                    <w:tr2bl w:val="nil"/>
                  </w:tcBorders>
                  <w:noWrap w:val="0"/>
                  <w:vAlign w:val="center"/>
                </w:tcPr>
                <w:p w14:paraId="0B6BCB2F">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环评报告表</w:t>
                  </w:r>
                </w:p>
              </w:tc>
              <w:tc>
                <w:tcPr>
                  <w:tcW w:w="1339" w:type="pct"/>
                  <w:tcBorders>
                    <w:tl2br w:val="nil"/>
                    <w:tr2bl w:val="nil"/>
                  </w:tcBorders>
                  <w:noWrap w:val="0"/>
                  <w:vAlign w:val="center"/>
                </w:tcPr>
                <w:p w14:paraId="572A32BF">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2012年5月</w:t>
                  </w:r>
                </w:p>
                <w:p w14:paraId="4CFAF822">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汤环管字[2012]43号</w:t>
                  </w:r>
                </w:p>
              </w:tc>
              <w:tc>
                <w:tcPr>
                  <w:tcW w:w="1053" w:type="pct"/>
                  <w:tcBorders>
                    <w:tl2br w:val="nil"/>
                    <w:tr2bl w:val="nil"/>
                  </w:tcBorders>
                  <w:noWrap w:val="0"/>
                  <w:vAlign w:val="center"/>
                </w:tcPr>
                <w:p w14:paraId="581ED38C">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2014年11月</w:t>
                  </w:r>
                </w:p>
              </w:tc>
            </w:tr>
            <w:tr w14:paraId="2A1CA7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01" w:type="pct"/>
                  <w:tcBorders>
                    <w:tl2br w:val="nil"/>
                    <w:tr2bl w:val="nil"/>
                  </w:tcBorders>
                  <w:noWrap w:val="0"/>
                  <w:vAlign w:val="center"/>
                </w:tcPr>
                <w:p w14:paraId="2989BC25">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cs="Times New Roman"/>
                      <w:color w:val="auto"/>
                      <w:kern w:val="2"/>
                      <w:sz w:val="21"/>
                      <w:szCs w:val="21"/>
                      <w:highlight w:val="none"/>
                      <w:lang w:val="en-US" w:eastAsia="zh-CN" w:bidi="ar"/>
                    </w:rPr>
                    <w:t>2</w:t>
                  </w:r>
                </w:p>
              </w:tc>
              <w:tc>
                <w:tcPr>
                  <w:tcW w:w="1408" w:type="pct"/>
                  <w:tcBorders>
                    <w:tl2br w:val="nil"/>
                    <w:tr2bl w:val="nil"/>
                  </w:tcBorders>
                  <w:noWrap w:val="0"/>
                  <w:vAlign w:val="center"/>
                </w:tcPr>
                <w:p w14:paraId="1A88F946">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年产1.6万吨汽车配件用高性能材料改建项目</w:t>
                  </w:r>
                </w:p>
              </w:tc>
              <w:tc>
                <w:tcPr>
                  <w:tcW w:w="796" w:type="pct"/>
                  <w:tcBorders>
                    <w:tl2br w:val="nil"/>
                    <w:tr2bl w:val="nil"/>
                  </w:tcBorders>
                  <w:noWrap w:val="0"/>
                  <w:vAlign w:val="center"/>
                </w:tcPr>
                <w:p w14:paraId="78298E53">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环评报告表</w:t>
                  </w:r>
                </w:p>
              </w:tc>
              <w:tc>
                <w:tcPr>
                  <w:tcW w:w="1339" w:type="pct"/>
                  <w:tcBorders>
                    <w:tl2br w:val="nil"/>
                    <w:tr2bl w:val="nil"/>
                  </w:tcBorders>
                  <w:noWrap w:val="0"/>
                  <w:vAlign w:val="center"/>
                </w:tcPr>
                <w:p w14:paraId="0688900D">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2015年12月9日</w:t>
                  </w:r>
                </w:p>
                <w:p w14:paraId="1819F2C4">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汤环管字[2015]80号</w:t>
                  </w:r>
                </w:p>
              </w:tc>
              <w:tc>
                <w:tcPr>
                  <w:tcW w:w="1053" w:type="pct"/>
                  <w:tcBorders>
                    <w:tl2br w:val="nil"/>
                    <w:tr2bl w:val="nil"/>
                  </w:tcBorders>
                  <w:noWrap w:val="0"/>
                  <w:vAlign w:val="center"/>
                </w:tcPr>
                <w:p w14:paraId="489B3A7A">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2016年7月</w:t>
                  </w:r>
                </w:p>
              </w:tc>
            </w:tr>
            <w:tr w14:paraId="46E91D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01" w:type="pct"/>
                  <w:tcBorders>
                    <w:tl2br w:val="nil"/>
                    <w:tr2bl w:val="nil"/>
                  </w:tcBorders>
                  <w:noWrap w:val="0"/>
                  <w:vAlign w:val="center"/>
                </w:tcPr>
                <w:p w14:paraId="1FDB0F4B">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3</w:t>
                  </w:r>
                </w:p>
              </w:tc>
              <w:tc>
                <w:tcPr>
                  <w:tcW w:w="1408" w:type="pct"/>
                  <w:tcBorders>
                    <w:tl2br w:val="nil"/>
                    <w:tr2bl w:val="nil"/>
                  </w:tcBorders>
                  <w:noWrap w:val="0"/>
                  <w:vAlign w:val="center"/>
                </w:tcPr>
                <w:p w14:paraId="09C76951">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年产1.6万吨高新能弹簧钢丝技改项目</w:t>
                  </w:r>
                </w:p>
              </w:tc>
              <w:tc>
                <w:tcPr>
                  <w:tcW w:w="796" w:type="pct"/>
                  <w:tcBorders>
                    <w:tl2br w:val="nil"/>
                    <w:tr2bl w:val="nil"/>
                  </w:tcBorders>
                  <w:noWrap w:val="0"/>
                  <w:vAlign w:val="center"/>
                </w:tcPr>
                <w:p w14:paraId="10C6D54B">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环评报告表</w:t>
                  </w:r>
                </w:p>
              </w:tc>
              <w:tc>
                <w:tcPr>
                  <w:tcW w:w="1339" w:type="pct"/>
                  <w:tcBorders>
                    <w:tl2br w:val="nil"/>
                    <w:tr2bl w:val="nil"/>
                  </w:tcBorders>
                  <w:noWrap w:val="0"/>
                  <w:vAlign w:val="center"/>
                </w:tcPr>
                <w:p w14:paraId="3D19E5A8">
                  <w:pPr>
                    <w:pStyle w:val="23"/>
                    <w:keepNext w:val="0"/>
                    <w:keepLines w:val="0"/>
                    <w:widowControl w:val="0"/>
                    <w:suppressLineNumbers w:val="0"/>
                    <w:spacing w:before="0" w:beforeAutospacing="0" w:after="0" w:afterAutospacing="0"/>
                    <w:ind w:left="0" w:right="0" w:firstLine="0"/>
                    <w:jc w:val="center"/>
                    <w:rPr>
                      <w:rFonts w:hint="eastAsia" w:ascii="Times New Roman" w:hAnsi="Times New Roman"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2020年6月</w:t>
                  </w:r>
                </w:p>
                <w:p w14:paraId="026CE7EA">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汤环管字[2020]20号</w:t>
                  </w:r>
                </w:p>
              </w:tc>
              <w:tc>
                <w:tcPr>
                  <w:tcW w:w="1053" w:type="pct"/>
                  <w:tcBorders>
                    <w:tl2br w:val="nil"/>
                    <w:tr2bl w:val="nil"/>
                  </w:tcBorders>
                  <w:noWrap w:val="0"/>
                  <w:vAlign w:val="center"/>
                </w:tcPr>
                <w:p w14:paraId="4A2E6B1E">
                  <w:pPr>
                    <w:pStyle w:val="23"/>
                    <w:keepNext w:val="0"/>
                    <w:keepLines w:val="0"/>
                    <w:widowControl w:val="0"/>
                    <w:suppressLineNumbers w:val="0"/>
                    <w:spacing w:before="0" w:beforeAutospacing="0" w:after="0" w:afterAutospacing="0"/>
                    <w:ind w:left="0" w:right="0" w:firstLine="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2020年8月</w:t>
                  </w:r>
                </w:p>
              </w:tc>
            </w:tr>
          </w:tbl>
          <w:p w14:paraId="7FED20D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color w:val="auto"/>
                <w:sz w:val="24"/>
                <w:szCs w:val="24"/>
                <w:highlight w:val="none"/>
                <w:u w:val="none" w:color="auto"/>
                <w:lang w:val="en-US" w:eastAsia="zh-CN"/>
              </w:rPr>
            </w:pPr>
            <w:r>
              <w:rPr>
                <w:rFonts w:hint="eastAsia" w:cs="Times New Roman"/>
                <w:b w:val="0"/>
                <w:bCs/>
                <w:color w:val="auto"/>
                <w:sz w:val="24"/>
                <w:szCs w:val="24"/>
                <w:highlight w:val="none"/>
                <w:u w:val="none" w:color="auto"/>
                <w:lang w:val="en-US" w:eastAsia="zh-CN"/>
              </w:rPr>
              <w:t>安阳双兴线材制品</w:t>
            </w:r>
            <w:r>
              <w:rPr>
                <w:rFonts w:hint="eastAsia" w:ascii="Times New Roman" w:hAnsi="Times New Roman" w:eastAsia="宋体" w:cs="Times New Roman"/>
                <w:b w:val="0"/>
                <w:bCs/>
                <w:color w:val="auto"/>
                <w:sz w:val="24"/>
                <w:szCs w:val="24"/>
                <w:highlight w:val="none"/>
                <w:u w:val="none" w:color="auto"/>
                <w:lang w:val="en-US" w:eastAsia="zh-CN"/>
              </w:rPr>
              <w:t>有限公司始建于</w:t>
            </w:r>
            <w:r>
              <w:rPr>
                <w:rFonts w:hint="eastAsia" w:cs="Times New Roman"/>
                <w:b w:val="0"/>
                <w:bCs/>
                <w:color w:val="auto"/>
                <w:sz w:val="24"/>
                <w:szCs w:val="24"/>
                <w:highlight w:val="none"/>
                <w:u w:val="none" w:color="auto"/>
                <w:lang w:val="en-US" w:eastAsia="zh-CN"/>
              </w:rPr>
              <w:t>201</w:t>
            </w:r>
            <w:r>
              <w:rPr>
                <w:rFonts w:hint="eastAsia" w:ascii="Times New Roman" w:hAnsi="Times New Roman" w:eastAsia="宋体" w:cs="Times New Roman"/>
                <w:b w:val="0"/>
                <w:bCs/>
                <w:color w:val="auto"/>
                <w:sz w:val="24"/>
                <w:szCs w:val="24"/>
                <w:highlight w:val="none"/>
                <w:u w:val="none" w:color="auto"/>
                <w:lang w:val="en-US" w:eastAsia="zh-CN"/>
              </w:rPr>
              <w:t>2年，年产1.6万吨汽车配件用高性能材料项目</w:t>
            </w:r>
            <w:r>
              <w:rPr>
                <w:rFonts w:hint="default" w:cs="Times New Roman"/>
                <w:b w:val="0"/>
                <w:bCs/>
                <w:color w:val="auto"/>
                <w:sz w:val="24"/>
                <w:szCs w:val="24"/>
                <w:highlight w:val="none"/>
                <w:u w:val="none" w:color="auto"/>
                <w:lang w:eastAsia="zh-CN"/>
              </w:rPr>
              <w:t>于2012</w:t>
            </w:r>
            <w:r>
              <w:rPr>
                <w:rFonts w:hint="eastAsia" w:cs="Times New Roman"/>
                <w:b w:val="0"/>
                <w:bCs/>
                <w:color w:val="auto"/>
                <w:sz w:val="24"/>
                <w:szCs w:val="24"/>
                <w:highlight w:val="none"/>
                <w:u w:val="none" w:color="auto"/>
                <w:lang w:val="en-US" w:eastAsia="zh-CN"/>
              </w:rPr>
              <w:t>年5月审批</w:t>
            </w:r>
            <w:r>
              <w:rPr>
                <w:rFonts w:hint="default" w:cs="Times New Roman"/>
                <w:b w:val="0"/>
                <w:bCs/>
                <w:color w:val="auto"/>
                <w:sz w:val="24"/>
                <w:szCs w:val="24"/>
                <w:highlight w:val="none"/>
                <w:u w:val="none" w:color="auto"/>
                <w:lang w:eastAsia="zh-CN"/>
              </w:rPr>
              <w:t>，审批文号</w:t>
            </w:r>
            <w:r>
              <w:rPr>
                <w:rFonts w:hint="eastAsia" w:cs="Times New Roman"/>
                <w:b w:val="0"/>
                <w:bCs/>
                <w:color w:val="auto"/>
                <w:sz w:val="24"/>
                <w:szCs w:val="24"/>
                <w:highlight w:val="none"/>
                <w:u w:val="none" w:color="auto"/>
                <w:lang w:val="en-US" w:eastAsia="zh-CN"/>
              </w:rPr>
              <w:t>汤环管字[2012]43号，2014年11月投入生产运行；年产1.6万吨汽车配件用高性能材料改建项目于2015年12月9日通过汤阴县环境保护局审批，审批文号汤环管字</w:t>
            </w:r>
            <w:r>
              <w:rPr>
                <w:rFonts w:hint="eastAsia" w:ascii="Times New Roman" w:hAnsi="Times New Roman" w:cs="Times New Roman"/>
                <w:color w:val="auto"/>
                <w:kern w:val="2"/>
                <w:sz w:val="24"/>
                <w:szCs w:val="24"/>
                <w:highlight w:val="none"/>
                <w:lang w:val="en-US" w:eastAsia="zh-CN"/>
              </w:rPr>
              <w:t>[2015]</w:t>
            </w:r>
            <w:r>
              <w:rPr>
                <w:rFonts w:hint="eastAsia" w:cs="Times New Roman"/>
                <w:b w:val="0"/>
                <w:bCs/>
                <w:color w:val="auto"/>
                <w:sz w:val="24"/>
                <w:szCs w:val="24"/>
                <w:highlight w:val="none"/>
                <w:u w:val="none" w:color="auto"/>
                <w:lang w:val="en-US" w:eastAsia="zh-CN"/>
              </w:rPr>
              <w:t>80号</w:t>
            </w:r>
            <w:r>
              <w:rPr>
                <w:rFonts w:hint="default" w:cs="Times New Roman"/>
                <w:b w:val="0"/>
                <w:bCs/>
                <w:color w:val="auto"/>
                <w:sz w:val="24"/>
                <w:szCs w:val="24"/>
                <w:highlight w:val="none"/>
                <w:u w:val="none" w:color="auto"/>
                <w:lang w:eastAsia="zh-CN"/>
              </w:rPr>
              <w:t>，</w:t>
            </w:r>
            <w:r>
              <w:rPr>
                <w:rFonts w:hint="eastAsia" w:cs="Times New Roman"/>
                <w:b w:val="0"/>
                <w:bCs/>
                <w:color w:val="auto"/>
                <w:sz w:val="24"/>
                <w:szCs w:val="24"/>
                <w:highlight w:val="none"/>
                <w:u w:val="none" w:color="auto"/>
                <w:lang w:val="en-US" w:eastAsia="zh-CN"/>
              </w:rPr>
              <w:t>2016年7月投入生产运行；年产1.6万吨高新能弹簧钢丝技改项目于2020年6月经汤阴县环境保护局审批，审批文号汤环管字[2020]20号，</w:t>
            </w:r>
            <w:r>
              <w:rPr>
                <w:rFonts w:hint="default" w:ascii="Times New Roman" w:hAnsi="Times New Roman" w:cs="Times New Roman"/>
                <w:b w:val="0"/>
                <w:bCs/>
                <w:color w:val="auto"/>
                <w:sz w:val="24"/>
                <w:szCs w:val="24"/>
                <w:highlight w:val="none"/>
                <w:u w:val="none" w:color="auto"/>
                <w:lang w:val="en-US" w:eastAsia="zh-CN"/>
              </w:rPr>
              <w:t>2</w:t>
            </w:r>
            <w:r>
              <w:rPr>
                <w:rFonts w:hint="eastAsia" w:cs="Times New Roman"/>
                <w:b w:val="0"/>
                <w:bCs/>
                <w:color w:val="auto"/>
                <w:sz w:val="24"/>
                <w:szCs w:val="24"/>
                <w:highlight w:val="none"/>
                <w:u w:val="none" w:color="auto"/>
                <w:lang w:val="en-US" w:eastAsia="zh-CN"/>
              </w:rPr>
              <w:t>020年8月投入生产运行。</w:t>
            </w:r>
          </w:p>
          <w:p w14:paraId="736EBC8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1.2排污许可执行情况</w:t>
            </w:r>
          </w:p>
          <w:p w14:paraId="2715796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cs="Times New Roman"/>
                <w:b w:val="0"/>
                <w:bCs/>
                <w:color w:val="auto"/>
                <w:sz w:val="24"/>
                <w:szCs w:val="24"/>
                <w:highlight w:val="none"/>
                <w:u w:val="none" w:color="auto"/>
                <w:lang w:val="en-US" w:eastAsia="zh-CN"/>
              </w:rPr>
              <w:t>安阳双兴线材制品</w:t>
            </w:r>
            <w:r>
              <w:rPr>
                <w:rFonts w:hint="default" w:ascii="Times New Roman" w:hAnsi="Times New Roman" w:eastAsia="宋体" w:cs="Times New Roman"/>
                <w:b w:val="0"/>
                <w:bCs/>
                <w:color w:val="auto"/>
                <w:sz w:val="24"/>
                <w:szCs w:val="24"/>
                <w:highlight w:val="none"/>
                <w:u w:val="none" w:color="auto"/>
                <w:lang w:val="en-US" w:eastAsia="zh-CN"/>
              </w:rPr>
              <w:t>有限公司</w:t>
            </w:r>
            <w:r>
              <w:rPr>
                <w:rFonts w:hint="default" w:ascii="Times New Roman" w:hAnsi="Times New Roman" w:eastAsia="宋体" w:cs="Times New Roman"/>
                <w:b w:val="0"/>
                <w:bCs w:val="0"/>
                <w:color w:val="auto"/>
                <w:kern w:val="2"/>
                <w:sz w:val="24"/>
                <w:szCs w:val="24"/>
                <w:lang w:val="en-US" w:eastAsia="zh-CN" w:bidi="ar-SA"/>
              </w:rPr>
              <w:t>于2020年</w:t>
            </w:r>
            <w:r>
              <w:rPr>
                <w:rFonts w:hint="default" w:ascii="Times New Roman" w:hAnsi="Times New Roman" w:cs="Times New Roman"/>
                <w:b w:val="0"/>
                <w:bCs w:val="0"/>
                <w:color w:val="auto"/>
                <w:kern w:val="2"/>
                <w:sz w:val="24"/>
                <w:szCs w:val="24"/>
                <w:lang w:val="en-US" w:eastAsia="zh-CN" w:bidi="ar-SA"/>
              </w:rPr>
              <w:t>3</w:t>
            </w:r>
            <w:r>
              <w:rPr>
                <w:rFonts w:hint="default" w:ascii="Times New Roman" w:hAnsi="Times New Roman" w:eastAsia="宋体" w:cs="Times New Roman"/>
                <w:b w:val="0"/>
                <w:bCs w:val="0"/>
                <w:color w:val="auto"/>
                <w:kern w:val="2"/>
                <w:sz w:val="24"/>
                <w:szCs w:val="24"/>
                <w:lang w:val="en-US" w:eastAsia="zh-CN" w:bidi="ar-SA"/>
              </w:rPr>
              <w:t>月2</w:t>
            </w:r>
            <w:r>
              <w:rPr>
                <w:rFonts w:hint="default" w:ascii="Times New Roman" w:hAnsi="Times New Roman" w:cs="Times New Roman"/>
                <w:b w:val="0"/>
                <w:bCs w:val="0"/>
                <w:color w:val="auto"/>
                <w:kern w:val="2"/>
                <w:sz w:val="24"/>
                <w:szCs w:val="24"/>
                <w:lang w:val="en-US" w:eastAsia="zh-CN" w:bidi="ar-SA"/>
              </w:rPr>
              <w:t>0</w:t>
            </w:r>
            <w:r>
              <w:rPr>
                <w:rFonts w:hint="default" w:ascii="Times New Roman" w:hAnsi="Times New Roman" w:eastAsia="宋体" w:cs="Times New Roman"/>
                <w:b w:val="0"/>
                <w:bCs w:val="0"/>
                <w:color w:val="auto"/>
                <w:kern w:val="2"/>
                <w:sz w:val="24"/>
                <w:szCs w:val="24"/>
                <w:lang w:val="en-US" w:eastAsia="zh-CN" w:bidi="ar-SA"/>
              </w:rPr>
              <w:t>日完成排污许可证首次申领，202</w:t>
            </w:r>
            <w:r>
              <w:rPr>
                <w:rFonts w:hint="default" w:ascii="Times New Roman" w:hAnsi="Times New Roman" w:cs="Times New Roman"/>
                <w:b w:val="0"/>
                <w:bCs w:val="0"/>
                <w:color w:val="auto"/>
                <w:kern w:val="2"/>
                <w:sz w:val="24"/>
                <w:szCs w:val="24"/>
                <w:lang w:val="en-US" w:eastAsia="zh-CN" w:bidi="ar-SA"/>
              </w:rPr>
              <w:t>0</w:t>
            </w:r>
            <w:r>
              <w:rPr>
                <w:rFonts w:hint="default" w:ascii="Times New Roman" w:hAnsi="Times New Roman" w:eastAsia="宋体" w:cs="Times New Roman"/>
                <w:b w:val="0"/>
                <w:bCs w:val="0"/>
                <w:color w:val="auto"/>
                <w:kern w:val="2"/>
                <w:sz w:val="24"/>
                <w:szCs w:val="24"/>
                <w:lang w:val="en-US" w:eastAsia="zh-CN" w:bidi="ar-SA"/>
              </w:rPr>
              <w:t>年</w:t>
            </w:r>
            <w:r>
              <w:rPr>
                <w:rFonts w:hint="default" w:ascii="Times New Roman" w:hAnsi="Times New Roman" w:cs="Times New Roman"/>
                <w:b w:val="0"/>
                <w:bCs w:val="0"/>
                <w:color w:val="auto"/>
                <w:kern w:val="2"/>
                <w:sz w:val="24"/>
                <w:szCs w:val="24"/>
                <w:lang w:val="en-US" w:eastAsia="zh-CN" w:bidi="ar-SA"/>
              </w:rPr>
              <w:t>8</w:t>
            </w:r>
            <w:r>
              <w:rPr>
                <w:rFonts w:hint="default" w:ascii="Times New Roman" w:hAnsi="Times New Roman" w:eastAsia="宋体" w:cs="Times New Roman"/>
                <w:b w:val="0"/>
                <w:bCs w:val="0"/>
                <w:color w:val="auto"/>
                <w:kern w:val="2"/>
                <w:sz w:val="24"/>
                <w:szCs w:val="24"/>
                <w:lang w:val="en-US" w:eastAsia="zh-CN" w:bidi="ar-SA"/>
              </w:rPr>
              <w:t>月</w:t>
            </w:r>
            <w:r>
              <w:rPr>
                <w:rFonts w:hint="default" w:ascii="Times New Roman" w:hAnsi="Times New Roman" w:cs="Times New Roman"/>
                <w:b w:val="0"/>
                <w:bCs w:val="0"/>
                <w:color w:val="auto"/>
                <w:kern w:val="2"/>
                <w:sz w:val="24"/>
                <w:szCs w:val="24"/>
                <w:lang w:val="en-US" w:eastAsia="zh-CN" w:bidi="ar-SA"/>
              </w:rPr>
              <w:t>1</w:t>
            </w:r>
            <w:r>
              <w:rPr>
                <w:rFonts w:hint="default" w:ascii="Times New Roman" w:hAnsi="Times New Roman" w:eastAsia="宋体" w:cs="Times New Roman"/>
                <w:b w:val="0"/>
                <w:bCs w:val="0"/>
                <w:color w:val="auto"/>
                <w:kern w:val="2"/>
                <w:sz w:val="24"/>
                <w:szCs w:val="24"/>
                <w:lang w:val="en-US" w:eastAsia="zh-CN" w:bidi="ar-SA"/>
              </w:rPr>
              <w:t>7日</w:t>
            </w:r>
            <w:r>
              <w:rPr>
                <w:rFonts w:hint="default" w:ascii="Times New Roman" w:hAnsi="Times New Roman" w:cs="Times New Roman"/>
                <w:b w:val="0"/>
                <w:bCs w:val="0"/>
                <w:color w:val="auto"/>
                <w:kern w:val="2"/>
                <w:sz w:val="24"/>
                <w:szCs w:val="24"/>
                <w:highlight w:val="none"/>
                <w:lang w:val="en-US" w:eastAsia="zh-CN" w:bidi="ar-SA"/>
              </w:rPr>
              <w:t>变更</w:t>
            </w:r>
            <w:r>
              <w:rPr>
                <w:rFonts w:hint="default" w:ascii="Times New Roman" w:hAnsi="Times New Roman" w:eastAsia="宋体" w:cs="Times New Roman"/>
                <w:b w:val="0"/>
                <w:bCs w:val="0"/>
                <w:color w:val="auto"/>
                <w:kern w:val="2"/>
                <w:sz w:val="24"/>
                <w:szCs w:val="24"/>
                <w:lang w:val="en-US" w:eastAsia="zh-CN" w:bidi="ar-SA"/>
              </w:rPr>
              <w:t>，202</w:t>
            </w:r>
            <w:r>
              <w:rPr>
                <w:rFonts w:hint="default" w:ascii="Times New Roman" w:hAnsi="Times New Roman" w:cs="Times New Roman"/>
                <w:b w:val="0"/>
                <w:bCs w:val="0"/>
                <w:color w:val="auto"/>
                <w:kern w:val="2"/>
                <w:sz w:val="24"/>
                <w:szCs w:val="24"/>
                <w:lang w:val="en-US" w:eastAsia="zh-CN" w:bidi="ar-SA"/>
              </w:rPr>
              <w:t>5</w:t>
            </w:r>
            <w:r>
              <w:rPr>
                <w:rFonts w:hint="default" w:ascii="Times New Roman" w:hAnsi="Times New Roman" w:eastAsia="宋体" w:cs="Times New Roman"/>
                <w:b w:val="0"/>
                <w:bCs w:val="0"/>
                <w:color w:val="auto"/>
                <w:kern w:val="2"/>
                <w:sz w:val="24"/>
                <w:szCs w:val="24"/>
                <w:lang w:val="en-US" w:eastAsia="zh-CN" w:bidi="ar-SA"/>
              </w:rPr>
              <w:t>年</w:t>
            </w:r>
            <w:r>
              <w:rPr>
                <w:rFonts w:hint="default" w:ascii="Times New Roman" w:hAnsi="Times New Roman" w:cs="Times New Roman"/>
                <w:b w:val="0"/>
                <w:bCs w:val="0"/>
                <w:color w:val="auto"/>
                <w:kern w:val="2"/>
                <w:sz w:val="24"/>
                <w:szCs w:val="24"/>
                <w:lang w:val="en-US" w:eastAsia="zh-CN" w:bidi="ar-SA"/>
              </w:rPr>
              <w:t>6</w:t>
            </w:r>
            <w:r>
              <w:rPr>
                <w:rFonts w:hint="default" w:ascii="Times New Roman" w:hAnsi="Times New Roman" w:eastAsia="宋体" w:cs="Times New Roman"/>
                <w:b w:val="0"/>
                <w:bCs w:val="0"/>
                <w:color w:val="auto"/>
                <w:kern w:val="2"/>
                <w:sz w:val="24"/>
                <w:szCs w:val="24"/>
                <w:lang w:val="en-US" w:eastAsia="zh-CN" w:bidi="ar-SA"/>
              </w:rPr>
              <w:t>月</w:t>
            </w:r>
            <w:r>
              <w:rPr>
                <w:rFonts w:hint="default" w:ascii="Times New Roman" w:hAnsi="Times New Roman" w:cs="Times New Roman"/>
                <w:b w:val="0"/>
                <w:bCs w:val="0"/>
                <w:color w:val="auto"/>
                <w:kern w:val="2"/>
                <w:sz w:val="24"/>
                <w:szCs w:val="24"/>
                <w:lang w:val="en-US" w:eastAsia="zh-CN" w:bidi="ar-SA"/>
              </w:rPr>
              <w:t>19</w:t>
            </w:r>
            <w:r>
              <w:rPr>
                <w:rFonts w:hint="default" w:ascii="Times New Roman" w:hAnsi="Times New Roman" w:eastAsia="宋体" w:cs="Times New Roman"/>
                <w:b w:val="0"/>
                <w:bCs w:val="0"/>
                <w:color w:val="auto"/>
                <w:kern w:val="2"/>
                <w:sz w:val="24"/>
                <w:szCs w:val="24"/>
                <w:lang w:val="en-US" w:eastAsia="zh-CN" w:bidi="ar-SA"/>
              </w:rPr>
              <w:t>日</w:t>
            </w:r>
            <w:r>
              <w:rPr>
                <w:rFonts w:hint="default" w:ascii="Times New Roman" w:hAnsi="Times New Roman" w:eastAsia="宋体" w:cs="Times New Roman"/>
                <w:b w:val="0"/>
                <w:bCs w:val="0"/>
                <w:color w:val="auto"/>
                <w:kern w:val="2"/>
                <w:sz w:val="24"/>
                <w:szCs w:val="24"/>
                <w:highlight w:val="none"/>
                <w:lang w:val="en-US" w:eastAsia="zh-CN" w:bidi="ar-SA"/>
              </w:rPr>
              <w:t>变更</w:t>
            </w:r>
            <w:r>
              <w:rPr>
                <w:rFonts w:hint="default" w:ascii="Times New Roman" w:hAnsi="Times New Roman" w:eastAsia="宋体" w:cs="Times New Roman"/>
                <w:b w:val="0"/>
                <w:bCs w:val="0"/>
                <w:color w:val="auto"/>
                <w:kern w:val="2"/>
                <w:sz w:val="24"/>
                <w:szCs w:val="24"/>
                <w:lang w:val="en-US" w:eastAsia="zh-CN" w:bidi="ar-SA"/>
              </w:rPr>
              <w:t>，目前有效期限为202</w:t>
            </w:r>
            <w:r>
              <w:rPr>
                <w:rFonts w:hint="default" w:ascii="Times New Roman" w:hAnsi="Times New Roman" w:cs="Times New Roman"/>
                <w:b w:val="0"/>
                <w:bCs w:val="0"/>
                <w:color w:val="auto"/>
                <w:kern w:val="2"/>
                <w:sz w:val="24"/>
                <w:szCs w:val="24"/>
                <w:lang w:val="en-US" w:eastAsia="zh-CN" w:bidi="ar-SA"/>
              </w:rPr>
              <w:t>5</w:t>
            </w:r>
            <w:r>
              <w:rPr>
                <w:rFonts w:hint="default" w:ascii="Times New Roman" w:hAnsi="Times New Roman" w:eastAsia="宋体" w:cs="Times New Roman"/>
                <w:b w:val="0"/>
                <w:bCs w:val="0"/>
                <w:color w:val="auto"/>
                <w:kern w:val="2"/>
                <w:sz w:val="24"/>
                <w:szCs w:val="24"/>
                <w:lang w:val="en-US" w:eastAsia="zh-CN" w:bidi="ar-SA"/>
              </w:rPr>
              <w:t>年</w:t>
            </w:r>
            <w:r>
              <w:rPr>
                <w:rFonts w:hint="default" w:ascii="Times New Roman" w:hAnsi="Times New Roman" w:cs="Times New Roman"/>
                <w:b w:val="0"/>
                <w:bCs w:val="0"/>
                <w:color w:val="auto"/>
                <w:kern w:val="2"/>
                <w:sz w:val="24"/>
                <w:szCs w:val="24"/>
                <w:lang w:val="en-US" w:eastAsia="zh-CN" w:bidi="ar-SA"/>
              </w:rPr>
              <w:t>6</w:t>
            </w:r>
            <w:r>
              <w:rPr>
                <w:rFonts w:hint="default" w:ascii="Times New Roman" w:hAnsi="Times New Roman" w:eastAsia="宋体" w:cs="Times New Roman"/>
                <w:b w:val="0"/>
                <w:bCs w:val="0"/>
                <w:color w:val="auto"/>
                <w:kern w:val="2"/>
                <w:sz w:val="24"/>
                <w:szCs w:val="24"/>
                <w:lang w:val="en-US" w:eastAsia="zh-CN" w:bidi="ar-SA"/>
              </w:rPr>
              <w:t>月</w:t>
            </w:r>
            <w:r>
              <w:rPr>
                <w:rFonts w:hint="default" w:ascii="Times New Roman" w:hAnsi="Times New Roman" w:cs="Times New Roman"/>
                <w:b w:val="0"/>
                <w:bCs w:val="0"/>
                <w:color w:val="auto"/>
                <w:kern w:val="2"/>
                <w:sz w:val="24"/>
                <w:szCs w:val="24"/>
                <w:lang w:val="en-US" w:eastAsia="zh-CN" w:bidi="ar-SA"/>
              </w:rPr>
              <w:t>19</w:t>
            </w:r>
            <w:r>
              <w:rPr>
                <w:rFonts w:hint="default" w:ascii="Times New Roman" w:hAnsi="Times New Roman" w:eastAsia="宋体" w:cs="Times New Roman"/>
                <w:b w:val="0"/>
                <w:bCs w:val="0"/>
                <w:color w:val="auto"/>
                <w:kern w:val="2"/>
                <w:sz w:val="24"/>
                <w:szCs w:val="24"/>
                <w:lang w:val="en-US" w:eastAsia="zh-CN" w:bidi="ar-SA"/>
              </w:rPr>
              <w:t>日至20</w:t>
            </w:r>
            <w:r>
              <w:rPr>
                <w:rFonts w:hint="default" w:ascii="Times New Roman" w:hAnsi="Times New Roman" w:cs="Times New Roman"/>
                <w:b w:val="0"/>
                <w:bCs w:val="0"/>
                <w:color w:val="auto"/>
                <w:kern w:val="2"/>
                <w:sz w:val="24"/>
                <w:szCs w:val="24"/>
                <w:lang w:val="en-US" w:eastAsia="zh-CN" w:bidi="ar-SA"/>
              </w:rPr>
              <w:t>30</w:t>
            </w:r>
            <w:r>
              <w:rPr>
                <w:rFonts w:hint="default" w:ascii="Times New Roman" w:hAnsi="Times New Roman" w:eastAsia="宋体" w:cs="Times New Roman"/>
                <w:b w:val="0"/>
                <w:bCs w:val="0"/>
                <w:color w:val="auto"/>
                <w:kern w:val="2"/>
                <w:sz w:val="24"/>
                <w:szCs w:val="24"/>
                <w:lang w:val="en-US" w:eastAsia="zh-CN" w:bidi="ar-SA"/>
              </w:rPr>
              <w:t>年</w:t>
            </w:r>
            <w:r>
              <w:rPr>
                <w:rFonts w:hint="default" w:ascii="Times New Roman" w:hAnsi="Times New Roman" w:cs="Times New Roman"/>
                <w:b w:val="0"/>
                <w:bCs w:val="0"/>
                <w:color w:val="auto"/>
                <w:kern w:val="2"/>
                <w:sz w:val="24"/>
                <w:szCs w:val="24"/>
                <w:lang w:val="en-US" w:eastAsia="zh-CN" w:bidi="ar-SA"/>
              </w:rPr>
              <w:t>6</w:t>
            </w:r>
            <w:r>
              <w:rPr>
                <w:rFonts w:hint="default" w:ascii="Times New Roman" w:hAnsi="Times New Roman" w:eastAsia="宋体" w:cs="Times New Roman"/>
                <w:b w:val="0"/>
                <w:bCs w:val="0"/>
                <w:color w:val="auto"/>
                <w:kern w:val="2"/>
                <w:sz w:val="24"/>
                <w:szCs w:val="24"/>
                <w:lang w:val="en-US" w:eastAsia="zh-CN" w:bidi="ar-SA"/>
              </w:rPr>
              <w:t>月</w:t>
            </w:r>
            <w:r>
              <w:rPr>
                <w:rFonts w:hint="default" w:ascii="Times New Roman" w:hAnsi="Times New Roman" w:cs="Times New Roman"/>
                <w:b w:val="0"/>
                <w:bCs w:val="0"/>
                <w:color w:val="auto"/>
                <w:kern w:val="2"/>
                <w:sz w:val="24"/>
                <w:szCs w:val="24"/>
                <w:lang w:val="en-US" w:eastAsia="zh-CN" w:bidi="ar-SA"/>
              </w:rPr>
              <w:t>18</w:t>
            </w:r>
            <w:r>
              <w:rPr>
                <w:rFonts w:hint="default" w:ascii="Times New Roman" w:hAnsi="Times New Roman" w:eastAsia="宋体" w:cs="Times New Roman"/>
                <w:b w:val="0"/>
                <w:bCs w:val="0"/>
                <w:color w:val="auto"/>
                <w:kern w:val="2"/>
                <w:sz w:val="24"/>
                <w:szCs w:val="24"/>
                <w:lang w:val="en-US" w:eastAsia="zh-CN" w:bidi="ar-SA"/>
              </w:rPr>
              <w:t>日。</w:t>
            </w:r>
            <w:r>
              <w:rPr>
                <w:rFonts w:hint="default" w:ascii="Times New Roman" w:hAnsi="Times New Roman" w:cs="Times New Roman"/>
                <w:b w:val="0"/>
                <w:bCs w:val="0"/>
                <w:color w:val="auto"/>
                <w:kern w:val="2"/>
                <w:sz w:val="24"/>
                <w:szCs w:val="24"/>
                <w:lang w:val="en-US" w:eastAsia="zh-CN" w:bidi="ar-SA"/>
              </w:rPr>
              <w:t>登记信息编号为</w:t>
            </w:r>
            <w:r>
              <w:rPr>
                <w:rFonts w:hint="default" w:ascii="Times New Roman" w:hAnsi="Times New Roman" w:eastAsia="宋体" w:cs="Times New Roman"/>
                <w:b w:val="0"/>
                <w:bCs w:val="0"/>
                <w:color w:val="auto"/>
                <w:kern w:val="2"/>
                <w:sz w:val="24"/>
                <w:szCs w:val="24"/>
                <w:lang w:val="en-US" w:eastAsia="zh-CN" w:bidi="ar-SA"/>
              </w:rPr>
              <w:t>91410523052297723X001Z</w:t>
            </w:r>
            <w:r>
              <w:rPr>
                <w:rFonts w:hint="default" w:ascii="Times New Roman" w:hAnsi="Times New Roman" w:cs="Times New Roman"/>
                <w:b w:val="0"/>
                <w:bCs w:val="0"/>
                <w:color w:val="auto"/>
                <w:kern w:val="2"/>
                <w:sz w:val="24"/>
                <w:szCs w:val="24"/>
                <w:lang w:val="en-US" w:eastAsia="zh-CN" w:bidi="ar-SA"/>
              </w:rPr>
              <w:t>。</w:t>
            </w:r>
          </w:p>
          <w:p w14:paraId="3ED5AEA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4"/>
                <w:szCs w:val="24"/>
                <w:lang w:val="en-US" w:eastAsia="zh-CN" w:bidi="ar-SA"/>
              </w:rPr>
              <w:t>2.</w:t>
            </w:r>
            <w:r>
              <w:rPr>
                <w:rFonts w:hint="default" w:ascii="Times New Roman" w:hAnsi="Times New Roman" w:eastAsia="宋体" w:cs="Times New Roman"/>
                <w:b/>
                <w:bCs/>
                <w:color w:val="auto"/>
                <w:sz w:val="24"/>
                <w:szCs w:val="24"/>
                <w:lang w:val="en-US" w:eastAsia="zh-CN"/>
              </w:rPr>
              <w:t>现有工程建设情况</w:t>
            </w:r>
          </w:p>
          <w:p w14:paraId="169D111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2.1现有生产线生产工艺</w:t>
            </w:r>
          </w:p>
          <w:p w14:paraId="62EA304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eastAsia="宋体"/>
                <w:color w:val="auto"/>
                <w:sz w:val="28"/>
                <w:lang w:eastAsia="zh-CN"/>
              </w:rPr>
            </w:pPr>
            <w:r>
              <w:rPr>
                <w:rFonts w:hint="eastAsia" w:eastAsia="宋体"/>
                <w:color w:val="auto"/>
                <w:sz w:val="28"/>
                <w:lang w:eastAsia="zh-CN"/>
              </w:rPr>
              <w:drawing>
                <wp:inline distT="0" distB="0" distL="114300" distR="114300">
                  <wp:extent cx="5311140" cy="2623820"/>
                  <wp:effectExtent l="0" t="0" r="3810" b="5080"/>
                  <wp:docPr id="28" name="ECB019B1-382A-4266-B25C-5B523AA43C14-5" descr="C:/Users/Administrator/AppData/Local/Temp/wps.oliwH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ECB019B1-382A-4266-B25C-5B523AA43C14-5" descr="C:/Users/Administrator/AppData/Local/Temp/wps.oliwHfwps"/>
                          <pic:cNvPicPr>
                            <a:picLocks noChangeAspect="1"/>
                          </pic:cNvPicPr>
                        </pic:nvPicPr>
                        <pic:blipFill>
                          <a:blip r:embed="rId11"/>
                          <a:stretch>
                            <a:fillRect/>
                          </a:stretch>
                        </pic:blipFill>
                        <pic:spPr>
                          <a:xfrm>
                            <a:off x="0" y="0"/>
                            <a:ext cx="5311140" cy="2623820"/>
                          </a:xfrm>
                          <a:prstGeom prst="rect">
                            <a:avLst/>
                          </a:prstGeom>
                          <a:solidFill>
                            <a:srgbClr val="FFFFFF"/>
                          </a:solidFill>
                          <a:ln>
                            <a:noFill/>
                          </a:ln>
                        </pic:spPr>
                      </pic:pic>
                    </a:graphicData>
                  </a:graphic>
                </wp:inline>
              </w:drawing>
            </w:r>
          </w:p>
          <w:p w14:paraId="2B5B785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Calibri" w:hAnsi="Calibri" w:eastAsia="宋体" w:cs="Times New Roman"/>
                <w:b/>
                <w:bCs/>
                <w:color w:val="auto"/>
                <w:sz w:val="24"/>
                <w:szCs w:val="24"/>
                <w:lang w:val="en-US" w:eastAsia="zh-CN"/>
              </w:rPr>
            </w:pPr>
            <w:r>
              <w:rPr>
                <w:rFonts w:hint="eastAsia" w:ascii="Calibri" w:hAnsi="Calibri" w:cs="Times New Roman"/>
                <w:b/>
                <w:bCs/>
                <w:color w:val="auto"/>
                <w:sz w:val="24"/>
                <w:szCs w:val="24"/>
                <w:lang w:val="en-US" w:eastAsia="zh-CN"/>
              </w:rPr>
              <w:t>图</w:t>
            </w:r>
            <w:r>
              <w:rPr>
                <w:rFonts w:hint="default" w:ascii="Times New Roman" w:hAnsi="Times New Roman" w:cs="Times New Roman"/>
                <w:b/>
                <w:bCs/>
                <w:color w:val="auto"/>
                <w:sz w:val="24"/>
                <w:szCs w:val="24"/>
                <w:lang w:val="en-US" w:eastAsia="zh-CN"/>
              </w:rPr>
              <w:t>4</w:t>
            </w:r>
            <w:r>
              <w:rPr>
                <w:rFonts w:hint="eastAsia" w:ascii="Calibri" w:hAnsi="Calibri" w:cs="Times New Roman"/>
                <w:b/>
                <w:bCs/>
                <w:color w:val="auto"/>
                <w:sz w:val="24"/>
                <w:szCs w:val="24"/>
                <w:lang w:val="en-US" w:eastAsia="zh-CN"/>
              </w:rPr>
              <w:t xml:space="preserve">  </w:t>
            </w:r>
            <w:r>
              <w:rPr>
                <w:rFonts w:hint="default" w:ascii="Calibri" w:hAnsi="Calibri" w:eastAsia="宋体" w:cs="Times New Roman"/>
                <w:b/>
                <w:bCs/>
                <w:color w:val="auto"/>
                <w:sz w:val="24"/>
                <w:szCs w:val="24"/>
                <w:lang w:val="en-US" w:eastAsia="zh-CN"/>
              </w:rPr>
              <w:t>生产工艺及产污流程图</w:t>
            </w:r>
          </w:p>
          <w:p w14:paraId="065B3B1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kern w:val="2"/>
                <w:sz w:val="24"/>
                <w:szCs w:val="24"/>
                <w:lang w:val="en-US" w:eastAsia="zh-CN" w:bidi="ar-SA"/>
              </w:rPr>
              <w:t>3.</w:t>
            </w:r>
            <w:r>
              <w:rPr>
                <w:rFonts w:hint="default" w:ascii="Times New Roman" w:hAnsi="Times New Roman" w:eastAsia="宋体" w:cs="Times New Roman"/>
                <w:b/>
                <w:bCs/>
                <w:color w:val="auto"/>
                <w:sz w:val="24"/>
                <w:szCs w:val="24"/>
                <w:lang w:val="en-US" w:eastAsia="zh-CN"/>
              </w:rPr>
              <w:t>产排污分析</w:t>
            </w:r>
          </w:p>
          <w:p w14:paraId="2F24CDA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jc w:val="both"/>
              <w:textAlignment w:val="auto"/>
              <w:rPr>
                <w:rFonts w:hint="eastAsia" w:ascii="Calibri" w:hAnsi="Calibri"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3.1</w:t>
            </w:r>
            <w:r>
              <w:rPr>
                <w:rFonts w:hint="eastAsia" w:ascii="Calibri" w:hAnsi="Calibri" w:eastAsia="宋体" w:cs="Times New Roman"/>
                <w:b/>
                <w:bCs/>
                <w:color w:val="auto"/>
                <w:sz w:val="24"/>
                <w:szCs w:val="24"/>
                <w:lang w:val="en-US" w:eastAsia="zh-CN"/>
              </w:rPr>
              <w:t>废气</w:t>
            </w:r>
          </w:p>
          <w:p w14:paraId="61A1F2E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Calibri" w:hAnsi="Calibri" w:eastAsia="宋体" w:cs="Times New Roman"/>
                <w:b w:val="0"/>
                <w:bCs w:val="0"/>
                <w:color w:val="auto"/>
                <w:sz w:val="24"/>
                <w:szCs w:val="24"/>
                <w:lang w:val="en-US" w:eastAsia="zh-CN"/>
              </w:rPr>
            </w:pPr>
            <w:r>
              <w:rPr>
                <w:rFonts w:hint="eastAsia" w:ascii="Calibri" w:hAnsi="Calibri" w:cs="Times New Roman"/>
                <w:b w:val="0"/>
                <w:bCs w:val="0"/>
                <w:color w:val="auto"/>
                <w:sz w:val="24"/>
                <w:szCs w:val="24"/>
                <w:lang w:val="en-US" w:eastAsia="zh-CN"/>
              </w:rPr>
              <w:t>根据现有项目环评批复和验收报告中因颗粒物排放量极少，所以未考虑颗粒物排放量。</w:t>
            </w:r>
            <w:r>
              <w:rPr>
                <w:rFonts w:hint="eastAsia" w:ascii="Calibri" w:hAnsi="Calibri" w:cs="Times New Roman"/>
                <w:b w:val="0"/>
                <w:bCs w:val="0"/>
                <w:color w:val="auto"/>
                <w:sz w:val="24"/>
                <w:szCs w:val="24"/>
                <w:u w:val="none" w:color="auto"/>
                <w:lang w:val="en-US" w:eastAsia="zh-CN"/>
              </w:rPr>
              <w:t>现有项目拉丝粉用量</w:t>
            </w:r>
            <w:r>
              <w:rPr>
                <w:rFonts w:hint="default" w:ascii="Times New Roman" w:hAnsi="Times New Roman" w:cs="Times New Roman"/>
                <w:b w:val="0"/>
                <w:bCs w:val="0"/>
                <w:color w:val="auto"/>
                <w:sz w:val="24"/>
                <w:szCs w:val="24"/>
                <w:u w:val="none" w:color="auto"/>
                <w:lang w:val="en-US" w:eastAsia="zh-CN"/>
              </w:rPr>
              <w:t>为16000t/a×20g/t=0.32t/a，</w:t>
            </w:r>
            <w:r>
              <w:rPr>
                <w:rFonts w:hint="default" w:ascii="Times New Roman" w:hAnsi="Times New Roman" w:cs="Times New Roman"/>
                <w:b w:val="0"/>
                <w:bCs w:val="0"/>
                <w:color w:val="auto"/>
                <w:sz w:val="24"/>
                <w:szCs w:val="24"/>
                <w:highlight w:val="none"/>
                <w:u w:val="none" w:color="auto"/>
                <w:lang w:val="en-US" w:eastAsia="zh-CN"/>
              </w:rPr>
              <w:t>根据《33-37,431-434机械行业系数手册》“06预处理，其他废金属材料”产污系数为2.19kg/t，本项目所产生颗粒物量为0.</w:t>
            </w:r>
            <w:r>
              <w:rPr>
                <w:rFonts w:hint="eastAsia" w:ascii="Times New Roman" w:hAnsi="Times New Roman" w:cs="Times New Roman"/>
                <w:b w:val="0"/>
                <w:bCs w:val="0"/>
                <w:color w:val="auto"/>
                <w:sz w:val="24"/>
                <w:szCs w:val="24"/>
                <w:highlight w:val="none"/>
                <w:u w:val="none" w:color="auto"/>
                <w:lang w:val="en-US" w:eastAsia="zh-CN"/>
              </w:rPr>
              <w:t>32</w:t>
            </w:r>
            <w:r>
              <w:rPr>
                <w:rFonts w:hint="default" w:ascii="Times New Roman" w:hAnsi="Times New Roman" w:cs="Times New Roman"/>
                <w:b w:val="0"/>
                <w:bCs w:val="0"/>
                <w:color w:val="auto"/>
                <w:sz w:val="24"/>
                <w:szCs w:val="24"/>
                <w:highlight w:val="none"/>
                <w:u w:val="none" w:color="auto"/>
                <w:lang w:val="en-US" w:eastAsia="zh-CN"/>
              </w:rPr>
              <w:t>t/a×2.19kg/t=0.</w:t>
            </w:r>
            <w:r>
              <w:rPr>
                <w:rFonts w:hint="eastAsia" w:ascii="Times New Roman" w:hAnsi="Times New Roman" w:cs="Times New Roman"/>
                <w:b w:val="0"/>
                <w:bCs w:val="0"/>
                <w:color w:val="auto"/>
                <w:sz w:val="24"/>
                <w:szCs w:val="24"/>
                <w:highlight w:val="none"/>
                <w:u w:val="none" w:color="auto"/>
                <w:lang w:val="en-US" w:eastAsia="zh-CN"/>
              </w:rPr>
              <w:t>7008</w:t>
            </w:r>
            <w:r>
              <w:rPr>
                <w:rFonts w:hint="default" w:ascii="Times New Roman" w:hAnsi="Times New Roman" w:cs="Times New Roman"/>
                <w:b w:val="0"/>
                <w:bCs w:val="0"/>
                <w:color w:val="auto"/>
                <w:sz w:val="24"/>
                <w:szCs w:val="24"/>
                <w:highlight w:val="none"/>
                <w:u w:val="none" w:color="auto"/>
                <w:lang w:val="en-US" w:eastAsia="zh-CN"/>
              </w:rPr>
              <w:t>kg/a，排放量极少，加强防护措施无组织排放量可以忽略不计</w:t>
            </w:r>
            <w:r>
              <w:rPr>
                <w:rFonts w:hint="eastAsia" w:ascii="Times New Roman" w:hAnsi="Times New Roman" w:cs="Times New Roman"/>
                <w:b w:val="0"/>
                <w:bCs w:val="0"/>
                <w:color w:val="auto"/>
                <w:sz w:val="24"/>
                <w:szCs w:val="24"/>
                <w:highlight w:val="none"/>
                <w:u w:val="none" w:color="auto"/>
                <w:lang w:val="en-US" w:eastAsia="zh-CN"/>
              </w:rPr>
              <w:t>。</w:t>
            </w:r>
          </w:p>
          <w:p w14:paraId="2AF5DA9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3.2</w:t>
            </w:r>
            <w:r>
              <w:rPr>
                <w:rFonts w:hint="eastAsia" w:ascii="Calibri" w:hAnsi="Calibri" w:eastAsia="宋体" w:cs="Times New Roman"/>
                <w:b/>
                <w:bCs/>
                <w:color w:val="auto"/>
                <w:sz w:val="24"/>
                <w:szCs w:val="24"/>
                <w:lang w:val="en-US" w:eastAsia="zh-CN"/>
              </w:rPr>
              <w:t>废水</w:t>
            </w:r>
          </w:p>
          <w:p w14:paraId="20E75FE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Calibri" w:hAnsi="Calibri" w:cs="Times New Roman"/>
                <w:b w:val="0"/>
                <w:bCs w:val="0"/>
                <w:color w:val="auto"/>
                <w:sz w:val="24"/>
                <w:szCs w:val="24"/>
                <w:highlight w:val="yellow"/>
                <w:lang w:val="en-US" w:eastAsia="zh-CN"/>
              </w:rPr>
            </w:pPr>
            <w:r>
              <w:rPr>
                <w:rFonts w:hint="eastAsia" w:ascii="Calibri" w:hAnsi="Calibri" w:cs="Times New Roman"/>
                <w:b w:val="0"/>
                <w:bCs w:val="0"/>
                <w:color w:val="auto"/>
                <w:sz w:val="24"/>
                <w:szCs w:val="24"/>
                <w:lang w:val="en-US" w:eastAsia="zh-CN"/>
              </w:rPr>
              <w:t>现有项目废水为生活污水</w:t>
            </w:r>
            <w:r>
              <w:rPr>
                <w:rFonts w:hint="eastAsia" w:ascii="Calibri" w:hAnsi="Calibri" w:cs="Times New Roman"/>
                <w:b w:val="0"/>
                <w:bCs w:val="0"/>
                <w:color w:val="auto"/>
                <w:sz w:val="24"/>
                <w:szCs w:val="24"/>
                <w:highlight w:val="none"/>
                <w:lang w:val="en-US" w:eastAsia="zh-CN"/>
              </w:rPr>
              <w:t>、冷却循环系统冷却水，冷却水不外排。</w:t>
            </w:r>
          </w:p>
          <w:p w14:paraId="515C0329">
            <w:pPr>
              <w:pStyle w:val="72"/>
              <w:keepNext w:val="0"/>
              <w:keepLines w:val="0"/>
              <w:widowControl/>
              <w:suppressLineNumbers w:val="0"/>
              <w:bidi w:val="0"/>
              <w:spacing w:before="0" w:beforeAutospacing="0" w:after="0" w:afterAutospacing="0"/>
              <w:ind w:left="0" w:right="0"/>
              <w:rPr>
                <w:rFonts w:hint="default" w:ascii="Times New Roman" w:hAnsi="Times New Roman" w:cs="Times New Roman"/>
                <w:b/>
                <w:bCs/>
                <w:color w:val="auto"/>
                <w:kern w:val="2"/>
                <w:sz w:val="24"/>
                <w:szCs w:val="24"/>
                <w:lang w:val="en-US" w:eastAsia="zh-CN"/>
              </w:rPr>
            </w:pPr>
            <w:r>
              <w:rPr>
                <w:rFonts w:hint="default" w:ascii="Times New Roman" w:hAnsi="Times New Roman" w:cs="Times New Roman"/>
                <w:b/>
                <w:bCs/>
                <w:color w:val="auto"/>
                <w:kern w:val="2"/>
                <w:sz w:val="24"/>
                <w:szCs w:val="24"/>
                <w:lang w:val="en-US" w:eastAsia="zh-CN"/>
              </w:rPr>
              <w:t>2.1.1</w:t>
            </w:r>
            <w:r>
              <w:rPr>
                <w:rFonts w:hint="eastAsia" w:ascii="Times New Roman" w:hAnsi="Times New Roman" w:cs="Times New Roman"/>
                <w:b/>
                <w:bCs/>
                <w:color w:val="auto"/>
                <w:kern w:val="2"/>
                <w:sz w:val="24"/>
                <w:szCs w:val="24"/>
                <w:lang w:val="en-US" w:eastAsia="zh-CN"/>
              </w:rPr>
              <w:t>生活污水</w:t>
            </w:r>
          </w:p>
          <w:p w14:paraId="5DD1AEE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现有项目职工生活用水来源为</w:t>
            </w:r>
            <w:r>
              <w:rPr>
                <w:rFonts w:hint="eastAsia" w:cs="Times New Roman"/>
                <w:b w:val="0"/>
                <w:bCs w:val="0"/>
                <w:color w:val="auto"/>
                <w:sz w:val="24"/>
                <w:szCs w:val="24"/>
                <w:lang w:val="en-US" w:eastAsia="zh-CN"/>
              </w:rPr>
              <w:t>厂内自备井。</w:t>
            </w:r>
            <w:r>
              <w:rPr>
                <w:rFonts w:hint="eastAsia" w:ascii="Times New Roman" w:hAnsi="Times New Roman" w:cs="Times New Roman"/>
                <w:b w:val="0"/>
                <w:bCs w:val="0"/>
                <w:color w:val="auto"/>
                <w:sz w:val="24"/>
                <w:szCs w:val="24"/>
                <w:lang w:val="en-US" w:eastAsia="zh-CN"/>
              </w:rPr>
              <w:t>企业</w:t>
            </w:r>
            <w:r>
              <w:rPr>
                <w:rFonts w:hint="eastAsia" w:cs="Times New Roman"/>
                <w:b w:val="0"/>
                <w:bCs w:val="0"/>
                <w:color w:val="auto"/>
                <w:sz w:val="24"/>
                <w:szCs w:val="24"/>
                <w:lang w:val="en-US" w:eastAsia="zh-CN"/>
              </w:rPr>
              <w:t>现有</w:t>
            </w:r>
            <w:r>
              <w:rPr>
                <w:rFonts w:hint="eastAsia" w:ascii="Times New Roman" w:hAnsi="Times New Roman" w:cs="Times New Roman"/>
                <w:b w:val="0"/>
                <w:bCs w:val="0"/>
                <w:color w:val="auto"/>
                <w:sz w:val="24"/>
                <w:szCs w:val="24"/>
                <w:lang w:val="en-US" w:eastAsia="zh-CN"/>
              </w:rPr>
              <w:t>职工</w:t>
            </w:r>
            <w:r>
              <w:rPr>
                <w:rFonts w:hint="eastAsia" w:cs="Times New Roman"/>
                <w:b w:val="0"/>
                <w:bCs w:val="0"/>
                <w:color w:val="auto"/>
                <w:sz w:val="24"/>
                <w:szCs w:val="24"/>
                <w:lang w:val="en-US" w:eastAsia="zh-CN"/>
              </w:rPr>
              <w:t>20</w:t>
            </w:r>
            <w:r>
              <w:rPr>
                <w:rFonts w:hint="eastAsia" w:ascii="Times New Roman" w:hAnsi="Times New Roman" w:cs="Times New Roman"/>
                <w:b w:val="0"/>
                <w:bCs w:val="0"/>
                <w:color w:val="auto"/>
                <w:sz w:val="24"/>
                <w:szCs w:val="24"/>
                <w:lang w:val="en-US" w:eastAsia="zh-CN"/>
              </w:rPr>
              <w:t>人，年工作</w:t>
            </w:r>
            <w:r>
              <w:rPr>
                <w:rFonts w:hint="eastAsia" w:cs="Times New Roman"/>
                <w:b w:val="0"/>
                <w:bCs w:val="0"/>
                <w:color w:val="auto"/>
                <w:sz w:val="24"/>
                <w:szCs w:val="24"/>
                <w:lang w:val="en-US" w:eastAsia="zh-CN"/>
              </w:rPr>
              <w:t>300</w:t>
            </w:r>
            <w:r>
              <w:rPr>
                <w:rFonts w:hint="eastAsia" w:ascii="Times New Roman" w:hAnsi="Times New Roman" w:cs="Times New Roman"/>
                <w:b w:val="0"/>
                <w:bCs w:val="0"/>
                <w:color w:val="auto"/>
                <w:sz w:val="24"/>
                <w:szCs w:val="24"/>
                <w:lang w:val="en-US" w:eastAsia="zh-CN"/>
              </w:rPr>
              <w:t>天</w:t>
            </w:r>
            <w:r>
              <w:rPr>
                <w:rFonts w:hint="eastAsia" w:cs="Times New Roman"/>
                <w:b w:val="0"/>
                <w:bCs w:val="0"/>
                <w:color w:val="auto"/>
                <w:sz w:val="24"/>
                <w:szCs w:val="24"/>
                <w:lang w:val="en-US" w:eastAsia="zh-CN"/>
              </w:rPr>
              <w:t>。现有项目用水量360m</w:t>
            </w:r>
            <w:r>
              <w:rPr>
                <w:rFonts w:hint="eastAsia" w:cs="Times New Roman"/>
                <w:b w:val="0"/>
                <w:bCs w:val="0"/>
                <w:color w:val="auto"/>
                <w:sz w:val="24"/>
                <w:szCs w:val="24"/>
                <w:vertAlign w:val="superscript"/>
                <w:lang w:val="en-US" w:eastAsia="zh-CN"/>
              </w:rPr>
              <w:t>3</w:t>
            </w:r>
            <w:r>
              <w:rPr>
                <w:rFonts w:hint="eastAsia" w:cs="Times New Roman"/>
                <w:b w:val="0"/>
                <w:bCs w:val="0"/>
                <w:color w:val="auto"/>
                <w:sz w:val="24"/>
                <w:szCs w:val="24"/>
                <w:lang w:val="en-US" w:eastAsia="zh-CN"/>
              </w:rPr>
              <w:t>/a，废水量288m</w:t>
            </w:r>
            <w:r>
              <w:rPr>
                <w:rFonts w:hint="eastAsia" w:cs="Times New Roman"/>
                <w:b w:val="0"/>
                <w:bCs w:val="0"/>
                <w:color w:val="auto"/>
                <w:sz w:val="24"/>
                <w:szCs w:val="24"/>
                <w:vertAlign w:val="superscript"/>
                <w:lang w:val="en-US" w:eastAsia="zh-CN"/>
              </w:rPr>
              <w:t>3</w:t>
            </w:r>
            <w:r>
              <w:rPr>
                <w:rFonts w:hint="eastAsia" w:cs="Times New Roman"/>
                <w:b w:val="0"/>
                <w:bCs w:val="0"/>
                <w:color w:val="auto"/>
                <w:sz w:val="24"/>
                <w:szCs w:val="24"/>
                <w:lang w:val="en-US" w:eastAsia="zh-CN"/>
              </w:rPr>
              <w:t>/a。</w:t>
            </w:r>
            <w:r>
              <w:rPr>
                <w:rFonts w:hint="eastAsia" w:ascii="Times New Roman" w:hAnsi="Times New Roman" w:cs="Times New Roman"/>
                <w:b w:val="0"/>
                <w:bCs w:val="0"/>
                <w:color w:val="auto"/>
                <w:sz w:val="24"/>
                <w:szCs w:val="24"/>
                <w:lang w:val="en-US" w:eastAsia="zh-CN"/>
              </w:rPr>
              <w:t>职工生活污水经</w:t>
            </w:r>
            <w:r>
              <w:rPr>
                <w:rFonts w:hint="eastAsia" w:cs="Times New Roman"/>
                <w:b w:val="0"/>
                <w:bCs w:val="0"/>
                <w:color w:val="auto"/>
                <w:sz w:val="24"/>
                <w:szCs w:val="24"/>
                <w:lang w:val="en-US" w:eastAsia="zh-CN"/>
              </w:rPr>
              <w:t>厂内现有化粪池预处理</w:t>
            </w:r>
            <w:r>
              <w:rPr>
                <w:rFonts w:hint="eastAsia" w:ascii="Times New Roman" w:hAnsi="Times New Roman" w:cs="Times New Roman"/>
                <w:b w:val="0"/>
                <w:bCs w:val="0"/>
                <w:color w:val="auto"/>
                <w:sz w:val="24"/>
                <w:szCs w:val="24"/>
                <w:lang w:val="en-US" w:eastAsia="zh-CN"/>
              </w:rPr>
              <w:t>后，</w:t>
            </w:r>
            <w:r>
              <w:rPr>
                <w:rFonts w:hint="eastAsia" w:cs="Times New Roman"/>
                <w:b w:val="0"/>
                <w:bCs w:val="0"/>
                <w:color w:val="auto"/>
                <w:sz w:val="24"/>
                <w:szCs w:val="24"/>
                <w:lang w:val="en-US" w:eastAsia="zh-CN"/>
              </w:rPr>
              <w:t>排入汤阴县城南污水处理厂（</w:t>
            </w:r>
            <w:r>
              <w:rPr>
                <w:rFonts w:hint="default" w:ascii="Times New Roman" w:hAnsi="Times New Roman" w:eastAsia="宋体" w:cs="Times New Roman"/>
                <w:color w:val="auto"/>
                <w:sz w:val="24"/>
                <w:szCs w:val="24"/>
                <w:highlight w:val="none"/>
              </w:rPr>
              <w:t>汤阴东方环宇污水处理有限公司</w:t>
            </w:r>
            <w:r>
              <w:rPr>
                <w:rFonts w:hint="eastAsia" w:cs="Times New Roman"/>
                <w:b w:val="0"/>
                <w:bCs w:val="0"/>
                <w:color w:val="auto"/>
                <w:sz w:val="24"/>
                <w:szCs w:val="24"/>
                <w:lang w:val="en-US" w:eastAsia="zh-CN"/>
              </w:rPr>
              <w:t>）深度处理</w:t>
            </w:r>
            <w:r>
              <w:rPr>
                <w:rFonts w:hint="eastAsia" w:ascii="Times New Roman" w:hAnsi="Times New Roman" w:cs="Times New Roman"/>
                <w:b w:val="0"/>
                <w:bCs w:val="0"/>
                <w:color w:val="auto"/>
                <w:sz w:val="24"/>
                <w:szCs w:val="24"/>
                <w:lang w:val="en-US" w:eastAsia="zh-CN"/>
              </w:rPr>
              <w:t>。</w:t>
            </w:r>
          </w:p>
          <w:p w14:paraId="1C222A0D">
            <w:pPr>
              <w:pStyle w:val="2"/>
              <w:keepNext/>
              <w:keepLines w:val="0"/>
              <w:pageBreakBefore w:val="0"/>
              <w:widowControl w:val="0"/>
              <w:suppressLineNumbers w:val="0"/>
              <w:kinsoku/>
              <w:wordWrap/>
              <w:overflowPunct w:val="0"/>
              <w:topLinePunct w:val="0"/>
              <w:autoSpaceDE/>
              <w:autoSpaceDN/>
              <w:bidi w:val="0"/>
              <w:adjustRightInd/>
              <w:snapToGrid w:val="0"/>
              <w:spacing w:before="0" w:beforeAutospacing="0" w:after="0" w:afterAutospacing="0" w:line="360" w:lineRule="auto"/>
              <w:ind w:left="0" w:leftChars="0" w:right="0" w:firstLine="482" w:firstLineChars="200"/>
              <w:textAlignment w:val="auto"/>
              <w:rPr>
                <w:rFonts w:hint="default" w:ascii="Times New Roman" w:hAnsi="Times New Roman" w:cs="Times New Roman" w:eastAsiaTheme="majorEastAsia"/>
                <w:b/>
                <w:bCs/>
                <w:color w:val="auto"/>
                <w:sz w:val="24"/>
                <w:szCs w:val="24"/>
                <w:lang w:val="en-US" w:eastAsia="zh-CN"/>
              </w:rPr>
            </w:pPr>
            <w:bookmarkStart w:id="14" w:name="_Toc7224"/>
            <w:bookmarkStart w:id="15" w:name="_Toc21877"/>
            <w:r>
              <w:rPr>
                <w:rFonts w:hint="default" w:ascii="Times New Roman" w:hAnsi="Times New Roman" w:cs="Times New Roman" w:eastAsiaTheme="majorEastAsia"/>
                <w:b/>
                <w:bCs/>
                <w:color w:val="auto"/>
                <w:sz w:val="24"/>
                <w:szCs w:val="24"/>
                <w:lang w:val="en-US" w:eastAsia="zh-CN"/>
              </w:rPr>
              <w:t>2.1.2冷却</w:t>
            </w:r>
            <w:bookmarkEnd w:id="14"/>
            <w:bookmarkEnd w:id="15"/>
            <w:r>
              <w:rPr>
                <w:rFonts w:hint="eastAsia" w:cs="Times New Roman" w:eastAsiaTheme="majorEastAsia"/>
                <w:b/>
                <w:bCs/>
                <w:color w:val="auto"/>
                <w:sz w:val="24"/>
                <w:szCs w:val="24"/>
                <w:lang w:val="en-US" w:eastAsia="zh-CN"/>
              </w:rPr>
              <w:t>水</w:t>
            </w:r>
          </w:p>
          <w:p w14:paraId="70D135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b w:val="0"/>
                <w:bCs w:val="0"/>
                <w:color w:val="auto"/>
                <w:u w:val="none"/>
                <w:lang w:eastAsia="zh-CN"/>
              </w:rPr>
            </w:pPr>
            <w:r>
              <w:rPr>
                <w:rFonts w:hint="eastAsia"/>
                <w:color w:val="auto"/>
                <w:sz w:val="24"/>
                <w:szCs w:val="32"/>
                <w:lang w:val="en-US" w:eastAsia="zh-CN"/>
              </w:rPr>
              <w:t>现有项目热处理后的冷却水循环使用不外排，定期补充损耗量126m</w:t>
            </w:r>
            <w:r>
              <w:rPr>
                <w:rFonts w:hint="eastAsia"/>
                <w:color w:val="auto"/>
                <w:sz w:val="24"/>
                <w:szCs w:val="32"/>
                <w:vertAlign w:val="superscript"/>
                <w:lang w:val="en-US" w:eastAsia="zh-CN"/>
              </w:rPr>
              <w:t>3</w:t>
            </w:r>
            <w:r>
              <w:rPr>
                <w:rFonts w:hint="eastAsia"/>
                <w:color w:val="auto"/>
                <w:sz w:val="24"/>
                <w:szCs w:val="32"/>
                <w:vertAlign w:val="baseline"/>
                <w:lang w:val="en-US" w:eastAsia="zh-CN"/>
              </w:rPr>
              <w:t>/a。</w:t>
            </w:r>
            <w:r>
              <w:rPr>
                <w:rFonts w:hint="default"/>
                <w:color w:val="auto"/>
                <w:sz w:val="24"/>
                <w:szCs w:val="32"/>
                <w:vertAlign w:val="baseline"/>
                <w:lang w:eastAsia="zh-CN"/>
              </w:rPr>
              <w:t>淬火用水量5m</w:t>
            </w:r>
            <w:r>
              <w:rPr>
                <w:rFonts w:hint="default"/>
                <w:color w:val="auto"/>
                <w:sz w:val="24"/>
                <w:szCs w:val="32"/>
                <w:vertAlign w:val="superscript"/>
                <w:lang w:eastAsia="zh-CN"/>
              </w:rPr>
              <w:t>3</w:t>
            </w:r>
            <w:r>
              <w:rPr>
                <w:rFonts w:hint="default"/>
                <w:color w:val="auto"/>
                <w:sz w:val="24"/>
                <w:szCs w:val="32"/>
                <w:vertAlign w:val="baseline"/>
                <w:lang w:eastAsia="zh-CN"/>
              </w:rPr>
              <w:t>/a，全部蒸发损耗，不外排。</w:t>
            </w:r>
            <w:r>
              <w:rPr>
                <w:rFonts w:hint="eastAsia"/>
                <w:b w:val="0"/>
                <w:bCs w:val="0"/>
                <w:color w:val="auto"/>
                <w:sz w:val="24"/>
                <w:szCs w:val="32"/>
                <w:u w:val="none"/>
                <w:vertAlign w:val="baseline"/>
                <w:lang w:eastAsia="zh-CN"/>
              </w:rPr>
              <w:t>由于循环水池长期使用，防护意识不足，部分循环水池已经出现破损现象，建议及时修补，并要长期做好防护措施，定期检查水池情况，防止出现渗漏现象。</w:t>
            </w:r>
          </w:p>
          <w:p w14:paraId="1D99F69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jc w:val="both"/>
              <w:textAlignment w:val="auto"/>
              <w:rPr>
                <w:rFonts w:hint="eastAsia" w:ascii="Calibri" w:hAnsi="Calibri"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3.3</w:t>
            </w:r>
            <w:r>
              <w:rPr>
                <w:rFonts w:hint="eastAsia" w:ascii="Calibri" w:hAnsi="Calibri" w:eastAsia="宋体" w:cs="Times New Roman"/>
                <w:b/>
                <w:bCs/>
                <w:color w:val="auto"/>
                <w:sz w:val="24"/>
                <w:szCs w:val="24"/>
                <w:lang w:val="en-US" w:eastAsia="zh-CN"/>
              </w:rPr>
              <w:t>固废</w:t>
            </w:r>
          </w:p>
          <w:p w14:paraId="373F78F7">
            <w:pPr>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2" w:firstLineChars="200"/>
              <w:jc w:val="left"/>
              <w:textAlignment w:val="auto"/>
              <w:outlineLvl w:val="0"/>
              <w:rPr>
                <w:rFonts w:hint="default" w:ascii="Times New Roman" w:hAnsi="Times New Roman" w:eastAsia="宋体" w:cs="Times New Roman"/>
                <w:b/>
                <w:bCs/>
                <w:color w:val="auto"/>
                <w:kern w:val="44"/>
                <w:sz w:val="24"/>
                <w:szCs w:val="24"/>
                <w:lang w:val="en-US" w:eastAsia="zh-CN" w:bidi="ar-SA"/>
              </w:rPr>
            </w:pPr>
            <w:bookmarkStart w:id="16" w:name="_Toc24820"/>
            <w:bookmarkStart w:id="17" w:name="_Toc29859"/>
            <w:r>
              <w:rPr>
                <w:rFonts w:hint="eastAsia" w:ascii="Times New Roman" w:hAnsi="Times New Roman" w:eastAsia="宋体" w:cs="Times New Roman"/>
                <w:b/>
                <w:bCs/>
                <w:color w:val="auto"/>
                <w:kern w:val="44"/>
                <w:sz w:val="24"/>
                <w:szCs w:val="24"/>
                <w:lang w:val="en-US" w:eastAsia="zh-CN" w:bidi="ar-SA"/>
              </w:rPr>
              <w:t>3.3.1</w:t>
            </w:r>
            <w:r>
              <w:rPr>
                <w:rFonts w:hint="eastAsia" w:cs="Times New Roman"/>
                <w:b/>
                <w:bCs/>
                <w:color w:val="auto"/>
                <w:kern w:val="44"/>
                <w:sz w:val="24"/>
                <w:szCs w:val="24"/>
                <w:lang w:val="en-US" w:eastAsia="zh-CN" w:bidi="ar-SA"/>
              </w:rPr>
              <w:t>不合格</w:t>
            </w:r>
            <w:bookmarkEnd w:id="16"/>
            <w:bookmarkEnd w:id="17"/>
            <w:r>
              <w:rPr>
                <w:rFonts w:hint="eastAsia" w:cs="Times New Roman"/>
                <w:b/>
                <w:bCs/>
                <w:color w:val="auto"/>
                <w:kern w:val="44"/>
                <w:sz w:val="24"/>
                <w:szCs w:val="24"/>
                <w:lang w:val="en-US" w:eastAsia="zh-CN" w:bidi="ar-SA"/>
              </w:rPr>
              <w:t>原料</w:t>
            </w:r>
          </w:p>
          <w:p w14:paraId="168B8EB9">
            <w:pPr>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0" w:firstLineChars="200"/>
              <w:jc w:val="left"/>
              <w:textAlignment w:val="auto"/>
              <w:outlineLvl w:val="0"/>
              <w:rPr>
                <w:rFonts w:hint="default" w:ascii="Times New Roman" w:hAnsi="Times New Roman" w:eastAsia="宋体" w:cs="Times New Roman"/>
                <w:b w:val="0"/>
                <w:bCs w:val="0"/>
                <w:color w:val="auto"/>
                <w:kern w:val="44"/>
                <w:sz w:val="24"/>
                <w:szCs w:val="24"/>
                <w:lang w:val="en-US" w:eastAsia="zh-CN" w:bidi="ar-SA"/>
              </w:rPr>
            </w:pPr>
            <w:bookmarkStart w:id="18" w:name="_Toc23864"/>
            <w:bookmarkStart w:id="19" w:name="_Toc30382"/>
            <w:r>
              <w:rPr>
                <w:rFonts w:hint="eastAsia" w:cs="Times New Roman"/>
                <w:b w:val="0"/>
                <w:bCs w:val="0"/>
                <w:color w:val="auto"/>
                <w:kern w:val="44"/>
                <w:sz w:val="24"/>
                <w:szCs w:val="24"/>
                <w:lang w:val="en-US" w:eastAsia="zh-CN" w:bidi="ar-SA"/>
              </w:rPr>
              <w:t>购买的弹簧钢盘圆里有</w:t>
            </w:r>
            <w:r>
              <w:rPr>
                <w:rFonts w:hint="eastAsia" w:cs="Times New Roman"/>
                <w:b w:val="0"/>
                <w:bCs w:val="0"/>
                <w:color w:val="auto"/>
                <w:kern w:val="44"/>
                <w:sz w:val="24"/>
                <w:szCs w:val="24"/>
                <w:highlight w:val="none"/>
                <w:lang w:val="en-US" w:eastAsia="zh-CN" w:bidi="ar-SA"/>
              </w:rPr>
              <w:t>16.882</w:t>
            </w:r>
            <w:r>
              <w:rPr>
                <w:rFonts w:hint="default" w:ascii="Times New Roman" w:hAnsi="Times New Roman" w:eastAsia="宋体" w:cs="Times New Roman"/>
                <w:b w:val="0"/>
                <w:bCs w:val="0"/>
                <w:color w:val="auto"/>
                <w:kern w:val="44"/>
                <w:sz w:val="24"/>
                <w:szCs w:val="24"/>
                <w:highlight w:val="none"/>
                <w:lang w:val="en-US" w:eastAsia="zh-CN" w:bidi="ar-SA"/>
              </w:rPr>
              <w:t>t/</w:t>
            </w:r>
            <w:r>
              <w:rPr>
                <w:rFonts w:hint="default" w:ascii="Times New Roman" w:hAnsi="Times New Roman" w:eastAsia="宋体" w:cs="Times New Roman"/>
                <w:b w:val="0"/>
                <w:bCs w:val="0"/>
                <w:color w:val="auto"/>
                <w:kern w:val="44"/>
                <w:sz w:val="24"/>
                <w:szCs w:val="24"/>
                <w:lang w:val="en-US" w:eastAsia="zh-CN" w:bidi="ar-SA"/>
              </w:rPr>
              <w:t>a</w:t>
            </w:r>
            <w:r>
              <w:rPr>
                <w:rFonts w:hint="eastAsia" w:cs="Times New Roman"/>
                <w:b w:val="0"/>
                <w:bCs w:val="0"/>
                <w:color w:val="auto"/>
                <w:kern w:val="44"/>
                <w:sz w:val="24"/>
                <w:szCs w:val="24"/>
                <w:lang w:val="en-US" w:eastAsia="zh-CN" w:bidi="ar-SA"/>
              </w:rPr>
              <w:t>不合格原料</w:t>
            </w:r>
            <w:r>
              <w:rPr>
                <w:rFonts w:hint="default" w:ascii="Times New Roman" w:hAnsi="Times New Roman" w:eastAsia="宋体" w:cs="Times New Roman"/>
                <w:b w:val="0"/>
                <w:bCs w:val="0"/>
                <w:color w:val="auto"/>
                <w:kern w:val="44"/>
                <w:sz w:val="24"/>
                <w:szCs w:val="24"/>
                <w:lang w:val="en-US" w:eastAsia="zh-CN" w:bidi="ar-SA"/>
              </w:rPr>
              <w:t>，为一般固废，收集后</w:t>
            </w:r>
            <w:r>
              <w:rPr>
                <w:rFonts w:hint="eastAsia" w:cs="Times New Roman"/>
                <w:b w:val="0"/>
                <w:bCs w:val="0"/>
                <w:color w:val="auto"/>
                <w:kern w:val="44"/>
                <w:sz w:val="24"/>
                <w:szCs w:val="24"/>
                <w:lang w:val="en-US" w:eastAsia="zh-CN" w:bidi="ar-SA"/>
              </w:rPr>
              <w:t>直接退货</w:t>
            </w:r>
            <w:r>
              <w:rPr>
                <w:rFonts w:hint="default" w:ascii="Times New Roman" w:hAnsi="Times New Roman" w:eastAsia="宋体" w:cs="Times New Roman"/>
                <w:b w:val="0"/>
                <w:bCs w:val="0"/>
                <w:color w:val="auto"/>
                <w:kern w:val="44"/>
                <w:sz w:val="24"/>
                <w:szCs w:val="24"/>
                <w:lang w:val="en-US" w:eastAsia="zh-CN" w:bidi="ar-SA"/>
              </w:rPr>
              <w:t>。</w:t>
            </w:r>
            <w:bookmarkEnd w:id="18"/>
            <w:bookmarkEnd w:id="19"/>
          </w:p>
          <w:p w14:paraId="3D43CA7B">
            <w:pPr>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2" w:firstLineChars="200"/>
              <w:jc w:val="left"/>
              <w:textAlignment w:val="auto"/>
              <w:outlineLvl w:val="0"/>
              <w:rPr>
                <w:rFonts w:hint="default" w:ascii="Times New Roman" w:hAnsi="Times New Roman" w:eastAsia="宋体" w:cs="Times New Roman"/>
                <w:b/>
                <w:bCs/>
                <w:color w:val="auto"/>
                <w:kern w:val="44"/>
                <w:sz w:val="24"/>
                <w:szCs w:val="24"/>
                <w:lang w:val="en-US" w:eastAsia="zh-CN" w:bidi="ar-SA"/>
              </w:rPr>
            </w:pPr>
            <w:bookmarkStart w:id="20" w:name="_Toc27571"/>
            <w:bookmarkStart w:id="21" w:name="_Toc10685"/>
            <w:r>
              <w:rPr>
                <w:rFonts w:hint="eastAsia" w:ascii="Times New Roman" w:hAnsi="Times New Roman" w:eastAsia="宋体" w:cs="Times New Roman"/>
                <w:b/>
                <w:bCs/>
                <w:color w:val="auto"/>
                <w:kern w:val="44"/>
                <w:sz w:val="24"/>
                <w:szCs w:val="24"/>
                <w:lang w:val="en-US" w:eastAsia="zh-CN" w:bidi="ar-SA"/>
              </w:rPr>
              <w:t>3.3.2</w:t>
            </w:r>
            <w:r>
              <w:rPr>
                <w:rFonts w:hint="eastAsia" w:cs="Times New Roman"/>
                <w:b/>
                <w:bCs/>
                <w:color w:val="auto"/>
                <w:kern w:val="44"/>
                <w:sz w:val="24"/>
                <w:szCs w:val="24"/>
                <w:lang w:val="en-US" w:eastAsia="zh-CN" w:bidi="ar-SA"/>
              </w:rPr>
              <w:t>不合格产品</w:t>
            </w:r>
            <w:bookmarkEnd w:id="20"/>
            <w:bookmarkEnd w:id="21"/>
          </w:p>
          <w:p w14:paraId="5C3CD818">
            <w:pPr>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0" w:firstLineChars="200"/>
              <w:jc w:val="both"/>
              <w:textAlignment w:val="auto"/>
              <w:outlineLvl w:val="0"/>
              <w:rPr>
                <w:rFonts w:hint="default" w:cs="Times New Roman"/>
                <w:b w:val="0"/>
                <w:bCs w:val="0"/>
                <w:color w:val="auto"/>
                <w:kern w:val="44"/>
                <w:sz w:val="24"/>
                <w:szCs w:val="24"/>
                <w:lang w:val="en-US" w:eastAsia="zh-CN" w:bidi="ar-SA"/>
              </w:rPr>
            </w:pPr>
            <w:bookmarkStart w:id="22" w:name="_Toc7471"/>
            <w:bookmarkStart w:id="23" w:name="_Toc20065"/>
            <w:r>
              <w:rPr>
                <w:rFonts w:hint="eastAsia" w:cs="Times New Roman"/>
                <w:b w:val="0"/>
                <w:bCs w:val="0"/>
                <w:color w:val="auto"/>
                <w:kern w:val="44"/>
                <w:sz w:val="24"/>
                <w:szCs w:val="24"/>
                <w:lang w:val="en-US" w:eastAsia="zh-CN" w:bidi="ar-SA"/>
              </w:rPr>
              <w:t>生产过程中经检验不合格产品产生量共</w:t>
            </w:r>
            <w:r>
              <w:rPr>
                <w:rFonts w:hint="eastAsia" w:cs="Times New Roman"/>
                <w:b w:val="0"/>
                <w:bCs w:val="0"/>
                <w:color w:val="auto"/>
                <w:kern w:val="44"/>
                <w:sz w:val="24"/>
                <w:szCs w:val="24"/>
                <w:highlight w:val="none"/>
                <w:lang w:val="en-US" w:eastAsia="zh-CN" w:bidi="ar-SA"/>
              </w:rPr>
              <w:t>32.876t/a</w:t>
            </w:r>
            <w:r>
              <w:rPr>
                <w:rFonts w:hint="eastAsia" w:cs="Times New Roman"/>
                <w:b w:val="0"/>
                <w:bCs w:val="0"/>
                <w:color w:val="auto"/>
                <w:kern w:val="44"/>
                <w:sz w:val="24"/>
                <w:szCs w:val="24"/>
                <w:lang w:val="en-US" w:eastAsia="zh-CN" w:bidi="ar-SA"/>
              </w:rPr>
              <w:t>，收集后暂存在一般固废间，定期外售废旧物资回收部门。</w:t>
            </w:r>
            <w:bookmarkEnd w:id="22"/>
            <w:bookmarkEnd w:id="23"/>
          </w:p>
          <w:p w14:paraId="5D9B3D02">
            <w:pPr>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2" w:firstLineChars="200"/>
              <w:jc w:val="left"/>
              <w:textAlignment w:val="auto"/>
              <w:outlineLvl w:val="0"/>
              <w:rPr>
                <w:rFonts w:hint="default" w:ascii="Times New Roman" w:hAnsi="Times New Roman" w:eastAsia="宋体" w:cs="Times New Roman"/>
                <w:b/>
                <w:bCs/>
                <w:color w:val="auto"/>
                <w:kern w:val="44"/>
                <w:sz w:val="24"/>
                <w:szCs w:val="24"/>
                <w:lang w:val="en-US" w:eastAsia="zh-CN" w:bidi="ar-SA"/>
              </w:rPr>
            </w:pPr>
            <w:bookmarkStart w:id="24" w:name="_Toc13419"/>
            <w:bookmarkStart w:id="25" w:name="_Toc29735"/>
            <w:r>
              <w:rPr>
                <w:rFonts w:hint="eastAsia" w:ascii="Times New Roman" w:hAnsi="Times New Roman" w:eastAsia="宋体" w:cs="Times New Roman"/>
                <w:b/>
                <w:bCs/>
                <w:color w:val="auto"/>
                <w:kern w:val="44"/>
                <w:sz w:val="24"/>
                <w:szCs w:val="24"/>
                <w:lang w:val="en-US" w:eastAsia="zh-CN" w:bidi="ar-SA"/>
              </w:rPr>
              <w:t>3.3.3</w:t>
            </w:r>
            <w:r>
              <w:rPr>
                <w:rFonts w:hint="eastAsia" w:cs="Times New Roman"/>
                <w:b/>
                <w:bCs/>
                <w:color w:val="auto"/>
                <w:kern w:val="44"/>
                <w:sz w:val="24"/>
                <w:szCs w:val="24"/>
                <w:lang w:val="en-US" w:eastAsia="zh-CN" w:bidi="ar-SA"/>
              </w:rPr>
              <w:t>废包装带</w:t>
            </w:r>
            <w:bookmarkEnd w:id="24"/>
            <w:bookmarkEnd w:id="25"/>
          </w:p>
          <w:p w14:paraId="59327FDF">
            <w:pPr>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0" w:firstLineChars="200"/>
              <w:jc w:val="left"/>
              <w:textAlignment w:val="auto"/>
              <w:outlineLvl w:val="0"/>
              <w:rPr>
                <w:rFonts w:hint="default" w:ascii="Times New Roman" w:hAnsi="Times New Roman" w:eastAsia="宋体" w:cs="Times New Roman"/>
                <w:b w:val="0"/>
                <w:bCs w:val="0"/>
                <w:color w:val="auto"/>
                <w:kern w:val="44"/>
                <w:sz w:val="24"/>
                <w:szCs w:val="24"/>
                <w:lang w:val="en-US" w:eastAsia="zh-CN" w:bidi="ar-SA"/>
              </w:rPr>
            </w:pPr>
            <w:bookmarkStart w:id="26" w:name="_Toc28887"/>
            <w:bookmarkStart w:id="27" w:name="_Toc5038"/>
            <w:r>
              <w:rPr>
                <w:rFonts w:hint="default" w:ascii="Times New Roman" w:hAnsi="Times New Roman" w:eastAsia="宋体" w:cs="Times New Roman"/>
                <w:b w:val="0"/>
                <w:bCs w:val="0"/>
                <w:color w:val="auto"/>
                <w:kern w:val="44"/>
                <w:sz w:val="24"/>
                <w:szCs w:val="24"/>
                <w:lang w:val="en-US" w:eastAsia="zh-CN" w:bidi="ar-SA"/>
              </w:rPr>
              <w:t>废</w:t>
            </w:r>
            <w:r>
              <w:rPr>
                <w:rFonts w:hint="eastAsia" w:cs="Times New Roman"/>
                <w:b w:val="0"/>
                <w:bCs w:val="0"/>
                <w:color w:val="auto"/>
                <w:kern w:val="44"/>
                <w:sz w:val="24"/>
                <w:szCs w:val="24"/>
                <w:lang w:val="en-US" w:eastAsia="zh-CN" w:bidi="ar-SA"/>
              </w:rPr>
              <w:t>包装带</w:t>
            </w:r>
            <w:r>
              <w:rPr>
                <w:rFonts w:hint="default" w:ascii="Times New Roman" w:hAnsi="Times New Roman" w:eastAsia="宋体" w:cs="Times New Roman"/>
                <w:b w:val="0"/>
                <w:bCs w:val="0"/>
                <w:color w:val="auto"/>
                <w:kern w:val="44"/>
                <w:sz w:val="24"/>
                <w:szCs w:val="24"/>
                <w:lang w:val="en-US" w:eastAsia="zh-CN" w:bidi="ar-SA"/>
              </w:rPr>
              <w:t>生量</w:t>
            </w:r>
            <w:r>
              <w:rPr>
                <w:rFonts w:hint="eastAsia" w:ascii="Times New Roman" w:hAnsi="Times New Roman" w:eastAsia="宋体" w:cs="Times New Roman"/>
                <w:b w:val="0"/>
                <w:bCs w:val="0"/>
                <w:color w:val="auto"/>
                <w:kern w:val="44"/>
                <w:sz w:val="24"/>
                <w:szCs w:val="24"/>
                <w:lang w:val="en-US" w:eastAsia="zh-CN" w:bidi="ar-SA"/>
              </w:rPr>
              <w:t>为</w:t>
            </w:r>
            <w:r>
              <w:rPr>
                <w:rFonts w:hint="eastAsia" w:cs="Times New Roman"/>
                <w:b w:val="0"/>
                <w:bCs w:val="0"/>
                <w:color w:val="auto"/>
                <w:kern w:val="44"/>
                <w:sz w:val="24"/>
                <w:szCs w:val="24"/>
                <w:lang w:val="en-US" w:eastAsia="zh-CN" w:bidi="ar-SA"/>
              </w:rPr>
              <w:t>0.26</w:t>
            </w:r>
            <w:r>
              <w:rPr>
                <w:rFonts w:hint="default" w:ascii="Times New Roman" w:hAnsi="Times New Roman" w:eastAsia="宋体" w:cs="Times New Roman"/>
                <w:b w:val="0"/>
                <w:bCs w:val="0"/>
                <w:color w:val="auto"/>
                <w:kern w:val="44"/>
                <w:sz w:val="24"/>
                <w:szCs w:val="24"/>
                <w:lang w:val="en-US" w:eastAsia="zh-CN" w:bidi="ar-SA"/>
              </w:rPr>
              <w:t>t/a，</w:t>
            </w:r>
            <w:r>
              <w:rPr>
                <w:rFonts w:hint="eastAsia" w:cs="Times New Roman"/>
                <w:b w:val="0"/>
                <w:bCs w:val="0"/>
                <w:color w:val="auto"/>
                <w:kern w:val="44"/>
                <w:sz w:val="24"/>
                <w:szCs w:val="24"/>
                <w:lang w:val="en-US" w:eastAsia="zh-CN" w:bidi="ar-SA"/>
              </w:rPr>
              <w:t>收集后暂存在一般固废间，定期外售废旧物资回收部门</w:t>
            </w:r>
            <w:r>
              <w:rPr>
                <w:rFonts w:hint="default" w:ascii="Times New Roman" w:hAnsi="Times New Roman" w:eastAsia="宋体" w:cs="Times New Roman"/>
                <w:b w:val="0"/>
                <w:bCs w:val="0"/>
                <w:color w:val="auto"/>
                <w:kern w:val="44"/>
                <w:sz w:val="24"/>
                <w:szCs w:val="24"/>
                <w:lang w:val="en-US" w:eastAsia="zh-CN" w:bidi="ar-SA"/>
              </w:rPr>
              <w:t>。</w:t>
            </w:r>
            <w:bookmarkEnd w:id="26"/>
            <w:bookmarkEnd w:id="27"/>
          </w:p>
          <w:p w14:paraId="6C5FB37C">
            <w:pPr>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2" w:firstLineChars="200"/>
              <w:jc w:val="left"/>
              <w:textAlignment w:val="auto"/>
              <w:outlineLvl w:val="0"/>
              <w:rPr>
                <w:rFonts w:hint="default" w:ascii="Times New Roman" w:hAnsi="Times New Roman" w:eastAsia="宋体" w:cs="Times New Roman"/>
                <w:b/>
                <w:bCs/>
                <w:color w:val="auto"/>
                <w:kern w:val="44"/>
                <w:sz w:val="24"/>
                <w:szCs w:val="24"/>
                <w:lang w:val="en-US" w:eastAsia="zh-CN" w:bidi="ar-SA"/>
              </w:rPr>
            </w:pPr>
            <w:bookmarkStart w:id="28" w:name="_Toc23023"/>
            <w:bookmarkStart w:id="29" w:name="_Toc27248"/>
            <w:r>
              <w:rPr>
                <w:rFonts w:hint="eastAsia" w:ascii="Times New Roman" w:hAnsi="Times New Roman" w:eastAsia="宋体" w:cs="Times New Roman"/>
                <w:b/>
                <w:bCs/>
                <w:color w:val="auto"/>
                <w:kern w:val="44"/>
                <w:sz w:val="24"/>
                <w:szCs w:val="24"/>
                <w:lang w:val="en-US" w:eastAsia="zh-CN" w:bidi="ar-SA"/>
              </w:rPr>
              <w:t>3.3.</w:t>
            </w:r>
            <w:r>
              <w:rPr>
                <w:rFonts w:hint="eastAsia" w:cs="Times New Roman"/>
                <w:b/>
                <w:bCs/>
                <w:color w:val="auto"/>
                <w:kern w:val="44"/>
                <w:sz w:val="24"/>
                <w:szCs w:val="24"/>
                <w:lang w:val="en-US" w:eastAsia="zh-CN" w:bidi="ar-SA"/>
              </w:rPr>
              <w:t>4</w:t>
            </w:r>
            <w:r>
              <w:rPr>
                <w:rFonts w:hint="eastAsia" w:ascii="Times New Roman" w:hAnsi="Times New Roman" w:eastAsia="宋体" w:cs="Times New Roman"/>
                <w:b/>
                <w:bCs/>
                <w:color w:val="auto"/>
                <w:kern w:val="44"/>
                <w:sz w:val="24"/>
                <w:szCs w:val="24"/>
                <w:lang w:val="en-US" w:eastAsia="zh-CN" w:bidi="ar-SA"/>
              </w:rPr>
              <w:t>职工生活垃圾</w:t>
            </w:r>
            <w:bookmarkEnd w:id="28"/>
            <w:bookmarkEnd w:id="29"/>
          </w:p>
          <w:p w14:paraId="0DEC50A3">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auto"/>
                <w:kern w:val="2"/>
                <w:sz w:val="24"/>
                <w:szCs w:val="24"/>
                <w:lang w:val="en-US" w:eastAsia="zh-CN" w:bidi="ar"/>
              </w:rPr>
            </w:pPr>
            <w:r>
              <w:rPr>
                <w:rFonts w:hint="eastAsia" w:cs="Times New Roman"/>
                <w:b w:val="0"/>
                <w:bCs w:val="0"/>
                <w:color w:val="auto"/>
                <w:kern w:val="2"/>
                <w:sz w:val="24"/>
                <w:szCs w:val="24"/>
                <w:lang w:val="en-US" w:eastAsia="zh-CN" w:bidi="ar"/>
              </w:rPr>
              <w:t>现有项目</w:t>
            </w:r>
            <w:r>
              <w:rPr>
                <w:rFonts w:hint="default" w:ascii="Times New Roman" w:hAnsi="Times New Roman" w:eastAsia="宋体" w:cs="Times New Roman"/>
                <w:b w:val="0"/>
                <w:bCs w:val="0"/>
                <w:color w:val="auto"/>
                <w:kern w:val="2"/>
                <w:sz w:val="24"/>
                <w:szCs w:val="24"/>
                <w:lang w:val="en-US" w:eastAsia="zh-CN" w:bidi="ar"/>
              </w:rPr>
              <w:t>劳动人员</w:t>
            </w:r>
            <w:r>
              <w:rPr>
                <w:rFonts w:hint="eastAsia" w:ascii="Times New Roman" w:hAnsi="Times New Roman" w:eastAsia="宋体" w:cs="Times New Roman"/>
                <w:b w:val="0"/>
                <w:bCs w:val="0"/>
                <w:color w:val="auto"/>
                <w:kern w:val="2"/>
                <w:sz w:val="24"/>
                <w:szCs w:val="24"/>
                <w:lang w:val="en-US" w:eastAsia="zh-CN" w:bidi="ar"/>
              </w:rPr>
              <w:t>20</w:t>
            </w:r>
            <w:r>
              <w:rPr>
                <w:rFonts w:hint="default" w:ascii="Times New Roman" w:hAnsi="Times New Roman" w:eastAsia="宋体" w:cs="Times New Roman"/>
                <w:b w:val="0"/>
                <w:bCs w:val="0"/>
                <w:color w:val="auto"/>
                <w:kern w:val="2"/>
                <w:sz w:val="24"/>
                <w:szCs w:val="24"/>
                <w:lang w:val="en-US" w:eastAsia="zh-CN" w:bidi="ar"/>
              </w:rPr>
              <w:t>人，每人产生生活垃圾为0.5kg/d，则生活垃圾产生量为</w:t>
            </w:r>
            <w:r>
              <w:rPr>
                <w:rFonts w:hint="eastAsia" w:ascii="Times New Roman" w:hAnsi="Times New Roman" w:eastAsia="宋体" w:cs="Times New Roman"/>
                <w:b w:val="0"/>
                <w:bCs w:val="0"/>
                <w:color w:val="auto"/>
                <w:kern w:val="2"/>
                <w:sz w:val="24"/>
                <w:szCs w:val="24"/>
                <w:lang w:val="en-US" w:eastAsia="zh-CN" w:bidi="ar"/>
              </w:rPr>
              <w:t>3</w:t>
            </w:r>
            <w:r>
              <w:rPr>
                <w:rFonts w:hint="default" w:ascii="Times New Roman" w:hAnsi="Times New Roman" w:eastAsia="宋体" w:cs="Times New Roman"/>
                <w:b w:val="0"/>
                <w:bCs w:val="0"/>
                <w:color w:val="auto"/>
                <w:kern w:val="2"/>
                <w:sz w:val="24"/>
                <w:szCs w:val="24"/>
                <w:lang w:val="en-US" w:eastAsia="zh-CN" w:bidi="ar"/>
              </w:rPr>
              <w:t>t/a，集中收集后由当地环卫部门收集处理。</w:t>
            </w:r>
          </w:p>
          <w:p w14:paraId="59D77454">
            <w:pPr>
              <w:keepNext w:val="0"/>
              <w:keepLines w:val="0"/>
              <w:widowControl w:val="0"/>
              <w:suppressLineNumbers w:val="0"/>
              <w:spacing w:before="0" w:beforeAutospacing="0" w:after="0" w:afterAutospacing="0" w:line="360" w:lineRule="auto"/>
              <w:ind w:left="0" w:right="0" w:firstLine="482" w:firstLineChars="200"/>
              <w:jc w:val="both"/>
              <w:rPr>
                <w:rFonts w:hint="eastAsia" w:cs="Times New Roman"/>
                <w:b/>
                <w:bCs/>
                <w:color w:val="auto"/>
                <w:kern w:val="2"/>
                <w:sz w:val="24"/>
                <w:szCs w:val="24"/>
                <w:u w:val="none"/>
                <w:lang w:val="en-US" w:eastAsia="zh-CN" w:bidi="ar"/>
              </w:rPr>
            </w:pPr>
            <w:r>
              <w:rPr>
                <w:rFonts w:hint="eastAsia" w:cs="Times New Roman"/>
                <w:b/>
                <w:bCs/>
                <w:color w:val="auto"/>
                <w:kern w:val="2"/>
                <w:sz w:val="24"/>
                <w:szCs w:val="24"/>
                <w:u w:val="none"/>
                <w:lang w:val="en-US" w:eastAsia="zh-CN" w:bidi="ar"/>
              </w:rPr>
              <w:t>3.3.5冷却池与淬火池底泥</w:t>
            </w:r>
          </w:p>
          <w:p w14:paraId="0517C566">
            <w:pPr>
              <w:keepNext w:val="0"/>
              <w:keepLines w:val="0"/>
              <w:widowControl w:val="0"/>
              <w:suppressLineNumbers w:val="0"/>
              <w:spacing w:before="0" w:beforeAutospacing="0" w:after="0" w:afterAutospacing="0" w:line="360" w:lineRule="auto"/>
              <w:ind w:left="0" w:right="0" w:firstLine="480" w:firstLineChars="200"/>
              <w:jc w:val="both"/>
              <w:rPr>
                <w:rFonts w:hint="default" w:cs="Times New Roman"/>
                <w:b/>
                <w:bCs/>
                <w:color w:val="auto"/>
                <w:kern w:val="2"/>
                <w:sz w:val="24"/>
                <w:szCs w:val="24"/>
                <w:u w:val="single"/>
                <w:vertAlign w:val="baseline"/>
                <w:lang w:val="en-US" w:eastAsia="zh-CN" w:bidi="ar"/>
              </w:rPr>
            </w:pPr>
            <w:r>
              <w:rPr>
                <w:rFonts w:hint="eastAsia" w:cs="Times New Roman"/>
                <w:b w:val="0"/>
                <w:bCs w:val="0"/>
                <w:color w:val="auto"/>
                <w:kern w:val="2"/>
                <w:sz w:val="24"/>
                <w:szCs w:val="24"/>
                <w:u w:val="none"/>
                <w:lang w:val="en-US" w:eastAsia="zh-CN" w:bidi="ar"/>
              </w:rPr>
              <w:t>现有项目冷却池与循环水池底泥</w:t>
            </w:r>
            <w:r>
              <w:rPr>
                <w:rFonts w:hint="eastAsia" w:cs="Times New Roman"/>
                <w:b w:val="0"/>
                <w:bCs w:val="0"/>
                <w:color w:val="auto"/>
                <w:kern w:val="2"/>
                <w:sz w:val="24"/>
                <w:szCs w:val="24"/>
                <w:u w:val="none"/>
                <w:vertAlign w:val="baseline"/>
                <w:lang w:val="en-US" w:eastAsia="zh-CN" w:bidi="ar"/>
              </w:rPr>
              <w:t>产生量为0.2t/a，由专业单位定期清掏处理。</w:t>
            </w:r>
          </w:p>
          <w:p w14:paraId="08FCFAC3">
            <w:pPr>
              <w:pStyle w:val="26"/>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0" w:firstLineChars="0"/>
              <w:textAlignment w:val="auto"/>
              <w:rPr>
                <w:rFonts w:hint="eastAsia" w:ascii="Times New Roman" w:hAnsi="Times New Roman" w:eastAsia="宋体" w:cs="Times New Roman"/>
                <w:b/>
                <w:bCs/>
                <w:color w:val="auto"/>
                <w:kern w:val="44"/>
                <w:sz w:val="24"/>
                <w:szCs w:val="24"/>
                <w:lang w:val="en-US" w:eastAsia="zh-CN" w:bidi="ar-SA"/>
              </w:rPr>
            </w:pPr>
            <w:r>
              <w:rPr>
                <w:rFonts w:hint="eastAsia" w:ascii="Times New Roman" w:hAnsi="Times New Roman" w:eastAsia="宋体" w:cs="Times New Roman"/>
                <w:b/>
                <w:bCs/>
                <w:color w:val="auto"/>
                <w:kern w:val="44"/>
                <w:sz w:val="24"/>
                <w:szCs w:val="24"/>
                <w:lang w:val="en-US" w:eastAsia="zh-CN" w:bidi="ar-SA"/>
              </w:rPr>
              <w:t>4.污染物达标排放情况</w:t>
            </w:r>
          </w:p>
          <w:p w14:paraId="060B3DDC">
            <w:pPr>
              <w:pStyle w:val="72"/>
              <w:keepNext w:val="0"/>
              <w:keepLines w:val="0"/>
              <w:widowControl/>
              <w:suppressLineNumbers w:val="0"/>
              <w:bidi w:val="0"/>
              <w:spacing w:before="0" w:beforeAutospacing="0" w:after="0" w:afterAutospacing="0"/>
              <w:ind w:left="0" w:right="0"/>
              <w:rPr>
                <w:rFonts w:hint="eastAsia" w:cs="Times New Roman"/>
                <w:b w:val="0"/>
                <w:bCs w:val="0"/>
                <w:color w:val="auto"/>
                <w:kern w:val="2"/>
                <w:sz w:val="24"/>
                <w:szCs w:val="24"/>
                <w:lang w:val="en-US" w:eastAsia="zh-CN"/>
              </w:rPr>
            </w:pPr>
            <w:r>
              <w:rPr>
                <w:rFonts w:hint="eastAsia" w:cs="Times New Roman"/>
                <w:b/>
                <w:bCs/>
                <w:color w:val="auto"/>
                <w:kern w:val="2"/>
                <w:sz w:val="24"/>
                <w:szCs w:val="24"/>
                <w:lang w:val="en-US" w:eastAsia="zh-CN"/>
              </w:rPr>
              <w:t>4.1废水</w:t>
            </w:r>
          </w:p>
          <w:p w14:paraId="7507E70A">
            <w:pPr>
              <w:pStyle w:val="72"/>
              <w:keepNext w:val="0"/>
              <w:keepLines w:val="0"/>
              <w:widowControl/>
              <w:suppressLineNumbers w:val="0"/>
              <w:bidi w:val="0"/>
              <w:spacing w:before="0" w:beforeAutospacing="0" w:after="0" w:afterAutospacing="0"/>
              <w:ind w:left="0" w:right="0"/>
              <w:rPr>
                <w:rFonts w:hint="eastAsia" w:cs="Times New Roman"/>
                <w:b w:val="0"/>
                <w:bCs w:val="0"/>
                <w:color w:val="auto"/>
                <w:kern w:val="2"/>
                <w:sz w:val="24"/>
                <w:szCs w:val="24"/>
                <w:lang w:val="en-US" w:eastAsia="zh-CN"/>
              </w:rPr>
            </w:pPr>
            <w:r>
              <w:rPr>
                <w:rFonts w:hint="eastAsia" w:cs="Times New Roman"/>
                <w:b w:val="0"/>
                <w:bCs w:val="0"/>
                <w:color w:val="auto"/>
                <w:kern w:val="2"/>
                <w:sz w:val="24"/>
                <w:szCs w:val="24"/>
                <w:lang w:val="en-US" w:eastAsia="zh-CN"/>
              </w:rPr>
              <w:t>现有项目无废气产生、生产废水不外排；生活污水经公司内化粪池预处理后，排入汤阴县城南污水处理厂深度处理（</w:t>
            </w:r>
            <w:r>
              <w:rPr>
                <w:rFonts w:hint="default" w:ascii="Times New Roman" w:hAnsi="Times New Roman" w:eastAsia="宋体" w:cs="Times New Roman"/>
                <w:color w:val="auto"/>
                <w:kern w:val="2"/>
                <w:sz w:val="24"/>
                <w:szCs w:val="24"/>
                <w:highlight w:val="none"/>
              </w:rPr>
              <w:t>汤阴东方环宇污水处理有限公司</w:t>
            </w:r>
            <w:r>
              <w:rPr>
                <w:rFonts w:hint="eastAsia" w:cs="Times New Roman"/>
                <w:b w:val="0"/>
                <w:bCs w:val="0"/>
                <w:color w:val="auto"/>
                <w:kern w:val="2"/>
                <w:sz w:val="24"/>
                <w:szCs w:val="24"/>
                <w:lang w:val="en-US" w:eastAsia="zh-CN"/>
              </w:rPr>
              <w:t>）。根据</w:t>
            </w:r>
            <w:r>
              <w:rPr>
                <w:rFonts w:hint="eastAsia" w:ascii="Times New Roman" w:hAnsi="Times New Roman" w:cs="Times New Roman"/>
                <w:b w:val="0"/>
                <w:bCs w:val="0"/>
                <w:color w:val="auto"/>
                <w:kern w:val="2"/>
                <w:sz w:val="24"/>
                <w:szCs w:val="24"/>
                <w:lang w:val="en-US" w:eastAsia="zh-CN"/>
              </w:rPr>
              <w:t>现有</w:t>
            </w:r>
            <w:r>
              <w:rPr>
                <w:rFonts w:hint="eastAsia" w:cs="Times New Roman"/>
                <w:b w:val="0"/>
                <w:bCs w:val="0"/>
                <w:color w:val="auto"/>
                <w:kern w:val="2"/>
                <w:sz w:val="24"/>
                <w:szCs w:val="24"/>
                <w:lang w:val="en-US" w:eastAsia="zh-CN"/>
              </w:rPr>
              <w:t>项目验收监测报告，废水污染物排放监测结果见下表：</w:t>
            </w:r>
          </w:p>
          <w:p w14:paraId="44BBB0E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auto"/>
                <w:kern w:val="2"/>
                <w:sz w:val="21"/>
                <w:szCs w:val="21"/>
                <w:highlight w:val="none"/>
                <w:lang w:val="en-US" w:eastAsia="zh-CN"/>
              </w:rPr>
            </w:pPr>
            <w:r>
              <w:rPr>
                <w:rFonts w:hint="eastAsia" w:cs="Times New Roman"/>
                <w:b/>
                <w:bCs/>
                <w:color w:val="auto"/>
                <w:kern w:val="2"/>
                <w:sz w:val="21"/>
                <w:szCs w:val="21"/>
                <w:highlight w:val="none"/>
                <w:lang w:val="en-US" w:eastAsia="zh-CN"/>
              </w:rPr>
              <w:t>表16  现有项目废水污染物排放监测结果</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427"/>
              <w:gridCol w:w="427"/>
              <w:gridCol w:w="638"/>
              <w:gridCol w:w="1116"/>
              <w:gridCol w:w="1116"/>
              <w:gridCol w:w="1116"/>
              <w:gridCol w:w="1116"/>
              <w:gridCol w:w="1116"/>
              <w:gridCol w:w="1056"/>
              <w:gridCol w:w="636"/>
            </w:tblGrid>
            <w:tr w14:paraId="35DAF9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32" w:type="pct"/>
                  <w:tcBorders>
                    <w:bottom w:val="single" w:color="auto" w:sz="12" w:space="0"/>
                  </w:tcBorders>
                  <w:vAlign w:val="center"/>
                </w:tcPr>
                <w:p w14:paraId="59E03F43">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采</w:t>
                  </w:r>
                  <w:r>
                    <w:rPr>
                      <w:rFonts w:hint="default" w:ascii="Times New Roman" w:hAnsi="Times New Roman" w:cs="Times New Roman" w:eastAsiaTheme="majorEastAsia"/>
                      <w:b/>
                      <w:bCs/>
                      <w:color w:val="auto"/>
                      <w:kern w:val="2"/>
                      <w:sz w:val="21"/>
                      <w:szCs w:val="21"/>
                      <w:highlight w:val="none"/>
                      <w:lang w:val="en-US" w:eastAsia="zh-CN" w:bidi="ar-SA"/>
                    </w:rPr>
                    <w:t>样点位</w:t>
                  </w:r>
                </w:p>
              </w:tc>
              <w:tc>
                <w:tcPr>
                  <w:tcW w:w="232" w:type="pct"/>
                  <w:tcBorders>
                    <w:bottom w:val="single" w:color="auto" w:sz="12" w:space="0"/>
                  </w:tcBorders>
                  <w:vAlign w:val="center"/>
                </w:tcPr>
                <w:p w14:paraId="48E2FCE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采样日期</w:t>
                  </w:r>
                </w:p>
              </w:tc>
              <w:tc>
                <w:tcPr>
                  <w:tcW w:w="232" w:type="pct"/>
                  <w:tcBorders>
                    <w:bottom w:val="single" w:color="auto" w:sz="12" w:space="0"/>
                  </w:tcBorders>
                  <w:vAlign w:val="center"/>
                </w:tcPr>
                <w:p w14:paraId="59F654B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采样频次</w:t>
                  </w:r>
                </w:p>
              </w:tc>
              <w:tc>
                <w:tcPr>
                  <w:tcW w:w="347" w:type="pct"/>
                  <w:tcBorders>
                    <w:bottom w:val="single" w:color="auto" w:sz="12" w:space="0"/>
                  </w:tcBorders>
                  <w:vAlign w:val="center"/>
                </w:tcPr>
                <w:p w14:paraId="64555E92">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eastAsia" w:cs="Times New Roman" w:eastAsiaTheme="majorEastAsia"/>
                      <w:b/>
                      <w:bCs/>
                      <w:color w:val="auto"/>
                      <w:kern w:val="2"/>
                      <w:sz w:val="21"/>
                      <w:szCs w:val="21"/>
                      <w:vertAlign w:val="baseline"/>
                      <w:lang w:val="en-US" w:eastAsia="zh-CN" w:bidi="ar-SA"/>
                    </w:rPr>
                    <w:t>pH值</w:t>
                  </w:r>
                  <w:r>
                    <w:rPr>
                      <w:rFonts w:hint="default" w:ascii="Times New Roman" w:hAnsi="Times New Roman" w:cs="Times New Roman" w:eastAsiaTheme="majorEastAsia"/>
                      <w:b/>
                      <w:bCs/>
                      <w:color w:val="auto"/>
                      <w:kern w:val="2"/>
                      <w:sz w:val="21"/>
                      <w:szCs w:val="21"/>
                      <w:vertAlign w:val="baseline"/>
                      <w:lang w:val="en-US" w:eastAsia="zh-CN" w:bidi="ar-SA"/>
                    </w:rPr>
                    <w:t>（无量纲）</w:t>
                  </w:r>
                </w:p>
              </w:tc>
              <w:tc>
                <w:tcPr>
                  <w:tcW w:w="607" w:type="pct"/>
                  <w:tcBorders>
                    <w:bottom w:val="single" w:color="auto" w:sz="12" w:space="0"/>
                  </w:tcBorders>
                  <w:vAlign w:val="center"/>
                </w:tcPr>
                <w:p w14:paraId="174DD39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化学需氧量（mg/L）</w:t>
                  </w:r>
                </w:p>
              </w:tc>
              <w:tc>
                <w:tcPr>
                  <w:tcW w:w="607" w:type="pct"/>
                  <w:tcBorders>
                    <w:bottom w:val="single" w:color="auto" w:sz="12" w:space="0"/>
                  </w:tcBorders>
                  <w:vAlign w:val="center"/>
                </w:tcPr>
                <w:p w14:paraId="46E7407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BOD</w:t>
                  </w:r>
                  <w:r>
                    <w:rPr>
                      <w:rFonts w:hint="default" w:ascii="Times New Roman" w:hAnsi="Times New Roman" w:cs="Times New Roman" w:eastAsiaTheme="majorEastAsia"/>
                      <w:b/>
                      <w:bCs/>
                      <w:color w:val="auto"/>
                      <w:kern w:val="2"/>
                      <w:sz w:val="21"/>
                      <w:szCs w:val="21"/>
                      <w:vertAlign w:val="subscript"/>
                      <w:lang w:val="en-US" w:eastAsia="zh-CN" w:bidi="ar-SA"/>
                    </w:rPr>
                    <w:t>5</w:t>
                  </w:r>
                  <w:r>
                    <w:rPr>
                      <w:rFonts w:hint="default" w:ascii="Times New Roman" w:hAnsi="Times New Roman" w:cs="Times New Roman" w:eastAsiaTheme="majorEastAsia"/>
                      <w:b/>
                      <w:bCs/>
                      <w:color w:val="auto"/>
                      <w:kern w:val="2"/>
                      <w:sz w:val="21"/>
                      <w:szCs w:val="21"/>
                      <w:vertAlign w:val="baseline"/>
                      <w:lang w:val="en-US" w:eastAsia="zh-CN" w:bidi="ar-SA"/>
                    </w:rPr>
                    <w:t>（mg/L）</w:t>
                  </w:r>
                </w:p>
              </w:tc>
              <w:tc>
                <w:tcPr>
                  <w:tcW w:w="607" w:type="pct"/>
                  <w:tcBorders>
                    <w:bottom w:val="single" w:color="auto" w:sz="12" w:space="0"/>
                  </w:tcBorders>
                  <w:vAlign w:val="center"/>
                </w:tcPr>
                <w:p w14:paraId="15C5CB25">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悬浮物（mg/L）</w:t>
                  </w:r>
                </w:p>
              </w:tc>
              <w:tc>
                <w:tcPr>
                  <w:tcW w:w="607" w:type="pct"/>
                  <w:tcBorders>
                    <w:bottom w:val="single" w:color="auto" w:sz="12" w:space="0"/>
                  </w:tcBorders>
                  <w:vAlign w:val="center"/>
                </w:tcPr>
                <w:p w14:paraId="302C454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氨氮（mg/L）</w:t>
                  </w:r>
                </w:p>
              </w:tc>
              <w:tc>
                <w:tcPr>
                  <w:tcW w:w="607" w:type="pct"/>
                  <w:tcBorders>
                    <w:bottom w:val="single" w:color="auto" w:sz="12" w:space="0"/>
                  </w:tcBorders>
                  <w:vAlign w:val="center"/>
                </w:tcPr>
                <w:p w14:paraId="742605F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动植物油（mg/L）</w:t>
                  </w:r>
                </w:p>
              </w:tc>
              <w:tc>
                <w:tcPr>
                  <w:tcW w:w="574" w:type="pct"/>
                  <w:tcBorders>
                    <w:bottom w:val="single" w:color="auto" w:sz="12" w:space="0"/>
                  </w:tcBorders>
                  <w:vAlign w:val="center"/>
                </w:tcPr>
                <w:p w14:paraId="56B20B8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流量（m</w:t>
                  </w:r>
                  <w:r>
                    <w:rPr>
                      <w:rFonts w:hint="default" w:ascii="Times New Roman" w:hAnsi="Times New Roman" w:cs="Times New Roman" w:eastAsiaTheme="majorEastAsia"/>
                      <w:b/>
                      <w:bCs/>
                      <w:color w:val="auto"/>
                      <w:kern w:val="2"/>
                      <w:sz w:val="21"/>
                      <w:szCs w:val="21"/>
                      <w:vertAlign w:val="superscript"/>
                      <w:lang w:val="en-US" w:eastAsia="zh-CN" w:bidi="ar-SA"/>
                    </w:rPr>
                    <w:t>3</w:t>
                  </w:r>
                  <w:r>
                    <w:rPr>
                      <w:rFonts w:hint="default" w:ascii="Times New Roman" w:hAnsi="Times New Roman" w:cs="Times New Roman" w:eastAsiaTheme="majorEastAsia"/>
                      <w:b/>
                      <w:bCs/>
                      <w:color w:val="auto"/>
                      <w:kern w:val="2"/>
                      <w:sz w:val="21"/>
                      <w:szCs w:val="21"/>
                      <w:vertAlign w:val="baseline"/>
                      <w:lang w:val="en-US" w:eastAsia="zh-CN" w:bidi="ar-SA"/>
                    </w:rPr>
                    <w:t>/d）</w:t>
                  </w:r>
                </w:p>
              </w:tc>
              <w:tc>
                <w:tcPr>
                  <w:tcW w:w="345" w:type="pct"/>
                  <w:tcBorders>
                    <w:bottom w:val="single" w:color="auto" w:sz="12" w:space="0"/>
                  </w:tcBorders>
                  <w:vAlign w:val="center"/>
                </w:tcPr>
                <w:p w14:paraId="512E420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bCs/>
                      <w:color w:val="auto"/>
                      <w:kern w:val="2"/>
                      <w:sz w:val="21"/>
                      <w:szCs w:val="21"/>
                      <w:vertAlign w:val="baseline"/>
                      <w:lang w:val="en-US" w:eastAsia="zh-CN" w:bidi="ar-SA"/>
                    </w:rPr>
                  </w:pPr>
                  <w:r>
                    <w:rPr>
                      <w:rFonts w:hint="default" w:ascii="Times New Roman" w:hAnsi="Times New Roman" w:cs="Times New Roman" w:eastAsiaTheme="majorEastAsia"/>
                      <w:b/>
                      <w:bCs/>
                      <w:color w:val="auto"/>
                      <w:kern w:val="2"/>
                      <w:sz w:val="21"/>
                      <w:szCs w:val="21"/>
                      <w:vertAlign w:val="baseline"/>
                      <w:lang w:val="en-US" w:eastAsia="zh-CN" w:bidi="ar-SA"/>
                    </w:rPr>
                    <w:t>样品状态</w:t>
                  </w:r>
                </w:p>
              </w:tc>
            </w:tr>
            <w:tr w14:paraId="2CE6CA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232" w:type="pct"/>
                  <w:vMerge w:val="restart"/>
                  <w:tcBorders>
                    <w:top w:val="single" w:color="auto" w:sz="12" w:space="0"/>
                    <w:tl2br w:val="nil"/>
                    <w:tr2bl w:val="nil"/>
                  </w:tcBorders>
                  <w:vAlign w:val="center"/>
                </w:tcPr>
                <w:p w14:paraId="354170F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化粪池出口</w:t>
                  </w:r>
                </w:p>
              </w:tc>
              <w:tc>
                <w:tcPr>
                  <w:tcW w:w="232" w:type="pct"/>
                  <w:vMerge w:val="restart"/>
                  <w:tcBorders>
                    <w:top w:val="single" w:color="auto" w:sz="12" w:space="0"/>
                    <w:tl2br w:val="nil"/>
                    <w:tr2bl w:val="nil"/>
                  </w:tcBorders>
                  <w:vAlign w:val="center"/>
                </w:tcPr>
                <w:p w14:paraId="714F7F8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06月30日</w:t>
                  </w:r>
                </w:p>
              </w:tc>
              <w:tc>
                <w:tcPr>
                  <w:tcW w:w="232" w:type="pct"/>
                  <w:tcBorders>
                    <w:top w:val="single" w:color="auto" w:sz="12" w:space="0"/>
                    <w:tl2br w:val="nil"/>
                    <w:tr2bl w:val="nil"/>
                  </w:tcBorders>
                  <w:vAlign w:val="center"/>
                </w:tcPr>
                <w:p w14:paraId="43EF1902">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第1次</w:t>
                  </w:r>
                </w:p>
              </w:tc>
              <w:tc>
                <w:tcPr>
                  <w:tcW w:w="347" w:type="pct"/>
                  <w:tcBorders>
                    <w:top w:val="single" w:color="auto" w:sz="12" w:space="0"/>
                    <w:tl2br w:val="nil"/>
                    <w:tr2bl w:val="nil"/>
                  </w:tcBorders>
                  <w:vAlign w:val="center"/>
                </w:tcPr>
                <w:p w14:paraId="14C244D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7.62</w:t>
                  </w:r>
                </w:p>
              </w:tc>
              <w:tc>
                <w:tcPr>
                  <w:tcW w:w="607" w:type="pct"/>
                  <w:tcBorders>
                    <w:top w:val="single" w:color="auto" w:sz="12" w:space="0"/>
                    <w:tl2br w:val="nil"/>
                    <w:tr2bl w:val="nil"/>
                  </w:tcBorders>
                  <w:vAlign w:val="center"/>
                </w:tcPr>
                <w:p w14:paraId="32FE107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112</w:t>
                  </w:r>
                </w:p>
              </w:tc>
              <w:tc>
                <w:tcPr>
                  <w:tcW w:w="607" w:type="pct"/>
                  <w:tcBorders>
                    <w:top w:val="single" w:color="auto" w:sz="12" w:space="0"/>
                    <w:tl2br w:val="nil"/>
                    <w:tr2bl w:val="nil"/>
                  </w:tcBorders>
                  <w:vAlign w:val="center"/>
                </w:tcPr>
                <w:p w14:paraId="256D664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25.7</w:t>
                  </w:r>
                </w:p>
              </w:tc>
              <w:tc>
                <w:tcPr>
                  <w:tcW w:w="607" w:type="pct"/>
                  <w:tcBorders>
                    <w:top w:val="single" w:color="auto" w:sz="12" w:space="0"/>
                    <w:tl2br w:val="nil"/>
                    <w:tr2bl w:val="nil"/>
                  </w:tcBorders>
                  <w:vAlign w:val="center"/>
                </w:tcPr>
                <w:p w14:paraId="3EB6DC06">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142</w:t>
                  </w:r>
                </w:p>
              </w:tc>
              <w:tc>
                <w:tcPr>
                  <w:tcW w:w="607" w:type="pct"/>
                  <w:tcBorders>
                    <w:top w:val="single" w:color="auto" w:sz="12" w:space="0"/>
                    <w:tl2br w:val="nil"/>
                    <w:tr2bl w:val="nil"/>
                  </w:tcBorders>
                  <w:vAlign w:val="center"/>
                </w:tcPr>
                <w:p w14:paraId="0148A87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18.1</w:t>
                  </w:r>
                </w:p>
              </w:tc>
              <w:tc>
                <w:tcPr>
                  <w:tcW w:w="607" w:type="pct"/>
                  <w:tcBorders>
                    <w:top w:val="single" w:color="auto" w:sz="12" w:space="0"/>
                    <w:tl2br w:val="nil"/>
                    <w:tr2bl w:val="nil"/>
                  </w:tcBorders>
                  <w:vAlign w:val="center"/>
                </w:tcPr>
                <w:p w14:paraId="75104E4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1.23</w:t>
                  </w:r>
                </w:p>
              </w:tc>
              <w:tc>
                <w:tcPr>
                  <w:tcW w:w="574" w:type="pct"/>
                  <w:tcBorders>
                    <w:top w:val="single" w:color="auto" w:sz="12" w:space="0"/>
                    <w:tl2br w:val="nil"/>
                    <w:tr2bl w:val="nil"/>
                  </w:tcBorders>
                  <w:vAlign w:val="center"/>
                </w:tcPr>
                <w:p w14:paraId="2BCB330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0.53</w:t>
                  </w:r>
                </w:p>
              </w:tc>
              <w:tc>
                <w:tcPr>
                  <w:tcW w:w="345" w:type="pct"/>
                  <w:vMerge w:val="restart"/>
                  <w:tcBorders>
                    <w:top w:val="single" w:color="auto" w:sz="12" w:space="0"/>
                    <w:tl2br w:val="nil"/>
                    <w:tr2bl w:val="nil"/>
                  </w:tcBorders>
                  <w:vAlign w:val="center"/>
                </w:tcPr>
                <w:p w14:paraId="6F508D0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微黄、浑浊、有嗅味</w:t>
                  </w:r>
                </w:p>
              </w:tc>
            </w:tr>
            <w:tr w14:paraId="700E91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2" w:type="pct"/>
                  <w:vMerge w:val="continue"/>
                  <w:tcBorders>
                    <w:tl2br w:val="nil"/>
                    <w:tr2bl w:val="nil"/>
                  </w:tcBorders>
                  <w:vAlign w:val="center"/>
                </w:tcPr>
                <w:p w14:paraId="708BE63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vMerge w:val="continue"/>
                  <w:tcBorders>
                    <w:tl2br w:val="nil"/>
                    <w:tr2bl w:val="nil"/>
                  </w:tcBorders>
                  <w:vAlign w:val="center"/>
                </w:tcPr>
                <w:p w14:paraId="5480B94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tcBorders>
                    <w:tl2br w:val="nil"/>
                    <w:tr2bl w:val="nil"/>
                  </w:tcBorders>
                  <w:vAlign w:val="center"/>
                </w:tcPr>
                <w:p w14:paraId="7EA5F0E2">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第2次</w:t>
                  </w:r>
                </w:p>
              </w:tc>
              <w:tc>
                <w:tcPr>
                  <w:tcW w:w="347" w:type="pct"/>
                  <w:tcBorders>
                    <w:tl2br w:val="nil"/>
                    <w:tr2bl w:val="nil"/>
                  </w:tcBorders>
                  <w:vAlign w:val="center"/>
                </w:tcPr>
                <w:p w14:paraId="75DA8CA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7.62</w:t>
                  </w:r>
                </w:p>
              </w:tc>
              <w:tc>
                <w:tcPr>
                  <w:tcW w:w="607" w:type="pct"/>
                  <w:tcBorders>
                    <w:tl2br w:val="nil"/>
                    <w:tr2bl w:val="nil"/>
                  </w:tcBorders>
                  <w:vAlign w:val="center"/>
                </w:tcPr>
                <w:p w14:paraId="0D0D4A0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100</w:t>
                  </w:r>
                </w:p>
              </w:tc>
              <w:tc>
                <w:tcPr>
                  <w:tcW w:w="607" w:type="pct"/>
                  <w:tcBorders>
                    <w:tl2br w:val="nil"/>
                    <w:tr2bl w:val="nil"/>
                  </w:tcBorders>
                  <w:vAlign w:val="center"/>
                </w:tcPr>
                <w:p w14:paraId="1A1C5E2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24.1</w:t>
                  </w:r>
                </w:p>
              </w:tc>
              <w:tc>
                <w:tcPr>
                  <w:tcW w:w="607" w:type="pct"/>
                  <w:tcBorders>
                    <w:tl2br w:val="nil"/>
                    <w:tr2bl w:val="nil"/>
                  </w:tcBorders>
                  <w:vAlign w:val="center"/>
                </w:tcPr>
                <w:p w14:paraId="1FC03FA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129</w:t>
                  </w:r>
                </w:p>
              </w:tc>
              <w:tc>
                <w:tcPr>
                  <w:tcW w:w="607" w:type="pct"/>
                  <w:tcBorders>
                    <w:tl2br w:val="nil"/>
                    <w:tr2bl w:val="nil"/>
                  </w:tcBorders>
                  <w:vAlign w:val="center"/>
                </w:tcPr>
                <w:p w14:paraId="5910D81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15.6</w:t>
                  </w:r>
                </w:p>
              </w:tc>
              <w:tc>
                <w:tcPr>
                  <w:tcW w:w="607" w:type="pct"/>
                  <w:tcBorders>
                    <w:tl2br w:val="nil"/>
                    <w:tr2bl w:val="nil"/>
                  </w:tcBorders>
                  <w:vAlign w:val="center"/>
                </w:tcPr>
                <w:p w14:paraId="70676A73">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1.21</w:t>
                  </w:r>
                </w:p>
              </w:tc>
              <w:tc>
                <w:tcPr>
                  <w:tcW w:w="574" w:type="pct"/>
                  <w:tcBorders>
                    <w:tl2br w:val="nil"/>
                    <w:tr2bl w:val="nil"/>
                  </w:tcBorders>
                  <w:vAlign w:val="center"/>
                </w:tcPr>
                <w:p w14:paraId="0746B52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0.53</w:t>
                  </w:r>
                </w:p>
              </w:tc>
              <w:tc>
                <w:tcPr>
                  <w:tcW w:w="345" w:type="pct"/>
                  <w:vMerge w:val="continue"/>
                  <w:tcBorders>
                    <w:tl2br w:val="nil"/>
                    <w:tr2bl w:val="nil"/>
                  </w:tcBorders>
                  <w:vAlign w:val="center"/>
                </w:tcPr>
                <w:p w14:paraId="14DBBB2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r>
            <w:tr w14:paraId="15D5F3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2" w:type="pct"/>
                  <w:vMerge w:val="continue"/>
                  <w:tcBorders>
                    <w:tl2br w:val="nil"/>
                    <w:tr2bl w:val="nil"/>
                  </w:tcBorders>
                  <w:vAlign w:val="center"/>
                </w:tcPr>
                <w:p w14:paraId="24BB45C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vMerge w:val="continue"/>
                  <w:tcBorders>
                    <w:tl2br w:val="nil"/>
                    <w:tr2bl w:val="nil"/>
                  </w:tcBorders>
                  <w:vAlign w:val="center"/>
                </w:tcPr>
                <w:p w14:paraId="675C64D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tcBorders>
                    <w:tl2br w:val="nil"/>
                    <w:tr2bl w:val="nil"/>
                  </w:tcBorders>
                  <w:vAlign w:val="center"/>
                </w:tcPr>
                <w:p w14:paraId="119D589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第3次</w:t>
                  </w:r>
                </w:p>
              </w:tc>
              <w:tc>
                <w:tcPr>
                  <w:tcW w:w="347" w:type="pct"/>
                  <w:tcBorders>
                    <w:tl2br w:val="nil"/>
                    <w:tr2bl w:val="nil"/>
                  </w:tcBorders>
                  <w:vAlign w:val="center"/>
                </w:tcPr>
                <w:p w14:paraId="505654E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7.63</w:t>
                  </w:r>
                </w:p>
              </w:tc>
              <w:tc>
                <w:tcPr>
                  <w:tcW w:w="607" w:type="pct"/>
                  <w:tcBorders>
                    <w:tl2br w:val="nil"/>
                    <w:tr2bl w:val="nil"/>
                  </w:tcBorders>
                  <w:vAlign w:val="center"/>
                </w:tcPr>
                <w:p w14:paraId="3B10DDB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94</w:t>
                  </w:r>
                </w:p>
              </w:tc>
              <w:tc>
                <w:tcPr>
                  <w:tcW w:w="607" w:type="pct"/>
                  <w:tcBorders>
                    <w:tl2br w:val="nil"/>
                    <w:tr2bl w:val="nil"/>
                  </w:tcBorders>
                  <w:vAlign w:val="center"/>
                </w:tcPr>
                <w:p w14:paraId="1A73D03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24.5</w:t>
                  </w:r>
                </w:p>
              </w:tc>
              <w:tc>
                <w:tcPr>
                  <w:tcW w:w="607" w:type="pct"/>
                  <w:tcBorders>
                    <w:tl2br w:val="nil"/>
                    <w:tr2bl w:val="nil"/>
                  </w:tcBorders>
                  <w:vAlign w:val="center"/>
                </w:tcPr>
                <w:p w14:paraId="63C2E83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141</w:t>
                  </w:r>
                </w:p>
              </w:tc>
              <w:tc>
                <w:tcPr>
                  <w:tcW w:w="607" w:type="pct"/>
                  <w:tcBorders>
                    <w:tl2br w:val="nil"/>
                    <w:tr2bl w:val="nil"/>
                  </w:tcBorders>
                  <w:vAlign w:val="center"/>
                </w:tcPr>
                <w:p w14:paraId="1CC85CA5">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19.3</w:t>
                  </w:r>
                </w:p>
              </w:tc>
              <w:tc>
                <w:tcPr>
                  <w:tcW w:w="607" w:type="pct"/>
                  <w:tcBorders>
                    <w:tl2br w:val="nil"/>
                    <w:tr2bl w:val="nil"/>
                  </w:tcBorders>
                  <w:vAlign w:val="center"/>
                </w:tcPr>
                <w:p w14:paraId="542E025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1.21</w:t>
                  </w:r>
                </w:p>
              </w:tc>
              <w:tc>
                <w:tcPr>
                  <w:tcW w:w="574" w:type="pct"/>
                  <w:tcBorders>
                    <w:tl2br w:val="nil"/>
                    <w:tr2bl w:val="nil"/>
                  </w:tcBorders>
                  <w:vAlign w:val="center"/>
                </w:tcPr>
                <w:p w14:paraId="3EB4555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0.53</w:t>
                  </w:r>
                </w:p>
              </w:tc>
              <w:tc>
                <w:tcPr>
                  <w:tcW w:w="345" w:type="pct"/>
                  <w:vMerge w:val="continue"/>
                  <w:tcBorders>
                    <w:tl2br w:val="nil"/>
                    <w:tr2bl w:val="nil"/>
                  </w:tcBorders>
                  <w:vAlign w:val="center"/>
                </w:tcPr>
                <w:p w14:paraId="0D63CC3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r>
            <w:tr w14:paraId="5E7DBE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232" w:type="pct"/>
                  <w:vMerge w:val="continue"/>
                  <w:tcBorders>
                    <w:tl2br w:val="nil"/>
                    <w:tr2bl w:val="nil"/>
                  </w:tcBorders>
                  <w:vAlign w:val="center"/>
                </w:tcPr>
                <w:p w14:paraId="20AE534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vMerge w:val="continue"/>
                  <w:tcBorders>
                    <w:tl2br w:val="nil"/>
                    <w:tr2bl w:val="nil"/>
                  </w:tcBorders>
                  <w:vAlign w:val="center"/>
                </w:tcPr>
                <w:p w14:paraId="1B8661C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tcBorders>
                    <w:tl2br w:val="nil"/>
                    <w:tr2bl w:val="nil"/>
                  </w:tcBorders>
                  <w:vAlign w:val="center"/>
                </w:tcPr>
                <w:p w14:paraId="3459B52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第4次</w:t>
                  </w:r>
                </w:p>
              </w:tc>
              <w:tc>
                <w:tcPr>
                  <w:tcW w:w="347" w:type="pct"/>
                  <w:tcBorders>
                    <w:tl2br w:val="nil"/>
                    <w:tr2bl w:val="nil"/>
                  </w:tcBorders>
                  <w:vAlign w:val="center"/>
                </w:tcPr>
                <w:p w14:paraId="32FC1BB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7.64</w:t>
                  </w:r>
                </w:p>
              </w:tc>
              <w:tc>
                <w:tcPr>
                  <w:tcW w:w="607" w:type="pct"/>
                  <w:tcBorders>
                    <w:tl2br w:val="nil"/>
                    <w:tr2bl w:val="nil"/>
                  </w:tcBorders>
                  <w:vAlign w:val="center"/>
                </w:tcPr>
                <w:p w14:paraId="4EBA18D6">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89</w:t>
                  </w:r>
                </w:p>
              </w:tc>
              <w:tc>
                <w:tcPr>
                  <w:tcW w:w="607" w:type="pct"/>
                  <w:tcBorders>
                    <w:tl2br w:val="nil"/>
                    <w:tr2bl w:val="nil"/>
                  </w:tcBorders>
                  <w:vAlign w:val="center"/>
                </w:tcPr>
                <w:p w14:paraId="565BD9C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24.1</w:t>
                  </w:r>
                </w:p>
              </w:tc>
              <w:tc>
                <w:tcPr>
                  <w:tcW w:w="607" w:type="pct"/>
                  <w:tcBorders>
                    <w:tl2br w:val="nil"/>
                    <w:tr2bl w:val="nil"/>
                  </w:tcBorders>
                  <w:vAlign w:val="center"/>
                </w:tcPr>
                <w:p w14:paraId="6903D22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144</w:t>
                  </w:r>
                </w:p>
              </w:tc>
              <w:tc>
                <w:tcPr>
                  <w:tcW w:w="607" w:type="pct"/>
                  <w:tcBorders>
                    <w:tl2br w:val="nil"/>
                    <w:tr2bl w:val="nil"/>
                  </w:tcBorders>
                  <w:vAlign w:val="center"/>
                </w:tcPr>
                <w:p w14:paraId="146ED332">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18.4</w:t>
                  </w:r>
                </w:p>
              </w:tc>
              <w:tc>
                <w:tcPr>
                  <w:tcW w:w="607" w:type="pct"/>
                  <w:tcBorders>
                    <w:tl2br w:val="nil"/>
                    <w:tr2bl w:val="nil"/>
                  </w:tcBorders>
                  <w:vAlign w:val="center"/>
                </w:tcPr>
                <w:p w14:paraId="06D60C9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1.21</w:t>
                  </w:r>
                </w:p>
              </w:tc>
              <w:tc>
                <w:tcPr>
                  <w:tcW w:w="574" w:type="pct"/>
                  <w:tcBorders>
                    <w:tl2br w:val="nil"/>
                    <w:tr2bl w:val="nil"/>
                  </w:tcBorders>
                  <w:vAlign w:val="center"/>
                </w:tcPr>
                <w:p w14:paraId="7EC5CA7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0.53</w:t>
                  </w:r>
                </w:p>
              </w:tc>
              <w:tc>
                <w:tcPr>
                  <w:tcW w:w="345" w:type="pct"/>
                  <w:vMerge w:val="continue"/>
                  <w:tcBorders>
                    <w:tl2br w:val="nil"/>
                    <w:tr2bl w:val="nil"/>
                  </w:tcBorders>
                  <w:vAlign w:val="center"/>
                </w:tcPr>
                <w:p w14:paraId="1F2900B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r>
            <w:tr w14:paraId="0589C1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 w:type="pct"/>
                  <w:vMerge w:val="continue"/>
                  <w:tcBorders>
                    <w:tl2br w:val="nil"/>
                    <w:tr2bl w:val="nil"/>
                  </w:tcBorders>
                  <w:vAlign w:val="center"/>
                </w:tcPr>
                <w:p w14:paraId="0A68E98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vMerge w:val="restart"/>
                  <w:tcBorders>
                    <w:tl2br w:val="nil"/>
                    <w:tr2bl w:val="nil"/>
                  </w:tcBorders>
                  <w:vAlign w:val="center"/>
                </w:tcPr>
                <w:p w14:paraId="3191147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07月01日</w:t>
                  </w:r>
                </w:p>
              </w:tc>
              <w:tc>
                <w:tcPr>
                  <w:tcW w:w="232" w:type="pct"/>
                  <w:tcBorders>
                    <w:tl2br w:val="nil"/>
                    <w:tr2bl w:val="nil"/>
                  </w:tcBorders>
                  <w:vAlign w:val="center"/>
                </w:tcPr>
                <w:p w14:paraId="1CAAC60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第1次</w:t>
                  </w:r>
                </w:p>
              </w:tc>
              <w:tc>
                <w:tcPr>
                  <w:tcW w:w="347" w:type="pct"/>
                  <w:tcBorders>
                    <w:tl2br w:val="nil"/>
                    <w:tr2bl w:val="nil"/>
                  </w:tcBorders>
                  <w:vAlign w:val="center"/>
                </w:tcPr>
                <w:p w14:paraId="6526660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7.65</w:t>
                  </w:r>
                </w:p>
              </w:tc>
              <w:tc>
                <w:tcPr>
                  <w:tcW w:w="607" w:type="pct"/>
                  <w:tcBorders>
                    <w:tl2br w:val="nil"/>
                    <w:tr2bl w:val="nil"/>
                  </w:tcBorders>
                  <w:vAlign w:val="center"/>
                </w:tcPr>
                <w:p w14:paraId="11E7B38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96</w:t>
                  </w:r>
                </w:p>
              </w:tc>
              <w:tc>
                <w:tcPr>
                  <w:tcW w:w="607" w:type="pct"/>
                  <w:tcBorders>
                    <w:tl2br w:val="nil"/>
                    <w:tr2bl w:val="nil"/>
                  </w:tcBorders>
                  <w:vAlign w:val="center"/>
                </w:tcPr>
                <w:p w14:paraId="0D4B928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25.5</w:t>
                  </w:r>
                </w:p>
              </w:tc>
              <w:tc>
                <w:tcPr>
                  <w:tcW w:w="607" w:type="pct"/>
                  <w:tcBorders>
                    <w:tl2br w:val="nil"/>
                    <w:tr2bl w:val="nil"/>
                  </w:tcBorders>
                  <w:vAlign w:val="center"/>
                </w:tcPr>
                <w:p w14:paraId="72EA082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135</w:t>
                  </w:r>
                </w:p>
              </w:tc>
              <w:tc>
                <w:tcPr>
                  <w:tcW w:w="607" w:type="pct"/>
                  <w:tcBorders>
                    <w:tl2br w:val="nil"/>
                    <w:tr2bl w:val="nil"/>
                  </w:tcBorders>
                  <w:vAlign w:val="center"/>
                </w:tcPr>
                <w:p w14:paraId="701D01C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16.5</w:t>
                  </w:r>
                </w:p>
              </w:tc>
              <w:tc>
                <w:tcPr>
                  <w:tcW w:w="607" w:type="pct"/>
                  <w:tcBorders>
                    <w:tl2br w:val="nil"/>
                    <w:tr2bl w:val="nil"/>
                  </w:tcBorders>
                  <w:vAlign w:val="center"/>
                </w:tcPr>
                <w:p w14:paraId="17A579D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1.20</w:t>
                  </w:r>
                </w:p>
              </w:tc>
              <w:tc>
                <w:tcPr>
                  <w:tcW w:w="574" w:type="pct"/>
                  <w:tcBorders>
                    <w:tl2br w:val="nil"/>
                    <w:tr2bl w:val="nil"/>
                  </w:tcBorders>
                  <w:vAlign w:val="center"/>
                </w:tcPr>
                <w:p w14:paraId="5591414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0.54</w:t>
                  </w:r>
                </w:p>
              </w:tc>
              <w:tc>
                <w:tcPr>
                  <w:tcW w:w="345" w:type="pct"/>
                  <w:vMerge w:val="restart"/>
                  <w:tcBorders>
                    <w:tl2br w:val="nil"/>
                    <w:tr2bl w:val="nil"/>
                  </w:tcBorders>
                  <w:vAlign w:val="center"/>
                </w:tcPr>
                <w:p w14:paraId="02C2660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微黄、浑浊、有嗅味</w:t>
                  </w:r>
                </w:p>
              </w:tc>
            </w:tr>
            <w:tr w14:paraId="46A8DA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2" w:type="pct"/>
                  <w:vMerge w:val="continue"/>
                  <w:tcBorders>
                    <w:tl2br w:val="nil"/>
                    <w:tr2bl w:val="nil"/>
                  </w:tcBorders>
                  <w:vAlign w:val="center"/>
                </w:tcPr>
                <w:p w14:paraId="3718E0A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vMerge w:val="continue"/>
                  <w:tcBorders>
                    <w:tl2br w:val="nil"/>
                    <w:tr2bl w:val="nil"/>
                  </w:tcBorders>
                  <w:vAlign w:val="center"/>
                </w:tcPr>
                <w:p w14:paraId="2BA82F7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tcBorders>
                    <w:tl2br w:val="nil"/>
                    <w:tr2bl w:val="nil"/>
                  </w:tcBorders>
                  <w:vAlign w:val="center"/>
                </w:tcPr>
                <w:p w14:paraId="3D3FD5D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第2次</w:t>
                  </w:r>
                </w:p>
              </w:tc>
              <w:tc>
                <w:tcPr>
                  <w:tcW w:w="347" w:type="pct"/>
                  <w:tcBorders>
                    <w:tl2br w:val="nil"/>
                    <w:tr2bl w:val="nil"/>
                  </w:tcBorders>
                  <w:vAlign w:val="center"/>
                </w:tcPr>
                <w:p w14:paraId="794E3673">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7.64</w:t>
                  </w:r>
                </w:p>
              </w:tc>
              <w:tc>
                <w:tcPr>
                  <w:tcW w:w="607" w:type="pct"/>
                  <w:tcBorders>
                    <w:tl2br w:val="nil"/>
                    <w:tr2bl w:val="nil"/>
                  </w:tcBorders>
                  <w:vAlign w:val="center"/>
                </w:tcPr>
                <w:p w14:paraId="0E4E9C1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108</w:t>
                  </w:r>
                </w:p>
              </w:tc>
              <w:tc>
                <w:tcPr>
                  <w:tcW w:w="607" w:type="pct"/>
                  <w:tcBorders>
                    <w:tl2br w:val="nil"/>
                    <w:tr2bl w:val="nil"/>
                  </w:tcBorders>
                  <w:vAlign w:val="center"/>
                </w:tcPr>
                <w:p w14:paraId="5EEC1E4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25.9</w:t>
                  </w:r>
                </w:p>
              </w:tc>
              <w:tc>
                <w:tcPr>
                  <w:tcW w:w="607" w:type="pct"/>
                  <w:tcBorders>
                    <w:tl2br w:val="nil"/>
                    <w:tr2bl w:val="nil"/>
                  </w:tcBorders>
                  <w:vAlign w:val="center"/>
                </w:tcPr>
                <w:p w14:paraId="794A673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135</w:t>
                  </w:r>
                </w:p>
              </w:tc>
              <w:tc>
                <w:tcPr>
                  <w:tcW w:w="607" w:type="pct"/>
                  <w:tcBorders>
                    <w:tl2br w:val="nil"/>
                    <w:tr2bl w:val="nil"/>
                  </w:tcBorders>
                  <w:vAlign w:val="center"/>
                </w:tcPr>
                <w:p w14:paraId="69EF7DD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17.0</w:t>
                  </w:r>
                </w:p>
              </w:tc>
              <w:tc>
                <w:tcPr>
                  <w:tcW w:w="607" w:type="pct"/>
                  <w:tcBorders>
                    <w:tl2br w:val="nil"/>
                    <w:tr2bl w:val="nil"/>
                  </w:tcBorders>
                  <w:vAlign w:val="center"/>
                </w:tcPr>
                <w:p w14:paraId="1A35F19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1.22</w:t>
                  </w:r>
                </w:p>
              </w:tc>
              <w:tc>
                <w:tcPr>
                  <w:tcW w:w="574" w:type="pct"/>
                  <w:tcBorders>
                    <w:tl2br w:val="nil"/>
                    <w:tr2bl w:val="nil"/>
                  </w:tcBorders>
                  <w:vAlign w:val="center"/>
                </w:tcPr>
                <w:p w14:paraId="1E8701C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0.54</w:t>
                  </w:r>
                </w:p>
              </w:tc>
              <w:tc>
                <w:tcPr>
                  <w:tcW w:w="345" w:type="pct"/>
                  <w:vMerge w:val="continue"/>
                  <w:tcBorders>
                    <w:tl2br w:val="nil"/>
                    <w:tr2bl w:val="nil"/>
                  </w:tcBorders>
                  <w:vAlign w:val="center"/>
                </w:tcPr>
                <w:p w14:paraId="551BD3A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r>
            <w:tr w14:paraId="14E2D9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2" w:type="pct"/>
                  <w:vMerge w:val="continue"/>
                  <w:tcBorders>
                    <w:tl2br w:val="nil"/>
                    <w:tr2bl w:val="nil"/>
                  </w:tcBorders>
                  <w:vAlign w:val="center"/>
                </w:tcPr>
                <w:p w14:paraId="5F228FB5">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vMerge w:val="continue"/>
                  <w:tcBorders>
                    <w:tl2br w:val="nil"/>
                    <w:tr2bl w:val="nil"/>
                  </w:tcBorders>
                  <w:vAlign w:val="center"/>
                </w:tcPr>
                <w:p w14:paraId="76950F3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tcBorders>
                    <w:tl2br w:val="nil"/>
                    <w:tr2bl w:val="nil"/>
                  </w:tcBorders>
                  <w:vAlign w:val="center"/>
                </w:tcPr>
                <w:p w14:paraId="798F4F7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第3次</w:t>
                  </w:r>
                </w:p>
              </w:tc>
              <w:tc>
                <w:tcPr>
                  <w:tcW w:w="347" w:type="pct"/>
                  <w:tcBorders>
                    <w:tl2br w:val="nil"/>
                    <w:tr2bl w:val="nil"/>
                  </w:tcBorders>
                  <w:vAlign w:val="center"/>
                </w:tcPr>
                <w:p w14:paraId="2EE36DA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7.65</w:t>
                  </w:r>
                </w:p>
              </w:tc>
              <w:tc>
                <w:tcPr>
                  <w:tcW w:w="607" w:type="pct"/>
                  <w:tcBorders>
                    <w:tl2br w:val="nil"/>
                    <w:tr2bl w:val="nil"/>
                  </w:tcBorders>
                  <w:vAlign w:val="center"/>
                </w:tcPr>
                <w:p w14:paraId="06D547B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102</w:t>
                  </w:r>
                </w:p>
              </w:tc>
              <w:tc>
                <w:tcPr>
                  <w:tcW w:w="607" w:type="pct"/>
                  <w:tcBorders>
                    <w:tl2br w:val="nil"/>
                    <w:tr2bl w:val="nil"/>
                  </w:tcBorders>
                  <w:vAlign w:val="center"/>
                </w:tcPr>
                <w:p w14:paraId="32E1DB1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24.3</w:t>
                  </w:r>
                </w:p>
              </w:tc>
              <w:tc>
                <w:tcPr>
                  <w:tcW w:w="607" w:type="pct"/>
                  <w:tcBorders>
                    <w:tl2br w:val="nil"/>
                    <w:tr2bl w:val="nil"/>
                  </w:tcBorders>
                  <w:vAlign w:val="center"/>
                </w:tcPr>
                <w:p w14:paraId="60F2D9B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141</w:t>
                  </w:r>
                </w:p>
              </w:tc>
              <w:tc>
                <w:tcPr>
                  <w:tcW w:w="607" w:type="pct"/>
                  <w:tcBorders>
                    <w:tl2br w:val="nil"/>
                    <w:tr2bl w:val="nil"/>
                  </w:tcBorders>
                  <w:vAlign w:val="center"/>
                </w:tcPr>
                <w:p w14:paraId="48D1B7E2">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17.7</w:t>
                  </w:r>
                </w:p>
              </w:tc>
              <w:tc>
                <w:tcPr>
                  <w:tcW w:w="607" w:type="pct"/>
                  <w:tcBorders>
                    <w:tl2br w:val="nil"/>
                    <w:tr2bl w:val="nil"/>
                  </w:tcBorders>
                  <w:vAlign w:val="center"/>
                </w:tcPr>
                <w:p w14:paraId="459A89D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1.21</w:t>
                  </w:r>
                </w:p>
              </w:tc>
              <w:tc>
                <w:tcPr>
                  <w:tcW w:w="574" w:type="pct"/>
                  <w:tcBorders>
                    <w:tl2br w:val="nil"/>
                    <w:tr2bl w:val="nil"/>
                  </w:tcBorders>
                  <w:vAlign w:val="center"/>
                </w:tcPr>
                <w:p w14:paraId="3C93D5AD">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0.54</w:t>
                  </w:r>
                </w:p>
              </w:tc>
              <w:tc>
                <w:tcPr>
                  <w:tcW w:w="345" w:type="pct"/>
                  <w:vMerge w:val="continue"/>
                  <w:tcBorders>
                    <w:tl2br w:val="nil"/>
                    <w:tr2bl w:val="nil"/>
                  </w:tcBorders>
                  <w:vAlign w:val="center"/>
                </w:tcPr>
                <w:p w14:paraId="6A7E8FF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r>
            <w:tr w14:paraId="1F0ED4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32" w:type="pct"/>
                  <w:vMerge w:val="continue"/>
                  <w:tcBorders>
                    <w:tl2br w:val="nil"/>
                    <w:tr2bl w:val="nil"/>
                  </w:tcBorders>
                  <w:vAlign w:val="center"/>
                </w:tcPr>
                <w:p w14:paraId="43657E1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vMerge w:val="continue"/>
                  <w:tcBorders>
                    <w:tl2br w:val="nil"/>
                    <w:tr2bl w:val="nil"/>
                  </w:tcBorders>
                  <w:vAlign w:val="center"/>
                </w:tcPr>
                <w:p w14:paraId="205547C5">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c>
                <w:tcPr>
                  <w:tcW w:w="232" w:type="pct"/>
                  <w:tcBorders>
                    <w:tl2br w:val="nil"/>
                    <w:tr2bl w:val="nil"/>
                  </w:tcBorders>
                  <w:vAlign w:val="center"/>
                </w:tcPr>
                <w:p w14:paraId="62AD2C8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第4次</w:t>
                  </w:r>
                </w:p>
              </w:tc>
              <w:tc>
                <w:tcPr>
                  <w:tcW w:w="347" w:type="pct"/>
                  <w:tcBorders>
                    <w:tl2br w:val="nil"/>
                    <w:tr2bl w:val="nil"/>
                  </w:tcBorders>
                  <w:vAlign w:val="center"/>
                </w:tcPr>
                <w:p w14:paraId="1550207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7.66</w:t>
                  </w:r>
                </w:p>
              </w:tc>
              <w:tc>
                <w:tcPr>
                  <w:tcW w:w="607" w:type="pct"/>
                  <w:tcBorders>
                    <w:tl2br w:val="nil"/>
                    <w:tr2bl w:val="nil"/>
                  </w:tcBorders>
                  <w:vAlign w:val="center"/>
                </w:tcPr>
                <w:p w14:paraId="0BE54B25">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91</w:t>
                  </w:r>
                </w:p>
              </w:tc>
              <w:tc>
                <w:tcPr>
                  <w:tcW w:w="607" w:type="pct"/>
                  <w:tcBorders>
                    <w:tl2br w:val="nil"/>
                    <w:tr2bl w:val="nil"/>
                  </w:tcBorders>
                  <w:vAlign w:val="center"/>
                </w:tcPr>
                <w:p w14:paraId="55BADD46">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22.7</w:t>
                  </w:r>
                </w:p>
              </w:tc>
              <w:tc>
                <w:tcPr>
                  <w:tcW w:w="607" w:type="pct"/>
                  <w:tcBorders>
                    <w:tl2br w:val="nil"/>
                    <w:tr2bl w:val="nil"/>
                  </w:tcBorders>
                  <w:vAlign w:val="center"/>
                </w:tcPr>
                <w:p w14:paraId="739F7D5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127</w:t>
                  </w:r>
                </w:p>
              </w:tc>
              <w:tc>
                <w:tcPr>
                  <w:tcW w:w="607" w:type="pct"/>
                  <w:tcBorders>
                    <w:tl2br w:val="nil"/>
                    <w:tr2bl w:val="nil"/>
                  </w:tcBorders>
                  <w:vAlign w:val="center"/>
                </w:tcPr>
                <w:p w14:paraId="0820B52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16.8</w:t>
                  </w:r>
                </w:p>
              </w:tc>
              <w:tc>
                <w:tcPr>
                  <w:tcW w:w="607" w:type="pct"/>
                  <w:tcBorders>
                    <w:tl2br w:val="nil"/>
                    <w:tr2bl w:val="nil"/>
                  </w:tcBorders>
                  <w:vAlign w:val="center"/>
                </w:tcPr>
                <w:p w14:paraId="3E15628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default" w:ascii="Times New Roman" w:hAnsi="Times New Roman" w:cs="Times New Roman" w:eastAsiaTheme="majorEastAsia"/>
                      <w:b w:val="0"/>
                      <w:bCs w:val="0"/>
                      <w:color w:val="auto"/>
                      <w:kern w:val="2"/>
                      <w:sz w:val="21"/>
                      <w:szCs w:val="21"/>
                      <w:vertAlign w:val="baseline"/>
                      <w:lang w:val="en-US" w:eastAsia="zh-CN" w:bidi="ar-SA"/>
                    </w:rPr>
                    <w:t>1.22</w:t>
                  </w:r>
                </w:p>
              </w:tc>
              <w:tc>
                <w:tcPr>
                  <w:tcW w:w="574" w:type="pct"/>
                  <w:tcBorders>
                    <w:tl2br w:val="nil"/>
                    <w:tr2bl w:val="nil"/>
                  </w:tcBorders>
                  <w:vAlign w:val="center"/>
                </w:tcPr>
                <w:p w14:paraId="64B8F83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ajorEastAsia"/>
                      <w:b w:val="0"/>
                      <w:bCs w:val="0"/>
                      <w:color w:val="auto"/>
                      <w:kern w:val="2"/>
                      <w:sz w:val="21"/>
                      <w:szCs w:val="21"/>
                      <w:vertAlign w:val="baseline"/>
                      <w:lang w:val="en-US" w:eastAsia="zh-CN" w:bidi="ar-SA"/>
                    </w:rPr>
                  </w:pPr>
                  <w:r>
                    <w:rPr>
                      <w:rFonts w:hint="eastAsia" w:cs="Times New Roman"/>
                      <w:i w:val="0"/>
                      <w:iCs w:val="0"/>
                      <w:color w:val="auto"/>
                      <w:kern w:val="0"/>
                      <w:sz w:val="21"/>
                      <w:szCs w:val="21"/>
                      <w:u w:val="none"/>
                      <w:lang w:val="en-US" w:eastAsia="zh-CN" w:bidi="ar"/>
                    </w:rPr>
                    <w:t>0.54</w:t>
                  </w:r>
                </w:p>
              </w:tc>
              <w:tc>
                <w:tcPr>
                  <w:tcW w:w="345" w:type="pct"/>
                  <w:vMerge w:val="continue"/>
                  <w:tcBorders>
                    <w:tl2br w:val="nil"/>
                    <w:tr2bl w:val="nil"/>
                  </w:tcBorders>
                  <w:vAlign w:val="center"/>
                </w:tcPr>
                <w:p w14:paraId="0C8193C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ajorEastAsia"/>
                      <w:b w:val="0"/>
                      <w:bCs w:val="0"/>
                      <w:color w:val="auto"/>
                      <w:kern w:val="2"/>
                      <w:sz w:val="21"/>
                      <w:szCs w:val="21"/>
                      <w:vertAlign w:val="baseline"/>
                      <w:lang w:val="en-US" w:eastAsia="zh-CN" w:bidi="ar-SA"/>
                    </w:rPr>
                  </w:pPr>
                </w:p>
              </w:tc>
            </w:tr>
          </w:tbl>
          <w:p w14:paraId="66D3288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ascii="Times New Roman" w:hAnsi="Times New Roman" w:cs="Times New Roman"/>
                <w:b w:val="0"/>
                <w:bCs w:val="0"/>
                <w:color w:val="auto"/>
                <w:kern w:val="2"/>
                <w:sz w:val="24"/>
                <w:szCs w:val="24"/>
                <w:lang w:val="en-US" w:eastAsia="zh-CN"/>
              </w:rPr>
            </w:pPr>
            <w:r>
              <w:rPr>
                <w:rFonts w:hint="eastAsia" w:cs="Times New Roman"/>
                <w:b w:val="0"/>
                <w:bCs w:val="0"/>
                <w:color w:val="auto"/>
                <w:kern w:val="2"/>
                <w:sz w:val="24"/>
                <w:szCs w:val="24"/>
                <w:lang w:val="en-US" w:eastAsia="zh-CN"/>
              </w:rPr>
              <w:t>验收监测期间，该项目废水总排放口废水中pH测定值为7.62~7.66，悬浮物为127~144mg/L，化学需氧量、氨氮、五日生化需氧量、动植物油的浓度分别为89~112mg/L、15.6~19.3mg/L、24.1~25.9mg/L、1.20~1.23，均符合《污水综合排放标准》（GB8978-1996）表4三级标准及汤阴东方环宇污水处理有限公司进水水质的要求。</w:t>
            </w:r>
          </w:p>
          <w:p w14:paraId="022EFE3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cs="Times New Roman"/>
                <w:b/>
                <w:bCs/>
                <w:color w:val="auto"/>
                <w:kern w:val="2"/>
                <w:sz w:val="24"/>
                <w:szCs w:val="24"/>
                <w:lang w:val="en-US" w:eastAsia="zh-CN"/>
              </w:rPr>
            </w:pPr>
            <w:r>
              <w:rPr>
                <w:rFonts w:hint="eastAsia" w:cs="Times New Roman"/>
                <w:b/>
                <w:bCs/>
                <w:color w:val="auto"/>
                <w:kern w:val="2"/>
                <w:sz w:val="24"/>
                <w:szCs w:val="24"/>
                <w:lang w:val="en-US" w:eastAsia="zh-CN"/>
              </w:rPr>
              <w:t>4.2噪声</w:t>
            </w:r>
          </w:p>
          <w:p w14:paraId="574F281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cs="Times New Roman"/>
                <w:b w:val="0"/>
                <w:bCs w:val="0"/>
                <w:color w:val="auto"/>
                <w:kern w:val="2"/>
                <w:sz w:val="24"/>
                <w:szCs w:val="24"/>
                <w:lang w:val="en-US" w:eastAsia="zh-CN"/>
              </w:rPr>
            </w:pPr>
            <w:r>
              <w:rPr>
                <w:rFonts w:hint="eastAsia" w:cs="Times New Roman"/>
                <w:b w:val="0"/>
                <w:bCs w:val="0"/>
                <w:color w:val="auto"/>
                <w:kern w:val="2"/>
                <w:sz w:val="24"/>
                <w:szCs w:val="24"/>
                <w:lang w:val="en-US" w:eastAsia="zh-CN"/>
              </w:rPr>
              <w:t>根据现有项目验收报告中噪声监测，具体结果见下</w:t>
            </w:r>
          </w:p>
          <w:p w14:paraId="311A0512">
            <w:pPr>
              <w:pStyle w:val="72"/>
              <w:keepNext w:val="0"/>
              <w:keepLines w:val="0"/>
              <w:pageBreakBefore w:val="0"/>
              <w:widowControl/>
              <w:suppressLineNumbers w:val="0"/>
              <w:tabs>
                <w:tab w:val="left" w:pos="2320"/>
                <w:tab w:val="left" w:pos="8400"/>
              </w:tabs>
              <w:kinsoku/>
              <w:wordWrap/>
              <w:overflowPunct/>
              <w:topLinePunct w:val="0"/>
              <w:autoSpaceDE/>
              <w:autoSpaceDN/>
              <w:bidi w:val="0"/>
              <w:adjustRightInd/>
              <w:snapToGrid/>
              <w:spacing w:before="0" w:beforeAutospacing="0" w:after="0" w:afterAutospacing="0" w:line="240" w:lineRule="auto"/>
              <w:ind w:left="3570" w:leftChars="1700" w:right="0" w:firstLine="0" w:firstLineChars="0"/>
              <w:jc w:val="center"/>
              <w:textAlignment w:val="auto"/>
              <w:rPr>
                <w:rFonts w:hint="default" w:cs="Times New Roman"/>
                <w:b/>
                <w:bCs/>
                <w:color w:val="auto"/>
                <w:kern w:val="2"/>
                <w:sz w:val="21"/>
                <w:szCs w:val="21"/>
                <w:lang w:val="en-US" w:eastAsia="zh-CN"/>
              </w:rPr>
            </w:pPr>
            <w:r>
              <w:rPr>
                <w:rFonts w:hint="eastAsia" w:cs="Times New Roman"/>
                <w:b/>
                <w:bCs/>
                <w:color w:val="auto"/>
                <w:kern w:val="2"/>
                <w:sz w:val="21"/>
                <w:szCs w:val="21"/>
                <w:lang w:val="en-US" w:eastAsia="zh-CN"/>
              </w:rPr>
              <w:t>表17  噪声检测结果               单位  dB(A)</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921"/>
              <w:gridCol w:w="1837"/>
              <w:gridCol w:w="1837"/>
              <w:gridCol w:w="1837"/>
              <w:gridCol w:w="1849"/>
            </w:tblGrid>
            <w:tr w14:paraId="1B334E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994" w:type="pct"/>
                  <w:gridSpan w:val="2"/>
                  <w:vMerge w:val="restart"/>
                  <w:tcBorders>
                    <w:tl2br w:val="nil"/>
                    <w:tr2bl w:val="nil"/>
                  </w:tcBorders>
                  <w:vAlign w:val="center"/>
                </w:tcPr>
                <w:p w14:paraId="09C799E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kern w:val="2"/>
                      <w:sz w:val="21"/>
                      <w:szCs w:val="21"/>
                      <w:vertAlign w:val="baseline"/>
                      <w:lang w:val="en-US" w:eastAsia="zh-CN" w:bidi="ar-SA"/>
                    </w:rPr>
                  </w:pPr>
                  <w:r>
                    <w:rPr>
                      <w:rFonts w:hint="eastAsia" w:cs="Times New Roman"/>
                      <w:b/>
                      <w:bCs/>
                      <w:color w:val="auto"/>
                      <w:kern w:val="2"/>
                      <w:sz w:val="21"/>
                      <w:szCs w:val="21"/>
                      <w:vertAlign w:val="baseline"/>
                      <w:lang w:val="en-US" w:eastAsia="zh-CN" w:bidi="ar-SA"/>
                    </w:rPr>
                    <w:t>检测日期</w:t>
                  </w:r>
                </w:p>
              </w:tc>
              <w:tc>
                <w:tcPr>
                  <w:tcW w:w="4005" w:type="pct"/>
                  <w:gridSpan w:val="4"/>
                  <w:tcBorders>
                    <w:tl2br w:val="nil"/>
                    <w:tr2bl w:val="nil"/>
                  </w:tcBorders>
                  <w:vAlign w:val="center"/>
                </w:tcPr>
                <w:p w14:paraId="4F19AE8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kern w:val="2"/>
                      <w:sz w:val="21"/>
                      <w:szCs w:val="21"/>
                      <w:vertAlign w:val="baseline"/>
                      <w:lang w:val="en-US" w:eastAsia="zh-CN" w:bidi="ar-SA"/>
                    </w:rPr>
                  </w:pPr>
                  <w:r>
                    <w:rPr>
                      <w:rFonts w:hint="eastAsia" w:cs="Times New Roman"/>
                      <w:b/>
                      <w:bCs/>
                      <w:color w:val="auto"/>
                      <w:kern w:val="2"/>
                      <w:sz w:val="21"/>
                      <w:szCs w:val="21"/>
                      <w:vertAlign w:val="baseline"/>
                      <w:lang w:val="en-US" w:eastAsia="zh-CN" w:bidi="ar-SA"/>
                    </w:rPr>
                    <w:t>检测点位</w:t>
                  </w:r>
                </w:p>
              </w:tc>
            </w:tr>
            <w:tr w14:paraId="1EF94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4" w:type="pct"/>
                  <w:gridSpan w:val="2"/>
                  <w:vMerge w:val="continue"/>
                  <w:tcBorders>
                    <w:tl2br w:val="nil"/>
                    <w:tr2bl w:val="nil"/>
                  </w:tcBorders>
                  <w:vAlign w:val="center"/>
                </w:tcPr>
                <w:p w14:paraId="44FBF5F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kern w:val="2"/>
                      <w:sz w:val="21"/>
                      <w:szCs w:val="21"/>
                      <w:vertAlign w:val="baseline"/>
                      <w:lang w:val="en-US" w:eastAsia="zh-CN" w:bidi="ar-SA"/>
                    </w:rPr>
                  </w:pPr>
                </w:p>
              </w:tc>
              <w:tc>
                <w:tcPr>
                  <w:tcW w:w="1000" w:type="pct"/>
                  <w:tcBorders>
                    <w:tl2br w:val="nil"/>
                    <w:tr2bl w:val="nil"/>
                  </w:tcBorders>
                  <w:vAlign w:val="center"/>
                </w:tcPr>
                <w:p w14:paraId="6235DC9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kern w:val="2"/>
                      <w:sz w:val="21"/>
                      <w:szCs w:val="21"/>
                      <w:vertAlign w:val="baseline"/>
                      <w:lang w:val="en-US" w:eastAsia="zh-CN" w:bidi="ar-SA"/>
                    </w:rPr>
                  </w:pPr>
                  <w:r>
                    <w:rPr>
                      <w:rFonts w:hint="eastAsia" w:cs="Times New Roman"/>
                      <w:b/>
                      <w:bCs/>
                      <w:color w:val="auto"/>
                      <w:kern w:val="2"/>
                      <w:sz w:val="21"/>
                      <w:szCs w:val="21"/>
                      <w:vertAlign w:val="baseline"/>
                      <w:lang w:val="en-US" w:eastAsia="zh-CN" w:bidi="ar-SA"/>
                    </w:rPr>
                    <w:t>东厂界</w:t>
                  </w:r>
                </w:p>
              </w:tc>
              <w:tc>
                <w:tcPr>
                  <w:tcW w:w="1000" w:type="pct"/>
                  <w:tcBorders>
                    <w:tl2br w:val="nil"/>
                    <w:tr2bl w:val="nil"/>
                  </w:tcBorders>
                  <w:vAlign w:val="center"/>
                </w:tcPr>
                <w:p w14:paraId="42E873D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kern w:val="2"/>
                      <w:sz w:val="21"/>
                      <w:szCs w:val="21"/>
                      <w:vertAlign w:val="baseline"/>
                      <w:lang w:val="en-US" w:eastAsia="zh-CN" w:bidi="ar-SA"/>
                    </w:rPr>
                  </w:pPr>
                  <w:r>
                    <w:rPr>
                      <w:rFonts w:hint="eastAsia" w:cs="Times New Roman"/>
                      <w:b/>
                      <w:bCs/>
                      <w:color w:val="auto"/>
                      <w:kern w:val="2"/>
                      <w:sz w:val="21"/>
                      <w:szCs w:val="21"/>
                      <w:vertAlign w:val="baseline"/>
                      <w:lang w:val="en-US" w:eastAsia="zh-CN" w:bidi="ar-SA"/>
                    </w:rPr>
                    <w:t>南厂界</w:t>
                  </w:r>
                </w:p>
              </w:tc>
              <w:tc>
                <w:tcPr>
                  <w:tcW w:w="1000" w:type="pct"/>
                  <w:tcBorders>
                    <w:tl2br w:val="nil"/>
                    <w:tr2bl w:val="nil"/>
                  </w:tcBorders>
                  <w:vAlign w:val="center"/>
                </w:tcPr>
                <w:p w14:paraId="1CAD9DA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kern w:val="2"/>
                      <w:sz w:val="21"/>
                      <w:szCs w:val="21"/>
                      <w:vertAlign w:val="baseline"/>
                      <w:lang w:val="en-US" w:eastAsia="zh-CN" w:bidi="ar-SA"/>
                    </w:rPr>
                  </w:pPr>
                  <w:r>
                    <w:rPr>
                      <w:rFonts w:hint="eastAsia" w:cs="Times New Roman"/>
                      <w:b/>
                      <w:bCs/>
                      <w:color w:val="auto"/>
                      <w:kern w:val="2"/>
                      <w:sz w:val="21"/>
                      <w:szCs w:val="21"/>
                      <w:vertAlign w:val="baseline"/>
                      <w:lang w:val="en-US" w:eastAsia="zh-CN" w:bidi="ar-SA"/>
                    </w:rPr>
                    <w:t>西厂界</w:t>
                  </w:r>
                </w:p>
              </w:tc>
              <w:tc>
                <w:tcPr>
                  <w:tcW w:w="1004" w:type="pct"/>
                  <w:tcBorders>
                    <w:tl2br w:val="nil"/>
                    <w:tr2bl w:val="nil"/>
                  </w:tcBorders>
                  <w:vAlign w:val="center"/>
                </w:tcPr>
                <w:p w14:paraId="2023450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bCs/>
                      <w:color w:val="auto"/>
                      <w:kern w:val="2"/>
                      <w:sz w:val="21"/>
                      <w:szCs w:val="21"/>
                      <w:vertAlign w:val="baseline"/>
                      <w:lang w:val="en-US" w:eastAsia="zh-CN" w:bidi="ar-SA"/>
                    </w:rPr>
                  </w:pPr>
                  <w:r>
                    <w:rPr>
                      <w:rFonts w:hint="eastAsia" w:cs="Times New Roman"/>
                      <w:b/>
                      <w:bCs/>
                      <w:color w:val="auto"/>
                      <w:kern w:val="2"/>
                      <w:sz w:val="21"/>
                      <w:szCs w:val="21"/>
                      <w:vertAlign w:val="baseline"/>
                      <w:lang w:val="en-US" w:eastAsia="zh-CN" w:bidi="ar-SA"/>
                    </w:rPr>
                    <w:t>北厂界</w:t>
                  </w:r>
                </w:p>
              </w:tc>
            </w:tr>
            <w:tr w14:paraId="24F30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Merge w:val="restart"/>
                  <w:tcBorders>
                    <w:tl2br w:val="nil"/>
                    <w:tr2bl w:val="nil"/>
                  </w:tcBorders>
                  <w:vAlign w:val="center"/>
                </w:tcPr>
                <w:p w14:paraId="030C2C53">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06月</w:t>
                  </w:r>
                </w:p>
                <w:p w14:paraId="36BBBBF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30日</w:t>
                  </w:r>
                </w:p>
              </w:tc>
              <w:tc>
                <w:tcPr>
                  <w:tcW w:w="500" w:type="pct"/>
                  <w:tcBorders>
                    <w:tl2br w:val="nil"/>
                    <w:tr2bl w:val="nil"/>
                  </w:tcBorders>
                  <w:vAlign w:val="center"/>
                </w:tcPr>
                <w:p w14:paraId="5386228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昼间</w:t>
                  </w:r>
                </w:p>
              </w:tc>
              <w:tc>
                <w:tcPr>
                  <w:tcW w:w="1000" w:type="pct"/>
                  <w:tcBorders>
                    <w:tl2br w:val="nil"/>
                    <w:tr2bl w:val="nil"/>
                  </w:tcBorders>
                  <w:vAlign w:val="center"/>
                </w:tcPr>
                <w:p w14:paraId="05EAB2B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56.6</w:t>
                  </w:r>
                </w:p>
              </w:tc>
              <w:tc>
                <w:tcPr>
                  <w:tcW w:w="1000" w:type="pct"/>
                  <w:tcBorders>
                    <w:tl2br w:val="nil"/>
                    <w:tr2bl w:val="nil"/>
                  </w:tcBorders>
                  <w:vAlign w:val="center"/>
                </w:tcPr>
                <w:p w14:paraId="0DBC9C8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51.7</w:t>
                  </w:r>
                </w:p>
              </w:tc>
              <w:tc>
                <w:tcPr>
                  <w:tcW w:w="1000" w:type="pct"/>
                  <w:tcBorders>
                    <w:tl2br w:val="nil"/>
                    <w:tr2bl w:val="nil"/>
                  </w:tcBorders>
                  <w:vAlign w:val="center"/>
                </w:tcPr>
                <w:p w14:paraId="0B5C07E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52.1</w:t>
                  </w:r>
                </w:p>
              </w:tc>
              <w:tc>
                <w:tcPr>
                  <w:tcW w:w="1004" w:type="pct"/>
                  <w:tcBorders>
                    <w:tl2br w:val="nil"/>
                    <w:tr2bl w:val="nil"/>
                  </w:tcBorders>
                  <w:vAlign w:val="center"/>
                </w:tcPr>
                <w:p w14:paraId="45412D1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55.4</w:t>
                  </w:r>
                </w:p>
              </w:tc>
            </w:tr>
            <w:tr w14:paraId="4E013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Merge w:val="continue"/>
                  <w:tcBorders>
                    <w:tl2br w:val="nil"/>
                    <w:tr2bl w:val="nil"/>
                  </w:tcBorders>
                  <w:vAlign w:val="center"/>
                </w:tcPr>
                <w:p w14:paraId="6BB3274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p>
              </w:tc>
              <w:tc>
                <w:tcPr>
                  <w:tcW w:w="500" w:type="pct"/>
                  <w:tcBorders>
                    <w:tl2br w:val="nil"/>
                    <w:tr2bl w:val="nil"/>
                  </w:tcBorders>
                  <w:vAlign w:val="center"/>
                </w:tcPr>
                <w:p w14:paraId="53D84A6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夜间</w:t>
                  </w:r>
                </w:p>
              </w:tc>
              <w:tc>
                <w:tcPr>
                  <w:tcW w:w="1000" w:type="pct"/>
                  <w:tcBorders>
                    <w:tl2br w:val="nil"/>
                    <w:tr2bl w:val="nil"/>
                  </w:tcBorders>
                  <w:vAlign w:val="center"/>
                </w:tcPr>
                <w:p w14:paraId="758FD5A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46.1</w:t>
                  </w:r>
                </w:p>
              </w:tc>
              <w:tc>
                <w:tcPr>
                  <w:tcW w:w="1000" w:type="pct"/>
                  <w:tcBorders>
                    <w:tl2br w:val="nil"/>
                    <w:tr2bl w:val="nil"/>
                  </w:tcBorders>
                  <w:vAlign w:val="center"/>
                </w:tcPr>
                <w:p w14:paraId="1E8D432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43.8</w:t>
                  </w:r>
                </w:p>
              </w:tc>
              <w:tc>
                <w:tcPr>
                  <w:tcW w:w="1000" w:type="pct"/>
                  <w:tcBorders>
                    <w:tl2br w:val="nil"/>
                    <w:tr2bl w:val="nil"/>
                  </w:tcBorders>
                  <w:vAlign w:val="center"/>
                </w:tcPr>
                <w:p w14:paraId="5A5DFA4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45.7</w:t>
                  </w:r>
                </w:p>
              </w:tc>
              <w:tc>
                <w:tcPr>
                  <w:tcW w:w="1004" w:type="pct"/>
                  <w:tcBorders>
                    <w:tl2br w:val="nil"/>
                    <w:tr2bl w:val="nil"/>
                  </w:tcBorders>
                  <w:vAlign w:val="center"/>
                </w:tcPr>
                <w:p w14:paraId="15C64B32">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47.3</w:t>
                  </w:r>
                </w:p>
              </w:tc>
            </w:tr>
            <w:tr w14:paraId="44892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Merge w:val="restart"/>
                  <w:tcBorders>
                    <w:tl2br w:val="nil"/>
                    <w:tr2bl w:val="nil"/>
                  </w:tcBorders>
                  <w:vAlign w:val="center"/>
                </w:tcPr>
                <w:p w14:paraId="28755571">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7月</w:t>
                  </w:r>
                </w:p>
                <w:p w14:paraId="1868CE4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1日</w:t>
                  </w:r>
                </w:p>
              </w:tc>
              <w:tc>
                <w:tcPr>
                  <w:tcW w:w="500" w:type="pct"/>
                  <w:tcBorders>
                    <w:tl2br w:val="nil"/>
                    <w:tr2bl w:val="nil"/>
                  </w:tcBorders>
                  <w:vAlign w:val="center"/>
                </w:tcPr>
                <w:p w14:paraId="7F32198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昼间</w:t>
                  </w:r>
                </w:p>
              </w:tc>
              <w:tc>
                <w:tcPr>
                  <w:tcW w:w="1000" w:type="pct"/>
                  <w:tcBorders>
                    <w:tl2br w:val="nil"/>
                    <w:tr2bl w:val="nil"/>
                  </w:tcBorders>
                  <w:vAlign w:val="center"/>
                </w:tcPr>
                <w:p w14:paraId="64B20F4D">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54.5</w:t>
                  </w:r>
                </w:p>
              </w:tc>
              <w:tc>
                <w:tcPr>
                  <w:tcW w:w="1000" w:type="pct"/>
                  <w:tcBorders>
                    <w:tl2br w:val="nil"/>
                    <w:tr2bl w:val="nil"/>
                  </w:tcBorders>
                  <w:vAlign w:val="center"/>
                </w:tcPr>
                <w:p w14:paraId="527ACBD6">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55.5</w:t>
                  </w:r>
                </w:p>
              </w:tc>
              <w:tc>
                <w:tcPr>
                  <w:tcW w:w="1000" w:type="pct"/>
                  <w:tcBorders>
                    <w:tl2br w:val="nil"/>
                    <w:tr2bl w:val="nil"/>
                  </w:tcBorders>
                  <w:vAlign w:val="center"/>
                </w:tcPr>
                <w:p w14:paraId="3651967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53.1</w:t>
                  </w:r>
                </w:p>
              </w:tc>
              <w:tc>
                <w:tcPr>
                  <w:tcW w:w="1004" w:type="pct"/>
                  <w:tcBorders>
                    <w:tl2br w:val="nil"/>
                    <w:tr2bl w:val="nil"/>
                  </w:tcBorders>
                  <w:vAlign w:val="center"/>
                </w:tcPr>
                <w:p w14:paraId="0D758AF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55.3</w:t>
                  </w:r>
                </w:p>
              </w:tc>
            </w:tr>
            <w:tr w14:paraId="199B12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3" w:type="pct"/>
                  <w:vMerge w:val="continue"/>
                  <w:tcBorders>
                    <w:tl2br w:val="nil"/>
                    <w:tr2bl w:val="nil"/>
                  </w:tcBorders>
                  <w:vAlign w:val="center"/>
                </w:tcPr>
                <w:p w14:paraId="5462BF6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p>
              </w:tc>
              <w:tc>
                <w:tcPr>
                  <w:tcW w:w="500" w:type="pct"/>
                  <w:tcBorders>
                    <w:tl2br w:val="nil"/>
                    <w:tr2bl w:val="nil"/>
                  </w:tcBorders>
                  <w:vAlign w:val="center"/>
                </w:tcPr>
                <w:p w14:paraId="2EE312E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夜间</w:t>
                  </w:r>
                </w:p>
              </w:tc>
              <w:tc>
                <w:tcPr>
                  <w:tcW w:w="1000" w:type="pct"/>
                  <w:tcBorders>
                    <w:tl2br w:val="nil"/>
                    <w:tr2bl w:val="nil"/>
                  </w:tcBorders>
                  <w:vAlign w:val="center"/>
                </w:tcPr>
                <w:p w14:paraId="70576BE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45.4</w:t>
                  </w:r>
                </w:p>
              </w:tc>
              <w:tc>
                <w:tcPr>
                  <w:tcW w:w="1000" w:type="pct"/>
                  <w:tcBorders>
                    <w:tl2br w:val="nil"/>
                    <w:tr2bl w:val="nil"/>
                  </w:tcBorders>
                  <w:vAlign w:val="center"/>
                </w:tcPr>
                <w:p w14:paraId="7615C7D5">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41.6</w:t>
                  </w:r>
                </w:p>
              </w:tc>
              <w:tc>
                <w:tcPr>
                  <w:tcW w:w="1000" w:type="pct"/>
                  <w:tcBorders>
                    <w:tl2br w:val="nil"/>
                    <w:tr2bl w:val="nil"/>
                  </w:tcBorders>
                  <w:vAlign w:val="center"/>
                </w:tcPr>
                <w:p w14:paraId="07F5E5A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44.0</w:t>
                  </w:r>
                </w:p>
              </w:tc>
              <w:tc>
                <w:tcPr>
                  <w:tcW w:w="1004" w:type="pct"/>
                  <w:tcBorders>
                    <w:tl2br w:val="nil"/>
                    <w:tr2bl w:val="nil"/>
                  </w:tcBorders>
                  <w:vAlign w:val="center"/>
                </w:tcPr>
                <w:p w14:paraId="0EE8D57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41.0</w:t>
                  </w:r>
                </w:p>
              </w:tc>
            </w:tr>
            <w:tr w14:paraId="228997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Borders>
                    <w:tl2br w:val="nil"/>
                    <w:tr2bl w:val="nil"/>
                  </w:tcBorders>
                  <w:vAlign w:val="center"/>
                </w:tcPr>
                <w:p w14:paraId="7049D41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6月30日 风速：1.3m/s  天气：晴</w:t>
                  </w:r>
                </w:p>
                <w:p w14:paraId="11F015CC">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kern w:val="2"/>
                      <w:sz w:val="21"/>
                      <w:szCs w:val="21"/>
                      <w:vertAlign w:val="baseline"/>
                      <w:lang w:val="en-US" w:eastAsia="zh-CN" w:bidi="ar-SA"/>
                    </w:rPr>
                  </w:pPr>
                  <w:r>
                    <w:rPr>
                      <w:rFonts w:hint="eastAsia" w:cs="Times New Roman"/>
                      <w:b w:val="0"/>
                      <w:bCs w:val="0"/>
                      <w:color w:val="auto"/>
                      <w:kern w:val="2"/>
                      <w:sz w:val="21"/>
                      <w:szCs w:val="21"/>
                      <w:vertAlign w:val="baseline"/>
                      <w:lang w:val="en-US" w:eastAsia="zh-CN" w:bidi="ar-SA"/>
                    </w:rPr>
                    <w:t>7月01日 风速：1.4m/s  天气：晴</w:t>
                  </w:r>
                </w:p>
              </w:tc>
            </w:tr>
          </w:tbl>
          <w:p w14:paraId="0CFB146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cs="Times New Roman"/>
                <w:b w:val="0"/>
                <w:bCs w:val="0"/>
                <w:color w:val="auto"/>
                <w:kern w:val="2"/>
                <w:sz w:val="24"/>
                <w:szCs w:val="24"/>
                <w:lang w:val="en-US" w:eastAsia="zh-CN"/>
              </w:rPr>
            </w:pPr>
            <w:r>
              <w:rPr>
                <w:rFonts w:hint="eastAsia" w:cs="Times New Roman"/>
                <w:b w:val="0"/>
                <w:bCs w:val="0"/>
                <w:color w:val="auto"/>
                <w:kern w:val="2"/>
                <w:sz w:val="24"/>
                <w:szCs w:val="24"/>
                <w:lang w:val="en-US" w:eastAsia="zh-CN"/>
              </w:rPr>
              <w:t>验收监测期间，该项目各设施运转正常，东、南、西、北界昼间噪声测定值均符合《工业企业厂界环境噪声排放标准》（GB12348-2008）2类：昼间60dB（A）的要求、夜间50dB（A）的要求。</w:t>
            </w:r>
          </w:p>
          <w:p w14:paraId="0B0D4908">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Calibri" w:hAnsi="Calibri" w:eastAsia="宋体" w:cs="Times New Roman"/>
                <w:color w:val="auto"/>
                <w:kern w:val="2"/>
                <w:sz w:val="24"/>
                <w:szCs w:val="24"/>
                <w:lang w:val="en-US" w:eastAsia="zh-CN"/>
              </w:rPr>
            </w:pPr>
            <w:r>
              <w:rPr>
                <w:rFonts w:hint="default" w:ascii="Times New Roman" w:hAnsi="Times New Roman" w:eastAsia="宋体" w:cs="Times New Roman"/>
                <w:b/>
                <w:bCs/>
                <w:color w:val="auto"/>
                <w:kern w:val="2"/>
                <w:sz w:val="24"/>
                <w:szCs w:val="24"/>
                <w:lang w:val="en-US" w:eastAsia="zh-CN"/>
              </w:rPr>
              <w:t>5.</w:t>
            </w:r>
            <w:r>
              <w:rPr>
                <w:rFonts w:hint="eastAsia" w:ascii="Calibri" w:hAnsi="Calibri" w:eastAsia="宋体" w:cs="Times New Roman"/>
                <w:b/>
                <w:bCs/>
                <w:color w:val="auto"/>
                <w:kern w:val="2"/>
                <w:sz w:val="24"/>
                <w:szCs w:val="24"/>
                <w:lang w:val="en-US" w:eastAsia="zh-CN"/>
              </w:rPr>
              <w:t>存在的环境问题及整改措施</w:t>
            </w:r>
          </w:p>
          <w:p w14:paraId="20BE7343">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r>
              <w:rPr>
                <w:rFonts w:hint="eastAsia" w:ascii="Times New Roman" w:hAnsi="Times New Roman" w:cs="Times New Roman"/>
                <w:b w:val="0"/>
                <w:bCs w:val="0"/>
                <w:color w:val="auto"/>
                <w:kern w:val="2"/>
                <w:sz w:val="24"/>
                <w:szCs w:val="24"/>
                <w:lang w:val="en-US" w:eastAsia="zh-CN"/>
              </w:rPr>
              <w:t>企业现有环评、验收及排污许可手续齐全，现有项目各项环保治理措施均安装到位，运行正常，污染物达标排放，固体废物可以综合利用或合理处置。项目环保工作满足现行环保管理要求。</w:t>
            </w:r>
          </w:p>
          <w:p w14:paraId="20E6F5FE">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4CDEC7E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28B6301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3177777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098BA6CA">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08A8916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51E65B83">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3B407FA6">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2BE82D75">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4E82D06B">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3A21CACF">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5EF4B5C9">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36C830D7">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b w:val="0"/>
                <w:bCs w:val="0"/>
                <w:color w:val="auto"/>
                <w:kern w:val="2"/>
                <w:sz w:val="24"/>
                <w:szCs w:val="24"/>
                <w:lang w:val="en-US" w:eastAsia="zh-CN"/>
              </w:rPr>
            </w:pPr>
          </w:p>
          <w:p w14:paraId="7F85D743">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firstLine="0" w:firstLineChars="0"/>
              <w:textAlignment w:val="auto"/>
              <w:rPr>
                <w:rFonts w:hint="default" w:ascii="Times New Roman" w:hAnsi="Times New Roman" w:cs="Times New Roman"/>
                <w:b w:val="0"/>
                <w:bCs w:val="0"/>
                <w:color w:val="auto"/>
                <w:kern w:val="2"/>
                <w:sz w:val="24"/>
                <w:szCs w:val="24"/>
                <w:lang w:val="en-US" w:eastAsia="zh-CN"/>
              </w:rPr>
            </w:pPr>
          </w:p>
          <w:p w14:paraId="03176724">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firstLine="0" w:firstLineChars="0"/>
              <w:textAlignment w:val="auto"/>
              <w:rPr>
                <w:rFonts w:hint="default" w:ascii="Times New Roman" w:hAnsi="Times New Roman" w:cs="Times New Roman"/>
                <w:b w:val="0"/>
                <w:bCs w:val="0"/>
                <w:color w:val="auto"/>
                <w:kern w:val="2"/>
                <w:sz w:val="24"/>
                <w:szCs w:val="24"/>
                <w:lang w:val="en-US" w:eastAsia="zh-CN"/>
              </w:rPr>
            </w:pPr>
          </w:p>
          <w:p w14:paraId="6B3F0AF0">
            <w:pPr>
              <w:pStyle w:val="7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firstLine="0" w:firstLineChars="0"/>
              <w:textAlignment w:val="auto"/>
              <w:rPr>
                <w:rFonts w:hint="default" w:ascii="Times New Roman" w:hAnsi="Times New Roman" w:cs="Times New Roman"/>
                <w:b w:val="0"/>
                <w:bCs w:val="0"/>
                <w:color w:val="auto"/>
                <w:kern w:val="2"/>
                <w:sz w:val="24"/>
                <w:szCs w:val="24"/>
                <w:lang w:val="en-US" w:eastAsia="zh-CN"/>
              </w:rPr>
            </w:pPr>
          </w:p>
        </w:tc>
      </w:tr>
    </w:tbl>
    <w:p w14:paraId="26935975">
      <w:pPr>
        <w:pStyle w:val="23"/>
        <w:jc w:val="center"/>
        <w:rPr>
          <w:rFonts w:ascii="Times New Roman" w:hAnsi="Times New Roman" w:eastAsia="黑体" w:cs="Times New Roman"/>
          <w:snapToGrid w:val="0"/>
          <w:color w:val="000000"/>
          <w:sz w:val="36"/>
          <w:szCs w:val="36"/>
          <w:highlight w:val="none"/>
          <w:u w:val="none" w:color="auto"/>
        </w:rPr>
        <w:sectPr>
          <w:pgSz w:w="11906" w:h="16838"/>
          <w:pgMar w:top="1701" w:right="1531" w:bottom="1414"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750112B">
      <w:pPr>
        <w:pStyle w:val="23"/>
        <w:adjustRightInd w:val="0"/>
        <w:snapToGrid w:val="0"/>
        <w:spacing w:before="0" w:beforeAutospacing="0" w:after="0" w:afterAutospacing="0" w:line="14" w:lineRule="auto"/>
        <w:jc w:val="center"/>
        <w:outlineLvl w:val="0"/>
        <w:rPr>
          <w:rFonts w:hint="eastAsia" w:ascii="Times New Roman" w:hAnsi="Times New Roman" w:eastAsia="黑体" w:cs="Times New Roman"/>
          <w:snapToGrid w:val="0"/>
          <w:color w:val="000000"/>
          <w:sz w:val="30"/>
          <w:szCs w:val="30"/>
          <w:highlight w:val="none"/>
          <w:u w:val="none" w:color="auto"/>
        </w:rPr>
      </w:pPr>
    </w:p>
    <w:p w14:paraId="0F4E7026">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hint="eastAsia" w:ascii="宋体" w:hAnsi="宋体" w:eastAsia="宋体" w:cs="宋体"/>
          <w:b/>
          <w:bCs/>
          <w:snapToGrid w:val="0"/>
          <w:color w:val="000000"/>
          <w:sz w:val="30"/>
          <w:szCs w:val="30"/>
          <w:highlight w:val="none"/>
          <w:u w:val="none" w:color="auto"/>
        </w:rPr>
      </w:pPr>
      <w:bookmarkStart w:id="30" w:name="_Toc4158"/>
      <w:bookmarkStart w:id="31" w:name="_Toc8772"/>
      <w:bookmarkStart w:id="32" w:name="_Toc16795"/>
      <w:r>
        <w:rPr>
          <w:rFonts w:hint="eastAsia" w:ascii="宋体" w:hAnsi="宋体" w:eastAsia="宋体" w:cs="宋体"/>
          <w:b/>
          <w:bCs/>
          <w:snapToGrid w:val="0"/>
          <w:color w:val="000000"/>
          <w:sz w:val="30"/>
          <w:szCs w:val="30"/>
          <w:highlight w:val="none"/>
          <w:u w:val="none" w:color="auto"/>
        </w:rPr>
        <w:t>三、区域环境质量现状、环境保护目标及评价标准</w:t>
      </w:r>
      <w:bookmarkEnd w:id="30"/>
      <w:bookmarkEnd w:id="31"/>
      <w:bookmarkEnd w:id="32"/>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5"/>
        <w:gridCol w:w="8538"/>
      </w:tblGrid>
      <w:tr w14:paraId="7FDD7A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5" w:type="dxa"/>
            <w:noWrap w:val="0"/>
            <w:vAlign w:val="center"/>
          </w:tcPr>
          <w:p w14:paraId="484B43A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区域</w:t>
            </w:r>
          </w:p>
          <w:p w14:paraId="6A4557B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环境</w:t>
            </w:r>
          </w:p>
          <w:p w14:paraId="00C468C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质量</w:t>
            </w:r>
          </w:p>
          <w:p w14:paraId="017B9C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u w:val="none" w:color="auto"/>
              </w:rPr>
            </w:pPr>
            <w:r>
              <w:rPr>
                <w:rFonts w:hint="eastAsia" w:ascii="Times New Roman" w:hAnsi="Times New Roman" w:eastAsia="宋体" w:cs="Times New Roman"/>
                <w:color w:val="auto"/>
                <w:kern w:val="0"/>
                <w:sz w:val="24"/>
                <w:szCs w:val="24"/>
                <w:highlight w:val="none"/>
                <w:u w:val="none" w:color="auto"/>
              </w:rPr>
              <w:t>现状</w:t>
            </w:r>
          </w:p>
        </w:tc>
        <w:tc>
          <w:tcPr>
            <w:tcW w:w="8538" w:type="dxa"/>
            <w:noWrap w:val="0"/>
            <w:vAlign w:val="center"/>
          </w:tcPr>
          <w:p w14:paraId="7204C5DF">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1</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环境空气质量</w:t>
            </w:r>
          </w:p>
          <w:p w14:paraId="2FEAFD81">
            <w:pPr>
              <w:keepNext w:val="0"/>
              <w:keepLines w:val="0"/>
              <w:suppressLineNumbers w:val="0"/>
              <w:topLinePunct/>
              <w:adjustRightInd w:val="0"/>
              <w:snapToGrid w:val="0"/>
              <w:spacing w:before="0" w:beforeLines="0" w:beforeAutospacing="0" w:after="0" w:afterLines="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本项目位于河南省</w:t>
            </w:r>
            <w:r>
              <w:rPr>
                <w:rFonts w:hint="default" w:ascii="Times New Roman" w:hAnsi="Times New Roman" w:eastAsia="宋体" w:cs="Times New Roman"/>
                <w:color w:val="auto"/>
                <w:sz w:val="24"/>
                <w:szCs w:val="24"/>
                <w:lang w:eastAsia="zh-CN"/>
              </w:rPr>
              <w:t>安阳市新型制造业产业园区中兴路南头</w:t>
            </w:r>
            <w:r>
              <w:rPr>
                <w:rFonts w:hint="default" w:ascii="Times New Roman" w:hAnsi="Times New Roman" w:eastAsia="宋体" w:cs="Times New Roman"/>
                <w:color w:val="auto"/>
                <w:sz w:val="24"/>
                <w:szCs w:val="24"/>
              </w:rPr>
              <w:t>，根据安阳市人民政府办公室《关于印发安阳市环境空气质量功能区划（2021-2025年）的通知》（安政办</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2022</w:t>
            </w:r>
            <w:r>
              <w:rPr>
                <w:rFonts w:hint="eastAsia"/>
                <w:color w:val="auto"/>
              </w:rPr>
              <w:t>〕</w:t>
            </w:r>
            <w:r>
              <w:rPr>
                <w:rFonts w:hint="default" w:ascii="Times New Roman" w:hAnsi="Times New Roman" w:eastAsia="宋体" w:cs="Times New Roman"/>
                <w:color w:val="auto"/>
                <w:sz w:val="24"/>
                <w:szCs w:val="24"/>
              </w:rPr>
              <w:t>39号）可知，本项目所在区域属于《环境空气质量标准》（GB3095-2012）二类区，应执行《环境空气质量标准》（GB3095-2012）及其修改单中的二级标准。</w:t>
            </w:r>
          </w:p>
          <w:p w14:paraId="14EBEB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sz w:val="24"/>
                <w:szCs w:val="24"/>
                <w:highlight w:val="none"/>
                <w:u w:val="none"/>
              </w:rPr>
            </w:pPr>
            <w:r>
              <w:rPr>
                <w:rFonts w:hint="default" w:ascii="Times New Roman" w:hAnsi="Times New Roman" w:eastAsia="宋体" w:cs="Times New Roman"/>
                <w:b w:val="0"/>
                <w:bCs w:val="0"/>
                <w:color w:val="auto"/>
                <w:sz w:val="24"/>
                <w:szCs w:val="24"/>
                <w:highlight w:val="none"/>
                <w:u w:val="none"/>
              </w:rPr>
              <w:t>根据汤阴一中常规监测点，汤阴县2023年环境空气质量数据各项指数统计数据见</w:t>
            </w:r>
            <w:r>
              <w:rPr>
                <w:rFonts w:hint="eastAsia" w:ascii="Times New Roman" w:hAnsi="Times New Roman" w:eastAsia="宋体" w:cs="Times New Roman"/>
                <w:b w:val="0"/>
                <w:bCs w:val="0"/>
                <w:color w:val="auto"/>
                <w:sz w:val="24"/>
                <w:szCs w:val="24"/>
                <w:highlight w:val="none"/>
                <w:u w:val="none"/>
                <w:lang w:eastAsia="zh-CN"/>
              </w:rPr>
              <w:t>下表</w:t>
            </w:r>
            <w:r>
              <w:rPr>
                <w:rFonts w:hint="default" w:ascii="Times New Roman" w:hAnsi="Times New Roman" w:eastAsia="宋体" w:cs="Times New Roman"/>
                <w:b w:val="0"/>
                <w:bCs w:val="0"/>
                <w:color w:val="auto"/>
                <w:sz w:val="24"/>
                <w:szCs w:val="24"/>
                <w:highlight w:val="none"/>
                <w:u w:val="none"/>
              </w:rPr>
              <w:t>。</w:t>
            </w:r>
          </w:p>
          <w:p w14:paraId="427EC213">
            <w:pPr>
              <w:keepNext w:val="0"/>
              <w:keepLines w:val="0"/>
              <w:suppressLineNumbers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u w:val="none"/>
              </w:rPr>
            </w:pPr>
            <w:r>
              <w:rPr>
                <w:rFonts w:hint="eastAsia" w:ascii="Times New Roman" w:hAnsi="Times New Roman" w:eastAsia="宋体" w:cs="Times New Roman"/>
                <w:b/>
                <w:bCs/>
                <w:color w:val="auto"/>
                <w:sz w:val="21"/>
                <w:szCs w:val="21"/>
                <w:u w:val="none"/>
                <w:lang w:eastAsia="zh-CN"/>
              </w:rPr>
              <w:t>表</w:t>
            </w:r>
            <w:r>
              <w:rPr>
                <w:rFonts w:hint="eastAsia" w:cs="Times New Roman"/>
                <w:b/>
                <w:bCs/>
                <w:color w:val="auto"/>
                <w:sz w:val="21"/>
                <w:szCs w:val="21"/>
                <w:u w:val="none"/>
                <w:lang w:val="en-US" w:eastAsia="zh-CN"/>
              </w:rPr>
              <w:t>18</w:t>
            </w:r>
            <w:r>
              <w:rPr>
                <w:rFonts w:hint="eastAsia" w:ascii="Times New Roman" w:hAnsi="Times New Roman" w:eastAsia="宋体" w:cs="Times New Roman"/>
                <w:b/>
                <w:bCs/>
                <w:color w:val="auto"/>
                <w:sz w:val="21"/>
                <w:szCs w:val="21"/>
                <w:u w:val="none"/>
                <w:lang w:val="en-US" w:eastAsia="zh-CN"/>
              </w:rPr>
              <w:t xml:space="preserve">   </w:t>
            </w:r>
            <w:r>
              <w:rPr>
                <w:rFonts w:hint="default" w:ascii="Times New Roman" w:hAnsi="Times New Roman" w:eastAsia="宋体" w:cs="Times New Roman"/>
                <w:b/>
                <w:bCs/>
                <w:color w:val="auto"/>
                <w:sz w:val="21"/>
                <w:szCs w:val="21"/>
                <w:u w:val="none"/>
              </w:rPr>
              <w:t>2023年汤阴县环境空气质量现状基本污染物数据一览表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34"/>
              <w:gridCol w:w="1540"/>
              <w:gridCol w:w="1136"/>
              <w:gridCol w:w="1265"/>
              <w:gridCol w:w="1199"/>
              <w:gridCol w:w="1126"/>
              <w:gridCol w:w="958"/>
            </w:tblGrid>
            <w:tr w14:paraId="04F89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34" w:type="dxa"/>
                  <w:tcBorders>
                    <w:tl2br w:val="nil"/>
                    <w:tr2bl w:val="nil"/>
                  </w:tcBorders>
                  <w:noWrap w:val="0"/>
                  <w:vAlign w:val="center"/>
                </w:tcPr>
                <w:p w14:paraId="03630611">
                  <w:pPr>
                    <w:keepNext w:val="0"/>
                    <w:keepLines w:val="0"/>
                    <w:suppressLineNumbers w:val="0"/>
                    <w:adjustRightInd w:val="0"/>
                    <w:snapToGrid w:val="0"/>
                    <w:spacing w:before="0" w:beforeAutospacing="0" w:after="0" w:afterAutospacing="0"/>
                    <w:ind w:left="0" w:right="0"/>
                    <w:jc w:val="center"/>
                    <w:rPr>
                      <w:rFonts w:hint="default"/>
                      <w:b/>
                      <w:bCs/>
                      <w:color w:val="auto"/>
                      <w:szCs w:val="21"/>
                      <w:u w:val="none"/>
                    </w:rPr>
                  </w:pPr>
                  <w:r>
                    <w:rPr>
                      <w:rFonts w:hint="default"/>
                      <w:b/>
                      <w:bCs/>
                      <w:color w:val="auto"/>
                      <w:szCs w:val="21"/>
                      <w:u w:val="none"/>
                    </w:rPr>
                    <w:t>污染物</w:t>
                  </w:r>
                </w:p>
              </w:tc>
              <w:tc>
                <w:tcPr>
                  <w:tcW w:w="1540" w:type="dxa"/>
                  <w:tcBorders>
                    <w:tl2br w:val="nil"/>
                    <w:tr2bl w:val="nil"/>
                  </w:tcBorders>
                  <w:noWrap w:val="0"/>
                  <w:vAlign w:val="center"/>
                </w:tcPr>
                <w:p w14:paraId="1EE483C3">
                  <w:pPr>
                    <w:keepNext w:val="0"/>
                    <w:keepLines w:val="0"/>
                    <w:suppressLineNumbers w:val="0"/>
                    <w:adjustRightInd w:val="0"/>
                    <w:snapToGrid w:val="0"/>
                    <w:spacing w:before="0" w:beforeAutospacing="0" w:after="0" w:afterAutospacing="0"/>
                    <w:ind w:left="0" w:right="0"/>
                    <w:jc w:val="center"/>
                    <w:rPr>
                      <w:rFonts w:hint="default"/>
                      <w:b/>
                      <w:bCs/>
                      <w:color w:val="auto"/>
                      <w:szCs w:val="21"/>
                      <w:u w:val="none"/>
                    </w:rPr>
                  </w:pPr>
                  <w:r>
                    <w:rPr>
                      <w:rFonts w:hint="default"/>
                      <w:b/>
                      <w:bCs/>
                      <w:color w:val="auto"/>
                      <w:szCs w:val="21"/>
                      <w:u w:val="none"/>
                    </w:rPr>
                    <w:t>年评价指标</w:t>
                  </w:r>
                </w:p>
              </w:tc>
              <w:tc>
                <w:tcPr>
                  <w:tcW w:w="1136" w:type="dxa"/>
                  <w:tcBorders>
                    <w:tl2br w:val="nil"/>
                    <w:tr2bl w:val="nil"/>
                  </w:tcBorders>
                  <w:noWrap w:val="0"/>
                  <w:vAlign w:val="center"/>
                </w:tcPr>
                <w:p w14:paraId="3DAF72A3">
                  <w:pPr>
                    <w:keepNext w:val="0"/>
                    <w:keepLines w:val="0"/>
                    <w:suppressLineNumbers w:val="0"/>
                    <w:adjustRightInd w:val="0"/>
                    <w:snapToGrid w:val="0"/>
                    <w:spacing w:before="0" w:beforeAutospacing="0" w:after="0" w:afterAutospacing="0"/>
                    <w:ind w:left="0" w:right="0"/>
                    <w:jc w:val="center"/>
                    <w:rPr>
                      <w:rFonts w:hint="default"/>
                      <w:b/>
                      <w:bCs/>
                      <w:color w:val="auto"/>
                      <w:szCs w:val="21"/>
                      <w:u w:val="none"/>
                    </w:rPr>
                  </w:pPr>
                  <w:r>
                    <w:rPr>
                      <w:rFonts w:hint="default"/>
                      <w:b/>
                      <w:bCs/>
                      <w:color w:val="auto"/>
                      <w:szCs w:val="21"/>
                      <w:u w:val="none"/>
                    </w:rPr>
                    <w:t>评价标准值（</w:t>
                  </w:r>
                  <w:r>
                    <w:rPr>
                      <w:rFonts w:hint="default"/>
                      <w:b/>
                      <w:bCs/>
                      <w:snapToGrid w:val="0"/>
                      <w:color w:val="auto"/>
                      <w:szCs w:val="21"/>
                      <w:u w:val="none"/>
                    </w:rPr>
                    <w:t>μg/m</w:t>
                  </w:r>
                  <w:r>
                    <w:rPr>
                      <w:rFonts w:hint="default"/>
                      <w:b/>
                      <w:bCs/>
                      <w:snapToGrid w:val="0"/>
                      <w:color w:val="auto"/>
                      <w:szCs w:val="21"/>
                      <w:u w:val="none"/>
                      <w:vertAlign w:val="superscript"/>
                    </w:rPr>
                    <w:t>3</w:t>
                  </w:r>
                  <w:r>
                    <w:rPr>
                      <w:rFonts w:hint="default"/>
                      <w:b/>
                      <w:bCs/>
                      <w:color w:val="auto"/>
                      <w:szCs w:val="21"/>
                      <w:u w:val="none"/>
                    </w:rPr>
                    <w:t>）</w:t>
                  </w:r>
                </w:p>
              </w:tc>
              <w:tc>
                <w:tcPr>
                  <w:tcW w:w="1265" w:type="dxa"/>
                  <w:tcBorders>
                    <w:tl2br w:val="nil"/>
                    <w:tr2bl w:val="nil"/>
                  </w:tcBorders>
                  <w:noWrap w:val="0"/>
                  <w:vAlign w:val="center"/>
                </w:tcPr>
                <w:p w14:paraId="25D74685">
                  <w:pPr>
                    <w:keepNext w:val="0"/>
                    <w:keepLines w:val="0"/>
                    <w:suppressLineNumbers w:val="0"/>
                    <w:adjustRightInd w:val="0"/>
                    <w:snapToGrid w:val="0"/>
                    <w:spacing w:before="0" w:beforeAutospacing="0" w:after="0" w:afterAutospacing="0"/>
                    <w:ind w:left="-92" w:leftChars="-44" w:right="-61" w:rightChars="-29"/>
                    <w:jc w:val="center"/>
                    <w:rPr>
                      <w:rFonts w:hint="default"/>
                      <w:b/>
                      <w:bCs/>
                      <w:color w:val="auto"/>
                      <w:szCs w:val="21"/>
                      <w:u w:val="none"/>
                    </w:rPr>
                  </w:pPr>
                  <w:r>
                    <w:rPr>
                      <w:rFonts w:hint="default"/>
                      <w:b/>
                      <w:bCs/>
                      <w:color w:val="auto"/>
                      <w:szCs w:val="21"/>
                      <w:u w:val="none"/>
                    </w:rPr>
                    <w:t>现状浓度（</w:t>
                  </w:r>
                  <w:r>
                    <w:rPr>
                      <w:rFonts w:hint="default"/>
                      <w:b/>
                      <w:bCs/>
                      <w:snapToGrid w:val="0"/>
                      <w:color w:val="auto"/>
                      <w:szCs w:val="21"/>
                      <w:u w:val="none"/>
                    </w:rPr>
                    <w:t>μg/m</w:t>
                  </w:r>
                  <w:r>
                    <w:rPr>
                      <w:rFonts w:hint="default"/>
                      <w:b/>
                      <w:bCs/>
                      <w:snapToGrid w:val="0"/>
                      <w:color w:val="auto"/>
                      <w:szCs w:val="21"/>
                      <w:u w:val="none"/>
                      <w:vertAlign w:val="superscript"/>
                    </w:rPr>
                    <w:t>3</w:t>
                  </w:r>
                  <w:r>
                    <w:rPr>
                      <w:rFonts w:hint="default"/>
                      <w:b/>
                      <w:bCs/>
                      <w:color w:val="auto"/>
                      <w:szCs w:val="21"/>
                      <w:u w:val="none"/>
                    </w:rPr>
                    <w:t>）</w:t>
                  </w:r>
                </w:p>
              </w:tc>
              <w:tc>
                <w:tcPr>
                  <w:tcW w:w="1199" w:type="dxa"/>
                  <w:tcBorders>
                    <w:tl2br w:val="nil"/>
                    <w:tr2bl w:val="nil"/>
                  </w:tcBorders>
                  <w:noWrap w:val="0"/>
                  <w:vAlign w:val="center"/>
                </w:tcPr>
                <w:p w14:paraId="07A53000">
                  <w:pPr>
                    <w:keepNext w:val="0"/>
                    <w:keepLines w:val="0"/>
                    <w:suppressLineNumbers w:val="0"/>
                    <w:adjustRightInd w:val="0"/>
                    <w:snapToGrid w:val="0"/>
                    <w:spacing w:before="0" w:beforeAutospacing="0" w:after="0" w:afterAutospacing="0"/>
                    <w:ind w:left="0" w:right="-61" w:rightChars="-29"/>
                    <w:jc w:val="center"/>
                    <w:rPr>
                      <w:rFonts w:hint="default"/>
                      <w:b/>
                      <w:bCs/>
                      <w:color w:val="auto"/>
                      <w:szCs w:val="21"/>
                      <w:u w:val="none"/>
                    </w:rPr>
                  </w:pPr>
                  <w:r>
                    <w:rPr>
                      <w:rFonts w:hint="default"/>
                      <w:b/>
                      <w:bCs/>
                      <w:color w:val="auto"/>
                      <w:szCs w:val="21"/>
                      <w:u w:val="none"/>
                    </w:rPr>
                    <w:t>最大浓度占标率/%</w:t>
                  </w:r>
                </w:p>
              </w:tc>
              <w:tc>
                <w:tcPr>
                  <w:tcW w:w="1126" w:type="dxa"/>
                  <w:tcBorders>
                    <w:tl2br w:val="nil"/>
                    <w:tr2bl w:val="nil"/>
                  </w:tcBorders>
                  <w:noWrap w:val="0"/>
                  <w:vAlign w:val="center"/>
                </w:tcPr>
                <w:p w14:paraId="06A97CEB">
                  <w:pPr>
                    <w:keepNext w:val="0"/>
                    <w:keepLines w:val="0"/>
                    <w:suppressLineNumbers w:val="0"/>
                    <w:adjustRightInd w:val="0"/>
                    <w:snapToGrid w:val="0"/>
                    <w:spacing w:before="0" w:beforeAutospacing="0" w:after="0" w:afterAutospacing="0"/>
                    <w:ind w:left="-92" w:leftChars="-44" w:right="-61" w:rightChars="-29"/>
                    <w:jc w:val="center"/>
                    <w:rPr>
                      <w:rFonts w:hint="default"/>
                      <w:b/>
                      <w:bCs/>
                      <w:color w:val="auto"/>
                      <w:szCs w:val="21"/>
                      <w:u w:val="none"/>
                    </w:rPr>
                  </w:pPr>
                  <w:r>
                    <w:rPr>
                      <w:rFonts w:hint="default"/>
                      <w:b/>
                      <w:bCs/>
                      <w:color w:val="auto"/>
                      <w:szCs w:val="21"/>
                      <w:u w:val="none"/>
                    </w:rPr>
                    <w:t>超标率/%</w:t>
                  </w:r>
                </w:p>
              </w:tc>
              <w:tc>
                <w:tcPr>
                  <w:tcW w:w="958" w:type="dxa"/>
                  <w:tcBorders>
                    <w:tl2br w:val="nil"/>
                    <w:tr2bl w:val="nil"/>
                  </w:tcBorders>
                  <w:noWrap w:val="0"/>
                  <w:vAlign w:val="center"/>
                </w:tcPr>
                <w:p w14:paraId="7878AA1F">
                  <w:pPr>
                    <w:keepNext w:val="0"/>
                    <w:keepLines w:val="0"/>
                    <w:suppressLineNumbers w:val="0"/>
                    <w:adjustRightInd w:val="0"/>
                    <w:snapToGrid w:val="0"/>
                    <w:spacing w:before="0" w:beforeAutospacing="0" w:after="0" w:afterAutospacing="0"/>
                    <w:ind w:left="-92" w:leftChars="-44" w:right="-61" w:rightChars="-29"/>
                    <w:jc w:val="center"/>
                    <w:rPr>
                      <w:rFonts w:hint="default"/>
                      <w:b/>
                      <w:bCs/>
                      <w:color w:val="auto"/>
                      <w:szCs w:val="21"/>
                      <w:u w:val="none"/>
                    </w:rPr>
                  </w:pPr>
                  <w:r>
                    <w:rPr>
                      <w:rFonts w:hint="default"/>
                      <w:b/>
                      <w:bCs/>
                      <w:color w:val="auto"/>
                      <w:szCs w:val="21"/>
                      <w:u w:val="none"/>
                    </w:rPr>
                    <w:t>达标情况</w:t>
                  </w:r>
                </w:p>
              </w:tc>
            </w:tr>
            <w:tr w14:paraId="66CAAF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734" w:type="dxa"/>
                  <w:tcBorders>
                    <w:tl2br w:val="nil"/>
                    <w:tr2bl w:val="nil"/>
                  </w:tcBorders>
                  <w:noWrap w:val="0"/>
                  <w:vAlign w:val="center"/>
                </w:tcPr>
                <w:p w14:paraId="0D191475">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SO</w:t>
                  </w:r>
                  <w:r>
                    <w:rPr>
                      <w:rFonts w:hint="default"/>
                      <w:b w:val="0"/>
                      <w:bCs w:val="0"/>
                      <w:color w:val="auto"/>
                      <w:szCs w:val="21"/>
                      <w:u w:val="none"/>
                      <w:vertAlign w:val="subscript"/>
                    </w:rPr>
                    <w:t>2</w:t>
                  </w:r>
                </w:p>
              </w:tc>
              <w:tc>
                <w:tcPr>
                  <w:tcW w:w="1540" w:type="dxa"/>
                  <w:tcBorders>
                    <w:tl2br w:val="nil"/>
                    <w:tr2bl w:val="nil"/>
                  </w:tcBorders>
                  <w:noWrap w:val="0"/>
                  <w:vAlign w:val="center"/>
                </w:tcPr>
                <w:p w14:paraId="787EF129">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年平均</w:t>
                  </w:r>
                </w:p>
              </w:tc>
              <w:tc>
                <w:tcPr>
                  <w:tcW w:w="1136" w:type="dxa"/>
                  <w:tcBorders>
                    <w:tl2br w:val="nil"/>
                    <w:tr2bl w:val="nil"/>
                  </w:tcBorders>
                  <w:noWrap w:val="0"/>
                  <w:vAlign w:val="center"/>
                </w:tcPr>
                <w:p w14:paraId="30C43C25">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60</w:t>
                  </w:r>
                </w:p>
              </w:tc>
              <w:tc>
                <w:tcPr>
                  <w:tcW w:w="1265" w:type="dxa"/>
                  <w:tcBorders>
                    <w:tl2br w:val="nil"/>
                    <w:tr2bl w:val="nil"/>
                  </w:tcBorders>
                  <w:noWrap w:val="0"/>
                  <w:vAlign w:val="center"/>
                </w:tcPr>
                <w:p w14:paraId="10F428BE">
                  <w:pPr>
                    <w:keepNext w:val="0"/>
                    <w:keepLines w:val="0"/>
                    <w:suppressLineNumbers w:val="0"/>
                    <w:adjustRightInd w:val="0"/>
                    <w:snapToGrid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10</w:t>
                  </w:r>
                </w:p>
              </w:tc>
              <w:tc>
                <w:tcPr>
                  <w:tcW w:w="1199" w:type="dxa"/>
                  <w:tcBorders>
                    <w:tl2br w:val="nil"/>
                    <w:tr2bl w:val="nil"/>
                  </w:tcBorders>
                  <w:noWrap w:val="0"/>
                  <w:vAlign w:val="center"/>
                </w:tcPr>
                <w:p w14:paraId="15BFC529">
                  <w:pPr>
                    <w:keepNext w:val="0"/>
                    <w:keepLines w:val="0"/>
                    <w:suppressLineNumbers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16.67</w:t>
                  </w:r>
                </w:p>
              </w:tc>
              <w:tc>
                <w:tcPr>
                  <w:tcW w:w="1126" w:type="dxa"/>
                  <w:tcBorders>
                    <w:tl2br w:val="nil"/>
                    <w:tr2bl w:val="nil"/>
                  </w:tcBorders>
                  <w:noWrap w:val="0"/>
                  <w:vAlign w:val="center"/>
                </w:tcPr>
                <w:p w14:paraId="694511A5">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w:t>
                  </w:r>
                </w:p>
              </w:tc>
              <w:tc>
                <w:tcPr>
                  <w:tcW w:w="958" w:type="dxa"/>
                  <w:tcBorders>
                    <w:tl2br w:val="nil"/>
                    <w:tr2bl w:val="nil"/>
                  </w:tcBorders>
                  <w:noWrap w:val="0"/>
                  <w:vAlign w:val="center"/>
                </w:tcPr>
                <w:p w14:paraId="030E2351">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达标</w:t>
                  </w:r>
                </w:p>
              </w:tc>
            </w:tr>
            <w:tr w14:paraId="56A5E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734" w:type="dxa"/>
                  <w:tcBorders>
                    <w:tl2br w:val="nil"/>
                    <w:tr2bl w:val="nil"/>
                  </w:tcBorders>
                  <w:noWrap w:val="0"/>
                  <w:vAlign w:val="center"/>
                </w:tcPr>
                <w:p w14:paraId="5C09D17B">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NO</w:t>
                  </w:r>
                  <w:r>
                    <w:rPr>
                      <w:rFonts w:hint="default"/>
                      <w:b w:val="0"/>
                      <w:bCs w:val="0"/>
                      <w:color w:val="auto"/>
                      <w:szCs w:val="21"/>
                      <w:u w:val="none"/>
                      <w:vertAlign w:val="subscript"/>
                    </w:rPr>
                    <w:t>2</w:t>
                  </w:r>
                </w:p>
              </w:tc>
              <w:tc>
                <w:tcPr>
                  <w:tcW w:w="1540" w:type="dxa"/>
                  <w:tcBorders>
                    <w:tl2br w:val="nil"/>
                    <w:tr2bl w:val="nil"/>
                  </w:tcBorders>
                  <w:noWrap w:val="0"/>
                  <w:vAlign w:val="center"/>
                </w:tcPr>
                <w:p w14:paraId="79C0F8B9">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年平均</w:t>
                  </w:r>
                </w:p>
              </w:tc>
              <w:tc>
                <w:tcPr>
                  <w:tcW w:w="1136" w:type="dxa"/>
                  <w:tcBorders>
                    <w:tl2br w:val="nil"/>
                    <w:tr2bl w:val="nil"/>
                  </w:tcBorders>
                  <w:noWrap w:val="0"/>
                  <w:vAlign w:val="center"/>
                </w:tcPr>
                <w:p w14:paraId="7F29091D">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40</w:t>
                  </w:r>
                </w:p>
              </w:tc>
              <w:tc>
                <w:tcPr>
                  <w:tcW w:w="1265" w:type="dxa"/>
                  <w:tcBorders>
                    <w:tl2br w:val="nil"/>
                    <w:tr2bl w:val="nil"/>
                  </w:tcBorders>
                  <w:noWrap w:val="0"/>
                  <w:vAlign w:val="center"/>
                </w:tcPr>
                <w:p w14:paraId="26BBCD42">
                  <w:pPr>
                    <w:keepNext w:val="0"/>
                    <w:keepLines w:val="0"/>
                    <w:suppressLineNumbers w:val="0"/>
                    <w:adjustRightInd w:val="0"/>
                    <w:snapToGrid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31</w:t>
                  </w:r>
                </w:p>
              </w:tc>
              <w:tc>
                <w:tcPr>
                  <w:tcW w:w="1199" w:type="dxa"/>
                  <w:tcBorders>
                    <w:tl2br w:val="nil"/>
                    <w:tr2bl w:val="nil"/>
                  </w:tcBorders>
                  <w:noWrap w:val="0"/>
                  <w:vAlign w:val="center"/>
                </w:tcPr>
                <w:p w14:paraId="524DD427">
                  <w:pPr>
                    <w:keepNext w:val="0"/>
                    <w:keepLines w:val="0"/>
                    <w:suppressLineNumbers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77.5</w:t>
                  </w:r>
                </w:p>
              </w:tc>
              <w:tc>
                <w:tcPr>
                  <w:tcW w:w="1126" w:type="dxa"/>
                  <w:tcBorders>
                    <w:tl2br w:val="nil"/>
                    <w:tr2bl w:val="nil"/>
                  </w:tcBorders>
                  <w:noWrap w:val="0"/>
                  <w:vAlign w:val="center"/>
                </w:tcPr>
                <w:p w14:paraId="76652D6B">
                  <w:pPr>
                    <w:keepNext w:val="0"/>
                    <w:keepLines w:val="0"/>
                    <w:suppressLineNumbers w:val="0"/>
                    <w:adjustRightInd w:val="0"/>
                    <w:snapToGrid w:val="0"/>
                    <w:spacing w:before="0" w:beforeAutospacing="0" w:after="0" w:afterAutospacing="0"/>
                    <w:ind w:left="0" w:right="0"/>
                    <w:jc w:val="center"/>
                    <w:rPr>
                      <w:rFonts w:hint="default"/>
                      <w:b w:val="0"/>
                      <w:bCs w:val="0"/>
                      <w:color w:val="auto"/>
                      <w:spacing w:val="1"/>
                      <w:szCs w:val="21"/>
                      <w:u w:val="none"/>
                    </w:rPr>
                  </w:pPr>
                  <w:r>
                    <w:rPr>
                      <w:rFonts w:hint="default"/>
                      <w:b w:val="0"/>
                      <w:bCs w:val="0"/>
                      <w:color w:val="auto"/>
                      <w:spacing w:val="1"/>
                      <w:szCs w:val="21"/>
                      <w:u w:val="none"/>
                    </w:rPr>
                    <w:t>/</w:t>
                  </w:r>
                </w:p>
              </w:tc>
              <w:tc>
                <w:tcPr>
                  <w:tcW w:w="958" w:type="dxa"/>
                  <w:tcBorders>
                    <w:tl2br w:val="nil"/>
                    <w:tr2bl w:val="nil"/>
                  </w:tcBorders>
                  <w:noWrap w:val="0"/>
                  <w:vAlign w:val="center"/>
                </w:tcPr>
                <w:p w14:paraId="72D78CFF">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达标</w:t>
                  </w:r>
                </w:p>
              </w:tc>
            </w:tr>
            <w:tr w14:paraId="0B5A40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734" w:type="dxa"/>
                  <w:tcBorders>
                    <w:tl2br w:val="nil"/>
                    <w:tr2bl w:val="nil"/>
                  </w:tcBorders>
                  <w:noWrap w:val="0"/>
                  <w:vAlign w:val="center"/>
                </w:tcPr>
                <w:p w14:paraId="41227095">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PM</w:t>
                  </w:r>
                  <w:r>
                    <w:rPr>
                      <w:rFonts w:hint="default"/>
                      <w:b w:val="0"/>
                      <w:bCs w:val="0"/>
                      <w:color w:val="auto"/>
                      <w:szCs w:val="21"/>
                      <w:u w:val="none"/>
                      <w:vertAlign w:val="subscript"/>
                    </w:rPr>
                    <w:t>10</w:t>
                  </w:r>
                </w:p>
              </w:tc>
              <w:tc>
                <w:tcPr>
                  <w:tcW w:w="1540" w:type="dxa"/>
                  <w:tcBorders>
                    <w:tl2br w:val="nil"/>
                    <w:tr2bl w:val="nil"/>
                  </w:tcBorders>
                  <w:noWrap w:val="0"/>
                  <w:vAlign w:val="center"/>
                </w:tcPr>
                <w:p w14:paraId="77D81029">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年平均</w:t>
                  </w:r>
                </w:p>
              </w:tc>
              <w:tc>
                <w:tcPr>
                  <w:tcW w:w="1136" w:type="dxa"/>
                  <w:tcBorders>
                    <w:tl2br w:val="nil"/>
                    <w:tr2bl w:val="nil"/>
                  </w:tcBorders>
                  <w:noWrap w:val="0"/>
                  <w:vAlign w:val="center"/>
                </w:tcPr>
                <w:p w14:paraId="27863C7D">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70</w:t>
                  </w:r>
                </w:p>
              </w:tc>
              <w:tc>
                <w:tcPr>
                  <w:tcW w:w="1265" w:type="dxa"/>
                  <w:tcBorders>
                    <w:tl2br w:val="nil"/>
                    <w:tr2bl w:val="nil"/>
                  </w:tcBorders>
                  <w:noWrap w:val="0"/>
                  <w:vAlign w:val="center"/>
                </w:tcPr>
                <w:p w14:paraId="306C4D23">
                  <w:pPr>
                    <w:keepNext w:val="0"/>
                    <w:keepLines w:val="0"/>
                    <w:suppressLineNumbers w:val="0"/>
                    <w:adjustRightInd w:val="0"/>
                    <w:snapToGrid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84</w:t>
                  </w:r>
                </w:p>
              </w:tc>
              <w:tc>
                <w:tcPr>
                  <w:tcW w:w="1199" w:type="dxa"/>
                  <w:tcBorders>
                    <w:tl2br w:val="nil"/>
                    <w:tr2bl w:val="nil"/>
                  </w:tcBorders>
                  <w:noWrap w:val="0"/>
                  <w:vAlign w:val="center"/>
                </w:tcPr>
                <w:p w14:paraId="48D71464">
                  <w:pPr>
                    <w:keepNext w:val="0"/>
                    <w:keepLines w:val="0"/>
                    <w:suppressLineNumbers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120</w:t>
                  </w:r>
                </w:p>
              </w:tc>
              <w:tc>
                <w:tcPr>
                  <w:tcW w:w="1126" w:type="dxa"/>
                  <w:tcBorders>
                    <w:tl2br w:val="nil"/>
                    <w:tr2bl w:val="nil"/>
                  </w:tcBorders>
                  <w:noWrap w:val="0"/>
                  <w:vAlign w:val="center"/>
                </w:tcPr>
                <w:p w14:paraId="403DA1B8">
                  <w:pPr>
                    <w:keepNext w:val="0"/>
                    <w:keepLines w:val="0"/>
                    <w:suppressLineNumbers w:val="0"/>
                    <w:adjustRightInd w:val="0"/>
                    <w:snapToGrid w:val="0"/>
                    <w:spacing w:before="0" w:beforeAutospacing="0" w:after="0" w:afterAutospacing="0"/>
                    <w:ind w:left="0" w:right="0"/>
                    <w:jc w:val="center"/>
                    <w:rPr>
                      <w:rFonts w:hint="default"/>
                      <w:b w:val="0"/>
                      <w:bCs w:val="0"/>
                      <w:color w:val="auto"/>
                      <w:spacing w:val="1"/>
                      <w:szCs w:val="21"/>
                      <w:u w:val="none"/>
                    </w:rPr>
                  </w:pPr>
                  <w:r>
                    <w:rPr>
                      <w:rFonts w:hint="default"/>
                      <w:b w:val="0"/>
                      <w:bCs w:val="0"/>
                      <w:color w:val="auto"/>
                      <w:spacing w:val="1"/>
                      <w:szCs w:val="21"/>
                      <w:u w:val="none"/>
                    </w:rPr>
                    <w:t>20</w:t>
                  </w:r>
                </w:p>
              </w:tc>
              <w:tc>
                <w:tcPr>
                  <w:tcW w:w="958" w:type="dxa"/>
                  <w:tcBorders>
                    <w:tl2br w:val="nil"/>
                    <w:tr2bl w:val="nil"/>
                  </w:tcBorders>
                  <w:noWrap w:val="0"/>
                  <w:vAlign w:val="center"/>
                </w:tcPr>
                <w:p w14:paraId="4083265A">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超标</w:t>
                  </w:r>
                </w:p>
              </w:tc>
            </w:tr>
            <w:tr w14:paraId="4C486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734" w:type="dxa"/>
                  <w:tcBorders>
                    <w:tl2br w:val="nil"/>
                    <w:tr2bl w:val="nil"/>
                  </w:tcBorders>
                  <w:noWrap w:val="0"/>
                  <w:vAlign w:val="center"/>
                </w:tcPr>
                <w:p w14:paraId="159F3D37">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PM</w:t>
                  </w:r>
                  <w:r>
                    <w:rPr>
                      <w:rFonts w:hint="default"/>
                      <w:b w:val="0"/>
                      <w:bCs w:val="0"/>
                      <w:color w:val="auto"/>
                      <w:szCs w:val="21"/>
                      <w:u w:val="none"/>
                      <w:vertAlign w:val="subscript"/>
                    </w:rPr>
                    <w:t>2.5</w:t>
                  </w:r>
                </w:p>
              </w:tc>
              <w:tc>
                <w:tcPr>
                  <w:tcW w:w="1540" w:type="dxa"/>
                  <w:tcBorders>
                    <w:tl2br w:val="nil"/>
                    <w:tr2bl w:val="nil"/>
                  </w:tcBorders>
                  <w:noWrap w:val="0"/>
                  <w:vAlign w:val="center"/>
                </w:tcPr>
                <w:p w14:paraId="77264176">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年平均</w:t>
                  </w:r>
                </w:p>
              </w:tc>
              <w:tc>
                <w:tcPr>
                  <w:tcW w:w="1136" w:type="dxa"/>
                  <w:tcBorders>
                    <w:tl2br w:val="nil"/>
                    <w:tr2bl w:val="nil"/>
                  </w:tcBorders>
                  <w:noWrap w:val="0"/>
                  <w:vAlign w:val="center"/>
                </w:tcPr>
                <w:p w14:paraId="7E5A1DC1">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35</w:t>
                  </w:r>
                </w:p>
              </w:tc>
              <w:tc>
                <w:tcPr>
                  <w:tcW w:w="1265" w:type="dxa"/>
                  <w:tcBorders>
                    <w:tl2br w:val="nil"/>
                    <w:tr2bl w:val="nil"/>
                  </w:tcBorders>
                  <w:noWrap w:val="0"/>
                  <w:vAlign w:val="center"/>
                </w:tcPr>
                <w:p w14:paraId="4B7D3EB4">
                  <w:pPr>
                    <w:keepNext w:val="0"/>
                    <w:keepLines w:val="0"/>
                    <w:suppressLineNumbers w:val="0"/>
                    <w:adjustRightInd w:val="0"/>
                    <w:snapToGrid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50</w:t>
                  </w:r>
                </w:p>
              </w:tc>
              <w:tc>
                <w:tcPr>
                  <w:tcW w:w="1199" w:type="dxa"/>
                  <w:tcBorders>
                    <w:tl2br w:val="nil"/>
                    <w:tr2bl w:val="nil"/>
                  </w:tcBorders>
                  <w:noWrap w:val="0"/>
                  <w:vAlign w:val="center"/>
                </w:tcPr>
                <w:p w14:paraId="6CA24A7C">
                  <w:pPr>
                    <w:keepNext w:val="0"/>
                    <w:keepLines w:val="0"/>
                    <w:suppressLineNumbers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142.86</w:t>
                  </w:r>
                </w:p>
              </w:tc>
              <w:tc>
                <w:tcPr>
                  <w:tcW w:w="1126" w:type="dxa"/>
                  <w:tcBorders>
                    <w:tl2br w:val="nil"/>
                    <w:tr2bl w:val="nil"/>
                  </w:tcBorders>
                  <w:noWrap w:val="0"/>
                  <w:vAlign w:val="center"/>
                </w:tcPr>
                <w:p w14:paraId="20F72898">
                  <w:pPr>
                    <w:keepNext w:val="0"/>
                    <w:keepLines w:val="0"/>
                    <w:suppressLineNumbers w:val="0"/>
                    <w:adjustRightInd w:val="0"/>
                    <w:snapToGrid w:val="0"/>
                    <w:spacing w:before="0" w:beforeAutospacing="0" w:after="0" w:afterAutospacing="0"/>
                    <w:ind w:left="0" w:right="0"/>
                    <w:jc w:val="center"/>
                    <w:rPr>
                      <w:rFonts w:hint="default"/>
                      <w:b w:val="0"/>
                      <w:bCs w:val="0"/>
                      <w:color w:val="auto"/>
                      <w:spacing w:val="1"/>
                      <w:szCs w:val="21"/>
                      <w:u w:val="none"/>
                    </w:rPr>
                  </w:pPr>
                  <w:r>
                    <w:rPr>
                      <w:rFonts w:hint="default"/>
                      <w:b w:val="0"/>
                      <w:bCs w:val="0"/>
                      <w:color w:val="auto"/>
                      <w:spacing w:val="1"/>
                      <w:szCs w:val="21"/>
                      <w:u w:val="none"/>
                    </w:rPr>
                    <w:t>42.86</w:t>
                  </w:r>
                </w:p>
              </w:tc>
              <w:tc>
                <w:tcPr>
                  <w:tcW w:w="958" w:type="dxa"/>
                  <w:tcBorders>
                    <w:tl2br w:val="nil"/>
                    <w:tr2bl w:val="nil"/>
                  </w:tcBorders>
                  <w:noWrap w:val="0"/>
                  <w:vAlign w:val="center"/>
                </w:tcPr>
                <w:p w14:paraId="2CEB5D26">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超标</w:t>
                  </w:r>
                </w:p>
              </w:tc>
            </w:tr>
            <w:tr w14:paraId="6B75E1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9" w:hRule="atLeast"/>
                <w:jc w:val="center"/>
              </w:trPr>
              <w:tc>
                <w:tcPr>
                  <w:tcW w:w="734" w:type="dxa"/>
                  <w:tcBorders>
                    <w:tl2br w:val="nil"/>
                    <w:tr2bl w:val="nil"/>
                  </w:tcBorders>
                  <w:noWrap w:val="0"/>
                  <w:vAlign w:val="center"/>
                </w:tcPr>
                <w:p w14:paraId="5A03F9FC">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CO</w:t>
                  </w:r>
                </w:p>
              </w:tc>
              <w:tc>
                <w:tcPr>
                  <w:tcW w:w="1540" w:type="dxa"/>
                  <w:tcBorders>
                    <w:tl2br w:val="nil"/>
                    <w:tr2bl w:val="nil"/>
                  </w:tcBorders>
                  <w:noWrap w:val="0"/>
                  <w:vAlign w:val="center"/>
                </w:tcPr>
                <w:p w14:paraId="04BBE83F">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24h平均第95百分位数</w:t>
                  </w:r>
                </w:p>
              </w:tc>
              <w:tc>
                <w:tcPr>
                  <w:tcW w:w="1136" w:type="dxa"/>
                  <w:tcBorders>
                    <w:tl2br w:val="nil"/>
                    <w:tr2bl w:val="nil"/>
                  </w:tcBorders>
                  <w:noWrap w:val="0"/>
                  <w:vAlign w:val="center"/>
                </w:tcPr>
                <w:p w14:paraId="47D57DC9">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4000</w:t>
                  </w:r>
                </w:p>
              </w:tc>
              <w:tc>
                <w:tcPr>
                  <w:tcW w:w="1265" w:type="dxa"/>
                  <w:tcBorders>
                    <w:tl2br w:val="nil"/>
                    <w:tr2bl w:val="nil"/>
                  </w:tcBorders>
                  <w:noWrap w:val="0"/>
                  <w:vAlign w:val="center"/>
                </w:tcPr>
                <w:p w14:paraId="07D2BDDE">
                  <w:pPr>
                    <w:keepNext w:val="0"/>
                    <w:keepLines w:val="0"/>
                    <w:suppressLineNumbers w:val="0"/>
                    <w:adjustRightInd w:val="0"/>
                    <w:snapToGrid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1400</w:t>
                  </w:r>
                </w:p>
              </w:tc>
              <w:tc>
                <w:tcPr>
                  <w:tcW w:w="1199" w:type="dxa"/>
                  <w:tcBorders>
                    <w:tl2br w:val="nil"/>
                    <w:tr2bl w:val="nil"/>
                  </w:tcBorders>
                  <w:noWrap w:val="0"/>
                  <w:vAlign w:val="center"/>
                </w:tcPr>
                <w:p w14:paraId="5EB39E2B">
                  <w:pPr>
                    <w:keepNext w:val="0"/>
                    <w:keepLines w:val="0"/>
                    <w:suppressLineNumbers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35</w:t>
                  </w:r>
                </w:p>
              </w:tc>
              <w:tc>
                <w:tcPr>
                  <w:tcW w:w="1126" w:type="dxa"/>
                  <w:tcBorders>
                    <w:tl2br w:val="nil"/>
                    <w:tr2bl w:val="nil"/>
                  </w:tcBorders>
                  <w:noWrap w:val="0"/>
                  <w:vAlign w:val="center"/>
                </w:tcPr>
                <w:p w14:paraId="4694BC50">
                  <w:pPr>
                    <w:keepNext w:val="0"/>
                    <w:keepLines w:val="0"/>
                    <w:suppressLineNumbers w:val="0"/>
                    <w:adjustRightInd w:val="0"/>
                    <w:snapToGrid w:val="0"/>
                    <w:spacing w:before="0" w:beforeAutospacing="0" w:after="0" w:afterAutospacing="0"/>
                    <w:ind w:left="0" w:right="0"/>
                    <w:jc w:val="center"/>
                    <w:rPr>
                      <w:rFonts w:hint="default"/>
                      <w:b w:val="0"/>
                      <w:bCs w:val="0"/>
                      <w:color w:val="auto"/>
                      <w:spacing w:val="1"/>
                      <w:szCs w:val="21"/>
                      <w:u w:val="none"/>
                      <w:lang w:val="zh-CN"/>
                    </w:rPr>
                  </w:pPr>
                  <w:r>
                    <w:rPr>
                      <w:rFonts w:hint="default"/>
                      <w:b w:val="0"/>
                      <w:bCs w:val="0"/>
                      <w:color w:val="auto"/>
                      <w:spacing w:val="1"/>
                      <w:szCs w:val="21"/>
                      <w:u w:val="none"/>
                      <w:lang w:val="zh-CN"/>
                    </w:rPr>
                    <w:t>/</w:t>
                  </w:r>
                </w:p>
              </w:tc>
              <w:tc>
                <w:tcPr>
                  <w:tcW w:w="958" w:type="dxa"/>
                  <w:tcBorders>
                    <w:tl2br w:val="nil"/>
                    <w:tr2bl w:val="nil"/>
                  </w:tcBorders>
                  <w:noWrap w:val="0"/>
                  <w:vAlign w:val="center"/>
                </w:tcPr>
                <w:p w14:paraId="03F312A9">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达标</w:t>
                  </w:r>
                </w:p>
              </w:tc>
            </w:tr>
            <w:tr w14:paraId="1D9D7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734" w:type="dxa"/>
                  <w:tcBorders>
                    <w:tl2br w:val="nil"/>
                    <w:tr2bl w:val="nil"/>
                  </w:tcBorders>
                  <w:noWrap w:val="0"/>
                  <w:vAlign w:val="center"/>
                </w:tcPr>
                <w:p w14:paraId="2EB02FF5">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O</w:t>
                  </w:r>
                  <w:r>
                    <w:rPr>
                      <w:rFonts w:hint="default"/>
                      <w:b w:val="0"/>
                      <w:bCs w:val="0"/>
                      <w:color w:val="auto"/>
                      <w:szCs w:val="21"/>
                      <w:u w:val="none"/>
                      <w:vertAlign w:val="subscript"/>
                    </w:rPr>
                    <w:t>3</w:t>
                  </w:r>
                </w:p>
              </w:tc>
              <w:tc>
                <w:tcPr>
                  <w:tcW w:w="1540" w:type="dxa"/>
                  <w:tcBorders>
                    <w:tl2br w:val="nil"/>
                    <w:tr2bl w:val="nil"/>
                  </w:tcBorders>
                  <w:noWrap w:val="0"/>
                  <w:vAlign w:val="center"/>
                </w:tcPr>
                <w:p w14:paraId="575C429E">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日最大8h平均第90百分位数</w:t>
                  </w:r>
                </w:p>
              </w:tc>
              <w:tc>
                <w:tcPr>
                  <w:tcW w:w="1136" w:type="dxa"/>
                  <w:tcBorders>
                    <w:tl2br w:val="nil"/>
                    <w:tr2bl w:val="nil"/>
                  </w:tcBorders>
                  <w:noWrap w:val="0"/>
                  <w:vAlign w:val="center"/>
                </w:tcPr>
                <w:p w14:paraId="7920D62B">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160</w:t>
                  </w:r>
                </w:p>
              </w:tc>
              <w:tc>
                <w:tcPr>
                  <w:tcW w:w="1265" w:type="dxa"/>
                  <w:tcBorders>
                    <w:tl2br w:val="nil"/>
                    <w:tr2bl w:val="nil"/>
                  </w:tcBorders>
                  <w:noWrap w:val="0"/>
                  <w:vAlign w:val="center"/>
                </w:tcPr>
                <w:p w14:paraId="0C267823">
                  <w:pPr>
                    <w:keepNext w:val="0"/>
                    <w:keepLines w:val="0"/>
                    <w:suppressLineNumbers w:val="0"/>
                    <w:adjustRightInd w:val="0"/>
                    <w:snapToGrid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178</w:t>
                  </w:r>
                </w:p>
              </w:tc>
              <w:tc>
                <w:tcPr>
                  <w:tcW w:w="1199" w:type="dxa"/>
                  <w:tcBorders>
                    <w:tl2br w:val="nil"/>
                    <w:tr2bl w:val="nil"/>
                  </w:tcBorders>
                  <w:noWrap w:val="0"/>
                  <w:vAlign w:val="center"/>
                </w:tcPr>
                <w:p w14:paraId="3AB8718D">
                  <w:pPr>
                    <w:keepNext w:val="0"/>
                    <w:keepLines w:val="0"/>
                    <w:suppressLineNumbers w:val="0"/>
                    <w:spacing w:before="0" w:beforeAutospacing="0" w:after="0" w:afterAutospacing="0" w:line="0" w:lineRule="atLeast"/>
                    <w:ind w:left="0" w:right="0"/>
                    <w:jc w:val="center"/>
                    <w:rPr>
                      <w:rFonts w:hint="default"/>
                      <w:b w:val="0"/>
                      <w:bCs w:val="0"/>
                      <w:color w:val="auto"/>
                      <w:szCs w:val="21"/>
                      <w:u w:val="none"/>
                    </w:rPr>
                  </w:pPr>
                  <w:r>
                    <w:rPr>
                      <w:rFonts w:hint="default"/>
                      <w:b w:val="0"/>
                      <w:bCs w:val="0"/>
                      <w:color w:val="auto"/>
                      <w:szCs w:val="21"/>
                      <w:u w:val="none"/>
                    </w:rPr>
                    <w:t>111.25</w:t>
                  </w:r>
                </w:p>
              </w:tc>
              <w:tc>
                <w:tcPr>
                  <w:tcW w:w="1126" w:type="dxa"/>
                  <w:tcBorders>
                    <w:tl2br w:val="nil"/>
                    <w:tr2bl w:val="nil"/>
                  </w:tcBorders>
                  <w:noWrap w:val="0"/>
                  <w:vAlign w:val="center"/>
                </w:tcPr>
                <w:p w14:paraId="04B54218">
                  <w:pPr>
                    <w:keepNext w:val="0"/>
                    <w:keepLines w:val="0"/>
                    <w:suppressLineNumbers w:val="0"/>
                    <w:adjustRightInd w:val="0"/>
                    <w:snapToGrid w:val="0"/>
                    <w:spacing w:before="0" w:beforeAutospacing="0" w:after="0" w:afterAutospacing="0"/>
                    <w:ind w:left="0" w:right="0"/>
                    <w:jc w:val="center"/>
                    <w:rPr>
                      <w:rFonts w:hint="default"/>
                      <w:b w:val="0"/>
                      <w:bCs w:val="0"/>
                      <w:color w:val="auto"/>
                      <w:spacing w:val="1"/>
                      <w:szCs w:val="21"/>
                      <w:u w:val="none"/>
                    </w:rPr>
                  </w:pPr>
                  <w:r>
                    <w:rPr>
                      <w:rFonts w:hint="default"/>
                      <w:b w:val="0"/>
                      <w:bCs w:val="0"/>
                      <w:color w:val="auto"/>
                      <w:spacing w:val="1"/>
                      <w:szCs w:val="21"/>
                      <w:u w:val="none"/>
                    </w:rPr>
                    <w:t>11.25</w:t>
                  </w:r>
                </w:p>
              </w:tc>
              <w:tc>
                <w:tcPr>
                  <w:tcW w:w="958" w:type="dxa"/>
                  <w:tcBorders>
                    <w:tl2br w:val="nil"/>
                    <w:tr2bl w:val="nil"/>
                  </w:tcBorders>
                  <w:noWrap w:val="0"/>
                  <w:vAlign w:val="center"/>
                </w:tcPr>
                <w:p w14:paraId="0B10FD9F">
                  <w:pPr>
                    <w:keepNext w:val="0"/>
                    <w:keepLines w:val="0"/>
                    <w:suppressLineNumbers w:val="0"/>
                    <w:adjustRightInd w:val="0"/>
                    <w:snapToGrid w:val="0"/>
                    <w:spacing w:before="0" w:beforeAutospacing="0" w:after="0" w:afterAutospacing="0"/>
                    <w:ind w:left="0" w:right="0"/>
                    <w:jc w:val="center"/>
                    <w:rPr>
                      <w:rFonts w:hint="default"/>
                      <w:b w:val="0"/>
                      <w:bCs w:val="0"/>
                      <w:color w:val="auto"/>
                      <w:szCs w:val="21"/>
                      <w:u w:val="none"/>
                    </w:rPr>
                  </w:pPr>
                  <w:r>
                    <w:rPr>
                      <w:rFonts w:hint="default"/>
                      <w:b w:val="0"/>
                      <w:bCs w:val="0"/>
                      <w:color w:val="auto"/>
                      <w:szCs w:val="21"/>
                      <w:u w:val="none"/>
                    </w:rPr>
                    <w:t>超标</w:t>
                  </w:r>
                </w:p>
              </w:tc>
            </w:tr>
          </w:tbl>
          <w:p w14:paraId="33BC0760">
            <w:pPr>
              <w:pStyle w:val="12"/>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kern w:val="2"/>
                <w:sz w:val="24"/>
                <w:szCs w:val="24"/>
                <w:highlight w:val="none"/>
                <w:u w:val="none"/>
                <w:lang w:val="en-US" w:eastAsia="zh-CN" w:bidi="ar-SA"/>
              </w:rPr>
            </w:pPr>
            <w:r>
              <w:rPr>
                <w:rFonts w:hint="eastAsia" w:ascii="Times New Roman" w:hAnsi="Times New Roman" w:eastAsia="宋体" w:cs="Times New Roman"/>
                <w:b w:val="0"/>
                <w:bCs w:val="0"/>
                <w:color w:val="auto"/>
                <w:kern w:val="2"/>
                <w:sz w:val="24"/>
                <w:szCs w:val="24"/>
                <w:highlight w:val="none"/>
                <w:u w:val="none"/>
                <w:lang w:val="en-US" w:eastAsia="zh-CN" w:bidi="ar-SA"/>
              </w:rPr>
              <w:t>由上表可知，超过《环境空气质量标准》（GB3095-2012）中二级标准限值的污染物为PM</w:t>
            </w:r>
            <w:r>
              <w:rPr>
                <w:rFonts w:hint="eastAsia" w:ascii="Times New Roman" w:hAnsi="Times New Roman" w:eastAsia="宋体" w:cs="Times New Roman"/>
                <w:b w:val="0"/>
                <w:bCs w:val="0"/>
                <w:color w:val="auto"/>
                <w:kern w:val="2"/>
                <w:sz w:val="24"/>
                <w:szCs w:val="24"/>
                <w:highlight w:val="none"/>
                <w:u w:val="none"/>
                <w:vertAlign w:val="subscript"/>
                <w:lang w:val="en-US" w:eastAsia="zh-CN" w:bidi="ar-SA"/>
              </w:rPr>
              <w:t>10</w:t>
            </w:r>
            <w:r>
              <w:rPr>
                <w:rFonts w:hint="eastAsia" w:ascii="Times New Roman" w:hAnsi="Times New Roman" w:eastAsia="宋体" w:cs="Times New Roman"/>
                <w:b w:val="0"/>
                <w:bCs w:val="0"/>
                <w:color w:val="auto"/>
                <w:kern w:val="2"/>
                <w:sz w:val="24"/>
                <w:szCs w:val="24"/>
                <w:highlight w:val="none"/>
                <w:u w:val="none"/>
                <w:lang w:val="en-US" w:eastAsia="zh-CN" w:bidi="ar-SA"/>
              </w:rPr>
              <w:t>、PM</w:t>
            </w:r>
            <w:r>
              <w:rPr>
                <w:rFonts w:hint="eastAsia" w:ascii="Times New Roman" w:hAnsi="Times New Roman" w:eastAsia="宋体" w:cs="Times New Roman"/>
                <w:b w:val="0"/>
                <w:bCs w:val="0"/>
                <w:color w:val="auto"/>
                <w:kern w:val="2"/>
                <w:sz w:val="24"/>
                <w:szCs w:val="24"/>
                <w:highlight w:val="none"/>
                <w:u w:val="none"/>
                <w:vertAlign w:val="subscript"/>
                <w:lang w:val="en-US" w:eastAsia="zh-CN" w:bidi="ar-SA"/>
              </w:rPr>
              <w:t>2.5</w:t>
            </w:r>
            <w:r>
              <w:rPr>
                <w:rFonts w:hint="eastAsia" w:ascii="Times New Roman" w:hAnsi="Times New Roman" w:eastAsia="宋体" w:cs="Times New Roman"/>
                <w:b w:val="0"/>
                <w:bCs w:val="0"/>
                <w:color w:val="auto"/>
                <w:kern w:val="2"/>
                <w:sz w:val="24"/>
                <w:szCs w:val="24"/>
                <w:highlight w:val="none"/>
                <w:u w:val="none"/>
                <w:lang w:val="en-US" w:eastAsia="zh-CN" w:bidi="ar-SA"/>
              </w:rPr>
              <w:t>、O</w:t>
            </w:r>
            <w:r>
              <w:rPr>
                <w:rFonts w:hint="eastAsia" w:ascii="Times New Roman" w:hAnsi="Times New Roman" w:eastAsia="宋体" w:cs="Times New Roman"/>
                <w:b w:val="0"/>
                <w:bCs w:val="0"/>
                <w:color w:val="auto"/>
                <w:kern w:val="2"/>
                <w:sz w:val="24"/>
                <w:szCs w:val="24"/>
                <w:highlight w:val="none"/>
                <w:u w:val="none"/>
                <w:vertAlign w:val="subscript"/>
                <w:lang w:val="en-US" w:eastAsia="zh-CN" w:bidi="ar-SA"/>
              </w:rPr>
              <w:t>3</w:t>
            </w:r>
            <w:r>
              <w:rPr>
                <w:rFonts w:hint="eastAsia" w:ascii="Times New Roman" w:hAnsi="Times New Roman" w:eastAsia="宋体" w:cs="Times New Roman"/>
                <w:b w:val="0"/>
                <w:bCs w:val="0"/>
                <w:color w:val="auto"/>
                <w:kern w:val="2"/>
                <w:sz w:val="24"/>
                <w:szCs w:val="24"/>
                <w:highlight w:val="none"/>
                <w:u w:val="none"/>
                <w:lang w:val="en-US" w:eastAsia="zh-CN" w:bidi="ar-SA"/>
              </w:rPr>
              <w:t>，三项污染物不达标，根据《环境影响评价技术导则—大气环境》（HJ2.2-2018），企业所在区域为不达标区。</w:t>
            </w:r>
          </w:p>
          <w:p w14:paraId="628FA096">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由上表可知，超过《环境空气质量标准》（GB3095-2012）中二级标准限值的污染物为PM</w:t>
            </w:r>
            <w:r>
              <w:rPr>
                <w:rFonts w:hint="default" w:ascii="Times New Roman" w:hAnsi="Times New Roman" w:eastAsia="宋体" w:cs="Times New Roman"/>
                <w:color w:val="auto"/>
                <w:kern w:val="2"/>
                <w:sz w:val="24"/>
                <w:szCs w:val="24"/>
                <w:vertAlign w:val="subscript"/>
                <w:lang w:val="en-US" w:eastAsia="zh-CN" w:bidi="ar"/>
              </w:rPr>
              <w:t>10</w:t>
            </w:r>
            <w:r>
              <w:rPr>
                <w:rFonts w:hint="default" w:ascii="Times New Roman" w:hAnsi="Times New Roman" w:eastAsia="宋体" w:cs="Times New Roman"/>
                <w:color w:val="auto"/>
                <w:kern w:val="2"/>
                <w:sz w:val="24"/>
                <w:szCs w:val="24"/>
                <w:lang w:val="en-US" w:eastAsia="zh-CN" w:bidi="ar"/>
              </w:rPr>
              <w:t>、PM</w:t>
            </w:r>
            <w:r>
              <w:rPr>
                <w:rFonts w:hint="default" w:ascii="Times New Roman" w:hAnsi="Times New Roman" w:eastAsia="宋体" w:cs="Times New Roman"/>
                <w:color w:val="auto"/>
                <w:kern w:val="2"/>
                <w:sz w:val="24"/>
                <w:szCs w:val="24"/>
                <w:vertAlign w:val="subscript"/>
                <w:lang w:val="en-US" w:eastAsia="zh-CN" w:bidi="ar"/>
              </w:rPr>
              <w:t>2.5</w:t>
            </w:r>
            <w:r>
              <w:rPr>
                <w:rFonts w:hint="default" w:ascii="Times New Roman" w:hAnsi="Times New Roman" w:eastAsia="宋体" w:cs="Times New Roman"/>
                <w:color w:val="auto"/>
                <w:kern w:val="2"/>
                <w:sz w:val="24"/>
                <w:szCs w:val="24"/>
                <w:lang w:val="en-US" w:eastAsia="zh-CN" w:bidi="ar"/>
              </w:rPr>
              <w:t>、O</w:t>
            </w:r>
            <w:r>
              <w:rPr>
                <w:rFonts w:hint="default" w:ascii="Times New Roman" w:hAnsi="Times New Roman" w:eastAsia="宋体" w:cs="Times New Roman"/>
                <w:color w:val="auto"/>
                <w:kern w:val="2"/>
                <w:sz w:val="24"/>
                <w:szCs w:val="24"/>
                <w:vertAlign w:val="subscript"/>
                <w:lang w:val="en-US" w:eastAsia="zh-CN" w:bidi="ar"/>
              </w:rPr>
              <w:t>3</w:t>
            </w:r>
            <w:r>
              <w:rPr>
                <w:rFonts w:hint="default" w:ascii="Times New Roman" w:hAnsi="Times New Roman" w:eastAsia="宋体" w:cs="Times New Roman"/>
                <w:color w:val="auto"/>
                <w:kern w:val="2"/>
                <w:sz w:val="24"/>
                <w:szCs w:val="24"/>
                <w:lang w:val="en-US" w:eastAsia="zh-CN" w:bidi="ar"/>
              </w:rPr>
              <w:t>，三项污染物不达标，根据《环境影响评价技术导则—大气环境》（HJ2.2-2018），六项污染物全部达标才为城市环境空气质量达标，因此，项目所在区域为不达标</w:t>
            </w:r>
            <w:r>
              <w:rPr>
                <w:rFonts w:hint="eastAsia" w:cs="Times New Roman"/>
                <w:color w:val="auto"/>
                <w:kern w:val="2"/>
                <w:sz w:val="24"/>
                <w:szCs w:val="24"/>
                <w:lang w:val="en-US" w:eastAsia="zh-CN" w:bidi="ar"/>
              </w:rPr>
              <w:t>区域</w:t>
            </w:r>
            <w:r>
              <w:rPr>
                <w:rFonts w:hint="default" w:ascii="Times New Roman" w:hAnsi="Times New Roman" w:eastAsia="宋体" w:cs="Times New Roman"/>
                <w:color w:val="auto"/>
                <w:kern w:val="2"/>
                <w:sz w:val="24"/>
                <w:szCs w:val="24"/>
                <w:lang w:val="en-US" w:eastAsia="zh-CN" w:bidi="ar"/>
              </w:rPr>
              <w:t>。</w:t>
            </w:r>
          </w:p>
          <w:p w14:paraId="4084C868">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为切实改善空气质量，持续改善全市环境空气质量，打赢大气污染防治攻坚战，根据《河南省生态环境保护委员会办公室关于印发河南省2024年蓝天保卫战实施方案的通知》（豫环委办〔2024〕7号），因此，安阳市生态环境局印发了《安阳市2025年大气污染防治攻坚行动方案》（安环委〔2025〕2号），进一步改善安阳市环境空气质量情况。工作目标为：2025年，全市PM</w:t>
            </w:r>
            <w:r>
              <w:rPr>
                <w:rFonts w:hint="default" w:ascii="Times New Roman" w:hAnsi="Times New Roman" w:eastAsia="宋体" w:cs="Times New Roman"/>
                <w:color w:val="auto"/>
                <w:kern w:val="2"/>
                <w:sz w:val="24"/>
                <w:szCs w:val="24"/>
                <w:vertAlign w:val="subscript"/>
                <w:lang w:val="en-US" w:eastAsia="zh-CN" w:bidi="ar"/>
              </w:rPr>
              <w:t>2.5</w:t>
            </w:r>
            <w:r>
              <w:rPr>
                <w:rFonts w:hint="default" w:ascii="Times New Roman" w:hAnsi="Times New Roman" w:eastAsia="宋体" w:cs="Times New Roman"/>
                <w:color w:val="auto"/>
                <w:kern w:val="2"/>
                <w:sz w:val="24"/>
                <w:szCs w:val="24"/>
                <w:lang w:val="en-US" w:eastAsia="zh-CN" w:bidi="ar"/>
              </w:rPr>
              <w:t>不超过47微克/立方米，优良天数比例达到62.5%（229天），重度及以上污染天数比率控制在1.8%（6天）以内。力争综合指数在全国168重点城市排名退出后十位。</w:t>
            </w:r>
          </w:p>
          <w:p w14:paraId="0530858B">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2</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地表水环境质量</w:t>
            </w:r>
          </w:p>
          <w:p w14:paraId="319293B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eastAsia" w:ascii="宋体" w:hAnsi="宋体" w:eastAsia="宋体" w:cs="宋体"/>
                <w:color w:val="auto"/>
                <w:sz w:val="24"/>
                <w:szCs w:val="24"/>
                <w:highlight w:val="none"/>
                <w:u w:val="none" w:color="auto"/>
                <w:lang w:eastAsia="zh-CN"/>
              </w:rPr>
            </w:pPr>
            <w:r>
              <w:rPr>
                <w:rFonts w:hint="default" w:ascii="Times New Roman" w:hAnsi="Times New Roman" w:eastAsia="宋体" w:cs="Times New Roman"/>
                <w:color w:val="auto"/>
                <w:sz w:val="24"/>
                <w:szCs w:val="24"/>
                <w:highlight w:val="none"/>
                <w:u w:val="none" w:color="auto"/>
                <w:lang w:eastAsia="zh-CN"/>
              </w:rPr>
              <w:t>项目附近的地表水为</w:t>
            </w:r>
            <w:r>
              <w:rPr>
                <w:rFonts w:hint="eastAsia" w:cs="Times New Roman"/>
                <w:color w:val="auto"/>
                <w:sz w:val="24"/>
                <w:szCs w:val="24"/>
                <w:highlight w:val="none"/>
                <w:u w:val="none" w:color="auto"/>
                <w:lang w:eastAsia="zh-CN"/>
              </w:rPr>
              <w:t>东侧</w:t>
            </w:r>
            <w:r>
              <w:rPr>
                <w:rFonts w:hint="eastAsia" w:cs="Times New Roman"/>
                <w:color w:val="auto"/>
                <w:sz w:val="24"/>
                <w:szCs w:val="24"/>
                <w:highlight w:val="none"/>
                <w:u w:val="none" w:color="auto"/>
                <w:lang w:val="en-US" w:eastAsia="zh-CN"/>
              </w:rPr>
              <w:t>2</w:t>
            </w:r>
            <w:r>
              <w:rPr>
                <w:rFonts w:hint="eastAsia" w:ascii="Times New Roman" w:hAnsi="Times New Roman" w:eastAsia="宋体" w:cs="Times New Roman"/>
                <w:color w:val="auto"/>
                <w:sz w:val="24"/>
                <w:szCs w:val="24"/>
                <w:highlight w:val="none"/>
                <w:u w:val="none" w:color="auto"/>
                <w:lang w:val="en-US" w:eastAsia="zh-CN"/>
              </w:rPr>
              <w:t>0</w:t>
            </w:r>
            <w:r>
              <w:rPr>
                <w:rFonts w:hint="default" w:ascii="Times New Roman" w:hAnsi="Times New Roman" w:eastAsia="宋体" w:cs="Times New Roman"/>
                <w:color w:val="auto"/>
                <w:sz w:val="24"/>
                <w:szCs w:val="24"/>
                <w:highlight w:val="none"/>
                <w:u w:val="none" w:color="auto"/>
                <w:lang w:eastAsia="zh-CN"/>
              </w:rPr>
              <w:t>m的</w:t>
            </w:r>
            <w:r>
              <w:rPr>
                <w:rFonts w:hint="default" w:ascii="Times New Roman" w:hAnsi="Times New Roman" w:cs="Times New Roman"/>
                <w:color w:val="auto"/>
                <w:sz w:val="24"/>
                <w:szCs w:val="24"/>
              </w:rPr>
              <w:t>永通河</w:t>
            </w:r>
            <w:r>
              <w:rPr>
                <w:rFonts w:hint="default" w:ascii="Times New Roman" w:hAnsi="Times New Roman" w:eastAsia="宋体" w:cs="Times New Roman"/>
                <w:color w:val="auto"/>
                <w:sz w:val="24"/>
                <w:szCs w:val="24"/>
                <w:highlight w:val="none"/>
                <w:u w:val="none" w:color="auto"/>
                <w:lang w:eastAsia="zh-CN"/>
              </w:rPr>
              <w:t>，</w:t>
            </w:r>
            <w:r>
              <w:rPr>
                <w:rFonts w:hint="eastAsia" w:cs="Times New Roman"/>
                <w:color w:val="auto"/>
                <w:sz w:val="24"/>
                <w:szCs w:val="24"/>
                <w:highlight w:val="none"/>
                <w:u w:val="none" w:color="auto"/>
                <w:lang w:eastAsia="zh-CN"/>
              </w:rPr>
              <w:t>下游汇入汤河</w:t>
            </w:r>
            <w:r>
              <w:rPr>
                <w:rFonts w:hint="eastAsia" w:ascii="Times New Roman" w:hAnsi="Times New Roman" w:eastAsia="宋体" w:cs="Times New Roman"/>
                <w:color w:val="auto"/>
                <w:sz w:val="24"/>
                <w:szCs w:val="24"/>
                <w:highlight w:val="none"/>
                <w:u w:val="none" w:color="auto"/>
                <w:lang w:eastAsia="zh-CN"/>
              </w:rPr>
              <w:t>，</w:t>
            </w:r>
            <w:r>
              <w:rPr>
                <w:rFonts w:hint="default" w:ascii="Times New Roman" w:hAnsi="Times New Roman" w:eastAsia="宋体" w:cs="Times New Roman"/>
                <w:color w:val="auto"/>
                <w:sz w:val="24"/>
                <w:szCs w:val="24"/>
                <w:highlight w:val="none"/>
                <w:lang w:eastAsia="zh-CN"/>
              </w:rPr>
              <w:t>该区域属于石辛庄断面</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u w:val="none" w:color="auto"/>
                <w:lang w:eastAsia="zh-CN"/>
              </w:rPr>
              <w:t>根据《安阳市202</w:t>
            </w:r>
            <w:r>
              <w:rPr>
                <w:rFonts w:hint="eastAsia" w:ascii="Times New Roman" w:hAnsi="Times New Roman" w:eastAsia="宋体" w:cs="Times New Roman"/>
                <w:color w:val="auto"/>
                <w:sz w:val="24"/>
                <w:szCs w:val="24"/>
                <w:highlight w:val="none"/>
                <w:u w:val="none" w:color="auto"/>
                <w:lang w:val="en-US" w:eastAsia="zh-CN"/>
              </w:rPr>
              <w:t>5</w:t>
            </w:r>
            <w:r>
              <w:rPr>
                <w:rFonts w:hint="eastAsia" w:ascii="Times New Roman" w:hAnsi="Times New Roman" w:eastAsia="宋体" w:cs="Times New Roman"/>
                <w:color w:val="auto"/>
                <w:sz w:val="24"/>
                <w:szCs w:val="24"/>
                <w:highlight w:val="none"/>
                <w:u w:val="none" w:color="auto"/>
                <w:lang w:eastAsia="zh-CN"/>
              </w:rPr>
              <w:t>年碧水保卫战实施方案》（安环委〔202</w:t>
            </w:r>
            <w:r>
              <w:rPr>
                <w:rFonts w:hint="eastAsia" w:ascii="Times New Roman" w:hAnsi="Times New Roman" w:eastAsia="宋体" w:cs="Times New Roman"/>
                <w:color w:val="auto"/>
                <w:sz w:val="24"/>
                <w:szCs w:val="24"/>
                <w:highlight w:val="none"/>
                <w:u w:val="none" w:color="auto"/>
                <w:lang w:val="en-US" w:eastAsia="zh-CN"/>
              </w:rPr>
              <w:t>5</w:t>
            </w: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val="en-US" w:eastAsia="zh-CN"/>
              </w:rPr>
              <w:t>2</w:t>
            </w:r>
            <w:r>
              <w:rPr>
                <w:rFonts w:hint="eastAsia" w:ascii="Times New Roman" w:hAnsi="Times New Roman" w:eastAsia="宋体" w:cs="Times New Roman"/>
                <w:color w:val="auto"/>
                <w:sz w:val="24"/>
                <w:szCs w:val="24"/>
                <w:highlight w:val="none"/>
                <w:u w:val="none" w:color="auto"/>
                <w:lang w:eastAsia="zh-CN"/>
              </w:rPr>
              <w:t>号），汤河石辛庄断面水质目标为</w:t>
            </w:r>
            <w:r>
              <w:rPr>
                <w:rFonts w:hint="eastAsia" w:ascii="Times New Roman" w:hAnsi="Times New Roman" w:eastAsia="宋体" w:cs="Times New Roman"/>
                <w:color w:val="auto"/>
                <w:sz w:val="24"/>
                <w:szCs w:val="24"/>
                <w:highlight w:val="none"/>
                <w:u w:val="none" w:color="auto"/>
                <w:lang w:val="en-US" w:eastAsia="zh-CN"/>
              </w:rPr>
              <w:t>V</w:t>
            </w:r>
            <w:r>
              <w:rPr>
                <w:rFonts w:hint="eastAsia" w:ascii="Times New Roman" w:hAnsi="Times New Roman" w:eastAsia="宋体" w:cs="Times New Roman"/>
                <w:color w:val="auto"/>
                <w:sz w:val="24"/>
                <w:szCs w:val="24"/>
                <w:highlight w:val="none"/>
                <w:u w:val="none" w:color="auto"/>
                <w:lang w:eastAsia="zh-CN"/>
              </w:rPr>
              <w:t>类，执行</w:t>
            </w:r>
            <w:r>
              <w:rPr>
                <w:rFonts w:hint="eastAsia" w:ascii="Times New Roman" w:hAnsi="Times New Roman" w:eastAsia="宋体" w:cs="Times New Roman"/>
                <w:color w:val="auto"/>
                <w:sz w:val="24"/>
                <w:szCs w:val="24"/>
                <w:highlight w:val="none"/>
                <w:u w:val="none" w:color="auto"/>
                <w:lang w:val="en-US" w:eastAsia="zh-CN"/>
              </w:rPr>
              <w:t>V类水质标准</w:t>
            </w:r>
            <w:r>
              <w:rPr>
                <w:rFonts w:hint="eastAsia" w:ascii="Times New Roman" w:hAnsi="Times New Roman" w:eastAsia="宋体" w:cs="Times New Roman"/>
                <w:color w:val="auto"/>
                <w:sz w:val="24"/>
                <w:szCs w:val="24"/>
                <w:highlight w:val="none"/>
                <w:u w:val="none" w:color="auto"/>
                <w:lang w:eastAsia="zh-CN"/>
              </w:rPr>
              <w:t>。</w:t>
            </w:r>
          </w:p>
          <w:p w14:paraId="59A66D61">
            <w:pPr>
              <w:pStyle w:val="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ascii="Calibri" w:hAnsi="Calibri" w:eastAsia="宋体" w:cs="Times New Roman"/>
                <w:color w:val="auto"/>
                <w:sz w:val="24"/>
                <w:szCs w:val="24"/>
                <w:lang w:val="en-US" w:eastAsia="zh-CN"/>
              </w:rPr>
            </w:pPr>
            <w:r>
              <w:rPr>
                <w:rFonts w:hint="eastAsia" w:ascii="Calibri" w:hAnsi="Calibri" w:eastAsia="宋体" w:cs="Times New Roman"/>
                <w:color w:val="auto"/>
                <w:sz w:val="24"/>
                <w:szCs w:val="24"/>
                <w:lang w:val="en-US" w:eastAsia="zh-CN"/>
              </w:rPr>
              <w:t>本项目地表水环境质量引用</w:t>
            </w:r>
            <w:r>
              <w:rPr>
                <w:rFonts w:hint="default" w:ascii="Times New Roman" w:hAnsi="Times New Roman" w:cs="Times New Roman"/>
                <w:color w:val="auto"/>
                <w:sz w:val="24"/>
                <w:szCs w:val="24"/>
                <w:lang w:val="en-US" w:eastAsia="zh-CN"/>
              </w:rPr>
              <w:t>2024</w:t>
            </w:r>
            <w:r>
              <w:rPr>
                <w:rFonts w:hint="eastAsia" w:ascii="Calibri" w:hAnsi="Calibri" w:eastAsia="宋体" w:cs="Times New Roman"/>
                <w:color w:val="auto"/>
                <w:sz w:val="24"/>
                <w:szCs w:val="24"/>
                <w:lang w:val="en-US" w:eastAsia="zh-CN"/>
              </w:rPr>
              <w:t>年常规监测数据，监测结果见下表。</w:t>
            </w:r>
          </w:p>
          <w:p w14:paraId="210321D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Times New Roman" w:cs="Times New Roman"/>
                <w:b/>
                <w:color w:val="auto"/>
                <w:sz w:val="21"/>
                <w:szCs w:val="16"/>
                <w:highlight w:val="none"/>
              </w:rPr>
            </w:pPr>
            <w:r>
              <w:rPr>
                <w:rFonts w:hint="eastAsia" w:eastAsia="宋体" w:cs="Times New Roman"/>
                <w:b/>
                <w:color w:val="auto"/>
                <w:sz w:val="21"/>
                <w:szCs w:val="21"/>
                <w:highlight w:val="none"/>
                <w:lang w:eastAsia="zh-CN"/>
              </w:rPr>
              <w:t>表</w:t>
            </w:r>
            <w:r>
              <w:rPr>
                <w:rFonts w:hint="eastAsia" w:cs="Times New Roman"/>
                <w:b/>
                <w:color w:val="auto"/>
                <w:sz w:val="21"/>
                <w:szCs w:val="21"/>
                <w:highlight w:val="none"/>
                <w:lang w:val="en-US" w:eastAsia="zh-CN"/>
              </w:rPr>
              <w:t>19</w:t>
            </w:r>
            <w:r>
              <w:rPr>
                <w:rFonts w:hint="eastAsia" w:eastAsia="宋体" w:cs="Times New Roman"/>
                <w:b/>
                <w:color w:val="auto"/>
                <w:sz w:val="21"/>
                <w:szCs w:val="21"/>
                <w:highlight w:val="none"/>
                <w:lang w:val="en-US" w:eastAsia="zh-CN"/>
              </w:rPr>
              <w:t xml:space="preserve">  </w:t>
            </w:r>
            <w:r>
              <w:rPr>
                <w:rFonts w:hint="default" w:ascii="Times New Roman" w:hAnsi="Times New Roman" w:eastAsia="Times New Roman" w:cs="Times New Roman"/>
                <w:b/>
                <w:color w:val="auto"/>
                <w:sz w:val="21"/>
                <w:szCs w:val="21"/>
                <w:highlight w:val="none"/>
              </w:rPr>
              <w:t>202</w:t>
            </w:r>
            <w:r>
              <w:rPr>
                <w:rFonts w:hint="eastAsia" w:eastAsia="Times New Roman" w:cs="Times New Roman"/>
                <w:b/>
                <w:color w:val="auto"/>
                <w:sz w:val="21"/>
                <w:szCs w:val="21"/>
                <w:highlight w:val="none"/>
                <w:lang w:val="en-US" w:eastAsia="zh-CN"/>
              </w:rPr>
              <w:t>4</w:t>
            </w:r>
            <w:r>
              <w:rPr>
                <w:rFonts w:hint="default" w:ascii="Times New Roman" w:hAnsi="Times New Roman" w:eastAsia="Times New Roman" w:cs="Times New Roman"/>
                <w:b/>
                <w:color w:val="auto"/>
                <w:sz w:val="21"/>
                <w:szCs w:val="21"/>
                <w:highlight w:val="none"/>
              </w:rPr>
              <w:t>年汤河石辛庄断面水质检测结果表mg/L</w:t>
            </w:r>
          </w:p>
          <w:tbl>
            <w:tblPr>
              <w:tblStyle w:val="27"/>
              <w:tblW w:w="4998" w:type="pct"/>
              <w:jc w:val="center"/>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Layout w:type="fixed"/>
              <w:tblCellMar>
                <w:top w:w="0" w:type="dxa"/>
                <w:left w:w="0" w:type="dxa"/>
                <w:bottom w:w="0" w:type="dxa"/>
                <w:right w:w="0" w:type="dxa"/>
              </w:tblCellMar>
            </w:tblPr>
            <w:tblGrid>
              <w:gridCol w:w="2081"/>
              <w:gridCol w:w="1080"/>
              <w:gridCol w:w="1184"/>
              <w:gridCol w:w="1036"/>
              <w:gridCol w:w="1330"/>
              <w:gridCol w:w="1608"/>
            </w:tblGrid>
            <w:tr w14:paraId="189A8856">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12" w:space="0"/>
                    <w:left w:val="nil"/>
                    <w:bottom w:val="single" w:color="000000" w:sz="4" w:space="0"/>
                    <w:right w:val="single" w:color="000000" w:sz="4" w:space="0"/>
                  </w:tcBorders>
                  <w:noWrap w:val="0"/>
                  <w:tcMar>
                    <w:top w:w="15" w:type="dxa"/>
                    <w:left w:w="15" w:type="dxa"/>
                    <w:right w:w="15" w:type="dxa"/>
                  </w:tcMar>
                  <w:vAlign w:val="center"/>
                </w:tcPr>
                <w:p w14:paraId="24ABFE6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时间</w:t>
                  </w:r>
                </w:p>
              </w:tc>
              <w:tc>
                <w:tcPr>
                  <w:tcW w:w="649" w:type="pct"/>
                  <w:tcBorders>
                    <w:top w:val="single" w:color="000000" w:sz="12" w:space="0"/>
                    <w:left w:val="single" w:color="000000" w:sz="4" w:space="0"/>
                    <w:bottom w:val="single" w:color="000000" w:sz="4" w:space="0"/>
                    <w:right w:val="single" w:color="000000" w:sz="4" w:space="0"/>
                  </w:tcBorders>
                  <w:noWrap w:val="0"/>
                  <w:tcMar>
                    <w:top w:w="15" w:type="dxa"/>
                    <w:left w:w="15" w:type="dxa"/>
                    <w:right w:w="15" w:type="dxa"/>
                  </w:tcMar>
                  <w:vAlign w:val="center"/>
                </w:tcPr>
                <w:p w14:paraId="1C64BFCC">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COD</w:t>
                  </w:r>
                </w:p>
              </w:tc>
              <w:tc>
                <w:tcPr>
                  <w:tcW w:w="711" w:type="pct"/>
                  <w:tcBorders>
                    <w:top w:val="single" w:color="000000" w:sz="12" w:space="0"/>
                    <w:left w:val="single" w:color="000000" w:sz="4" w:space="0"/>
                    <w:bottom w:val="single" w:color="000000" w:sz="4" w:space="0"/>
                    <w:right w:val="single" w:color="000000" w:sz="4" w:space="0"/>
                  </w:tcBorders>
                  <w:noWrap w:val="0"/>
                  <w:tcMar>
                    <w:top w:w="15" w:type="dxa"/>
                    <w:left w:w="15" w:type="dxa"/>
                    <w:right w:w="15" w:type="dxa"/>
                  </w:tcMar>
                  <w:vAlign w:val="center"/>
                </w:tcPr>
                <w:p w14:paraId="550E1272">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氨氮</w:t>
                  </w:r>
                </w:p>
              </w:tc>
              <w:tc>
                <w:tcPr>
                  <w:tcW w:w="622" w:type="pct"/>
                  <w:tcBorders>
                    <w:top w:val="single" w:color="000000" w:sz="12" w:space="0"/>
                    <w:left w:val="single" w:color="000000" w:sz="4" w:space="0"/>
                    <w:bottom w:val="single" w:color="000000" w:sz="4" w:space="0"/>
                    <w:right w:val="single" w:color="000000" w:sz="4" w:space="0"/>
                  </w:tcBorders>
                  <w:noWrap w:val="0"/>
                  <w:tcMar>
                    <w:top w:w="15" w:type="dxa"/>
                    <w:left w:w="15" w:type="dxa"/>
                    <w:right w:w="15" w:type="dxa"/>
                  </w:tcMar>
                  <w:vAlign w:val="center"/>
                </w:tcPr>
                <w:p w14:paraId="2FAB7C5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总磷</w:t>
                  </w:r>
                </w:p>
              </w:tc>
              <w:tc>
                <w:tcPr>
                  <w:tcW w:w="799" w:type="pct"/>
                  <w:tcBorders>
                    <w:top w:val="single" w:color="000000" w:sz="12" w:space="0"/>
                    <w:left w:val="single" w:color="000000" w:sz="4" w:space="0"/>
                    <w:bottom w:val="single" w:color="000000" w:sz="4" w:space="0"/>
                    <w:right w:val="single" w:color="000000" w:sz="4" w:space="0"/>
                  </w:tcBorders>
                  <w:noWrap w:val="0"/>
                  <w:tcMar>
                    <w:top w:w="15" w:type="dxa"/>
                    <w:left w:w="15" w:type="dxa"/>
                    <w:right w:w="15" w:type="dxa"/>
                  </w:tcMar>
                  <w:vAlign w:val="center"/>
                </w:tcPr>
                <w:p w14:paraId="2451BF3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总氮</w:t>
                  </w:r>
                </w:p>
              </w:tc>
              <w:tc>
                <w:tcPr>
                  <w:tcW w:w="966" w:type="pct"/>
                  <w:tcBorders>
                    <w:top w:val="single" w:color="000000" w:sz="12" w:space="0"/>
                    <w:left w:val="single" w:color="000000" w:sz="4" w:space="0"/>
                    <w:bottom w:val="single" w:color="000000" w:sz="4" w:space="0"/>
                    <w:right w:val="nil"/>
                  </w:tcBorders>
                  <w:noWrap w:val="0"/>
                  <w:tcMar>
                    <w:top w:w="15" w:type="dxa"/>
                    <w:left w:w="15" w:type="dxa"/>
                    <w:right w:w="15" w:type="dxa"/>
                  </w:tcMar>
                  <w:vAlign w:val="center"/>
                </w:tcPr>
                <w:p w14:paraId="79112E6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高锰酸盐指数</w:t>
                  </w:r>
                </w:p>
              </w:tc>
            </w:tr>
            <w:tr w14:paraId="5EC8AC6D">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13B36C3">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5B8D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16.5</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28B5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1.278</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EF65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0.142</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7469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12.5</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3CCBDE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6.6</w:t>
                  </w:r>
                </w:p>
              </w:tc>
            </w:tr>
            <w:tr w14:paraId="66AFC0AE">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2157616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C804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20.3</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FCC2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1.74</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5D57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0.193</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B3B7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14.1</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68B879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7.2</w:t>
                  </w:r>
                </w:p>
              </w:tc>
            </w:tr>
            <w:tr w14:paraId="7E1DD343">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0EA7DA31">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D075D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18.9</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798A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1.69</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A5794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0.22</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F942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14.2</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43252D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6.9</w:t>
                  </w:r>
                </w:p>
              </w:tc>
            </w:tr>
            <w:tr w14:paraId="6ABB4BB9">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A2A99E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lang w:val="en-US" w:eastAsia="zh-CN" w:bidi="ar"/>
                    </w:rPr>
                    <w:t>202</w:t>
                  </w:r>
                  <w:r>
                    <w:rPr>
                      <w:rFonts w:hint="eastAsia" w:cs="Times New Roman"/>
                      <w:color w:val="auto"/>
                      <w:kern w:val="2"/>
                      <w:sz w:val="21"/>
                      <w:szCs w:val="21"/>
                      <w:lang w:val="en-US" w:eastAsia="zh-CN" w:bidi="ar"/>
                    </w:rPr>
                    <w:t>4</w:t>
                  </w:r>
                  <w:r>
                    <w:rPr>
                      <w:rFonts w:hint="default" w:ascii="Times New Roman" w:hAnsi="Times New Roman" w:eastAsia="宋体" w:cs="Times New Roman"/>
                      <w:color w:val="auto"/>
                      <w:kern w:val="2"/>
                      <w:sz w:val="21"/>
                      <w:szCs w:val="21"/>
                      <w:lang w:val="en-US" w:eastAsia="zh-CN" w:bidi="ar"/>
                    </w:rPr>
                    <w:t>年4周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B5C0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16.9</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128C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1.12</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DD02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0.205</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C949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13.7</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00E2F6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6.8</w:t>
                  </w:r>
                </w:p>
              </w:tc>
            </w:tr>
            <w:tr w14:paraId="5472D667">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B53C16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年5周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C295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19.1</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0F60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0.79</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8CE4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0.178</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56205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13.2</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509B3A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 xml:space="preserve">6.0 </w:t>
                  </w:r>
                </w:p>
              </w:tc>
            </w:tr>
            <w:tr w14:paraId="57D2B2FE">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0D08C28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年6周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8DCF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16.7</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505C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1.374</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65EF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0.197</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D4A9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14.7</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370F78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 xml:space="preserve">6.3 </w:t>
                  </w:r>
                </w:p>
              </w:tc>
            </w:tr>
            <w:tr w14:paraId="0F1D2E79">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4D902F5">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年7周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546A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14.7</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5926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1.73</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F603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0.22</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0A71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15</w:t>
                  </w:r>
                  <w:r>
                    <w:rPr>
                      <w:rFonts w:hint="eastAsia" w:ascii="Times New Roman" w:hAnsi="Times New Roman" w:cs="Times New Roman"/>
                      <w:i w:val="0"/>
                      <w:iCs w:val="0"/>
                      <w:color w:val="auto"/>
                      <w:kern w:val="0"/>
                      <w:sz w:val="21"/>
                      <w:szCs w:val="21"/>
                      <w:u w:val="none"/>
                      <w:lang w:val="en-US" w:eastAsia="zh-CN" w:bidi="ar"/>
                    </w:rPr>
                    <w:t>.0</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3A5946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 xml:space="preserve">5.7 </w:t>
                  </w:r>
                </w:p>
              </w:tc>
            </w:tr>
            <w:tr w14:paraId="33827DCB">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8100E2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年8周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1145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16.3</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057F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1.77</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B215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0.253</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771F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14.9</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7BCBFEE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 xml:space="preserve">6.2 </w:t>
                  </w:r>
                </w:p>
              </w:tc>
            </w:tr>
            <w:tr w14:paraId="0884D527">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928049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年9周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9799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17.2</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7A46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1.562</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EF74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0.229</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9473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15.0</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336777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6.9</w:t>
                  </w:r>
                </w:p>
              </w:tc>
            </w:tr>
            <w:tr w14:paraId="5037BC0C">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EE10F6B">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年10周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ED48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17.6</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075C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1.37</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68FD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0.225</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080A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14.3</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003668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7.3</w:t>
                  </w:r>
                </w:p>
              </w:tc>
            </w:tr>
            <w:tr w14:paraId="2EDDE5AE">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79542C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年11周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F9DF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25.6</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8650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1.142</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2DAC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0.244</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F47F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14.6</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361E63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8.8</w:t>
                  </w:r>
                </w:p>
              </w:tc>
            </w:tr>
            <w:tr w14:paraId="4130B1BF">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451F5C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年12周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90FD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37.1</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3775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0.231</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414D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0.243</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B058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14.8</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7C6CDF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13.3</w:t>
                  </w:r>
                </w:p>
              </w:tc>
            </w:tr>
            <w:tr w14:paraId="39992E32">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3D920C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年13周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7125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33.2</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F7E5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1.04</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745B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0.354</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D4BD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12.3</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6C7D8E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11.0</w:t>
                  </w:r>
                </w:p>
              </w:tc>
            </w:tr>
            <w:tr w14:paraId="6FA8E711">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E6F9B8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年14周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8A35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25.6</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FE9C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0.22</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D0C8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0.199</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5BA6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11.6</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07FD54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7.9</w:t>
                  </w:r>
                </w:p>
              </w:tc>
            </w:tr>
            <w:tr w14:paraId="65B70966">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10CCB4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年15周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E8E5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31.8</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EC89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0.036</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7D2C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0.163</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6D1A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11.0</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197F1D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10.1</w:t>
                  </w:r>
                </w:p>
              </w:tc>
            </w:tr>
            <w:tr w14:paraId="3262B628">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2A5EB12">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年16周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783D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29.7</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BD50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0.122</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8173C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0.176</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0938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10.4</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35D6DA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9.4</w:t>
                  </w:r>
                </w:p>
              </w:tc>
            </w:tr>
            <w:tr w14:paraId="3461A4AB">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05320F45">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年17周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67DD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35.2</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70A5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0.36</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10D5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0.196</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C975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10.1</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40BCC6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11.1</w:t>
                  </w:r>
                </w:p>
              </w:tc>
            </w:tr>
            <w:tr w14:paraId="38CE3F8D">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51274B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年18周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A206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45.8</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0D63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0.27</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1B30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0.332</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D10E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8.8</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52B522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10.5</w:t>
                  </w:r>
                </w:p>
              </w:tc>
            </w:tr>
            <w:tr w14:paraId="3E68ED38">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0CB5C02C">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年19周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78AF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30.3</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B179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0.04</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73E4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0.178</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FE09F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8.5</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728F62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8.3</w:t>
                  </w:r>
                </w:p>
              </w:tc>
            </w:tr>
            <w:tr w14:paraId="65BD15E3">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9F8F79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年20周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218B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26.3</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E92B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0.04</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36AE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0.124</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6913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7.3</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6C9DBA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8.2</w:t>
                  </w:r>
                </w:p>
              </w:tc>
            </w:tr>
            <w:tr w14:paraId="667B470B">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007ACF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年21周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F39160">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rPr>
                  </w:pPr>
                  <w:r>
                    <w:rPr>
                      <w:rFonts w:hint="eastAsia" w:ascii="Times New Roman" w:hAnsi="Times New Roman" w:cs="Times New Roman"/>
                      <w:color w:val="auto"/>
                      <w:kern w:val="0"/>
                      <w:sz w:val="21"/>
                      <w:szCs w:val="21"/>
                      <w:highlight w:val="none"/>
                      <w:lang w:val="en-US" w:eastAsia="zh-CN" w:bidi="ar"/>
                    </w:rPr>
                    <w:t>/</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9D424B">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rPr>
                  </w:pPr>
                  <w:r>
                    <w:rPr>
                      <w:rFonts w:hint="eastAsia" w:ascii="Times New Roman" w:hAnsi="Times New Roman" w:cs="Times New Roman"/>
                      <w:color w:val="auto"/>
                      <w:kern w:val="0"/>
                      <w:sz w:val="21"/>
                      <w:szCs w:val="21"/>
                      <w:highlight w:val="none"/>
                      <w:lang w:val="en-US" w:eastAsia="zh-CN" w:bidi="ar"/>
                    </w:rPr>
                    <w:t>/</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16411B">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rPr>
                  </w:pPr>
                  <w:r>
                    <w:rPr>
                      <w:rFonts w:hint="eastAsia" w:ascii="Times New Roman" w:hAnsi="Times New Roman" w:cs="Times New Roman"/>
                      <w:color w:val="auto"/>
                      <w:kern w:val="0"/>
                      <w:sz w:val="21"/>
                      <w:szCs w:val="21"/>
                      <w:highlight w:val="none"/>
                      <w:lang w:val="en-US" w:eastAsia="zh-CN" w:bidi="ar"/>
                    </w:rPr>
                    <w:t>/</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45DDD4">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rPr>
                  </w:pPr>
                  <w:r>
                    <w:rPr>
                      <w:rFonts w:hint="eastAsia" w:ascii="Times New Roman" w:hAnsi="Times New Roman" w:cs="Times New Roman"/>
                      <w:color w:val="auto"/>
                      <w:kern w:val="0"/>
                      <w:sz w:val="21"/>
                      <w:szCs w:val="21"/>
                      <w:highlight w:val="none"/>
                      <w:lang w:val="en-US" w:eastAsia="zh-CN" w:bidi="ar"/>
                    </w:rPr>
                    <w:t>/</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08A19782">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rPr>
                  </w:pPr>
                  <w:r>
                    <w:rPr>
                      <w:rFonts w:hint="eastAsia" w:ascii="Times New Roman" w:hAnsi="Times New Roman" w:cs="Times New Roman"/>
                      <w:color w:val="auto"/>
                      <w:kern w:val="0"/>
                      <w:sz w:val="21"/>
                      <w:szCs w:val="21"/>
                      <w:highlight w:val="none"/>
                      <w:lang w:val="en-US" w:eastAsia="zh-CN" w:bidi="ar"/>
                    </w:rPr>
                    <w:t>/</w:t>
                  </w:r>
                </w:p>
              </w:tc>
            </w:tr>
            <w:tr w14:paraId="4DE243A7">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1F7230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年22周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BD2E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40.9</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B2CD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0.05</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1A36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0.237</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D04E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5.5</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6EF02B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10.1</w:t>
                  </w:r>
                </w:p>
              </w:tc>
            </w:tr>
            <w:tr w14:paraId="2BC25871">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0E8B1A0C">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年23周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EB31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26.9</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E41D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0.07</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4885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0.142</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DF1A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5.9</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27EBC9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7.5</w:t>
                  </w:r>
                </w:p>
              </w:tc>
            </w:tr>
            <w:tr w14:paraId="3758FC7E">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0F9B7FB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年24周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D1D7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33.6</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A71C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0.06</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10353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0.176</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8A86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5.0</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0D197E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7.9</w:t>
                  </w:r>
                </w:p>
              </w:tc>
            </w:tr>
            <w:tr w14:paraId="548BECEA">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AAEEB2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年25周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C861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38.4</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7F233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0.39</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5F87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0.217</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4473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4.6</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28804B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9.7</w:t>
                  </w:r>
                </w:p>
              </w:tc>
            </w:tr>
            <w:tr w14:paraId="7347B344">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CE0B60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年26周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482F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41.4</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F0CF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0.35</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8046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0.153</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E5B0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6.08</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668FF3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11.5</w:t>
                  </w:r>
                </w:p>
              </w:tc>
            </w:tr>
            <w:tr w14:paraId="57FD5946">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C7F9345">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年27周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A884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50.1</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6FE4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1.252</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DA64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0.37</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CB50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6.29</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230922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9.4</w:t>
                  </w:r>
                </w:p>
              </w:tc>
            </w:tr>
            <w:tr w14:paraId="2CD31E65">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6CEE20C2">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年28周</w:t>
                  </w:r>
                </w:p>
              </w:tc>
              <w:tc>
                <w:tcPr>
                  <w:tcW w:w="64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9CA2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41.4</w:t>
                  </w:r>
                </w:p>
              </w:tc>
              <w:tc>
                <w:tcPr>
                  <w:tcW w:w="71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E858E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1.471</w:t>
                  </w:r>
                </w:p>
              </w:tc>
              <w:tc>
                <w:tcPr>
                  <w:tcW w:w="6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476D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0.48</w:t>
                  </w:r>
                </w:p>
              </w:tc>
              <w:tc>
                <w:tcPr>
                  <w:tcW w:w="79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8810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8.88</w:t>
                  </w:r>
                </w:p>
              </w:tc>
              <w:tc>
                <w:tcPr>
                  <w:tcW w:w="966" w:type="pc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14:paraId="04CF0A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10.1</w:t>
                  </w:r>
                </w:p>
              </w:tc>
            </w:tr>
            <w:tr w14:paraId="47224ABD">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5AEDDD2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年29周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C0B1F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37.7</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5E66CA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1.16</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18D01F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0.557</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0211AE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9.63</w:t>
                  </w:r>
                </w:p>
              </w:tc>
              <w:tc>
                <w:tcPr>
                  <w:tcW w:w="966" w:type="pct"/>
                  <w:tcBorders>
                    <w:top w:val="single" w:color="000000" w:sz="4" w:space="0"/>
                    <w:left w:val="single" w:color="000000" w:sz="4" w:space="0"/>
                    <w:bottom w:val="single" w:color="000000" w:sz="4" w:space="0"/>
                    <w:right w:val="nil"/>
                  </w:tcBorders>
                  <w:noWrap w:val="0"/>
                  <w:vAlign w:val="center"/>
                </w:tcPr>
                <w:p w14:paraId="57F6C1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10.0</w:t>
                  </w:r>
                </w:p>
              </w:tc>
            </w:tr>
            <w:tr w14:paraId="497A144C">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6F86618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年30周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53D6CA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49.2</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5C1652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0.75</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3149F0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0.573</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14B9C6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7.68</w:t>
                  </w:r>
                </w:p>
              </w:tc>
              <w:tc>
                <w:tcPr>
                  <w:tcW w:w="966" w:type="pct"/>
                  <w:tcBorders>
                    <w:top w:val="single" w:color="000000" w:sz="4" w:space="0"/>
                    <w:left w:val="single" w:color="000000" w:sz="4" w:space="0"/>
                    <w:bottom w:val="single" w:color="000000" w:sz="4" w:space="0"/>
                    <w:right w:val="nil"/>
                  </w:tcBorders>
                  <w:noWrap w:val="0"/>
                  <w:vAlign w:val="center"/>
                </w:tcPr>
                <w:p w14:paraId="211ED9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7.9</w:t>
                  </w:r>
                </w:p>
              </w:tc>
            </w:tr>
            <w:tr w14:paraId="1C738396">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708141EA">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年31周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17797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28.3</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00A144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0.385</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5F02C3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0.357</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4D3ECD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8.99</w:t>
                  </w:r>
                </w:p>
              </w:tc>
              <w:tc>
                <w:tcPr>
                  <w:tcW w:w="966" w:type="pct"/>
                  <w:tcBorders>
                    <w:top w:val="single" w:color="000000" w:sz="4" w:space="0"/>
                    <w:left w:val="single" w:color="000000" w:sz="4" w:space="0"/>
                    <w:bottom w:val="single" w:color="000000" w:sz="4" w:space="0"/>
                    <w:right w:val="nil"/>
                  </w:tcBorders>
                  <w:noWrap w:val="0"/>
                  <w:vAlign w:val="center"/>
                </w:tcPr>
                <w:p w14:paraId="4A4BB4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7.8</w:t>
                  </w:r>
                </w:p>
              </w:tc>
            </w:tr>
            <w:tr w14:paraId="41633A44">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17FFB98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年32周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0CAF57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28.0</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143310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0.775</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4DFAAB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0.411</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579065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10.0</w:t>
                  </w:r>
                </w:p>
              </w:tc>
              <w:tc>
                <w:tcPr>
                  <w:tcW w:w="966" w:type="pct"/>
                  <w:tcBorders>
                    <w:top w:val="single" w:color="000000" w:sz="4" w:space="0"/>
                    <w:left w:val="single" w:color="000000" w:sz="4" w:space="0"/>
                    <w:bottom w:val="single" w:color="000000" w:sz="4" w:space="0"/>
                    <w:right w:val="nil"/>
                  </w:tcBorders>
                  <w:noWrap w:val="0"/>
                  <w:vAlign w:val="center"/>
                </w:tcPr>
                <w:p w14:paraId="55F174C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8.0</w:t>
                  </w:r>
                </w:p>
              </w:tc>
            </w:tr>
            <w:tr w14:paraId="24A4A350">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4189D90A">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年33周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6C422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16.9</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0B0D09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1.934</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45498D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0.456</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71F3F0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11.9</w:t>
                  </w:r>
                </w:p>
              </w:tc>
              <w:tc>
                <w:tcPr>
                  <w:tcW w:w="966" w:type="pct"/>
                  <w:tcBorders>
                    <w:top w:val="single" w:color="000000" w:sz="4" w:space="0"/>
                    <w:left w:val="single" w:color="000000" w:sz="4" w:space="0"/>
                    <w:bottom w:val="single" w:color="000000" w:sz="4" w:space="0"/>
                    <w:right w:val="nil"/>
                  </w:tcBorders>
                  <w:noWrap w:val="0"/>
                  <w:vAlign w:val="center"/>
                </w:tcPr>
                <w:p w14:paraId="5D42EE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8.2</w:t>
                  </w:r>
                </w:p>
              </w:tc>
            </w:tr>
            <w:tr w14:paraId="28DC0D18">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673B491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年34周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0781DA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31.8</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330C21F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1.390</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252BFE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0.549</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06A76BA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11.6</w:t>
                  </w:r>
                </w:p>
              </w:tc>
              <w:tc>
                <w:tcPr>
                  <w:tcW w:w="966" w:type="pct"/>
                  <w:tcBorders>
                    <w:top w:val="single" w:color="000000" w:sz="4" w:space="0"/>
                    <w:left w:val="single" w:color="000000" w:sz="4" w:space="0"/>
                    <w:bottom w:val="single" w:color="000000" w:sz="4" w:space="0"/>
                    <w:right w:val="nil"/>
                  </w:tcBorders>
                  <w:noWrap w:val="0"/>
                  <w:vAlign w:val="center"/>
                </w:tcPr>
                <w:p w14:paraId="0BEE04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9.7</w:t>
                  </w:r>
                </w:p>
              </w:tc>
            </w:tr>
            <w:tr w14:paraId="2A30360D">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4A22D393">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年35周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F5405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32.0</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73949B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1.160</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42900F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0.551</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7DA500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10.5</w:t>
                  </w:r>
                </w:p>
              </w:tc>
              <w:tc>
                <w:tcPr>
                  <w:tcW w:w="966" w:type="pct"/>
                  <w:tcBorders>
                    <w:top w:val="single" w:color="000000" w:sz="4" w:space="0"/>
                    <w:left w:val="single" w:color="000000" w:sz="4" w:space="0"/>
                    <w:bottom w:val="single" w:color="000000" w:sz="4" w:space="0"/>
                    <w:right w:val="nil"/>
                  </w:tcBorders>
                  <w:noWrap w:val="0"/>
                  <w:vAlign w:val="center"/>
                </w:tcPr>
                <w:p w14:paraId="23A2B7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8.3</w:t>
                  </w:r>
                </w:p>
              </w:tc>
            </w:tr>
            <w:tr w14:paraId="21DBFE96">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27849D4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年36周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64124E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28.1</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43D46C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0.288</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606343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0.407</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0BFB4F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10.2</w:t>
                  </w:r>
                </w:p>
              </w:tc>
              <w:tc>
                <w:tcPr>
                  <w:tcW w:w="966" w:type="pct"/>
                  <w:tcBorders>
                    <w:top w:val="single" w:color="000000" w:sz="4" w:space="0"/>
                    <w:left w:val="single" w:color="000000" w:sz="4" w:space="0"/>
                    <w:bottom w:val="single" w:color="000000" w:sz="4" w:space="0"/>
                    <w:right w:val="nil"/>
                  </w:tcBorders>
                  <w:noWrap w:val="0"/>
                  <w:vAlign w:val="center"/>
                </w:tcPr>
                <w:p w14:paraId="64605C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7.2</w:t>
                  </w:r>
                </w:p>
              </w:tc>
            </w:tr>
            <w:tr w14:paraId="3545E9C2">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0AC0C0F2">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年37周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6E0D9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30.0</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04FD36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1.899</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2811ED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0.596</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51F570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10.9</w:t>
                  </w:r>
                </w:p>
              </w:tc>
              <w:tc>
                <w:tcPr>
                  <w:tcW w:w="966" w:type="pct"/>
                  <w:tcBorders>
                    <w:top w:val="single" w:color="000000" w:sz="4" w:space="0"/>
                    <w:left w:val="single" w:color="000000" w:sz="4" w:space="0"/>
                    <w:bottom w:val="single" w:color="000000" w:sz="4" w:space="0"/>
                    <w:right w:val="nil"/>
                  </w:tcBorders>
                  <w:noWrap w:val="0"/>
                  <w:vAlign w:val="center"/>
                </w:tcPr>
                <w:p w14:paraId="0D8274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9.6</w:t>
                  </w:r>
                </w:p>
              </w:tc>
            </w:tr>
            <w:tr w14:paraId="06A67566">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4CB33085">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年38周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2B17DDB3">
                  <w:pPr>
                    <w:pStyle w:val="23"/>
                    <w:keepNext w:val="0"/>
                    <w:keepLines w:val="0"/>
                    <w:widowControl w:val="0"/>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yellow"/>
                    </w:rPr>
                  </w:pPr>
                  <w:r>
                    <w:rPr>
                      <w:rFonts w:hint="eastAsia" w:ascii="Times New Roman" w:hAnsi="Times New Roman" w:cs="Times New Roman"/>
                      <w:color w:val="auto"/>
                      <w:kern w:val="0"/>
                      <w:sz w:val="21"/>
                      <w:szCs w:val="21"/>
                      <w:highlight w:val="none"/>
                      <w:lang w:val="en-US" w:eastAsia="zh-CN" w:bidi="ar"/>
                    </w:rPr>
                    <w:t>/</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2C12790F">
                  <w:pPr>
                    <w:pStyle w:val="23"/>
                    <w:keepNext w:val="0"/>
                    <w:keepLines w:val="0"/>
                    <w:widowControl w:val="0"/>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yellow"/>
                    </w:rPr>
                  </w:pPr>
                  <w:r>
                    <w:rPr>
                      <w:rFonts w:hint="eastAsia" w:ascii="Times New Roman" w:hAnsi="Times New Roman" w:cs="Times New Roman"/>
                      <w:color w:val="auto"/>
                      <w:kern w:val="0"/>
                      <w:sz w:val="21"/>
                      <w:szCs w:val="21"/>
                      <w:highlight w:val="none"/>
                      <w:lang w:val="en-US" w:eastAsia="zh-CN" w:bidi="ar"/>
                    </w:rPr>
                    <w:t>/</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0CBE6E38">
                  <w:pPr>
                    <w:pStyle w:val="23"/>
                    <w:keepNext w:val="0"/>
                    <w:keepLines w:val="0"/>
                    <w:widowControl w:val="0"/>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yellow"/>
                    </w:rPr>
                  </w:pPr>
                  <w:r>
                    <w:rPr>
                      <w:rFonts w:hint="eastAsia" w:ascii="Times New Roman" w:hAnsi="Times New Roman" w:cs="Times New Roman"/>
                      <w:color w:val="auto"/>
                      <w:kern w:val="0"/>
                      <w:sz w:val="21"/>
                      <w:szCs w:val="21"/>
                      <w:highlight w:val="none"/>
                      <w:lang w:val="en-US" w:eastAsia="zh-CN" w:bidi="ar"/>
                    </w:rPr>
                    <w:t>/</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202AE80E">
                  <w:pPr>
                    <w:pStyle w:val="23"/>
                    <w:keepNext w:val="0"/>
                    <w:keepLines w:val="0"/>
                    <w:widowControl w:val="0"/>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yellow"/>
                    </w:rPr>
                  </w:pPr>
                  <w:r>
                    <w:rPr>
                      <w:rFonts w:hint="eastAsia" w:ascii="Times New Roman" w:hAnsi="Times New Roman" w:cs="Times New Roman"/>
                      <w:color w:val="auto"/>
                      <w:kern w:val="0"/>
                      <w:sz w:val="21"/>
                      <w:szCs w:val="21"/>
                      <w:highlight w:val="none"/>
                      <w:lang w:val="en-US" w:eastAsia="zh-CN" w:bidi="ar"/>
                    </w:rPr>
                    <w:t>/</w:t>
                  </w:r>
                </w:p>
              </w:tc>
              <w:tc>
                <w:tcPr>
                  <w:tcW w:w="966" w:type="pct"/>
                  <w:tcBorders>
                    <w:top w:val="single" w:color="000000" w:sz="4" w:space="0"/>
                    <w:left w:val="single" w:color="000000" w:sz="4" w:space="0"/>
                    <w:bottom w:val="single" w:color="000000" w:sz="4" w:space="0"/>
                    <w:right w:val="nil"/>
                  </w:tcBorders>
                  <w:noWrap w:val="0"/>
                  <w:vAlign w:val="center"/>
                </w:tcPr>
                <w:p w14:paraId="5E7841DA">
                  <w:pPr>
                    <w:pStyle w:val="23"/>
                    <w:keepNext w:val="0"/>
                    <w:keepLines w:val="0"/>
                    <w:widowControl w:val="0"/>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yellow"/>
                    </w:rPr>
                  </w:pPr>
                  <w:r>
                    <w:rPr>
                      <w:rFonts w:hint="eastAsia" w:ascii="Times New Roman" w:hAnsi="Times New Roman" w:cs="Times New Roman"/>
                      <w:color w:val="auto"/>
                      <w:kern w:val="0"/>
                      <w:sz w:val="21"/>
                      <w:szCs w:val="21"/>
                      <w:highlight w:val="none"/>
                      <w:lang w:val="en-US" w:eastAsia="zh-CN" w:bidi="ar"/>
                    </w:rPr>
                    <w:t>/</w:t>
                  </w:r>
                </w:p>
              </w:tc>
            </w:tr>
            <w:tr w14:paraId="43615038">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07D0E35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年39周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2A3052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27.8</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0CB6AC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0.790</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0A52832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0.352</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6F33F9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8.60</w:t>
                  </w:r>
                </w:p>
              </w:tc>
              <w:tc>
                <w:tcPr>
                  <w:tcW w:w="966" w:type="pct"/>
                  <w:tcBorders>
                    <w:top w:val="single" w:color="000000" w:sz="4" w:space="0"/>
                    <w:left w:val="single" w:color="000000" w:sz="4" w:space="0"/>
                    <w:bottom w:val="single" w:color="000000" w:sz="4" w:space="0"/>
                    <w:right w:val="nil"/>
                  </w:tcBorders>
                  <w:noWrap w:val="0"/>
                  <w:vAlign w:val="center"/>
                </w:tcPr>
                <w:p w14:paraId="0A7A7F7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10.1</w:t>
                  </w:r>
                </w:p>
              </w:tc>
            </w:tr>
            <w:tr w14:paraId="1AF8957C">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7C695AD3">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年40周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5B935B5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22.4</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28B339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1.687</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4A9AEB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0.365</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54A7F8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8.66</w:t>
                  </w:r>
                </w:p>
              </w:tc>
              <w:tc>
                <w:tcPr>
                  <w:tcW w:w="966" w:type="pct"/>
                  <w:tcBorders>
                    <w:top w:val="single" w:color="000000" w:sz="4" w:space="0"/>
                    <w:left w:val="single" w:color="000000" w:sz="4" w:space="0"/>
                    <w:bottom w:val="single" w:color="000000" w:sz="4" w:space="0"/>
                    <w:right w:val="nil"/>
                  </w:tcBorders>
                  <w:noWrap w:val="0"/>
                  <w:vAlign w:val="center"/>
                </w:tcPr>
                <w:p w14:paraId="064F43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8.8</w:t>
                  </w:r>
                </w:p>
              </w:tc>
            </w:tr>
            <w:tr w14:paraId="7BA22A2A">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1ADC2E92">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年41周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3D6AA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23.1</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3E5DB8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0.394</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7EA5E4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0.244</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1012B6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8.04</w:t>
                  </w:r>
                </w:p>
              </w:tc>
              <w:tc>
                <w:tcPr>
                  <w:tcW w:w="966" w:type="pct"/>
                  <w:tcBorders>
                    <w:top w:val="single" w:color="000000" w:sz="4" w:space="0"/>
                    <w:left w:val="single" w:color="000000" w:sz="4" w:space="0"/>
                    <w:bottom w:val="single" w:color="000000" w:sz="4" w:space="0"/>
                    <w:right w:val="nil"/>
                  </w:tcBorders>
                  <w:noWrap w:val="0"/>
                  <w:vAlign w:val="center"/>
                </w:tcPr>
                <w:p w14:paraId="7A0430E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8.8</w:t>
                  </w:r>
                </w:p>
              </w:tc>
            </w:tr>
            <w:tr w14:paraId="7979F3B5">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15EB439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年42周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08D72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28.0</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77686A0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1.350</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3519E7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0.491</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556E2E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9.85</w:t>
                  </w:r>
                </w:p>
              </w:tc>
              <w:tc>
                <w:tcPr>
                  <w:tcW w:w="966" w:type="pct"/>
                  <w:tcBorders>
                    <w:top w:val="single" w:color="000000" w:sz="4" w:space="0"/>
                    <w:left w:val="single" w:color="000000" w:sz="4" w:space="0"/>
                    <w:bottom w:val="single" w:color="000000" w:sz="4" w:space="0"/>
                    <w:right w:val="nil"/>
                  </w:tcBorders>
                  <w:noWrap w:val="0"/>
                  <w:vAlign w:val="center"/>
                </w:tcPr>
                <w:p w14:paraId="4CCDDF5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10.2</w:t>
                  </w:r>
                </w:p>
              </w:tc>
            </w:tr>
            <w:tr w14:paraId="64348B5E">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20170F9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年43周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03A47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22.7</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474CBA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1.1</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622021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471045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9.0</w:t>
                  </w:r>
                </w:p>
              </w:tc>
              <w:tc>
                <w:tcPr>
                  <w:tcW w:w="966" w:type="pct"/>
                  <w:tcBorders>
                    <w:top w:val="single" w:color="000000" w:sz="4" w:space="0"/>
                    <w:left w:val="single" w:color="000000" w:sz="4" w:space="0"/>
                    <w:bottom w:val="single" w:color="000000" w:sz="4" w:space="0"/>
                    <w:right w:val="nil"/>
                  </w:tcBorders>
                  <w:noWrap w:val="0"/>
                  <w:vAlign w:val="center"/>
                </w:tcPr>
                <w:p w14:paraId="76098B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8.7</w:t>
                  </w:r>
                </w:p>
              </w:tc>
            </w:tr>
            <w:tr w14:paraId="072DCD7A">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7E4FEC5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年44周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5E5592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24.9</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22D0B1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0.656</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506832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0.312</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3FB145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8.54</w:t>
                  </w:r>
                </w:p>
              </w:tc>
              <w:tc>
                <w:tcPr>
                  <w:tcW w:w="966" w:type="pct"/>
                  <w:tcBorders>
                    <w:top w:val="single" w:color="000000" w:sz="4" w:space="0"/>
                    <w:left w:val="single" w:color="000000" w:sz="4" w:space="0"/>
                    <w:bottom w:val="single" w:color="000000" w:sz="4" w:space="0"/>
                    <w:right w:val="nil"/>
                  </w:tcBorders>
                  <w:noWrap w:val="0"/>
                  <w:vAlign w:val="center"/>
                </w:tcPr>
                <w:p w14:paraId="52F9EA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9.2</w:t>
                  </w:r>
                </w:p>
              </w:tc>
            </w:tr>
            <w:tr w14:paraId="136169D4">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0907899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年45周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085F46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20.0</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3C305C8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0.550</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2F9734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0.421</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246085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9.40</w:t>
                  </w:r>
                </w:p>
              </w:tc>
              <w:tc>
                <w:tcPr>
                  <w:tcW w:w="966" w:type="pct"/>
                  <w:tcBorders>
                    <w:top w:val="single" w:color="000000" w:sz="4" w:space="0"/>
                    <w:left w:val="single" w:color="000000" w:sz="4" w:space="0"/>
                    <w:bottom w:val="single" w:color="000000" w:sz="4" w:space="0"/>
                    <w:right w:val="nil"/>
                  </w:tcBorders>
                  <w:noWrap w:val="0"/>
                  <w:vAlign w:val="center"/>
                </w:tcPr>
                <w:p w14:paraId="60CF766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6.8</w:t>
                  </w:r>
                </w:p>
              </w:tc>
            </w:tr>
            <w:tr w14:paraId="34FB6BBC">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205F39D8">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年46周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788FFE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20.0</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5A87909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0.550</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05C1D3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0.421</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198BA6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9.40</w:t>
                  </w:r>
                </w:p>
              </w:tc>
              <w:tc>
                <w:tcPr>
                  <w:tcW w:w="966" w:type="pct"/>
                  <w:tcBorders>
                    <w:top w:val="single" w:color="000000" w:sz="4" w:space="0"/>
                    <w:left w:val="single" w:color="000000" w:sz="4" w:space="0"/>
                    <w:bottom w:val="single" w:color="000000" w:sz="4" w:space="0"/>
                    <w:right w:val="nil"/>
                  </w:tcBorders>
                  <w:noWrap w:val="0"/>
                  <w:vAlign w:val="center"/>
                </w:tcPr>
                <w:p w14:paraId="342D3C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6.8</w:t>
                  </w:r>
                </w:p>
              </w:tc>
            </w:tr>
            <w:tr w14:paraId="3F67255F">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26891EF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年47周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6A897C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15.1</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098A53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0.855</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111FEA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0.300</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05E7BC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966" w:type="pct"/>
                  <w:tcBorders>
                    <w:top w:val="single" w:color="000000" w:sz="4" w:space="0"/>
                    <w:left w:val="single" w:color="000000" w:sz="4" w:space="0"/>
                    <w:bottom w:val="single" w:color="000000" w:sz="4" w:space="0"/>
                    <w:right w:val="nil"/>
                  </w:tcBorders>
                  <w:noWrap w:val="0"/>
                  <w:vAlign w:val="center"/>
                </w:tcPr>
                <w:p w14:paraId="5C62B9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3.4</w:t>
                  </w:r>
                </w:p>
              </w:tc>
            </w:tr>
            <w:tr w14:paraId="3EB52C75">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675EDBB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年48周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168463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15.1</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4EA7BF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0.855</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78ADC50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0.300</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7838F9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966" w:type="pct"/>
                  <w:tcBorders>
                    <w:top w:val="single" w:color="000000" w:sz="4" w:space="0"/>
                    <w:left w:val="single" w:color="000000" w:sz="4" w:space="0"/>
                    <w:bottom w:val="single" w:color="000000" w:sz="4" w:space="0"/>
                    <w:right w:val="nil"/>
                  </w:tcBorders>
                  <w:noWrap w:val="0"/>
                  <w:vAlign w:val="center"/>
                </w:tcPr>
                <w:p w14:paraId="211FB0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3.4</w:t>
                  </w:r>
                </w:p>
              </w:tc>
            </w:tr>
            <w:tr w14:paraId="4C1C607A">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10397E7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年49周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0EB449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17.6</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06C87C9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1.390</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55C554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0.252</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3536E0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966" w:type="pct"/>
                  <w:tcBorders>
                    <w:top w:val="single" w:color="000000" w:sz="4" w:space="0"/>
                    <w:left w:val="single" w:color="000000" w:sz="4" w:space="0"/>
                    <w:bottom w:val="single" w:color="000000" w:sz="4" w:space="0"/>
                    <w:right w:val="nil"/>
                  </w:tcBorders>
                  <w:noWrap w:val="0"/>
                  <w:vAlign w:val="center"/>
                </w:tcPr>
                <w:p w14:paraId="184577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1.4</w:t>
                  </w:r>
                </w:p>
              </w:tc>
            </w:tr>
            <w:tr w14:paraId="0902DA37">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521A932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年50周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E1566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19.7</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53287A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1.86</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71F5DCA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0.368</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61ABB7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10.40</w:t>
                  </w:r>
                </w:p>
              </w:tc>
              <w:tc>
                <w:tcPr>
                  <w:tcW w:w="966" w:type="pct"/>
                  <w:tcBorders>
                    <w:top w:val="single" w:color="000000" w:sz="4" w:space="0"/>
                    <w:left w:val="single" w:color="000000" w:sz="4" w:space="0"/>
                    <w:bottom w:val="single" w:color="000000" w:sz="4" w:space="0"/>
                    <w:right w:val="nil"/>
                  </w:tcBorders>
                  <w:noWrap w:val="0"/>
                  <w:vAlign w:val="center"/>
                </w:tcPr>
                <w:p w14:paraId="6DAE3B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2.2</w:t>
                  </w:r>
                </w:p>
              </w:tc>
            </w:tr>
            <w:tr w14:paraId="065C6F20">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10DDE29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年51周</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2AEC677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20.2</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7F84DF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2.79</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5533137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0.573</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23BE9D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12.09</w:t>
                  </w:r>
                </w:p>
              </w:tc>
              <w:tc>
                <w:tcPr>
                  <w:tcW w:w="966" w:type="pct"/>
                  <w:tcBorders>
                    <w:top w:val="single" w:color="000000" w:sz="4" w:space="0"/>
                    <w:left w:val="single" w:color="000000" w:sz="4" w:space="0"/>
                    <w:bottom w:val="single" w:color="000000" w:sz="4" w:space="0"/>
                    <w:right w:val="nil"/>
                  </w:tcBorders>
                  <w:noWrap w:val="0"/>
                  <w:vAlign w:val="center"/>
                </w:tcPr>
                <w:p w14:paraId="0C058F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3.0</w:t>
                  </w:r>
                </w:p>
              </w:tc>
            </w:tr>
            <w:tr w14:paraId="1D27C4B8">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auto" w:sz="4" w:space="0"/>
                    <w:right w:val="single" w:color="000000" w:sz="4" w:space="0"/>
                  </w:tcBorders>
                  <w:noWrap w:val="0"/>
                  <w:vAlign w:val="center"/>
                </w:tcPr>
                <w:p w14:paraId="117EE011">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cs="Times New Roman"/>
                      <w:color w:val="auto"/>
                      <w:kern w:val="2"/>
                      <w:sz w:val="21"/>
                      <w:szCs w:val="21"/>
                      <w:lang w:val="en-US" w:eastAsia="zh-CN" w:bidi="ar"/>
                    </w:rPr>
                    <w:t>2024</w:t>
                  </w:r>
                  <w:r>
                    <w:rPr>
                      <w:rFonts w:hint="default" w:ascii="Times New Roman" w:hAnsi="Times New Roman" w:eastAsia="宋体" w:cs="Times New Roman"/>
                      <w:color w:val="auto"/>
                      <w:kern w:val="2"/>
                      <w:sz w:val="21"/>
                      <w:szCs w:val="21"/>
                      <w:lang w:val="en-US" w:eastAsia="zh-CN" w:bidi="ar"/>
                    </w:rPr>
                    <w:t>年52周</w:t>
                  </w:r>
                </w:p>
              </w:tc>
              <w:tc>
                <w:tcPr>
                  <w:tcW w:w="649" w:type="pct"/>
                  <w:tcBorders>
                    <w:top w:val="single" w:color="000000" w:sz="4" w:space="0"/>
                    <w:left w:val="single" w:color="000000" w:sz="4" w:space="0"/>
                    <w:bottom w:val="single" w:color="auto" w:sz="4" w:space="0"/>
                    <w:right w:val="single" w:color="000000" w:sz="4" w:space="0"/>
                  </w:tcBorders>
                  <w:noWrap w:val="0"/>
                  <w:vAlign w:val="center"/>
                </w:tcPr>
                <w:p w14:paraId="1D3186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16.2</w:t>
                  </w:r>
                </w:p>
              </w:tc>
              <w:tc>
                <w:tcPr>
                  <w:tcW w:w="711" w:type="pct"/>
                  <w:tcBorders>
                    <w:top w:val="single" w:color="000000" w:sz="4" w:space="0"/>
                    <w:left w:val="single" w:color="000000" w:sz="4" w:space="0"/>
                    <w:bottom w:val="single" w:color="auto" w:sz="4" w:space="0"/>
                    <w:right w:val="single" w:color="000000" w:sz="4" w:space="0"/>
                  </w:tcBorders>
                  <w:noWrap w:val="0"/>
                  <w:vAlign w:val="center"/>
                </w:tcPr>
                <w:p w14:paraId="4FED45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1.26</w:t>
                  </w:r>
                </w:p>
              </w:tc>
              <w:tc>
                <w:tcPr>
                  <w:tcW w:w="622" w:type="pct"/>
                  <w:tcBorders>
                    <w:top w:val="single" w:color="000000" w:sz="4" w:space="0"/>
                    <w:left w:val="single" w:color="000000" w:sz="4" w:space="0"/>
                    <w:bottom w:val="single" w:color="auto" w:sz="4" w:space="0"/>
                    <w:right w:val="single" w:color="000000" w:sz="4" w:space="0"/>
                  </w:tcBorders>
                  <w:noWrap w:val="0"/>
                  <w:vAlign w:val="center"/>
                </w:tcPr>
                <w:p w14:paraId="5A695D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0.246</w:t>
                  </w:r>
                </w:p>
              </w:tc>
              <w:tc>
                <w:tcPr>
                  <w:tcW w:w="799" w:type="pct"/>
                  <w:tcBorders>
                    <w:top w:val="single" w:color="000000" w:sz="4" w:space="0"/>
                    <w:left w:val="single" w:color="000000" w:sz="4" w:space="0"/>
                    <w:bottom w:val="single" w:color="auto" w:sz="4" w:space="0"/>
                    <w:right w:val="single" w:color="000000" w:sz="4" w:space="0"/>
                  </w:tcBorders>
                  <w:noWrap w:val="0"/>
                  <w:vAlign w:val="center"/>
                </w:tcPr>
                <w:p w14:paraId="4B2C5B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9.94</w:t>
                  </w:r>
                </w:p>
              </w:tc>
              <w:tc>
                <w:tcPr>
                  <w:tcW w:w="966" w:type="pct"/>
                  <w:tcBorders>
                    <w:top w:val="single" w:color="000000" w:sz="4" w:space="0"/>
                    <w:left w:val="single" w:color="000000" w:sz="4" w:space="0"/>
                    <w:bottom w:val="single" w:color="auto" w:sz="4" w:space="0"/>
                    <w:right w:val="nil"/>
                  </w:tcBorders>
                  <w:noWrap w:val="0"/>
                  <w:vAlign w:val="center"/>
                </w:tcPr>
                <w:p w14:paraId="616C8FFE">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w:t>
                  </w:r>
                </w:p>
              </w:tc>
            </w:tr>
            <w:tr w14:paraId="449EC5CD">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4" w:space="0"/>
                    <w:right w:val="single" w:color="000000" w:sz="4" w:space="0"/>
                  </w:tcBorders>
                  <w:noWrap w:val="0"/>
                  <w:vAlign w:val="center"/>
                </w:tcPr>
                <w:p w14:paraId="61F42177">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年均值</w:t>
                  </w:r>
                </w:p>
              </w:tc>
              <w:tc>
                <w:tcPr>
                  <w:tcW w:w="649" w:type="pct"/>
                  <w:tcBorders>
                    <w:top w:val="single" w:color="000000" w:sz="4" w:space="0"/>
                    <w:left w:val="single" w:color="000000" w:sz="4" w:space="0"/>
                    <w:bottom w:val="single" w:color="000000" w:sz="4" w:space="0"/>
                    <w:right w:val="single" w:color="000000" w:sz="4" w:space="0"/>
                  </w:tcBorders>
                  <w:noWrap w:val="0"/>
                  <w:vAlign w:val="center"/>
                </w:tcPr>
                <w:p w14:paraId="348F61FD">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cs="Times New Roman"/>
                      <w:color w:val="auto"/>
                      <w:kern w:val="0"/>
                      <w:sz w:val="21"/>
                      <w:szCs w:val="21"/>
                      <w:lang w:val="en-US" w:eastAsia="zh-CN" w:bidi="ar"/>
                    </w:rPr>
                    <w:t>25.8</w:t>
                  </w:r>
                </w:p>
              </w:tc>
              <w:tc>
                <w:tcPr>
                  <w:tcW w:w="711" w:type="pct"/>
                  <w:tcBorders>
                    <w:top w:val="single" w:color="000000" w:sz="4" w:space="0"/>
                    <w:left w:val="single" w:color="000000" w:sz="4" w:space="0"/>
                    <w:bottom w:val="single" w:color="000000" w:sz="4" w:space="0"/>
                    <w:right w:val="single" w:color="000000" w:sz="4" w:space="0"/>
                  </w:tcBorders>
                  <w:noWrap w:val="0"/>
                  <w:vAlign w:val="center"/>
                </w:tcPr>
                <w:p w14:paraId="7CDCAB8A">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cs="Times New Roman"/>
                      <w:color w:val="auto"/>
                      <w:kern w:val="0"/>
                      <w:sz w:val="21"/>
                      <w:szCs w:val="21"/>
                      <w:lang w:val="en-US" w:eastAsia="zh-CN" w:bidi="ar"/>
                    </w:rPr>
                    <w:t>0.91</w:t>
                  </w:r>
                </w:p>
              </w:tc>
              <w:tc>
                <w:tcPr>
                  <w:tcW w:w="622" w:type="pct"/>
                  <w:tcBorders>
                    <w:top w:val="single" w:color="000000" w:sz="4" w:space="0"/>
                    <w:left w:val="single" w:color="000000" w:sz="4" w:space="0"/>
                    <w:bottom w:val="single" w:color="000000" w:sz="4" w:space="0"/>
                    <w:right w:val="single" w:color="000000" w:sz="4" w:space="0"/>
                  </w:tcBorders>
                  <w:noWrap w:val="0"/>
                  <w:vAlign w:val="center"/>
                </w:tcPr>
                <w:p w14:paraId="0D4692EB">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cs="Times New Roman"/>
                      <w:color w:val="auto"/>
                      <w:kern w:val="0"/>
                      <w:sz w:val="21"/>
                      <w:szCs w:val="21"/>
                      <w:lang w:val="en-US" w:eastAsia="zh-CN" w:bidi="ar"/>
                    </w:rPr>
                    <w:t>0.30</w:t>
                  </w:r>
                </w:p>
              </w:tc>
              <w:tc>
                <w:tcPr>
                  <w:tcW w:w="799" w:type="pct"/>
                  <w:tcBorders>
                    <w:top w:val="single" w:color="000000" w:sz="4" w:space="0"/>
                    <w:left w:val="single" w:color="000000" w:sz="4" w:space="0"/>
                    <w:bottom w:val="single" w:color="000000" w:sz="4" w:space="0"/>
                    <w:right w:val="single" w:color="000000" w:sz="4" w:space="0"/>
                  </w:tcBorders>
                  <w:noWrap w:val="0"/>
                  <w:vAlign w:val="center"/>
                </w:tcPr>
                <w:p w14:paraId="36D32CB8">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cs="Times New Roman"/>
                      <w:color w:val="auto"/>
                      <w:kern w:val="0"/>
                      <w:sz w:val="21"/>
                      <w:szCs w:val="21"/>
                      <w:lang w:val="en-US" w:eastAsia="zh-CN" w:bidi="ar"/>
                    </w:rPr>
                    <w:t>9.97</w:t>
                  </w:r>
                </w:p>
              </w:tc>
              <w:tc>
                <w:tcPr>
                  <w:tcW w:w="966" w:type="pct"/>
                  <w:tcBorders>
                    <w:top w:val="single" w:color="000000" w:sz="4" w:space="0"/>
                    <w:left w:val="single" w:color="000000" w:sz="4" w:space="0"/>
                    <w:bottom w:val="single" w:color="000000" w:sz="4" w:space="0"/>
                    <w:right w:val="nil"/>
                  </w:tcBorders>
                  <w:noWrap w:val="0"/>
                  <w:vAlign w:val="center"/>
                </w:tcPr>
                <w:p w14:paraId="37C74888">
                  <w:pPr>
                    <w:pStyle w:val="23"/>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lang w:val="en-US"/>
                    </w:rPr>
                  </w:pPr>
                  <w:r>
                    <w:rPr>
                      <w:rFonts w:hint="eastAsia" w:ascii="Times New Roman" w:hAnsi="Times New Roman" w:cs="Times New Roman"/>
                      <w:color w:val="auto"/>
                      <w:kern w:val="0"/>
                      <w:sz w:val="21"/>
                      <w:szCs w:val="21"/>
                      <w:lang w:val="en-US" w:eastAsia="zh-CN" w:bidi="ar"/>
                    </w:rPr>
                    <w:t>7.50</w:t>
                  </w:r>
                </w:p>
              </w:tc>
            </w:tr>
            <w:tr w14:paraId="0D249A9A">
              <w:tblPrEx>
                <w:tblBorders>
                  <w:top w:val="single" w:color="000000" w:sz="12" w:space="0"/>
                  <w:left w:val="none" w:color="auto" w:sz="6" w:space="0"/>
                  <w:bottom w:val="single" w:color="000000" w:sz="12" w:space="0"/>
                  <w:right w:val="none" w:color="auto" w:sz="6" w:space="0"/>
                  <w:insideH w:val="single" w:color="000000" w:sz="4" w:space="0"/>
                  <w:insideV w:val="single" w:color="000000" w:sz="4" w:space="0"/>
                </w:tblBorders>
                <w:tblCellMar>
                  <w:top w:w="0" w:type="dxa"/>
                  <w:left w:w="0" w:type="dxa"/>
                  <w:bottom w:w="0" w:type="dxa"/>
                  <w:right w:w="0" w:type="dxa"/>
                </w:tblCellMar>
              </w:tblPrEx>
              <w:trPr>
                <w:cantSplit/>
                <w:trHeight w:val="283" w:hRule="atLeast"/>
                <w:jc w:val="center"/>
              </w:trPr>
              <w:tc>
                <w:tcPr>
                  <w:tcW w:w="1250" w:type="pct"/>
                  <w:tcBorders>
                    <w:top w:val="single" w:color="000000" w:sz="4" w:space="0"/>
                    <w:left w:val="nil"/>
                    <w:bottom w:val="single" w:color="000000" w:sz="12" w:space="0"/>
                    <w:right w:val="single" w:color="000000" w:sz="4" w:space="0"/>
                  </w:tcBorders>
                  <w:noWrap w:val="0"/>
                  <w:vAlign w:val="center"/>
                </w:tcPr>
                <w:p w14:paraId="610AB42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lang w:val="en-US" w:eastAsia="zh-CN" w:bidi="ar"/>
                    </w:rPr>
                    <w:t>Ⅴ</w:t>
                  </w:r>
                  <w:r>
                    <w:rPr>
                      <w:rFonts w:hint="default" w:ascii="Times New Roman" w:hAnsi="Times New Roman" w:eastAsia="宋体" w:cs="Times New Roman"/>
                      <w:color w:val="auto"/>
                      <w:kern w:val="2"/>
                      <w:sz w:val="21"/>
                      <w:szCs w:val="21"/>
                      <w:lang w:val="en-US" w:eastAsia="zh-CN" w:bidi="ar"/>
                    </w:rPr>
                    <w:t>类水质指标</w:t>
                  </w:r>
                </w:p>
              </w:tc>
              <w:tc>
                <w:tcPr>
                  <w:tcW w:w="649" w:type="pct"/>
                  <w:tcBorders>
                    <w:top w:val="single" w:color="000000" w:sz="4" w:space="0"/>
                    <w:left w:val="single" w:color="000000" w:sz="4" w:space="0"/>
                    <w:bottom w:val="single" w:color="000000" w:sz="12" w:space="0"/>
                    <w:right w:val="single" w:color="000000" w:sz="4" w:space="0"/>
                  </w:tcBorders>
                  <w:noWrap w:val="0"/>
                  <w:vAlign w:val="center"/>
                </w:tcPr>
                <w:p w14:paraId="420C1EBC">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40</w:t>
                  </w:r>
                </w:p>
              </w:tc>
              <w:tc>
                <w:tcPr>
                  <w:tcW w:w="711" w:type="pct"/>
                  <w:tcBorders>
                    <w:top w:val="single" w:color="000000" w:sz="4" w:space="0"/>
                    <w:left w:val="single" w:color="000000" w:sz="4" w:space="0"/>
                    <w:bottom w:val="single" w:color="000000" w:sz="12" w:space="0"/>
                    <w:right w:val="single" w:color="000000" w:sz="4" w:space="0"/>
                  </w:tcBorders>
                  <w:noWrap w:val="0"/>
                  <w:vAlign w:val="center"/>
                </w:tcPr>
                <w:p w14:paraId="07E199A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2.0</w:t>
                  </w:r>
                </w:p>
              </w:tc>
              <w:tc>
                <w:tcPr>
                  <w:tcW w:w="622" w:type="pct"/>
                  <w:tcBorders>
                    <w:top w:val="single" w:color="000000" w:sz="4" w:space="0"/>
                    <w:left w:val="single" w:color="000000" w:sz="4" w:space="0"/>
                    <w:bottom w:val="single" w:color="000000" w:sz="12" w:space="0"/>
                    <w:right w:val="single" w:color="000000" w:sz="4" w:space="0"/>
                  </w:tcBorders>
                  <w:noWrap w:val="0"/>
                  <w:vAlign w:val="center"/>
                </w:tcPr>
                <w:p w14:paraId="12892F6C">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0.4</w:t>
                  </w:r>
                </w:p>
              </w:tc>
              <w:tc>
                <w:tcPr>
                  <w:tcW w:w="799" w:type="pct"/>
                  <w:tcBorders>
                    <w:top w:val="single" w:color="000000" w:sz="4" w:space="0"/>
                    <w:left w:val="single" w:color="000000" w:sz="4" w:space="0"/>
                    <w:bottom w:val="single" w:color="000000" w:sz="12" w:space="0"/>
                    <w:right w:val="single" w:color="000000" w:sz="4" w:space="0"/>
                  </w:tcBorders>
                  <w:noWrap w:val="0"/>
                  <w:vAlign w:val="center"/>
                </w:tcPr>
                <w:p w14:paraId="3AA365B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2.0</w:t>
                  </w:r>
                </w:p>
              </w:tc>
              <w:tc>
                <w:tcPr>
                  <w:tcW w:w="966" w:type="pct"/>
                  <w:tcBorders>
                    <w:top w:val="single" w:color="000000" w:sz="4" w:space="0"/>
                    <w:left w:val="single" w:color="000000" w:sz="4" w:space="0"/>
                    <w:bottom w:val="single" w:color="000000" w:sz="12" w:space="0"/>
                    <w:right w:val="nil"/>
                  </w:tcBorders>
                  <w:noWrap w:val="0"/>
                  <w:vAlign w:val="center"/>
                </w:tcPr>
                <w:p w14:paraId="4EAB76C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rPr>
                  </w:pPr>
                  <w:r>
                    <w:rPr>
                      <w:rFonts w:hint="eastAsia" w:ascii="Times New Roman" w:hAnsi="Times New Roman" w:eastAsia="宋体" w:cs="Times New Roman"/>
                      <w:color w:val="auto"/>
                      <w:kern w:val="2"/>
                      <w:sz w:val="21"/>
                      <w:szCs w:val="21"/>
                      <w:lang w:val="en-US" w:eastAsia="zh-CN" w:bidi="ar"/>
                    </w:rPr>
                    <w:t>15</w:t>
                  </w:r>
                </w:p>
              </w:tc>
            </w:tr>
          </w:tbl>
          <w:p w14:paraId="6BB584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由上表可知，</w:t>
            </w:r>
            <w:r>
              <w:rPr>
                <w:rFonts w:hint="eastAsia" w:ascii="Times New Roman" w:hAnsi="Times New Roman" w:eastAsia="宋体" w:cs="Times New Roman"/>
                <w:color w:val="auto"/>
                <w:sz w:val="24"/>
                <w:highlight w:val="none"/>
                <w:lang w:val="en-US" w:eastAsia="zh-CN"/>
              </w:rPr>
              <w:t>2024年</w:t>
            </w:r>
            <w:r>
              <w:rPr>
                <w:rFonts w:hint="default" w:ascii="Times New Roman" w:hAnsi="Times New Roman" w:eastAsia="Times New Roman" w:cs="Times New Roman"/>
                <w:color w:val="auto"/>
                <w:sz w:val="24"/>
                <w:highlight w:val="none"/>
              </w:rPr>
              <w:t>汤河石辛庄市控断面总氮监测</w:t>
            </w:r>
            <w:r>
              <w:rPr>
                <w:rFonts w:hint="eastAsia" w:ascii="Times New Roman" w:hAnsi="Times New Roman" w:eastAsia="Times New Roman" w:cs="Times New Roman"/>
                <w:color w:val="auto"/>
                <w:sz w:val="24"/>
                <w:highlight w:val="none"/>
                <w:lang w:eastAsia="zh-CN"/>
              </w:rPr>
              <w:t>年均</w:t>
            </w:r>
            <w:r>
              <w:rPr>
                <w:rFonts w:hint="default" w:ascii="Times New Roman" w:hAnsi="Times New Roman" w:eastAsia="Times New Roman" w:cs="Times New Roman"/>
                <w:color w:val="auto"/>
                <w:sz w:val="24"/>
                <w:highlight w:val="none"/>
              </w:rPr>
              <w:t>值不能满足《地表水环境质量标准》（GB3838-2002）</w:t>
            </w:r>
            <w:r>
              <w:rPr>
                <w:rFonts w:hint="eastAsia" w:ascii="Times New Roman" w:hAnsi="Times New Roman" w:eastAsia="宋体" w:cs="Times New Roman"/>
                <w:color w:val="auto"/>
                <w:sz w:val="24"/>
                <w:szCs w:val="24"/>
                <w:highlight w:val="none"/>
                <w:u w:val="none" w:color="auto"/>
                <w:lang w:val="en-US" w:eastAsia="zh-CN"/>
              </w:rPr>
              <w:t>V</w:t>
            </w:r>
            <w:r>
              <w:rPr>
                <w:rFonts w:hint="default" w:ascii="Times New Roman" w:hAnsi="Times New Roman" w:eastAsia="Times New Roman" w:cs="Times New Roman"/>
                <w:color w:val="auto"/>
                <w:sz w:val="24"/>
                <w:highlight w:val="none"/>
              </w:rPr>
              <w:t>类标准的要求，COD、</w:t>
            </w:r>
            <w:r>
              <w:rPr>
                <w:rFonts w:hint="eastAsia" w:ascii="Times New Roman" w:hAnsi="Times New Roman" w:eastAsia="Times New Roman" w:cs="Times New Roman"/>
                <w:color w:val="auto"/>
                <w:sz w:val="24"/>
                <w:highlight w:val="none"/>
                <w:lang w:eastAsia="zh-CN"/>
              </w:rPr>
              <w:t>氨氮、总磷、</w:t>
            </w:r>
            <w:r>
              <w:rPr>
                <w:rFonts w:hint="default" w:ascii="Times New Roman" w:hAnsi="Times New Roman" w:eastAsia="Times New Roman" w:cs="Times New Roman"/>
                <w:color w:val="auto"/>
                <w:sz w:val="24"/>
                <w:highlight w:val="none"/>
              </w:rPr>
              <w:t>高</w:t>
            </w:r>
            <w:r>
              <w:rPr>
                <w:rFonts w:hint="eastAsia" w:ascii="Times New Roman" w:hAnsi="Times New Roman" w:eastAsia="Times New Roman" w:cs="Times New Roman"/>
                <w:color w:val="auto"/>
                <w:sz w:val="24"/>
                <w:highlight w:val="none"/>
                <w:lang w:eastAsia="zh-CN"/>
              </w:rPr>
              <w:t>锰</w:t>
            </w:r>
            <w:r>
              <w:rPr>
                <w:rFonts w:hint="default" w:ascii="Times New Roman" w:hAnsi="Times New Roman" w:eastAsia="Times New Roman" w:cs="Times New Roman"/>
                <w:color w:val="auto"/>
                <w:sz w:val="24"/>
                <w:highlight w:val="none"/>
              </w:rPr>
              <w:t>酸盐指数监测</w:t>
            </w:r>
            <w:r>
              <w:rPr>
                <w:rFonts w:hint="eastAsia" w:ascii="Times New Roman" w:hAnsi="Times New Roman" w:eastAsia="Times New Roman" w:cs="Times New Roman"/>
                <w:color w:val="auto"/>
                <w:sz w:val="24"/>
                <w:highlight w:val="none"/>
                <w:lang w:eastAsia="zh-CN"/>
              </w:rPr>
              <w:t>年均</w:t>
            </w:r>
            <w:r>
              <w:rPr>
                <w:rFonts w:hint="default" w:ascii="Times New Roman" w:hAnsi="Times New Roman" w:eastAsia="Times New Roman" w:cs="Times New Roman"/>
                <w:color w:val="auto"/>
                <w:sz w:val="24"/>
                <w:highlight w:val="none"/>
              </w:rPr>
              <w:t>值</w:t>
            </w:r>
            <w:r>
              <w:rPr>
                <w:rFonts w:hint="eastAsia" w:ascii="Times New Roman" w:hAnsi="Times New Roman" w:eastAsia="Times New Roman" w:cs="Times New Roman"/>
                <w:color w:val="auto"/>
                <w:sz w:val="24"/>
                <w:highlight w:val="none"/>
                <w:lang w:eastAsia="zh-CN"/>
              </w:rPr>
              <w:t>能够</w:t>
            </w:r>
            <w:r>
              <w:rPr>
                <w:rFonts w:hint="default" w:ascii="Times New Roman" w:hAnsi="Times New Roman" w:eastAsia="Times New Roman" w:cs="Times New Roman"/>
                <w:color w:val="auto"/>
                <w:sz w:val="24"/>
                <w:highlight w:val="none"/>
              </w:rPr>
              <w:t>满足《地表水环境质量标准》（GB3838-2002）</w:t>
            </w:r>
            <w:r>
              <w:rPr>
                <w:rFonts w:hint="eastAsia" w:ascii="Times New Roman" w:hAnsi="Times New Roman" w:eastAsia="宋体" w:cs="Times New Roman"/>
                <w:color w:val="auto"/>
                <w:sz w:val="24"/>
                <w:szCs w:val="24"/>
                <w:highlight w:val="none"/>
                <w:u w:val="none" w:color="auto"/>
                <w:lang w:val="en-US" w:eastAsia="zh-CN"/>
              </w:rPr>
              <w:t>V</w:t>
            </w:r>
            <w:r>
              <w:rPr>
                <w:rFonts w:hint="default" w:ascii="Times New Roman" w:hAnsi="Times New Roman" w:eastAsia="Times New Roman" w:cs="Times New Roman"/>
                <w:color w:val="auto"/>
                <w:sz w:val="24"/>
                <w:highlight w:val="none"/>
              </w:rPr>
              <w:t>类标准的要求。</w:t>
            </w:r>
          </w:p>
          <w:p w14:paraId="30AAC0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Times New Roman" w:cs="Times New Roman"/>
                <w:color w:val="auto"/>
                <w:sz w:val="24"/>
                <w:highlight w:val="none"/>
              </w:rPr>
            </w:pPr>
            <w:r>
              <w:rPr>
                <w:rFonts w:hint="default" w:ascii="Times New Roman" w:hAnsi="Times New Roman" w:eastAsia="Times New Roman" w:cs="Times New Roman"/>
                <w:color w:val="auto"/>
                <w:sz w:val="24"/>
                <w:highlight w:val="none"/>
              </w:rPr>
              <w:t>随着安阳市生态环境保护委员会（安环委办〔202</w:t>
            </w:r>
            <w:r>
              <w:rPr>
                <w:rFonts w:hint="eastAsia" w:ascii="Times New Roman" w:hAnsi="Times New Roman" w:eastAsia="Times New Roman" w:cs="Times New Roman"/>
                <w:color w:val="auto"/>
                <w:sz w:val="24"/>
                <w:highlight w:val="none"/>
                <w:lang w:val="en-US" w:eastAsia="zh-CN"/>
              </w:rPr>
              <w:t>5</w:t>
            </w:r>
            <w:r>
              <w:rPr>
                <w:rFonts w:hint="default" w:ascii="Times New Roman" w:hAnsi="Times New Roman" w:eastAsia="Times New Roman" w:cs="Times New Roman"/>
                <w:color w:val="auto"/>
                <w:sz w:val="24"/>
                <w:highlight w:val="none"/>
              </w:rPr>
              <w:t>〕</w:t>
            </w:r>
            <w:r>
              <w:rPr>
                <w:rFonts w:hint="eastAsia" w:ascii="Times New Roman" w:hAnsi="Times New Roman" w:eastAsia="Times New Roman" w:cs="Times New Roman"/>
                <w:color w:val="auto"/>
                <w:sz w:val="24"/>
                <w:highlight w:val="none"/>
                <w:lang w:val="en-US" w:eastAsia="zh-CN"/>
              </w:rPr>
              <w:t>2</w:t>
            </w:r>
            <w:r>
              <w:rPr>
                <w:rFonts w:hint="default" w:ascii="Times New Roman" w:hAnsi="Times New Roman" w:eastAsia="Times New Roman" w:cs="Times New Roman"/>
                <w:color w:val="auto"/>
                <w:sz w:val="24"/>
                <w:highlight w:val="none"/>
              </w:rPr>
              <w:t>号）关于印发《安阳市2025年碧水保卫战实施方案》方案及计划的实施，汤河水质会得到持续改善。</w:t>
            </w:r>
          </w:p>
          <w:p w14:paraId="4672FB04">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3.声环境质量</w:t>
            </w:r>
          </w:p>
          <w:p w14:paraId="5FEF24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default" w:ascii="Times New Roman" w:hAnsi="Times New Roman" w:cs="Times New Roman"/>
                <w:color w:val="auto"/>
                <w:sz w:val="24"/>
                <w:lang w:eastAsia="zh-CN"/>
              </w:rPr>
              <w:t>安阳双兴线材制品有限公司</w:t>
            </w:r>
            <w:r>
              <w:rPr>
                <w:rFonts w:hint="eastAsia" w:ascii="Times New Roman" w:hAnsi="Times New Roman" w:cs="Times New Roman"/>
                <w:color w:val="auto"/>
                <w:sz w:val="24"/>
                <w:lang w:eastAsia="zh-CN"/>
              </w:rPr>
              <w:t>位于安阳市新型制造业产业园区中兴路南头，</w:t>
            </w:r>
            <w:r>
              <w:rPr>
                <w:rFonts w:hint="eastAsia" w:ascii="Times New Roman" w:hAnsi="Times New Roman" w:eastAsia="宋体" w:cs="Times New Roman"/>
                <w:b w:val="0"/>
                <w:bCs w:val="0"/>
                <w:color w:val="auto"/>
                <w:sz w:val="24"/>
                <w:szCs w:val="24"/>
                <w:highlight w:val="none"/>
                <w:u w:val="none" w:color="auto"/>
                <w:lang w:eastAsia="zh-CN"/>
              </w:rPr>
              <w:t>根据《声环境质量标准》（</w:t>
            </w:r>
            <w:r>
              <w:rPr>
                <w:rFonts w:hint="eastAsia" w:ascii="Times New Roman" w:hAnsi="Times New Roman" w:eastAsia="宋体" w:cs="Times New Roman"/>
                <w:b w:val="0"/>
                <w:bCs w:val="0"/>
                <w:color w:val="auto"/>
                <w:sz w:val="24"/>
                <w:szCs w:val="24"/>
                <w:highlight w:val="none"/>
                <w:u w:val="none" w:color="auto"/>
                <w:lang w:val="en-US" w:eastAsia="zh-CN"/>
              </w:rPr>
              <w:t>GB3096-2008</w:t>
            </w:r>
            <w:r>
              <w:rPr>
                <w:rFonts w:hint="eastAsia" w:ascii="Times New Roman" w:hAnsi="Times New Roman" w:eastAsia="宋体" w:cs="Times New Roman"/>
                <w:b w:val="0"/>
                <w:bCs w:val="0"/>
                <w:color w:val="auto"/>
                <w:sz w:val="24"/>
                <w:szCs w:val="24"/>
                <w:highlight w:val="none"/>
                <w:u w:val="none" w:color="auto"/>
                <w:lang w:eastAsia="zh-CN"/>
              </w:rPr>
              <w:t>）可知，本项目所在区域属于</w:t>
            </w:r>
            <w:r>
              <w:rPr>
                <w:rFonts w:hint="eastAsia" w:eastAsia="Times New Roman" w:cs="Times New Roman"/>
                <w:color w:val="auto"/>
                <w:sz w:val="24"/>
                <w:highlight w:val="none"/>
                <w:lang w:val="en-US" w:eastAsia="zh-CN"/>
              </w:rPr>
              <w:t>2</w:t>
            </w:r>
            <w:r>
              <w:rPr>
                <w:rFonts w:hint="default" w:ascii="Times New Roman" w:hAnsi="Times New Roman" w:eastAsia="Times New Roman" w:cs="Times New Roman"/>
                <w:color w:val="auto"/>
                <w:sz w:val="24"/>
                <w:highlight w:val="none"/>
              </w:rPr>
              <w:t>类标准：</w:t>
            </w:r>
            <w:r>
              <w:rPr>
                <w:rFonts w:hint="default" w:ascii="Times New Roman" w:hAnsi="Times New Roman" w:eastAsia="Times New Roman" w:cs="Times New Roman"/>
                <w:color w:val="auto"/>
                <w:kern w:val="0"/>
                <w:sz w:val="24"/>
                <w:highlight w:val="none"/>
              </w:rPr>
              <w:t>昼间</w:t>
            </w:r>
            <w:r>
              <w:rPr>
                <w:rFonts w:hint="default" w:ascii="Times New Roman" w:hAnsi="Times New Roman" w:eastAsia="Times New Roman" w:cs="Times New Roman"/>
                <w:color w:val="auto"/>
                <w:highlight w:val="none"/>
              </w:rPr>
              <w:t>≤</w:t>
            </w:r>
            <w:r>
              <w:rPr>
                <w:rFonts w:hint="default" w:ascii="Times New Roman" w:hAnsi="Times New Roman" w:eastAsia="Times New Roman" w:cs="Times New Roman"/>
                <w:color w:val="auto"/>
                <w:kern w:val="0"/>
                <w:sz w:val="24"/>
                <w:highlight w:val="none"/>
              </w:rPr>
              <w:t>6</w:t>
            </w:r>
            <w:r>
              <w:rPr>
                <w:rFonts w:hint="eastAsia" w:eastAsia="Times New Roman" w:cs="Times New Roman"/>
                <w:color w:val="auto"/>
                <w:kern w:val="0"/>
                <w:sz w:val="24"/>
                <w:highlight w:val="none"/>
                <w:lang w:val="en-US" w:eastAsia="zh-CN"/>
              </w:rPr>
              <w:t>0</w:t>
            </w:r>
            <w:r>
              <w:rPr>
                <w:rFonts w:hint="default" w:ascii="Times New Roman" w:hAnsi="Times New Roman" w:eastAsia="Times New Roman" w:cs="Times New Roman"/>
                <w:color w:val="auto"/>
                <w:sz w:val="24"/>
                <w:highlight w:val="none"/>
              </w:rPr>
              <w:t>dB(A)</w:t>
            </w:r>
            <w:r>
              <w:rPr>
                <w:rFonts w:hint="default" w:ascii="Times New Roman" w:hAnsi="Times New Roman" w:eastAsia="Times New Roman" w:cs="Times New Roman"/>
                <w:color w:val="auto"/>
                <w:kern w:val="0"/>
                <w:sz w:val="24"/>
                <w:highlight w:val="none"/>
              </w:rPr>
              <w:t>、夜间</w:t>
            </w:r>
            <w:r>
              <w:rPr>
                <w:rFonts w:hint="default" w:ascii="Times New Roman" w:hAnsi="Times New Roman" w:eastAsia="Times New Roman" w:cs="Times New Roman"/>
                <w:color w:val="auto"/>
                <w:highlight w:val="none"/>
              </w:rPr>
              <w:t>≤</w:t>
            </w:r>
            <w:r>
              <w:rPr>
                <w:rFonts w:hint="eastAsia" w:eastAsia="宋体" w:cs="Times New Roman"/>
                <w:color w:val="auto"/>
                <w:kern w:val="0"/>
                <w:sz w:val="24"/>
                <w:highlight w:val="none"/>
                <w:lang w:val="en-US" w:eastAsia="zh-CN"/>
              </w:rPr>
              <w:t>5</w:t>
            </w:r>
            <w:r>
              <w:rPr>
                <w:rFonts w:hint="eastAsia" w:cs="Times New Roman"/>
                <w:color w:val="auto"/>
                <w:kern w:val="0"/>
                <w:sz w:val="24"/>
                <w:highlight w:val="none"/>
                <w:lang w:val="en-US" w:eastAsia="zh-CN"/>
              </w:rPr>
              <w:t>0</w:t>
            </w:r>
            <w:r>
              <w:rPr>
                <w:rFonts w:hint="default" w:ascii="Times New Roman" w:hAnsi="Times New Roman" w:eastAsia="Times New Roman" w:cs="Times New Roman"/>
                <w:color w:val="auto"/>
                <w:kern w:val="0"/>
                <w:sz w:val="24"/>
                <w:highlight w:val="none"/>
              </w:rPr>
              <w:t>dB(A)</w:t>
            </w:r>
            <w:r>
              <w:rPr>
                <w:rFonts w:hint="default" w:ascii="Times New Roman" w:hAnsi="Times New Roman" w:eastAsia="Times New Roman" w:cs="Times New Roman"/>
                <w:color w:val="auto"/>
                <w:sz w:val="24"/>
                <w:highlight w:val="none"/>
              </w:rPr>
              <w:t>。</w:t>
            </w:r>
          </w:p>
          <w:p w14:paraId="417A420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color w:val="auto"/>
                <w:sz w:val="21"/>
                <w:szCs w:val="21"/>
                <w:highlight w:val="none"/>
              </w:rPr>
            </w:pPr>
            <w:r>
              <w:rPr>
                <w:rFonts w:hint="eastAsia"/>
                <w:color w:val="auto"/>
                <w:sz w:val="24"/>
                <w:szCs w:val="24"/>
                <w:highlight w:val="none"/>
                <w:lang w:val="en-US" w:eastAsia="zh-CN"/>
              </w:rPr>
              <w:t>根据现场勘查，项目厂界北</w:t>
            </w:r>
            <w:r>
              <w:rPr>
                <w:rFonts w:hint="default" w:ascii="Times New Roman" w:hAnsi="Times New Roman" w:cs="Times New Roman"/>
                <w:color w:val="auto"/>
                <w:sz w:val="24"/>
                <w:szCs w:val="24"/>
                <w:highlight w:val="none"/>
                <w:lang w:val="en-US" w:eastAsia="zh-CN"/>
              </w:rPr>
              <w:t>45m</w:t>
            </w:r>
            <w:r>
              <w:rPr>
                <w:rFonts w:hint="eastAsia"/>
                <w:color w:val="auto"/>
                <w:sz w:val="24"/>
                <w:szCs w:val="24"/>
                <w:highlight w:val="none"/>
                <w:lang w:val="en-US" w:eastAsia="zh-CN"/>
              </w:rPr>
              <w:t>为声环境保护目标园河丽景小区，</w:t>
            </w:r>
            <w:r>
              <w:rPr>
                <w:rFonts w:hint="eastAsia" w:ascii="Times New Roman" w:hAnsi="Times New Roman" w:eastAsia="宋体" w:cs="Times New Roman"/>
                <w:b w:val="0"/>
                <w:bCs w:val="0"/>
                <w:color w:val="auto"/>
                <w:sz w:val="24"/>
                <w:szCs w:val="24"/>
                <w:highlight w:val="none"/>
                <w:u w:val="none" w:color="auto"/>
                <w:lang w:eastAsia="zh-CN"/>
              </w:rPr>
              <w:t>根据《声环境质量标准》（</w:t>
            </w:r>
            <w:r>
              <w:rPr>
                <w:rFonts w:hint="eastAsia" w:ascii="Times New Roman" w:hAnsi="Times New Roman" w:eastAsia="宋体" w:cs="Times New Roman"/>
                <w:b w:val="0"/>
                <w:bCs w:val="0"/>
                <w:color w:val="auto"/>
                <w:sz w:val="24"/>
                <w:szCs w:val="24"/>
                <w:highlight w:val="none"/>
                <w:u w:val="none" w:color="auto"/>
                <w:lang w:val="en-US" w:eastAsia="zh-CN"/>
              </w:rPr>
              <w:t>GB3096-2008</w:t>
            </w:r>
            <w:r>
              <w:rPr>
                <w:rFonts w:hint="eastAsia" w:ascii="Times New Roman" w:hAnsi="Times New Roman" w:eastAsia="宋体" w:cs="Times New Roman"/>
                <w:b w:val="0"/>
                <w:bCs w:val="0"/>
                <w:color w:val="auto"/>
                <w:sz w:val="24"/>
                <w:szCs w:val="24"/>
                <w:highlight w:val="none"/>
                <w:u w:val="none" w:color="auto"/>
                <w:lang w:eastAsia="zh-CN"/>
              </w:rPr>
              <w:t>）</w:t>
            </w:r>
            <w:r>
              <w:rPr>
                <w:rFonts w:hint="eastAsia" w:ascii="Times New Roman" w:hAnsi="Times New Roman" w:cs="Times New Roman"/>
                <w:b w:val="0"/>
                <w:bCs w:val="0"/>
                <w:color w:val="auto"/>
                <w:sz w:val="24"/>
                <w:szCs w:val="24"/>
                <w:highlight w:val="none"/>
                <w:u w:val="none" w:color="auto"/>
                <w:lang w:eastAsia="zh-CN"/>
              </w:rPr>
              <w:t>，该小区</w:t>
            </w:r>
            <w:r>
              <w:rPr>
                <w:rFonts w:hint="eastAsia" w:ascii="Times New Roman" w:hAnsi="Times New Roman" w:eastAsia="宋体" w:cs="Times New Roman"/>
                <w:b w:val="0"/>
                <w:bCs w:val="0"/>
                <w:color w:val="auto"/>
                <w:sz w:val="24"/>
                <w:szCs w:val="24"/>
                <w:highlight w:val="none"/>
                <w:u w:val="none" w:color="auto"/>
                <w:lang w:eastAsia="zh-CN"/>
              </w:rPr>
              <w:t>所在区域属于</w:t>
            </w:r>
            <w:r>
              <w:rPr>
                <w:rFonts w:hint="default" w:ascii="Times New Roman" w:hAnsi="Times New Roman" w:eastAsia="Times New Roman" w:cs="Times New Roman"/>
                <w:color w:val="auto"/>
                <w:sz w:val="24"/>
                <w:highlight w:val="none"/>
                <w:lang w:val="en-US" w:eastAsia="zh-CN"/>
              </w:rPr>
              <w:t>2</w:t>
            </w:r>
            <w:r>
              <w:rPr>
                <w:rFonts w:hint="default" w:ascii="Times New Roman" w:hAnsi="Times New Roman" w:eastAsia="Times New Roman" w:cs="Times New Roman"/>
                <w:color w:val="auto"/>
                <w:sz w:val="24"/>
                <w:highlight w:val="none"/>
              </w:rPr>
              <w:t>类标准</w:t>
            </w:r>
            <w:r>
              <w:rPr>
                <w:rFonts w:hint="eastAsia"/>
                <w:color w:val="auto"/>
                <w:sz w:val="24"/>
                <w:szCs w:val="24"/>
                <w:highlight w:val="none"/>
                <w:lang w:val="en-US" w:eastAsia="zh-CN"/>
              </w:rPr>
              <w:t>，厂区周围无其他声环境保护目标。安阳双兴线材制品有限公司</w:t>
            </w:r>
            <w:r>
              <w:rPr>
                <w:rFonts w:hint="eastAsia" w:ascii="宋体" w:hAnsi="宋体"/>
                <w:color w:val="auto"/>
                <w:kern w:val="0"/>
                <w:sz w:val="24"/>
                <w:szCs w:val="24"/>
                <w:highlight w:val="none"/>
              </w:rPr>
              <w:t>委托</w:t>
            </w:r>
            <w:r>
              <w:rPr>
                <w:rFonts w:hint="eastAsia" w:ascii="宋体" w:hAnsi="宋体"/>
                <w:color w:val="auto"/>
                <w:sz w:val="24"/>
                <w:szCs w:val="24"/>
                <w:highlight w:val="none"/>
                <w:lang w:eastAsia="zh-CN"/>
              </w:rPr>
              <w:t>河南安凯职业技术监测有限公司</w:t>
            </w:r>
            <w:r>
              <w:rPr>
                <w:rFonts w:hint="default"/>
                <w:color w:val="auto"/>
                <w:sz w:val="24"/>
                <w:szCs w:val="24"/>
                <w:highlight w:val="none"/>
              </w:rPr>
              <w:t>对</w:t>
            </w:r>
            <w:r>
              <w:rPr>
                <w:rFonts w:hint="eastAsia"/>
                <w:color w:val="auto"/>
                <w:sz w:val="24"/>
                <w:szCs w:val="24"/>
                <w:highlight w:val="none"/>
              </w:rPr>
              <w:t>敏感点</w:t>
            </w:r>
            <w:r>
              <w:rPr>
                <w:rFonts w:hint="eastAsia"/>
                <w:color w:val="auto"/>
                <w:sz w:val="24"/>
                <w:szCs w:val="24"/>
                <w:highlight w:val="none"/>
                <w:lang w:eastAsia="zh-CN"/>
              </w:rPr>
              <w:t>声环境</w:t>
            </w:r>
            <w:r>
              <w:rPr>
                <w:rFonts w:hint="default"/>
                <w:color w:val="auto"/>
                <w:sz w:val="24"/>
                <w:szCs w:val="24"/>
                <w:highlight w:val="none"/>
              </w:rPr>
              <w:t>进行实测</w:t>
            </w:r>
            <w:r>
              <w:rPr>
                <w:rFonts w:hint="default" w:ascii="Times New Roman" w:hAnsi="Times New Roman" w:cs="Times New Roman"/>
                <w:color w:val="auto"/>
                <w:sz w:val="24"/>
                <w:szCs w:val="24"/>
                <w:highlight w:val="none"/>
                <w:lang w:eastAsia="zh-CN"/>
              </w:rPr>
              <w:t>（报告编号</w:t>
            </w:r>
            <w:r>
              <w:rPr>
                <w:rFonts w:hint="eastAsia" w:ascii="Times New Roman" w:hAnsi="Times New Roman" w:cs="Times New Roman"/>
                <w:color w:val="auto"/>
                <w:sz w:val="24"/>
                <w:szCs w:val="24"/>
                <w:highlight w:val="none"/>
                <w:lang w:val="en-US" w:eastAsia="zh-CN"/>
              </w:rPr>
              <w:t>AKHJ25341J01</w:t>
            </w:r>
            <w:r>
              <w:rPr>
                <w:rFonts w:hint="default" w:ascii="Times New Roman" w:hAnsi="Times New Roman" w:cs="Times New Roman"/>
                <w:color w:val="auto"/>
                <w:sz w:val="24"/>
                <w:szCs w:val="24"/>
                <w:highlight w:val="none"/>
                <w:lang w:eastAsia="zh-CN"/>
              </w:rPr>
              <w:t>）</w:t>
            </w:r>
            <w:r>
              <w:rPr>
                <w:rFonts w:hint="default"/>
                <w:color w:val="auto"/>
                <w:sz w:val="21"/>
                <w:szCs w:val="21"/>
                <w:highlight w:val="none"/>
              </w:rPr>
              <w:t>，</w:t>
            </w:r>
            <w:r>
              <w:rPr>
                <w:rFonts w:hint="default"/>
                <w:color w:val="auto"/>
                <w:sz w:val="24"/>
                <w:szCs w:val="24"/>
                <w:highlight w:val="none"/>
              </w:rPr>
              <w:t>监测结果见</w:t>
            </w:r>
            <w:r>
              <w:rPr>
                <w:rFonts w:hint="eastAsia"/>
                <w:color w:val="auto"/>
                <w:sz w:val="24"/>
                <w:szCs w:val="24"/>
                <w:highlight w:val="none"/>
              </w:rPr>
              <w:t>下</w:t>
            </w:r>
            <w:r>
              <w:rPr>
                <w:rFonts w:hint="default"/>
                <w:color w:val="auto"/>
                <w:sz w:val="24"/>
                <w:szCs w:val="24"/>
                <w:highlight w:val="none"/>
              </w:rPr>
              <w:t>表</w:t>
            </w:r>
            <w:r>
              <w:rPr>
                <w:rFonts w:hint="eastAsia"/>
                <w:color w:val="auto"/>
                <w:sz w:val="24"/>
                <w:szCs w:val="24"/>
                <w:highlight w:val="none"/>
              </w:rPr>
              <w:t>。</w:t>
            </w:r>
          </w:p>
          <w:p w14:paraId="0BA9F8E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
                <w:bCs/>
                <w:color w:val="auto"/>
                <w:sz w:val="21"/>
                <w:szCs w:val="21"/>
                <w:highlight w:val="none"/>
              </w:rPr>
            </w:pPr>
            <w:r>
              <w:rPr>
                <w:rFonts w:hint="eastAsia"/>
                <w:b/>
                <w:bCs/>
                <w:color w:val="auto"/>
                <w:sz w:val="21"/>
                <w:szCs w:val="21"/>
                <w:highlight w:val="none"/>
                <w:lang w:eastAsia="zh-CN"/>
              </w:rPr>
              <w:t>表</w:t>
            </w:r>
            <w:r>
              <w:rPr>
                <w:rFonts w:hint="eastAsia" w:ascii="Times New Roman" w:hAnsi="Times New Roman" w:cs="Times New Roman"/>
                <w:b/>
                <w:bCs/>
                <w:color w:val="auto"/>
                <w:sz w:val="21"/>
                <w:szCs w:val="21"/>
                <w:highlight w:val="none"/>
                <w:lang w:val="en-US" w:eastAsia="zh-CN"/>
              </w:rPr>
              <w:t>20</w:t>
            </w:r>
            <w:r>
              <w:rPr>
                <w:rFonts w:hint="eastAsia"/>
                <w:b/>
                <w:bCs/>
                <w:color w:val="auto"/>
                <w:sz w:val="21"/>
                <w:szCs w:val="21"/>
                <w:highlight w:val="none"/>
                <w:lang w:val="en-US" w:eastAsia="zh-CN"/>
              </w:rPr>
              <w:t xml:space="preserve">  </w:t>
            </w:r>
            <w:r>
              <w:rPr>
                <w:rFonts w:hint="eastAsia"/>
                <w:b/>
                <w:bCs/>
                <w:color w:val="auto"/>
                <w:sz w:val="21"/>
                <w:szCs w:val="21"/>
                <w:highlight w:val="none"/>
                <w:lang w:eastAsia="zh-CN"/>
              </w:rPr>
              <w:t>敏感点声环境</w:t>
            </w:r>
            <w:r>
              <w:rPr>
                <w:rFonts w:hint="default"/>
                <w:b/>
                <w:bCs/>
                <w:color w:val="auto"/>
                <w:sz w:val="21"/>
                <w:szCs w:val="21"/>
                <w:highlight w:val="none"/>
              </w:rPr>
              <w:t>监测结果一览表</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252"/>
              <w:gridCol w:w="1552"/>
              <w:gridCol w:w="1544"/>
              <w:gridCol w:w="1992"/>
            </w:tblGrid>
            <w:tr w14:paraId="36C95E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189" w:type="pct"/>
                  <w:tcBorders>
                    <w:tl2br w:val="nil"/>
                    <w:tr2bl w:val="nil"/>
                  </w:tcBorders>
                  <w:noWrap w:val="0"/>
                  <w:vAlign w:val="center"/>
                </w:tcPr>
                <w:p w14:paraId="7D8BE08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检</w:t>
                  </w:r>
                  <w:r>
                    <w:rPr>
                      <w:rFonts w:hint="default" w:ascii="Times New Roman" w:hAnsi="Times New Roman" w:eastAsia="宋体" w:cs="Times New Roman"/>
                      <w:b w:val="0"/>
                      <w:bCs w:val="0"/>
                      <w:color w:val="auto"/>
                      <w:sz w:val="21"/>
                      <w:szCs w:val="21"/>
                      <w:highlight w:val="none"/>
                    </w:rPr>
                    <w:t>测点位</w:t>
                  </w:r>
                </w:p>
              </w:tc>
              <w:tc>
                <w:tcPr>
                  <w:tcW w:w="752" w:type="pct"/>
                  <w:tcBorders>
                    <w:tl2br w:val="nil"/>
                    <w:tr2bl w:val="nil"/>
                  </w:tcBorders>
                  <w:noWrap w:val="0"/>
                  <w:vAlign w:val="center"/>
                </w:tcPr>
                <w:p w14:paraId="50A787E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检</w:t>
                  </w:r>
                  <w:r>
                    <w:rPr>
                      <w:rFonts w:hint="default" w:ascii="Times New Roman" w:hAnsi="Times New Roman" w:eastAsia="宋体" w:cs="Times New Roman"/>
                      <w:b w:val="0"/>
                      <w:bCs w:val="0"/>
                      <w:color w:val="auto"/>
                      <w:sz w:val="21"/>
                      <w:szCs w:val="21"/>
                      <w:highlight w:val="none"/>
                    </w:rPr>
                    <w:t>测</w:t>
                  </w:r>
                  <w:r>
                    <w:rPr>
                      <w:rFonts w:hint="default" w:ascii="Times New Roman" w:hAnsi="Times New Roman" w:eastAsia="宋体" w:cs="Times New Roman"/>
                      <w:b w:val="0"/>
                      <w:bCs w:val="0"/>
                      <w:color w:val="auto"/>
                      <w:sz w:val="21"/>
                      <w:szCs w:val="21"/>
                      <w:highlight w:val="none"/>
                      <w:lang w:eastAsia="zh-CN"/>
                    </w:rPr>
                    <w:t>日期</w:t>
                  </w:r>
                </w:p>
              </w:tc>
              <w:tc>
                <w:tcPr>
                  <w:tcW w:w="932" w:type="pct"/>
                  <w:tcBorders>
                    <w:tl2br w:val="nil"/>
                    <w:tr2bl w:val="nil"/>
                  </w:tcBorders>
                  <w:noWrap w:val="0"/>
                  <w:vAlign w:val="center"/>
                </w:tcPr>
                <w:p w14:paraId="40FD354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昼间（</w:t>
                  </w:r>
                  <w:r>
                    <w:rPr>
                      <w:rFonts w:hint="default" w:ascii="Times New Roman" w:hAnsi="Times New Roman" w:eastAsia="宋体" w:cs="Times New Roman"/>
                      <w:b w:val="0"/>
                      <w:bCs w:val="0"/>
                      <w:color w:val="auto"/>
                      <w:sz w:val="21"/>
                      <w:szCs w:val="21"/>
                      <w:highlight w:val="none"/>
                    </w:rPr>
                    <w:t>Leq</w:t>
                  </w:r>
                  <w:r>
                    <w:rPr>
                      <w:rFonts w:hint="eastAsia" w:ascii="Times New Roman" w:hAnsi="Times New Roman" w:eastAsia="宋体" w:cs="Times New Roman"/>
                      <w:b w:val="0"/>
                      <w:bCs w:val="0"/>
                      <w:color w:val="auto"/>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rPr>
                    <w:t>dB(A)</w:t>
                  </w:r>
                  <w:r>
                    <w:rPr>
                      <w:rFonts w:hint="default" w:ascii="Times New Roman" w:hAnsi="Times New Roman" w:eastAsia="宋体" w:cs="Times New Roman"/>
                      <w:b w:val="0"/>
                      <w:bCs w:val="0"/>
                      <w:color w:val="auto"/>
                      <w:sz w:val="21"/>
                      <w:szCs w:val="21"/>
                      <w:highlight w:val="none"/>
                      <w:lang w:eastAsia="zh-CN"/>
                    </w:rPr>
                    <w:t>）</w:t>
                  </w:r>
                </w:p>
              </w:tc>
              <w:tc>
                <w:tcPr>
                  <w:tcW w:w="927" w:type="pct"/>
                  <w:tcBorders>
                    <w:tl2br w:val="nil"/>
                    <w:tr2bl w:val="nil"/>
                  </w:tcBorders>
                  <w:noWrap w:val="0"/>
                  <w:vAlign w:val="center"/>
                </w:tcPr>
                <w:p w14:paraId="0E1B67C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eastAsia="zh-CN"/>
                    </w:rPr>
                    <w:t>夜间（</w:t>
                  </w:r>
                  <w:r>
                    <w:rPr>
                      <w:rFonts w:hint="default" w:ascii="Times New Roman" w:hAnsi="Times New Roman" w:eastAsia="宋体" w:cs="Times New Roman"/>
                      <w:b w:val="0"/>
                      <w:bCs w:val="0"/>
                      <w:color w:val="auto"/>
                      <w:sz w:val="21"/>
                      <w:szCs w:val="21"/>
                      <w:highlight w:val="none"/>
                    </w:rPr>
                    <w:t>Leq dB(A)</w:t>
                  </w:r>
                  <w:r>
                    <w:rPr>
                      <w:rFonts w:hint="default" w:ascii="Times New Roman" w:hAnsi="Times New Roman" w:eastAsia="宋体" w:cs="Times New Roman"/>
                      <w:b w:val="0"/>
                      <w:bCs w:val="0"/>
                      <w:color w:val="auto"/>
                      <w:sz w:val="21"/>
                      <w:szCs w:val="21"/>
                      <w:highlight w:val="none"/>
                      <w:lang w:eastAsia="zh-CN"/>
                    </w:rPr>
                    <w:t>）</w:t>
                  </w:r>
                </w:p>
              </w:tc>
              <w:tc>
                <w:tcPr>
                  <w:tcW w:w="1197" w:type="pct"/>
                  <w:tcBorders>
                    <w:tl2br w:val="nil"/>
                    <w:tr2bl w:val="nil"/>
                  </w:tcBorders>
                  <w:noWrap w:val="0"/>
                  <w:vAlign w:val="center"/>
                </w:tcPr>
                <w:p w14:paraId="00A691B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sz w:val="21"/>
                      <w:szCs w:val="21"/>
                      <w:highlight w:val="none"/>
                      <w:lang w:eastAsia="zh-CN"/>
                    </w:rPr>
                  </w:pPr>
                  <w:r>
                    <w:rPr>
                      <w:rFonts w:hint="eastAsia" w:ascii="Times New Roman" w:hAnsi="Times New Roman" w:eastAsia="宋体" w:cs="Times New Roman"/>
                      <w:b w:val="0"/>
                      <w:bCs w:val="0"/>
                      <w:color w:val="auto"/>
                      <w:sz w:val="21"/>
                      <w:szCs w:val="21"/>
                      <w:highlight w:val="none"/>
                      <w:lang w:eastAsia="zh-CN"/>
                    </w:rPr>
                    <w:t>标准值</w:t>
                  </w:r>
                  <w:r>
                    <w:rPr>
                      <w:rFonts w:hint="default" w:ascii="Times New Roman" w:hAnsi="Times New Roman" w:eastAsia="宋体" w:cs="Times New Roman"/>
                      <w:b w:val="0"/>
                      <w:bCs w:val="0"/>
                      <w:color w:val="auto"/>
                      <w:sz w:val="21"/>
                      <w:szCs w:val="21"/>
                      <w:highlight w:val="none"/>
                    </w:rPr>
                    <w:t>dB(A)</w:t>
                  </w:r>
                </w:p>
              </w:tc>
            </w:tr>
            <w:tr w14:paraId="73C0CA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9" w:type="pct"/>
                  <w:tcBorders>
                    <w:tl2br w:val="nil"/>
                    <w:tr2bl w:val="nil"/>
                  </w:tcBorders>
                  <w:noWrap w:val="0"/>
                  <w:vAlign w:val="center"/>
                </w:tcPr>
                <w:p w14:paraId="2B6C1E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园河丽景小区1楼</w:t>
                  </w:r>
                </w:p>
              </w:tc>
              <w:tc>
                <w:tcPr>
                  <w:tcW w:w="752" w:type="pct"/>
                  <w:vMerge w:val="restart"/>
                  <w:tcBorders>
                    <w:tl2br w:val="nil"/>
                    <w:tr2bl w:val="nil"/>
                  </w:tcBorders>
                  <w:noWrap w:val="0"/>
                  <w:vAlign w:val="center"/>
                </w:tcPr>
                <w:p w14:paraId="09E375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2025.07.19</w:t>
                  </w:r>
                </w:p>
              </w:tc>
              <w:tc>
                <w:tcPr>
                  <w:tcW w:w="932" w:type="pct"/>
                  <w:tcBorders>
                    <w:tl2br w:val="nil"/>
                    <w:tr2bl w:val="nil"/>
                  </w:tcBorders>
                  <w:noWrap w:val="0"/>
                  <w:vAlign w:val="center"/>
                </w:tcPr>
                <w:p w14:paraId="07188B5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w:t>
                  </w:r>
                </w:p>
              </w:tc>
              <w:tc>
                <w:tcPr>
                  <w:tcW w:w="927" w:type="pct"/>
                  <w:tcBorders>
                    <w:tl2br w:val="nil"/>
                    <w:tr2bl w:val="nil"/>
                  </w:tcBorders>
                  <w:noWrap w:val="0"/>
                  <w:vAlign w:val="center"/>
                </w:tcPr>
                <w:p w14:paraId="7F73840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41</w:t>
                  </w:r>
                </w:p>
              </w:tc>
              <w:tc>
                <w:tcPr>
                  <w:tcW w:w="1197" w:type="pct"/>
                  <w:vMerge w:val="restart"/>
                  <w:tcBorders>
                    <w:tl2br w:val="nil"/>
                    <w:tr2bl w:val="nil"/>
                  </w:tcBorders>
                  <w:noWrap w:val="0"/>
                  <w:vAlign w:val="center"/>
                </w:tcPr>
                <w:p w14:paraId="4C0C82E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60</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50</w:t>
                  </w:r>
                </w:p>
              </w:tc>
            </w:tr>
            <w:tr w14:paraId="61BDFB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9" w:type="pct"/>
                  <w:tcBorders>
                    <w:tl2br w:val="nil"/>
                    <w:tr2bl w:val="nil"/>
                  </w:tcBorders>
                  <w:noWrap w:val="0"/>
                  <w:vAlign w:val="center"/>
                </w:tcPr>
                <w:p w14:paraId="265B7A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园河丽景小区3楼</w:t>
                  </w:r>
                </w:p>
              </w:tc>
              <w:tc>
                <w:tcPr>
                  <w:tcW w:w="752" w:type="pct"/>
                  <w:vMerge w:val="continue"/>
                  <w:tcBorders>
                    <w:tl2br w:val="nil"/>
                    <w:tr2bl w:val="nil"/>
                  </w:tcBorders>
                  <w:noWrap w:val="0"/>
                  <w:vAlign w:val="center"/>
                </w:tcPr>
                <w:p w14:paraId="0D6993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highlight w:val="yellow"/>
                      <w:lang w:val="en-US" w:eastAsia="zh-CN"/>
                    </w:rPr>
                  </w:pPr>
                </w:p>
              </w:tc>
              <w:tc>
                <w:tcPr>
                  <w:tcW w:w="932" w:type="pct"/>
                  <w:tcBorders>
                    <w:tl2br w:val="nil"/>
                    <w:tr2bl w:val="nil"/>
                  </w:tcBorders>
                  <w:noWrap w:val="0"/>
                  <w:vAlign w:val="center"/>
                </w:tcPr>
                <w:p w14:paraId="093D7D3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45</w:t>
                  </w:r>
                </w:p>
              </w:tc>
              <w:tc>
                <w:tcPr>
                  <w:tcW w:w="927" w:type="pct"/>
                  <w:tcBorders>
                    <w:tl2br w:val="nil"/>
                    <w:tr2bl w:val="nil"/>
                  </w:tcBorders>
                  <w:noWrap w:val="0"/>
                  <w:vAlign w:val="center"/>
                </w:tcPr>
                <w:p w14:paraId="4023538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w:t>
                  </w:r>
                </w:p>
              </w:tc>
              <w:tc>
                <w:tcPr>
                  <w:tcW w:w="1197" w:type="pct"/>
                  <w:vMerge w:val="continue"/>
                  <w:tcBorders>
                    <w:tl2br w:val="nil"/>
                    <w:tr2bl w:val="nil"/>
                  </w:tcBorders>
                  <w:noWrap w:val="0"/>
                  <w:vAlign w:val="center"/>
                </w:tcPr>
                <w:p w14:paraId="3C65878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cs="Times New Roman"/>
                      <w:color w:val="auto"/>
                      <w:sz w:val="21"/>
                      <w:szCs w:val="21"/>
                      <w:highlight w:val="yellow"/>
                      <w:lang w:val="en-US" w:eastAsia="zh-CN"/>
                    </w:rPr>
                  </w:pPr>
                </w:p>
              </w:tc>
            </w:tr>
            <w:tr w14:paraId="3A0A0D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9" w:type="pct"/>
                  <w:tcBorders>
                    <w:tl2br w:val="nil"/>
                    <w:tr2bl w:val="nil"/>
                  </w:tcBorders>
                  <w:noWrap w:val="0"/>
                  <w:vAlign w:val="center"/>
                </w:tcPr>
                <w:p w14:paraId="45FE6A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园河丽景小区5楼</w:t>
                  </w:r>
                </w:p>
              </w:tc>
              <w:tc>
                <w:tcPr>
                  <w:tcW w:w="752" w:type="pct"/>
                  <w:vMerge w:val="continue"/>
                  <w:tcBorders>
                    <w:tl2br w:val="nil"/>
                    <w:tr2bl w:val="nil"/>
                  </w:tcBorders>
                  <w:noWrap w:val="0"/>
                  <w:vAlign w:val="center"/>
                </w:tcPr>
                <w:p w14:paraId="3ED6EC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highlight w:val="yellow"/>
                      <w:lang w:val="en-US" w:eastAsia="zh-CN"/>
                    </w:rPr>
                  </w:pPr>
                </w:p>
              </w:tc>
              <w:tc>
                <w:tcPr>
                  <w:tcW w:w="932" w:type="pct"/>
                  <w:tcBorders>
                    <w:tl2br w:val="nil"/>
                    <w:tr2bl w:val="nil"/>
                  </w:tcBorders>
                  <w:noWrap w:val="0"/>
                  <w:vAlign w:val="center"/>
                </w:tcPr>
                <w:p w14:paraId="2638A29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44</w:t>
                  </w:r>
                </w:p>
              </w:tc>
              <w:tc>
                <w:tcPr>
                  <w:tcW w:w="927" w:type="pct"/>
                  <w:tcBorders>
                    <w:tl2br w:val="nil"/>
                    <w:tr2bl w:val="nil"/>
                  </w:tcBorders>
                  <w:noWrap w:val="0"/>
                  <w:vAlign w:val="center"/>
                </w:tcPr>
                <w:p w14:paraId="5B2B5C1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37</w:t>
                  </w:r>
                </w:p>
              </w:tc>
              <w:tc>
                <w:tcPr>
                  <w:tcW w:w="1197" w:type="pct"/>
                  <w:vMerge w:val="continue"/>
                  <w:tcBorders>
                    <w:tl2br w:val="nil"/>
                    <w:tr2bl w:val="nil"/>
                  </w:tcBorders>
                  <w:noWrap w:val="0"/>
                  <w:vAlign w:val="center"/>
                </w:tcPr>
                <w:p w14:paraId="7DCC392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rightChars="0"/>
                    <w:jc w:val="center"/>
                    <w:textAlignment w:val="auto"/>
                    <w:rPr>
                      <w:rFonts w:hint="eastAsia" w:cs="Times New Roman"/>
                      <w:color w:val="auto"/>
                      <w:sz w:val="21"/>
                      <w:szCs w:val="21"/>
                      <w:highlight w:val="yellow"/>
                      <w:lang w:val="en-US" w:eastAsia="zh-CN"/>
                    </w:rPr>
                  </w:pPr>
                </w:p>
              </w:tc>
            </w:tr>
          </w:tbl>
          <w:p w14:paraId="1F7E950E">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olor w:val="auto"/>
                <w:kern w:val="0"/>
                <w:sz w:val="24"/>
                <w:szCs w:val="24"/>
                <w:lang w:val="en-US" w:eastAsia="zh-CN" w:bidi="ar"/>
              </w:rPr>
            </w:pPr>
            <w:r>
              <w:rPr>
                <w:rFonts w:hint="default" w:ascii="Times New Roman" w:hAnsi="Times New Roman" w:eastAsia="宋体" w:cs="Times New Roman"/>
                <w:b w:val="0"/>
                <w:bCs w:val="0"/>
                <w:color w:val="auto"/>
                <w:kern w:val="0"/>
                <w:sz w:val="24"/>
                <w:szCs w:val="24"/>
                <w:lang w:val="en-US" w:eastAsia="zh-CN" w:bidi="ar"/>
              </w:rPr>
              <w:t>根据上表可知，该敏感点满足</w:t>
            </w:r>
            <w:r>
              <w:rPr>
                <w:rFonts w:hint="default" w:ascii="Times New Roman" w:hAnsi="Times New Roman" w:eastAsia="宋体" w:cs="Times New Roman"/>
                <w:b w:val="0"/>
                <w:bCs w:val="0"/>
                <w:color w:val="auto"/>
                <w:sz w:val="24"/>
                <w:szCs w:val="24"/>
                <w:highlight w:val="none"/>
                <w:u w:val="none" w:color="auto"/>
                <w:lang w:eastAsia="zh-CN"/>
              </w:rPr>
              <w:t>《声环境质量标准》（</w:t>
            </w:r>
            <w:r>
              <w:rPr>
                <w:rFonts w:hint="default" w:ascii="Times New Roman" w:hAnsi="Times New Roman" w:eastAsia="宋体" w:cs="Times New Roman"/>
                <w:b w:val="0"/>
                <w:bCs w:val="0"/>
                <w:color w:val="auto"/>
                <w:sz w:val="24"/>
                <w:szCs w:val="24"/>
                <w:highlight w:val="none"/>
                <w:u w:val="none" w:color="auto"/>
                <w:lang w:val="en-US" w:eastAsia="zh-CN"/>
              </w:rPr>
              <w:t>GB3096-2008</w:t>
            </w:r>
            <w:r>
              <w:rPr>
                <w:rFonts w:hint="default" w:ascii="Times New Roman" w:hAnsi="Times New Roman" w:eastAsia="宋体" w:cs="Times New Roman"/>
                <w:b w:val="0"/>
                <w:bCs w:val="0"/>
                <w:color w:val="auto"/>
                <w:sz w:val="24"/>
                <w:szCs w:val="24"/>
                <w:highlight w:val="none"/>
                <w:u w:val="none" w:color="auto"/>
                <w:lang w:eastAsia="zh-CN"/>
              </w:rPr>
              <w:t>）</w:t>
            </w:r>
            <w:r>
              <w:rPr>
                <w:rFonts w:hint="default" w:ascii="Times New Roman" w:hAnsi="Times New Roman" w:eastAsia="宋体" w:cs="Times New Roman"/>
                <w:b w:val="0"/>
                <w:bCs w:val="0"/>
                <w:color w:val="auto"/>
                <w:kern w:val="0"/>
                <w:sz w:val="24"/>
                <w:szCs w:val="24"/>
                <w:lang w:val="en-US" w:eastAsia="zh-CN" w:bidi="ar"/>
              </w:rPr>
              <w:t>2类标准。</w:t>
            </w:r>
          </w:p>
          <w:p w14:paraId="5AC201F3">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4.生态环境质量</w:t>
            </w:r>
          </w:p>
          <w:p w14:paraId="33571472">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本项目位于</w:t>
            </w:r>
            <w:r>
              <w:rPr>
                <w:rFonts w:hint="eastAsia" w:cs="Times New Roman"/>
                <w:color w:val="auto"/>
                <w:sz w:val="24"/>
                <w:szCs w:val="24"/>
                <w:highlight w:val="none"/>
                <w:u w:val="none" w:color="auto"/>
                <w:lang w:eastAsia="zh-CN"/>
              </w:rPr>
              <w:t>安阳市新型制造业产业园区中兴路南头</w:t>
            </w:r>
            <w:r>
              <w:rPr>
                <w:rFonts w:hint="eastAsia" w:ascii="Times New Roman" w:hAnsi="Times New Roman" w:eastAsia="宋体" w:cs="Times New Roman"/>
                <w:color w:val="auto"/>
                <w:sz w:val="24"/>
                <w:szCs w:val="24"/>
                <w:highlight w:val="none"/>
                <w:u w:val="none" w:color="auto"/>
                <w:lang w:eastAsia="zh-CN"/>
              </w:rPr>
              <w:t>，在现有厂区进行建设，不涉及新增用地</w:t>
            </w:r>
            <w:r>
              <w:rPr>
                <w:rFonts w:hint="eastAsia"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lang w:eastAsia="zh-CN"/>
              </w:rPr>
              <w:t>且用地范围内不涉及生态环境保护目标。</w:t>
            </w:r>
          </w:p>
          <w:p w14:paraId="4AD0F933">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5.土壤、地下水环境</w:t>
            </w:r>
          </w:p>
          <w:p w14:paraId="025DDB75">
            <w:pPr>
              <w:keepNext w:val="0"/>
              <w:keepLines w:val="0"/>
              <w:widowControl/>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黑体" w:cs="Times New Roman"/>
                <w:bCs/>
                <w:color w:val="auto"/>
                <w:szCs w:val="21"/>
                <w:highlight w:val="none"/>
                <w:u w:val="none" w:color="auto"/>
              </w:rPr>
            </w:pPr>
            <w:r>
              <w:rPr>
                <w:rFonts w:hint="eastAsia" w:ascii="Times New Roman" w:hAnsi="Times New Roman" w:eastAsia="宋体" w:cs="Times New Roman"/>
                <w:color w:val="auto"/>
                <w:sz w:val="24"/>
                <w:szCs w:val="24"/>
                <w:highlight w:val="none"/>
                <w:u w:val="none" w:color="auto"/>
              </w:rPr>
              <w:t>根据《建设项目环境影响报告表编制技术指南》（污染影响类）（试行）</w:t>
            </w: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rPr>
              <w:t>原则上不开展环境质量现状调查。建设项目存在土壤、地下水污染途径的，应结合污染源、环境保护目标分布情况开展现状调查以留作背景值</w:t>
            </w:r>
            <w:r>
              <w:rPr>
                <w:rFonts w:hint="eastAsia" w:ascii="Times New Roman" w:hAnsi="Times New Roman" w:eastAsia="宋体" w:cs="Times New Roman"/>
                <w:color w:val="auto"/>
                <w:sz w:val="24"/>
                <w:szCs w:val="24"/>
                <w:highlight w:val="none"/>
                <w:u w:val="none" w:color="auto"/>
                <w:lang w:eastAsia="zh-CN"/>
              </w:rPr>
              <w:t>”</w:t>
            </w:r>
            <w:r>
              <w:rPr>
                <w:rFonts w:hint="eastAsia" w:ascii="Times New Roman" w:hAnsi="Times New Roman" w:eastAsia="宋体" w:cs="Times New Roman"/>
                <w:color w:val="auto"/>
                <w:sz w:val="24"/>
                <w:szCs w:val="24"/>
                <w:highlight w:val="none"/>
                <w:u w:val="none" w:color="auto"/>
              </w:rPr>
              <w:t>，本工程不存在土壤、地下水污染途径，不开展土壤、地下水环境现状调查。</w:t>
            </w:r>
          </w:p>
        </w:tc>
      </w:tr>
      <w:tr w14:paraId="14AB9E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4" w:hRule="atLeast"/>
          <w:jc w:val="center"/>
        </w:trPr>
        <w:tc>
          <w:tcPr>
            <w:tcW w:w="465" w:type="dxa"/>
            <w:noWrap w:val="0"/>
            <w:vAlign w:val="center"/>
          </w:tcPr>
          <w:p w14:paraId="16B2528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环境</w:t>
            </w:r>
          </w:p>
          <w:p w14:paraId="7CB2228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保护</w:t>
            </w:r>
          </w:p>
          <w:p w14:paraId="559FBE7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Cs w:val="21"/>
                <w:highlight w:val="none"/>
                <w:u w:val="none" w:color="auto"/>
              </w:rPr>
            </w:pPr>
            <w:r>
              <w:rPr>
                <w:rFonts w:hint="eastAsia" w:ascii="Times New Roman" w:hAnsi="Times New Roman" w:eastAsia="宋体" w:cs="Times New Roman"/>
                <w:color w:val="auto"/>
                <w:kern w:val="0"/>
                <w:sz w:val="24"/>
                <w:szCs w:val="24"/>
                <w:highlight w:val="none"/>
                <w:u w:val="none" w:color="auto"/>
              </w:rPr>
              <w:t>目标</w:t>
            </w:r>
          </w:p>
        </w:tc>
        <w:tc>
          <w:tcPr>
            <w:tcW w:w="8538" w:type="dxa"/>
            <w:noWrap w:val="0"/>
            <w:vAlign w:val="center"/>
          </w:tcPr>
          <w:p w14:paraId="1121464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1.大气环境</w:t>
            </w:r>
          </w:p>
          <w:p w14:paraId="5F8EF2F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根据现场调查，本工程</w:t>
            </w:r>
            <w:r>
              <w:rPr>
                <w:rFonts w:hint="eastAsia" w:ascii="Times New Roman" w:hAnsi="Times New Roman" w:eastAsia="宋体" w:cs="Times New Roman"/>
                <w:color w:val="auto"/>
                <w:sz w:val="24"/>
                <w:szCs w:val="24"/>
                <w:highlight w:val="none"/>
                <w:u w:val="none" w:color="auto"/>
                <w:lang w:eastAsia="zh-CN"/>
              </w:rPr>
              <w:t>周边</w:t>
            </w:r>
            <w:r>
              <w:rPr>
                <w:rFonts w:hint="default" w:ascii="Times New Roman" w:hAnsi="Times New Roman" w:eastAsia="宋体" w:cs="Times New Roman"/>
                <w:color w:val="auto"/>
                <w:sz w:val="24"/>
                <w:szCs w:val="24"/>
                <w:highlight w:val="none"/>
                <w:u w:val="none" w:color="auto"/>
              </w:rPr>
              <w:t>主要大气环境敏感保护目标见下表：</w:t>
            </w:r>
          </w:p>
          <w:p w14:paraId="7F3D46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4"/>
                <w:szCs w:val="24"/>
                <w:highlight w:val="none"/>
                <w:u w:val="none" w:color="auto"/>
              </w:rPr>
            </w:pPr>
            <w:r>
              <w:rPr>
                <w:rFonts w:hint="eastAsia" w:cs="Times New Roman"/>
                <w:b/>
                <w:bCs/>
                <w:color w:val="auto"/>
                <w:kern w:val="0"/>
                <w:sz w:val="21"/>
                <w:szCs w:val="21"/>
                <w:highlight w:val="none"/>
                <w:u w:val="none" w:color="auto"/>
                <w:lang w:eastAsia="zh-CN"/>
              </w:rPr>
              <w:t>表</w:t>
            </w:r>
            <w:r>
              <w:rPr>
                <w:rFonts w:hint="eastAsia" w:cs="Times New Roman"/>
                <w:b/>
                <w:bCs/>
                <w:color w:val="auto"/>
                <w:kern w:val="0"/>
                <w:sz w:val="21"/>
                <w:szCs w:val="21"/>
                <w:highlight w:val="none"/>
                <w:u w:val="none" w:color="auto"/>
                <w:lang w:val="en-US" w:eastAsia="zh-CN"/>
              </w:rPr>
              <w:t xml:space="preserve">21  </w:t>
            </w:r>
            <w:r>
              <w:rPr>
                <w:rFonts w:hint="default" w:ascii="Times New Roman" w:hAnsi="Times New Roman" w:eastAsia="宋体" w:cs="Times New Roman"/>
                <w:b/>
                <w:bCs/>
                <w:color w:val="auto"/>
                <w:kern w:val="0"/>
                <w:sz w:val="21"/>
                <w:szCs w:val="21"/>
                <w:highlight w:val="none"/>
                <w:u w:val="none" w:color="auto"/>
              </w:rPr>
              <w:t>项目周边大气环境保护目标一览表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35"/>
              <w:gridCol w:w="1602"/>
              <w:gridCol w:w="580"/>
              <w:gridCol w:w="3087"/>
              <w:gridCol w:w="1135"/>
              <w:gridCol w:w="780"/>
            </w:tblGrid>
            <w:tr w14:paraId="26732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682" w:type="pct"/>
                  <w:tcBorders>
                    <w:top w:val="single" w:color="auto" w:sz="12" w:space="0"/>
                    <w:left w:val="nil"/>
                    <w:bottom w:val="single" w:color="auto" w:sz="4" w:space="0"/>
                    <w:right w:val="single" w:color="auto" w:sz="4" w:space="0"/>
                    <w:tl2br w:val="nil"/>
                    <w:tr2bl w:val="nil"/>
                  </w:tcBorders>
                  <w:noWrap w:val="0"/>
                  <w:tcMar>
                    <w:top w:w="15" w:type="dxa"/>
                    <w:left w:w="15" w:type="dxa"/>
                    <w:right w:w="15" w:type="dxa"/>
                  </w:tcMar>
                  <w:vAlign w:val="center"/>
                </w:tcPr>
                <w:p w14:paraId="06AB3246">
                  <w:pPr>
                    <w:keepNext w:val="0"/>
                    <w:keepLines w:val="0"/>
                    <w:suppressLineNumbers w:val="0"/>
                    <w:spacing w:before="0" w:beforeLines="0" w:beforeAutospacing="0" w:after="0" w:afterLines="0" w:afterAutospacing="0"/>
                    <w:ind w:left="0" w:right="0"/>
                    <w:jc w:val="center"/>
                    <w:rPr>
                      <w:rFonts w:hint="eastAsia" w:ascii="Times New Roman" w:hAnsi="Times New Roman" w:eastAsia="Times New Roman" w:cs="Times New Roman"/>
                      <w:b/>
                      <w:color w:val="auto"/>
                      <w:sz w:val="21"/>
                      <w:szCs w:val="24"/>
                      <w:u w:val="none" w:color="auto"/>
                    </w:rPr>
                  </w:pPr>
                  <w:r>
                    <w:rPr>
                      <w:rFonts w:hint="eastAsia" w:ascii="Times New Roman" w:hAnsi="Times New Roman" w:eastAsia="宋体" w:cs="Times New Roman"/>
                      <w:b/>
                      <w:color w:val="auto"/>
                      <w:sz w:val="21"/>
                      <w:szCs w:val="24"/>
                      <w:u w:val="none" w:color="auto"/>
                    </w:rPr>
                    <w:t>环境要素</w:t>
                  </w:r>
                </w:p>
              </w:tc>
              <w:tc>
                <w:tcPr>
                  <w:tcW w:w="962" w:type="pct"/>
                  <w:tcBorders>
                    <w:top w:val="single" w:color="auto" w:sz="12"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7FFED9A6">
                  <w:pPr>
                    <w:keepNext w:val="0"/>
                    <w:keepLines w:val="0"/>
                    <w:suppressLineNumbers w:val="0"/>
                    <w:spacing w:before="0" w:beforeLines="0" w:beforeAutospacing="0" w:after="0" w:afterLines="0" w:afterAutospacing="0"/>
                    <w:ind w:left="0" w:right="0"/>
                    <w:jc w:val="center"/>
                    <w:rPr>
                      <w:rFonts w:hint="eastAsia" w:ascii="Times New Roman" w:hAnsi="Times New Roman" w:eastAsia="Times New Roman" w:cs="Times New Roman"/>
                      <w:b/>
                      <w:color w:val="auto"/>
                      <w:sz w:val="21"/>
                      <w:szCs w:val="24"/>
                      <w:u w:val="none" w:color="auto"/>
                    </w:rPr>
                  </w:pPr>
                  <w:r>
                    <w:rPr>
                      <w:rFonts w:hint="eastAsia" w:ascii="Times New Roman" w:hAnsi="Times New Roman" w:eastAsia="宋体" w:cs="Times New Roman"/>
                      <w:b/>
                      <w:color w:val="auto"/>
                      <w:sz w:val="21"/>
                      <w:szCs w:val="24"/>
                      <w:u w:val="none" w:color="auto"/>
                    </w:rPr>
                    <w:t>保护对象</w:t>
                  </w:r>
                </w:p>
              </w:tc>
              <w:tc>
                <w:tcPr>
                  <w:tcW w:w="348" w:type="pct"/>
                  <w:tcBorders>
                    <w:top w:val="single" w:color="auto" w:sz="12"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62763F19">
                  <w:pPr>
                    <w:keepNext w:val="0"/>
                    <w:keepLines w:val="0"/>
                    <w:suppressLineNumbers w:val="0"/>
                    <w:spacing w:before="0" w:beforeLines="0" w:beforeAutospacing="0" w:after="0" w:afterLines="0" w:afterAutospacing="0"/>
                    <w:ind w:left="0" w:right="0"/>
                    <w:jc w:val="center"/>
                    <w:rPr>
                      <w:rFonts w:hint="eastAsia" w:ascii="Times New Roman" w:hAnsi="Times New Roman" w:eastAsia="Times New Roman" w:cs="Times New Roman"/>
                      <w:b/>
                      <w:color w:val="auto"/>
                      <w:sz w:val="21"/>
                      <w:szCs w:val="24"/>
                      <w:u w:val="none" w:color="auto"/>
                    </w:rPr>
                  </w:pPr>
                  <w:r>
                    <w:rPr>
                      <w:rFonts w:hint="eastAsia" w:ascii="Times New Roman" w:hAnsi="Times New Roman" w:eastAsia="宋体" w:cs="Times New Roman"/>
                      <w:b/>
                      <w:color w:val="auto"/>
                      <w:sz w:val="21"/>
                      <w:szCs w:val="24"/>
                      <w:u w:val="none" w:color="auto"/>
                    </w:rPr>
                    <w:t>保护内容</w:t>
                  </w:r>
                </w:p>
              </w:tc>
              <w:tc>
                <w:tcPr>
                  <w:tcW w:w="1855" w:type="pct"/>
                  <w:tcBorders>
                    <w:top w:val="single" w:color="auto" w:sz="12"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1E038FC0">
                  <w:pPr>
                    <w:keepNext w:val="0"/>
                    <w:keepLines w:val="0"/>
                    <w:suppressLineNumbers w:val="0"/>
                    <w:spacing w:before="0" w:beforeLines="0" w:beforeAutospacing="0" w:after="0" w:afterLines="0" w:afterAutospacing="0"/>
                    <w:ind w:left="0" w:right="0"/>
                    <w:jc w:val="center"/>
                    <w:rPr>
                      <w:rFonts w:hint="eastAsia" w:ascii="Times New Roman" w:hAnsi="Times New Roman" w:eastAsia="Times New Roman" w:cs="Times New Roman"/>
                      <w:b/>
                      <w:color w:val="auto"/>
                      <w:sz w:val="21"/>
                      <w:szCs w:val="24"/>
                      <w:u w:val="none" w:color="auto"/>
                    </w:rPr>
                  </w:pPr>
                  <w:r>
                    <w:rPr>
                      <w:rFonts w:hint="eastAsia" w:ascii="Times New Roman" w:hAnsi="Times New Roman" w:eastAsia="宋体" w:cs="Times New Roman"/>
                      <w:b/>
                      <w:color w:val="auto"/>
                      <w:sz w:val="21"/>
                      <w:szCs w:val="24"/>
                      <w:u w:val="none" w:color="auto"/>
                    </w:rPr>
                    <w:t>环境功能区</w:t>
                  </w:r>
                </w:p>
              </w:tc>
              <w:tc>
                <w:tcPr>
                  <w:tcW w:w="682" w:type="pct"/>
                  <w:tcBorders>
                    <w:top w:val="single" w:color="auto" w:sz="12"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7A34F6D6">
                  <w:pPr>
                    <w:keepNext w:val="0"/>
                    <w:keepLines w:val="0"/>
                    <w:suppressLineNumbers w:val="0"/>
                    <w:spacing w:before="0" w:beforeLines="0" w:beforeAutospacing="0" w:after="0" w:afterLines="0" w:afterAutospacing="0"/>
                    <w:ind w:left="0" w:right="0"/>
                    <w:jc w:val="center"/>
                    <w:rPr>
                      <w:rFonts w:hint="eastAsia" w:ascii="Times New Roman" w:hAnsi="Times New Roman" w:eastAsia="Times New Roman" w:cs="Times New Roman"/>
                      <w:b/>
                      <w:color w:val="auto"/>
                      <w:sz w:val="21"/>
                      <w:szCs w:val="24"/>
                      <w:u w:val="none" w:color="auto"/>
                    </w:rPr>
                  </w:pPr>
                  <w:r>
                    <w:rPr>
                      <w:rFonts w:hint="eastAsia" w:ascii="Times New Roman" w:hAnsi="Times New Roman" w:eastAsia="宋体" w:cs="Times New Roman"/>
                      <w:b/>
                      <w:color w:val="auto"/>
                      <w:sz w:val="21"/>
                      <w:szCs w:val="24"/>
                      <w:u w:val="none" w:color="auto"/>
                    </w:rPr>
                    <w:t>相对方位</w:t>
                  </w:r>
                </w:p>
              </w:tc>
              <w:tc>
                <w:tcPr>
                  <w:tcW w:w="468" w:type="pct"/>
                  <w:tcBorders>
                    <w:top w:val="single" w:color="auto" w:sz="12" w:space="0"/>
                    <w:left w:val="single" w:color="auto" w:sz="4" w:space="0"/>
                    <w:bottom w:val="single" w:color="auto" w:sz="4" w:space="0"/>
                    <w:right w:val="nil"/>
                    <w:tl2br w:val="nil"/>
                    <w:tr2bl w:val="nil"/>
                  </w:tcBorders>
                  <w:noWrap w:val="0"/>
                  <w:vAlign w:val="center"/>
                </w:tcPr>
                <w:p w14:paraId="15862455">
                  <w:pPr>
                    <w:keepNext w:val="0"/>
                    <w:keepLines w:val="0"/>
                    <w:suppressLineNumbers w:val="0"/>
                    <w:spacing w:before="0" w:beforeLines="0" w:beforeAutospacing="0" w:after="0" w:afterLines="0" w:afterAutospacing="0"/>
                    <w:ind w:left="0" w:right="0"/>
                    <w:jc w:val="center"/>
                    <w:rPr>
                      <w:rFonts w:hint="eastAsia" w:ascii="Times New Roman" w:hAnsi="Times New Roman" w:eastAsia="Times New Roman" w:cs="Times New Roman"/>
                      <w:b/>
                      <w:color w:val="auto"/>
                      <w:sz w:val="21"/>
                      <w:szCs w:val="24"/>
                      <w:u w:val="none" w:color="auto"/>
                    </w:rPr>
                  </w:pPr>
                  <w:r>
                    <w:rPr>
                      <w:rFonts w:hint="eastAsia" w:ascii="Times New Roman" w:hAnsi="Times New Roman" w:eastAsia="宋体" w:cs="Times New Roman"/>
                      <w:b/>
                      <w:color w:val="auto"/>
                      <w:sz w:val="21"/>
                      <w:szCs w:val="24"/>
                      <w:u w:val="none" w:color="auto"/>
                    </w:rPr>
                    <w:t>相对距离</w:t>
                  </w:r>
                </w:p>
              </w:tc>
            </w:tr>
            <w:tr w14:paraId="2367E6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82" w:type="pct"/>
                  <w:tcBorders>
                    <w:top w:val="single" w:color="auto" w:sz="4" w:space="0"/>
                    <w:left w:val="nil"/>
                    <w:bottom w:val="single" w:color="auto" w:sz="4" w:space="0"/>
                    <w:right w:val="single" w:color="auto" w:sz="4" w:space="0"/>
                    <w:tl2br w:val="nil"/>
                    <w:tr2bl w:val="nil"/>
                  </w:tcBorders>
                  <w:noWrap w:val="0"/>
                  <w:tcMar>
                    <w:top w:w="15" w:type="dxa"/>
                    <w:left w:w="15" w:type="dxa"/>
                    <w:right w:w="15" w:type="dxa"/>
                  </w:tcMar>
                  <w:vAlign w:val="center"/>
                </w:tcPr>
                <w:p w14:paraId="4EB3A99B">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Times New Roman" w:cs="Times New Roman"/>
                      <w:color w:val="auto"/>
                      <w:sz w:val="21"/>
                      <w:szCs w:val="24"/>
                      <w:u w:val="none" w:color="auto"/>
                    </w:rPr>
                  </w:pPr>
                  <w:r>
                    <w:rPr>
                      <w:rFonts w:hint="eastAsia" w:ascii="Times New Roman" w:hAnsi="Times New Roman" w:eastAsia="宋体" w:cs="Times New Roman"/>
                      <w:color w:val="auto"/>
                      <w:sz w:val="21"/>
                      <w:szCs w:val="24"/>
                      <w:u w:val="none" w:color="auto"/>
                    </w:rPr>
                    <w:t>大气环境</w:t>
                  </w:r>
                </w:p>
              </w:tc>
              <w:tc>
                <w:tcPr>
                  <w:tcW w:w="96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2252E1EB">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kern w:val="0"/>
                      <w:sz w:val="21"/>
                      <w:szCs w:val="24"/>
                      <w:u w:val="none" w:color="auto"/>
                      <w:lang w:eastAsia="zh-CN"/>
                    </w:rPr>
                    <w:t>园河丽景小区</w:t>
                  </w:r>
                </w:p>
              </w:tc>
              <w:tc>
                <w:tcPr>
                  <w:tcW w:w="348"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1A537A04">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Times New Roman" w:cs="Times New Roman"/>
                      <w:color w:val="auto"/>
                      <w:sz w:val="21"/>
                      <w:szCs w:val="24"/>
                      <w:u w:val="none" w:color="auto"/>
                    </w:rPr>
                  </w:pPr>
                  <w:r>
                    <w:rPr>
                      <w:rFonts w:hint="eastAsia" w:ascii="Times New Roman" w:hAnsi="Times New Roman" w:eastAsia="宋体" w:cs="Times New Roman"/>
                      <w:color w:val="auto"/>
                      <w:sz w:val="21"/>
                      <w:szCs w:val="24"/>
                      <w:u w:val="none" w:color="auto"/>
                    </w:rPr>
                    <w:t>居民</w:t>
                  </w:r>
                </w:p>
              </w:tc>
              <w:tc>
                <w:tcPr>
                  <w:tcW w:w="1855"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7C52A65D">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Times New Roman" w:cs="Times New Roman"/>
                      <w:color w:val="auto"/>
                      <w:sz w:val="21"/>
                      <w:szCs w:val="24"/>
                      <w:u w:val="none" w:color="auto"/>
                    </w:rPr>
                  </w:pPr>
                  <w:r>
                    <w:rPr>
                      <w:rFonts w:hint="eastAsia" w:ascii="Times New Roman" w:hAnsi="Times New Roman" w:eastAsia="宋体" w:cs="Times New Roman"/>
                      <w:color w:val="auto"/>
                      <w:sz w:val="21"/>
                      <w:szCs w:val="24"/>
                      <w:u w:val="none" w:color="auto"/>
                    </w:rPr>
                    <w:t>《环境空气质量标准》（GB3095-2012）及修改单二类</w:t>
                  </w:r>
                </w:p>
              </w:tc>
              <w:tc>
                <w:tcPr>
                  <w:tcW w:w="68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19A789A9">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sz w:val="21"/>
                      <w:szCs w:val="24"/>
                      <w:u w:val="none" w:color="auto"/>
                      <w:lang w:val="en-US" w:eastAsia="zh-CN"/>
                    </w:rPr>
                    <w:t>北</w:t>
                  </w:r>
                </w:p>
              </w:tc>
              <w:tc>
                <w:tcPr>
                  <w:tcW w:w="468" w:type="pct"/>
                  <w:tcBorders>
                    <w:top w:val="single" w:color="auto" w:sz="4" w:space="0"/>
                    <w:left w:val="single" w:color="auto" w:sz="4" w:space="0"/>
                    <w:bottom w:val="single" w:color="auto" w:sz="4" w:space="0"/>
                    <w:right w:val="nil"/>
                    <w:tl2br w:val="nil"/>
                    <w:tr2bl w:val="nil"/>
                  </w:tcBorders>
                  <w:noWrap w:val="0"/>
                  <w:vAlign w:val="center"/>
                </w:tcPr>
                <w:p w14:paraId="215063DA">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Times New Roman" w:cs="Times New Roman"/>
                      <w:color w:val="auto"/>
                      <w:sz w:val="21"/>
                      <w:szCs w:val="24"/>
                      <w:u w:val="none" w:color="auto"/>
                    </w:rPr>
                  </w:pPr>
                  <w:r>
                    <w:rPr>
                      <w:rFonts w:hint="eastAsia" w:cs="Times New Roman"/>
                      <w:color w:val="auto"/>
                      <w:sz w:val="21"/>
                      <w:szCs w:val="24"/>
                      <w:u w:val="none" w:color="auto"/>
                      <w:lang w:val="en-US" w:eastAsia="zh-CN"/>
                    </w:rPr>
                    <w:t>45</w:t>
                  </w:r>
                  <w:r>
                    <w:rPr>
                      <w:rFonts w:hint="eastAsia" w:ascii="Times New Roman" w:hAnsi="Times New Roman" w:eastAsia="Times New Roman" w:cs="Times New Roman"/>
                      <w:color w:val="auto"/>
                      <w:sz w:val="21"/>
                      <w:szCs w:val="24"/>
                      <w:u w:val="none" w:color="auto"/>
                    </w:rPr>
                    <w:t>m</w:t>
                  </w:r>
                </w:p>
              </w:tc>
            </w:tr>
            <w:tr w14:paraId="638772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682" w:type="pct"/>
                  <w:tcBorders>
                    <w:top w:val="single" w:color="auto" w:sz="4" w:space="0"/>
                    <w:left w:val="nil"/>
                    <w:bottom w:val="single" w:color="auto" w:sz="4" w:space="0"/>
                    <w:right w:val="single" w:color="auto" w:sz="4" w:space="0"/>
                    <w:tl2br w:val="nil"/>
                    <w:tr2bl w:val="nil"/>
                  </w:tcBorders>
                  <w:noWrap w:val="0"/>
                  <w:tcMar>
                    <w:top w:w="15" w:type="dxa"/>
                    <w:left w:w="15" w:type="dxa"/>
                    <w:right w:w="15" w:type="dxa"/>
                  </w:tcMar>
                  <w:vAlign w:val="center"/>
                </w:tcPr>
                <w:p w14:paraId="1CD7C9A2">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大气环境</w:t>
                  </w:r>
                </w:p>
              </w:tc>
              <w:tc>
                <w:tcPr>
                  <w:tcW w:w="96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237DEB93">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4"/>
                      <w:u w:val="none" w:color="auto"/>
                      <w:lang w:eastAsia="zh-CN"/>
                    </w:rPr>
                  </w:pPr>
                  <w:r>
                    <w:rPr>
                      <w:rFonts w:hint="eastAsia" w:cs="Times New Roman"/>
                      <w:color w:val="auto"/>
                      <w:kern w:val="0"/>
                      <w:sz w:val="21"/>
                      <w:szCs w:val="24"/>
                      <w:u w:val="none" w:color="auto"/>
                      <w:lang w:eastAsia="zh-CN"/>
                    </w:rPr>
                    <w:t>宜沟镇</w:t>
                  </w:r>
                </w:p>
              </w:tc>
              <w:tc>
                <w:tcPr>
                  <w:tcW w:w="348"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2FBAA4AF">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sz w:val="21"/>
                      <w:szCs w:val="24"/>
                      <w:u w:val="none" w:color="auto"/>
                      <w:lang w:eastAsia="zh-CN"/>
                    </w:rPr>
                    <w:t>居民</w:t>
                  </w:r>
                </w:p>
              </w:tc>
              <w:tc>
                <w:tcPr>
                  <w:tcW w:w="1855"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18EBD019">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《环境空气质量标准》（GB3095-2012）及修改单二类</w:t>
                  </w:r>
                </w:p>
              </w:tc>
              <w:tc>
                <w:tcPr>
                  <w:tcW w:w="68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0354D55D">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sz w:val="21"/>
                      <w:szCs w:val="24"/>
                      <w:u w:val="none" w:color="auto"/>
                      <w:lang w:eastAsia="zh-CN"/>
                    </w:rPr>
                    <w:t>南</w:t>
                  </w:r>
                </w:p>
              </w:tc>
              <w:tc>
                <w:tcPr>
                  <w:tcW w:w="468" w:type="pct"/>
                  <w:tcBorders>
                    <w:top w:val="single" w:color="auto" w:sz="4" w:space="0"/>
                    <w:left w:val="single" w:color="auto" w:sz="4" w:space="0"/>
                    <w:bottom w:val="single" w:color="auto" w:sz="4" w:space="0"/>
                    <w:right w:val="nil"/>
                    <w:tl2br w:val="nil"/>
                    <w:tr2bl w:val="nil"/>
                  </w:tcBorders>
                  <w:noWrap w:val="0"/>
                  <w:vAlign w:val="center"/>
                </w:tcPr>
                <w:p w14:paraId="108700C5">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4"/>
                      <w:u w:val="none" w:color="auto"/>
                      <w:lang w:val="en-US" w:eastAsia="zh-CN"/>
                    </w:rPr>
                  </w:pPr>
                  <w:r>
                    <w:rPr>
                      <w:rFonts w:hint="eastAsia" w:cs="Times New Roman"/>
                      <w:color w:val="auto"/>
                      <w:sz w:val="21"/>
                      <w:szCs w:val="24"/>
                      <w:u w:val="none" w:color="auto"/>
                      <w:lang w:val="en-US" w:eastAsia="zh-CN"/>
                    </w:rPr>
                    <w:t>102m</w:t>
                  </w:r>
                </w:p>
              </w:tc>
            </w:tr>
            <w:tr w14:paraId="54ECCA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682" w:type="pct"/>
                  <w:tcBorders>
                    <w:top w:val="single" w:color="auto" w:sz="4" w:space="0"/>
                    <w:left w:val="nil"/>
                    <w:bottom w:val="single" w:color="auto" w:sz="4" w:space="0"/>
                    <w:right w:val="single" w:color="auto" w:sz="4" w:space="0"/>
                    <w:tl2br w:val="nil"/>
                    <w:tr2bl w:val="nil"/>
                  </w:tcBorders>
                  <w:noWrap w:val="0"/>
                  <w:tcMar>
                    <w:top w:w="15" w:type="dxa"/>
                    <w:left w:w="15" w:type="dxa"/>
                    <w:right w:w="15" w:type="dxa"/>
                  </w:tcMar>
                  <w:vAlign w:val="center"/>
                </w:tcPr>
                <w:p w14:paraId="028056E8">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大气环境</w:t>
                  </w:r>
                </w:p>
              </w:tc>
              <w:tc>
                <w:tcPr>
                  <w:tcW w:w="96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1BDC03EC">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4"/>
                      <w:u w:val="none" w:color="auto"/>
                      <w:lang w:eastAsia="zh-CN"/>
                    </w:rPr>
                  </w:pPr>
                  <w:r>
                    <w:rPr>
                      <w:rFonts w:hint="eastAsia" w:cs="Times New Roman"/>
                      <w:color w:val="auto"/>
                      <w:kern w:val="0"/>
                      <w:sz w:val="21"/>
                      <w:szCs w:val="24"/>
                      <w:u w:val="none" w:color="auto"/>
                      <w:lang w:eastAsia="zh-CN"/>
                    </w:rPr>
                    <w:t>宜沟镇人民政府</w:t>
                  </w:r>
                </w:p>
              </w:tc>
              <w:tc>
                <w:tcPr>
                  <w:tcW w:w="348"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0364C65D">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sz w:val="21"/>
                      <w:szCs w:val="24"/>
                      <w:u w:val="none" w:color="auto"/>
                      <w:lang w:eastAsia="zh-CN"/>
                    </w:rPr>
                    <w:t>政府</w:t>
                  </w:r>
                </w:p>
              </w:tc>
              <w:tc>
                <w:tcPr>
                  <w:tcW w:w="1855"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69269692">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《环境空气质量标准》（GB3095-2012）及修改单二类</w:t>
                  </w:r>
                </w:p>
              </w:tc>
              <w:tc>
                <w:tcPr>
                  <w:tcW w:w="68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5DA03334">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sz w:val="21"/>
                      <w:szCs w:val="24"/>
                      <w:u w:val="none" w:color="auto"/>
                      <w:lang w:eastAsia="zh-CN"/>
                    </w:rPr>
                    <w:t>北</w:t>
                  </w:r>
                </w:p>
              </w:tc>
              <w:tc>
                <w:tcPr>
                  <w:tcW w:w="468" w:type="pct"/>
                  <w:tcBorders>
                    <w:top w:val="single" w:color="auto" w:sz="4" w:space="0"/>
                    <w:left w:val="single" w:color="auto" w:sz="4" w:space="0"/>
                    <w:bottom w:val="single" w:color="auto" w:sz="4" w:space="0"/>
                    <w:right w:val="nil"/>
                    <w:tl2br w:val="nil"/>
                    <w:tr2bl w:val="nil"/>
                  </w:tcBorders>
                  <w:noWrap w:val="0"/>
                  <w:vAlign w:val="center"/>
                </w:tcPr>
                <w:p w14:paraId="6EF00F72">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4"/>
                      <w:u w:val="none" w:color="auto"/>
                      <w:lang w:val="en-US" w:eastAsia="zh-CN"/>
                    </w:rPr>
                  </w:pPr>
                  <w:r>
                    <w:rPr>
                      <w:rFonts w:hint="eastAsia" w:cs="Times New Roman"/>
                      <w:color w:val="auto"/>
                      <w:sz w:val="21"/>
                      <w:szCs w:val="24"/>
                      <w:u w:val="none" w:color="auto"/>
                      <w:lang w:val="en-US" w:eastAsia="zh-CN"/>
                    </w:rPr>
                    <w:t>270m</w:t>
                  </w:r>
                </w:p>
              </w:tc>
            </w:tr>
            <w:tr w14:paraId="1891D6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82" w:type="pct"/>
                  <w:tcBorders>
                    <w:top w:val="single" w:color="auto" w:sz="4" w:space="0"/>
                    <w:left w:val="nil"/>
                    <w:bottom w:val="single" w:color="auto" w:sz="4" w:space="0"/>
                    <w:right w:val="single" w:color="auto" w:sz="4" w:space="0"/>
                    <w:tl2br w:val="nil"/>
                    <w:tr2bl w:val="nil"/>
                  </w:tcBorders>
                  <w:noWrap w:val="0"/>
                  <w:tcMar>
                    <w:top w:w="15" w:type="dxa"/>
                    <w:left w:w="15" w:type="dxa"/>
                    <w:right w:w="15" w:type="dxa"/>
                  </w:tcMar>
                  <w:vAlign w:val="center"/>
                </w:tcPr>
                <w:p w14:paraId="077804FE">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大气环境</w:t>
                  </w:r>
                </w:p>
              </w:tc>
              <w:tc>
                <w:tcPr>
                  <w:tcW w:w="96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0DFECC7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4"/>
                      <w:u w:val="none" w:color="auto"/>
                      <w:lang w:eastAsia="zh-CN"/>
                    </w:rPr>
                  </w:pPr>
                  <w:r>
                    <w:rPr>
                      <w:rFonts w:hint="eastAsia"/>
                      <w:b w:val="0"/>
                      <w:bCs w:val="0"/>
                      <w:color w:val="auto"/>
                      <w:sz w:val="21"/>
                      <w:szCs w:val="21"/>
                      <w:lang w:eastAsia="zh-CN"/>
                    </w:rPr>
                    <w:t>瑞和苑小区</w:t>
                  </w:r>
                </w:p>
              </w:tc>
              <w:tc>
                <w:tcPr>
                  <w:tcW w:w="348"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7C8CEBE7">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sz w:val="21"/>
                      <w:szCs w:val="24"/>
                      <w:u w:val="none" w:color="auto"/>
                      <w:lang w:eastAsia="zh-CN"/>
                    </w:rPr>
                    <w:t>居民</w:t>
                  </w:r>
                </w:p>
              </w:tc>
              <w:tc>
                <w:tcPr>
                  <w:tcW w:w="1855"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385012AD">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《环境空气质量标准》（GB3095-2012）及修改单二类</w:t>
                  </w:r>
                </w:p>
              </w:tc>
              <w:tc>
                <w:tcPr>
                  <w:tcW w:w="68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63D652A5">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lang w:eastAsia="zh-CN"/>
                    </w:rPr>
                  </w:pPr>
                  <w:r>
                    <w:rPr>
                      <w:rFonts w:hint="eastAsia" w:cs="Times New Roman"/>
                      <w:color w:val="auto"/>
                      <w:sz w:val="21"/>
                      <w:szCs w:val="24"/>
                      <w:u w:val="none" w:color="auto"/>
                      <w:lang w:eastAsia="zh-CN"/>
                    </w:rPr>
                    <w:t>北</w:t>
                  </w:r>
                </w:p>
              </w:tc>
              <w:tc>
                <w:tcPr>
                  <w:tcW w:w="468" w:type="pct"/>
                  <w:tcBorders>
                    <w:top w:val="single" w:color="auto" w:sz="4" w:space="0"/>
                    <w:left w:val="single" w:color="auto" w:sz="4" w:space="0"/>
                    <w:bottom w:val="single" w:color="auto" w:sz="4" w:space="0"/>
                    <w:right w:val="nil"/>
                    <w:tl2br w:val="nil"/>
                    <w:tr2bl w:val="nil"/>
                  </w:tcBorders>
                  <w:noWrap w:val="0"/>
                  <w:vAlign w:val="center"/>
                </w:tcPr>
                <w:p w14:paraId="43F62AB4">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4"/>
                      <w:u w:val="none" w:color="auto"/>
                      <w:lang w:val="en-US" w:eastAsia="zh-CN"/>
                    </w:rPr>
                  </w:pPr>
                  <w:r>
                    <w:rPr>
                      <w:rFonts w:hint="eastAsia" w:cs="Times New Roman"/>
                      <w:color w:val="auto"/>
                      <w:sz w:val="21"/>
                      <w:szCs w:val="24"/>
                      <w:u w:val="none" w:color="auto"/>
                      <w:lang w:val="en-US" w:eastAsia="zh-CN"/>
                    </w:rPr>
                    <w:t>275m</w:t>
                  </w:r>
                </w:p>
              </w:tc>
            </w:tr>
            <w:tr w14:paraId="104C6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682" w:type="pct"/>
                  <w:tcBorders>
                    <w:top w:val="single" w:color="auto" w:sz="4" w:space="0"/>
                    <w:left w:val="nil"/>
                    <w:bottom w:val="single" w:color="auto" w:sz="4" w:space="0"/>
                    <w:right w:val="single" w:color="auto" w:sz="4" w:space="0"/>
                    <w:tl2br w:val="nil"/>
                    <w:tr2bl w:val="nil"/>
                  </w:tcBorders>
                  <w:noWrap w:val="0"/>
                  <w:tcMar>
                    <w:top w:w="15" w:type="dxa"/>
                    <w:left w:w="15" w:type="dxa"/>
                    <w:right w:w="15" w:type="dxa"/>
                  </w:tcMar>
                  <w:vAlign w:val="center"/>
                </w:tcPr>
                <w:p w14:paraId="59F433F6">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大气环境</w:t>
                  </w:r>
                </w:p>
              </w:tc>
              <w:tc>
                <w:tcPr>
                  <w:tcW w:w="96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4D6E25DB">
                  <w:pPr>
                    <w:keepNext w:val="0"/>
                    <w:keepLines w:val="0"/>
                    <w:suppressLineNumbers w:val="0"/>
                    <w:spacing w:before="0" w:beforeAutospacing="0" w:after="0" w:afterAutospacing="0"/>
                    <w:ind w:left="0" w:right="0"/>
                    <w:jc w:val="center"/>
                    <w:rPr>
                      <w:rFonts w:hint="eastAsia"/>
                      <w:b w:val="0"/>
                      <w:bCs w:val="0"/>
                      <w:color w:val="auto"/>
                      <w:sz w:val="21"/>
                      <w:szCs w:val="21"/>
                      <w:lang w:eastAsia="zh-CN"/>
                    </w:rPr>
                  </w:pPr>
                  <w:r>
                    <w:rPr>
                      <w:rFonts w:hint="eastAsia"/>
                      <w:b w:val="0"/>
                      <w:bCs w:val="0"/>
                      <w:color w:val="auto"/>
                      <w:sz w:val="21"/>
                      <w:szCs w:val="21"/>
                      <w:lang w:eastAsia="zh-CN"/>
                    </w:rPr>
                    <w:t>江王庄村</w:t>
                  </w:r>
                </w:p>
              </w:tc>
              <w:tc>
                <w:tcPr>
                  <w:tcW w:w="348"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4373A86F">
                  <w:pPr>
                    <w:keepNext w:val="0"/>
                    <w:keepLines w:val="0"/>
                    <w:suppressLineNumbers w:val="0"/>
                    <w:adjustRightInd w:val="0"/>
                    <w:snapToGrid w:val="0"/>
                    <w:spacing w:before="0" w:beforeLines="0" w:beforeAutospacing="0" w:after="0" w:afterLines="0" w:afterAutospacing="0"/>
                    <w:ind w:left="0" w:right="0"/>
                    <w:jc w:val="center"/>
                    <w:rPr>
                      <w:rFonts w:hint="eastAsia" w:cs="Times New Roman"/>
                      <w:color w:val="auto"/>
                      <w:sz w:val="21"/>
                      <w:szCs w:val="24"/>
                      <w:u w:val="none" w:color="auto"/>
                      <w:lang w:eastAsia="zh-CN"/>
                    </w:rPr>
                  </w:pPr>
                  <w:r>
                    <w:rPr>
                      <w:rFonts w:hint="eastAsia" w:cs="Times New Roman"/>
                      <w:color w:val="auto"/>
                      <w:sz w:val="21"/>
                      <w:szCs w:val="24"/>
                      <w:u w:val="none" w:color="auto"/>
                      <w:lang w:eastAsia="zh-CN"/>
                    </w:rPr>
                    <w:t>居民</w:t>
                  </w:r>
                </w:p>
              </w:tc>
              <w:tc>
                <w:tcPr>
                  <w:tcW w:w="1855"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044B46CD">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u w:val="none" w:color="auto"/>
                    </w:rPr>
                  </w:pPr>
                  <w:r>
                    <w:rPr>
                      <w:rFonts w:hint="eastAsia" w:ascii="Times New Roman" w:hAnsi="Times New Roman" w:eastAsia="宋体" w:cs="Times New Roman"/>
                      <w:color w:val="auto"/>
                      <w:sz w:val="21"/>
                      <w:szCs w:val="24"/>
                      <w:u w:val="none" w:color="auto"/>
                    </w:rPr>
                    <w:t>《环境空气质量标准》（GB3095-2012）及修改单二类</w:t>
                  </w:r>
                </w:p>
              </w:tc>
              <w:tc>
                <w:tcPr>
                  <w:tcW w:w="682" w:type="pct"/>
                  <w:tcBorders>
                    <w:top w:val="single" w:color="auto" w:sz="4" w:space="0"/>
                    <w:left w:val="single" w:color="auto" w:sz="4" w:space="0"/>
                    <w:bottom w:val="single" w:color="auto" w:sz="4" w:space="0"/>
                    <w:right w:val="single" w:color="auto" w:sz="4" w:space="0"/>
                    <w:tl2br w:val="nil"/>
                    <w:tr2bl w:val="nil"/>
                  </w:tcBorders>
                  <w:noWrap w:val="0"/>
                  <w:tcMar>
                    <w:top w:w="15" w:type="dxa"/>
                    <w:left w:w="15" w:type="dxa"/>
                    <w:right w:w="15" w:type="dxa"/>
                  </w:tcMar>
                  <w:vAlign w:val="center"/>
                </w:tcPr>
                <w:p w14:paraId="39291D4E">
                  <w:pPr>
                    <w:keepNext w:val="0"/>
                    <w:keepLines w:val="0"/>
                    <w:suppressLineNumbers w:val="0"/>
                    <w:adjustRightInd w:val="0"/>
                    <w:snapToGrid w:val="0"/>
                    <w:spacing w:before="0" w:beforeLines="0" w:beforeAutospacing="0" w:after="0" w:afterLines="0" w:afterAutospacing="0"/>
                    <w:ind w:left="0" w:right="0"/>
                    <w:jc w:val="center"/>
                    <w:rPr>
                      <w:rFonts w:hint="eastAsia" w:cs="Times New Roman"/>
                      <w:color w:val="auto"/>
                      <w:sz w:val="21"/>
                      <w:szCs w:val="24"/>
                      <w:u w:val="none" w:color="auto"/>
                      <w:lang w:eastAsia="zh-CN"/>
                    </w:rPr>
                  </w:pPr>
                  <w:r>
                    <w:rPr>
                      <w:rFonts w:hint="eastAsia" w:cs="Times New Roman"/>
                      <w:color w:val="auto"/>
                      <w:sz w:val="21"/>
                      <w:szCs w:val="24"/>
                      <w:u w:val="none" w:color="auto"/>
                      <w:lang w:eastAsia="zh-CN"/>
                    </w:rPr>
                    <w:t>东南</w:t>
                  </w:r>
                </w:p>
              </w:tc>
              <w:tc>
                <w:tcPr>
                  <w:tcW w:w="468" w:type="pct"/>
                  <w:tcBorders>
                    <w:top w:val="single" w:color="auto" w:sz="4" w:space="0"/>
                    <w:left w:val="single" w:color="auto" w:sz="4" w:space="0"/>
                    <w:bottom w:val="single" w:color="auto" w:sz="4" w:space="0"/>
                    <w:right w:val="nil"/>
                    <w:tl2br w:val="nil"/>
                    <w:tr2bl w:val="nil"/>
                  </w:tcBorders>
                  <w:noWrap w:val="0"/>
                  <w:vAlign w:val="center"/>
                </w:tcPr>
                <w:p w14:paraId="1A0EFF67">
                  <w:pPr>
                    <w:keepNext w:val="0"/>
                    <w:keepLines w:val="0"/>
                    <w:suppressLineNumbers w:val="0"/>
                    <w:adjustRightInd w:val="0"/>
                    <w:snapToGrid w:val="0"/>
                    <w:spacing w:before="0" w:beforeLines="0" w:beforeAutospacing="0" w:after="0" w:afterLines="0" w:afterAutospacing="0"/>
                    <w:ind w:left="0" w:right="0"/>
                    <w:jc w:val="center"/>
                    <w:rPr>
                      <w:rFonts w:hint="default" w:cs="Times New Roman"/>
                      <w:color w:val="auto"/>
                      <w:sz w:val="21"/>
                      <w:szCs w:val="24"/>
                      <w:u w:val="none" w:color="auto"/>
                      <w:lang w:val="en-US" w:eastAsia="zh-CN"/>
                    </w:rPr>
                  </w:pPr>
                  <w:r>
                    <w:rPr>
                      <w:rFonts w:hint="eastAsia" w:cs="Times New Roman"/>
                      <w:color w:val="auto"/>
                      <w:sz w:val="21"/>
                      <w:szCs w:val="24"/>
                      <w:u w:val="none" w:color="auto"/>
                      <w:lang w:val="en-US" w:eastAsia="zh-CN"/>
                    </w:rPr>
                    <w:t>388m</w:t>
                  </w:r>
                </w:p>
              </w:tc>
            </w:tr>
          </w:tbl>
          <w:p w14:paraId="3BC5997A">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2.声环境</w:t>
            </w:r>
          </w:p>
          <w:p w14:paraId="077FAA60">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outlineLvl w:val="9"/>
              <w:rPr>
                <w:rFonts w:hint="eastAsia" w:ascii="Times New Roman" w:hAnsi="Times New Roman" w:eastAsia="宋体" w:cs="Times New Roman"/>
                <w:b w:val="0"/>
                <w:bCs/>
                <w:color w:val="auto"/>
                <w:sz w:val="24"/>
                <w:szCs w:val="24"/>
                <w:highlight w:val="none"/>
                <w:u w:val="none" w:color="auto"/>
                <w:lang w:val="zh-CN" w:eastAsia="zh-CN"/>
              </w:rPr>
            </w:pPr>
            <w:r>
              <w:rPr>
                <w:rFonts w:hint="eastAsia" w:ascii="Times New Roman" w:hAnsi="Times New Roman" w:eastAsia="宋体" w:cs="Times New Roman"/>
                <w:b w:val="0"/>
                <w:bCs/>
                <w:color w:val="auto"/>
                <w:sz w:val="24"/>
                <w:szCs w:val="24"/>
                <w:highlight w:val="none"/>
                <w:u w:val="none" w:color="auto"/>
                <w:lang w:val="en-US" w:eastAsia="zh-CN"/>
              </w:rPr>
              <w:t>项目</w:t>
            </w:r>
            <w:r>
              <w:rPr>
                <w:rFonts w:hint="eastAsia" w:cs="Times New Roman"/>
                <w:b w:val="0"/>
                <w:bCs/>
                <w:color w:val="auto"/>
                <w:sz w:val="24"/>
                <w:szCs w:val="24"/>
                <w:highlight w:val="none"/>
                <w:u w:val="none" w:color="auto"/>
                <w:lang w:val="en-US" w:eastAsia="zh-CN"/>
              </w:rPr>
              <w:t>厂界</w:t>
            </w:r>
            <w:r>
              <w:rPr>
                <w:rFonts w:hint="default" w:ascii="Times New Roman" w:hAnsi="Times New Roman" w:eastAsia="宋体" w:cs="Times New Roman"/>
                <w:b w:val="0"/>
                <w:bCs/>
                <w:color w:val="auto"/>
                <w:sz w:val="24"/>
                <w:szCs w:val="24"/>
                <w:highlight w:val="none"/>
                <w:u w:val="none" w:color="auto"/>
                <w:lang w:val="zh-CN" w:eastAsia="zh-CN"/>
              </w:rPr>
              <w:t>外50米</w:t>
            </w:r>
            <w:r>
              <w:rPr>
                <w:rFonts w:hint="eastAsia" w:ascii="Times New Roman" w:hAnsi="Times New Roman" w:eastAsia="宋体" w:cs="Times New Roman"/>
                <w:b w:val="0"/>
                <w:bCs/>
                <w:color w:val="auto"/>
                <w:sz w:val="24"/>
                <w:szCs w:val="24"/>
                <w:highlight w:val="none"/>
                <w:u w:val="none" w:color="auto"/>
                <w:lang w:val="zh-CN" w:eastAsia="zh-CN"/>
              </w:rPr>
              <w:t>范围</w:t>
            </w:r>
            <w:r>
              <w:rPr>
                <w:rFonts w:hint="default" w:ascii="Times New Roman" w:hAnsi="Times New Roman" w:eastAsia="宋体" w:cs="Times New Roman"/>
                <w:b w:val="0"/>
                <w:bCs/>
                <w:color w:val="auto"/>
                <w:sz w:val="24"/>
                <w:szCs w:val="24"/>
                <w:highlight w:val="none"/>
                <w:u w:val="none" w:color="auto"/>
                <w:lang w:val="zh-CN" w:eastAsia="zh-CN"/>
              </w:rPr>
              <w:t>声环境保护目标</w:t>
            </w:r>
            <w:r>
              <w:rPr>
                <w:rFonts w:hint="eastAsia" w:ascii="Times New Roman" w:hAnsi="Times New Roman" w:eastAsia="宋体" w:cs="Times New Roman"/>
                <w:b w:val="0"/>
                <w:bCs/>
                <w:color w:val="auto"/>
                <w:sz w:val="24"/>
                <w:szCs w:val="24"/>
                <w:highlight w:val="none"/>
                <w:u w:val="none" w:color="auto"/>
                <w:lang w:val="zh-CN" w:eastAsia="zh-CN"/>
              </w:rPr>
              <w:t>见下表。</w:t>
            </w:r>
          </w:p>
          <w:p w14:paraId="47F2CF3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color w:val="auto"/>
                <w:kern w:val="0"/>
                <w:sz w:val="21"/>
                <w:szCs w:val="21"/>
                <w:highlight w:val="none"/>
                <w:lang w:val="zh-CN" w:eastAsia="zh-CN"/>
              </w:rPr>
            </w:pPr>
            <w:r>
              <w:rPr>
                <w:rFonts w:hint="eastAsia" w:cs="Times New Roman"/>
                <w:b/>
                <w:bCs/>
                <w:color w:val="auto"/>
                <w:kern w:val="0"/>
                <w:sz w:val="21"/>
                <w:szCs w:val="21"/>
                <w:highlight w:val="none"/>
                <w:lang w:val="zh-CN"/>
              </w:rPr>
              <w:t>表</w:t>
            </w:r>
            <w:r>
              <w:rPr>
                <w:rFonts w:hint="eastAsia" w:cs="Times New Roman"/>
                <w:b/>
                <w:bCs/>
                <w:color w:val="auto"/>
                <w:kern w:val="0"/>
                <w:sz w:val="21"/>
                <w:szCs w:val="21"/>
                <w:highlight w:val="none"/>
                <w:lang w:val="en-US" w:eastAsia="zh-CN"/>
              </w:rPr>
              <w:t xml:space="preserve">22  </w:t>
            </w:r>
            <w:r>
              <w:rPr>
                <w:rFonts w:hint="eastAsia" w:ascii="Times New Roman" w:hAnsi="Times New Roman" w:eastAsia="宋体" w:cs="Times New Roman"/>
                <w:b/>
                <w:bCs/>
                <w:color w:val="auto"/>
                <w:kern w:val="0"/>
                <w:sz w:val="21"/>
                <w:szCs w:val="21"/>
                <w:highlight w:val="none"/>
                <w:lang w:val="zh-CN"/>
              </w:rPr>
              <w:t>声</w:t>
            </w:r>
            <w:r>
              <w:rPr>
                <w:rFonts w:hint="default" w:ascii="Times New Roman" w:hAnsi="Times New Roman" w:eastAsia="宋体" w:cs="Times New Roman"/>
                <w:b/>
                <w:bCs/>
                <w:color w:val="auto"/>
                <w:kern w:val="0"/>
                <w:sz w:val="21"/>
                <w:szCs w:val="21"/>
                <w:highlight w:val="none"/>
                <w:lang w:val="zh-CN"/>
              </w:rPr>
              <w:t>环境保护目标一览表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49"/>
              <w:gridCol w:w="1731"/>
              <w:gridCol w:w="1177"/>
              <w:gridCol w:w="2962"/>
            </w:tblGrid>
            <w:tr w14:paraId="7A676F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71" w:type="pct"/>
                  <w:noWrap w:val="0"/>
                  <w:vAlign w:val="center"/>
                </w:tcPr>
                <w:p w14:paraId="084075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sz w:val="21"/>
                      <w:szCs w:val="21"/>
                      <w:highlight w:val="none"/>
                      <w:u w:val="none" w:color="auto"/>
                      <w:lang w:eastAsia="zh-CN"/>
                    </w:rPr>
                  </w:pPr>
                  <w:r>
                    <w:rPr>
                      <w:rFonts w:hint="default" w:ascii="Times New Roman" w:hAnsi="Times New Roman" w:eastAsia="宋体" w:cs="Times New Roman"/>
                      <w:b w:val="0"/>
                      <w:bCs w:val="0"/>
                      <w:color w:val="auto"/>
                      <w:sz w:val="21"/>
                      <w:szCs w:val="21"/>
                      <w:highlight w:val="none"/>
                    </w:rPr>
                    <w:t>名称</w:t>
                  </w:r>
                </w:p>
              </w:tc>
              <w:tc>
                <w:tcPr>
                  <w:tcW w:w="1040" w:type="pct"/>
                  <w:noWrap w:val="0"/>
                  <w:vAlign w:val="center"/>
                </w:tcPr>
                <w:p w14:paraId="71B04A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 w:val="0"/>
                      <w:bCs w:val="0"/>
                      <w:color w:val="auto"/>
                      <w:sz w:val="21"/>
                      <w:szCs w:val="21"/>
                      <w:highlight w:val="none"/>
                      <w:lang w:eastAsia="zh-CN"/>
                    </w:rPr>
                  </w:pPr>
                  <w:r>
                    <w:rPr>
                      <w:rFonts w:hint="eastAsia" w:ascii="Times New Roman" w:hAnsi="Times New Roman" w:eastAsia="宋体" w:cs="Times New Roman"/>
                      <w:b w:val="0"/>
                      <w:bCs w:val="0"/>
                      <w:color w:val="auto"/>
                      <w:sz w:val="21"/>
                      <w:szCs w:val="21"/>
                      <w:highlight w:val="none"/>
                      <w:lang w:eastAsia="zh-CN"/>
                    </w:rPr>
                    <w:t>功能区划</w:t>
                  </w:r>
                </w:p>
              </w:tc>
              <w:tc>
                <w:tcPr>
                  <w:tcW w:w="707" w:type="pct"/>
                  <w:noWrap w:val="0"/>
                  <w:vAlign w:val="center"/>
                </w:tcPr>
                <w:p w14:paraId="1AB9E5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eastAsia="zh-CN"/>
                    </w:rPr>
                  </w:pPr>
                  <w:r>
                    <w:rPr>
                      <w:rFonts w:hint="default" w:ascii="Times New Roman" w:hAnsi="Times New Roman" w:eastAsia="宋体" w:cs="Times New Roman"/>
                      <w:b w:val="0"/>
                      <w:bCs w:val="0"/>
                      <w:color w:val="auto"/>
                      <w:sz w:val="21"/>
                      <w:szCs w:val="21"/>
                      <w:highlight w:val="none"/>
                    </w:rPr>
                    <w:t>方位</w:t>
                  </w:r>
                </w:p>
              </w:tc>
              <w:tc>
                <w:tcPr>
                  <w:tcW w:w="1779" w:type="pct"/>
                  <w:noWrap w:val="0"/>
                  <w:vAlign w:val="center"/>
                </w:tcPr>
                <w:p w14:paraId="19E543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val="0"/>
                      <w:bCs w:val="0"/>
                      <w:color w:val="auto"/>
                      <w:sz w:val="21"/>
                      <w:szCs w:val="21"/>
                      <w:highlight w:val="none"/>
                      <w:u w:val="none" w:color="auto"/>
                      <w:lang w:val="en-US"/>
                    </w:rPr>
                  </w:pPr>
                  <w:r>
                    <w:rPr>
                      <w:rFonts w:hint="eastAsia" w:ascii="Times New Roman" w:hAnsi="Times New Roman" w:eastAsia="宋体" w:cs="Times New Roman"/>
                      <w:b w:val="0"/>
                      <w:bCs w:val="0"/>
                      <w:color w:val="auto"/>
                      <w:sz w:val="21"/>
                      <w:szCs w:val="21"/>
                      <w:highlight w:val="none"/>
                      <w:lang w:eastAsia="zh-CN"/>
                    </w:rPr>
                    <w:t>与本项目</w:t>
                  </w:r>
                  <w:r>
                    <w:rPr>
                      <w:rFonts w:hint="default" w:ascii="Times New Roman" w:hAnsi="Times New Roman" w:eastAsia="宋体" w:cs="Times New Roman"/>
                      <w:b w:val="0"/>
                      <w:bCs w:val="0"/>
                      <w:color w:val="auto"/>
                      <w:sz w:val="21"/>
                      <w:szCs w:val="21"/>
                      <w:highlight w:val="none"/>
                    </w:rPr>
                    <w:t>距离/m</w:t>
                  </w:r>
                </w:p>
              </w:tc>
            </w:tr>
            <w:tr w14:paraId="71953D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471" w:type="pct"/>
                  <w:noWrap w:val="0"/>
                  <w:vAlign w:val="center"/>
                </w:tcPr>
                <w:p w14:paraId="1DD9B2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eastAsia="宋体"/>
                      <w:color w:val="auto"/>
                      <w:kern w:val="2"/>
                      <w:sz w:val="21"/>
                      <w:szCs w:val="21"/>
                      <w:highlight w:val="none"/>
                      <w:lang w:val="en-US" w:eastAsia="zh-CN" w:bidi="ar-SA"/>
                    </w:rPr>
                  </w:pPr>
                  <w:r>
                    <w:rPr>
                      <w:rFonts w:hint="eastAsia" w:eastAsia="宋体"/>
                      <w:color w:val="auto"/>
                      <w:sz w:val="21"/>
                      <w:szCs w:val="21"/>
                      <w:highlight w:val="none"/>
                      <w:lang w:eastAsia="zh-CN"/>
                    </w:rPr>
                    <w:t>园河丽景小区</w:t>
                  </w:r>
                </w:p>
              </w:tc>
              <w:tc>
                <w:tcPr>
                  <w:tcW w:w="1040" w:type="pct"/>
                  <w:noWrap w:val="0"/>
                  <w:vAlign w:val="center"/>
                </w:tcPr>
                <w:p w14:paraId="2F262D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w:t>
                  </w:r>
                  <w:r>
                    <w:rPr>
                      <w:rFonts w:hint="eastAsia" w:eastAsia="宋体"/>
                      <w:color w:val="auto"/>
                      <w:sz w:val="21"/>
                      <w:szCs w:val="21"/>
                      <w:highlight w:val="none"/>
                      <w:lang w:val="en-US" w:eastAsia="zh-CN"/>
                    </w:rPr>
                    <w:t>类</w:t>
                  </w:r>
                </w:p>
              </w:tc>
              <w:tc>
                <w:tcPr>
                  <w:tcW w:w="707" w:type="pct"/>
                  <w:noWrap w:val="0"/>
                  <w:vAlign w:val="center"/>
                </w:tcPr>
                <w:p w14:paraId="652454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eastAsia="宋体"/>
                      <w:color w:val="auto"/>
                      <w:kern w:val="2"/>
                      <w:sz w:val="21"/>
                      <w:szCs w:val="21"/>
                      <w:highlight w:val="none"/>
                      <w:lang w:val="en-US" w:eastAsia="zh-CN" w:bidi="ar-SA"/>
                    </w:rPr>
                  </w:pPr>
                  <w:r>
                    <w:rPr>
                      <w:rFonts w:hint="eastAsia" w:eastAsia="宋体"/>
                      <w:color w:val="auto"/>
                      <w:sz w:val="21"/>
                      <w:szCs w:val="21"/>
                      <w:highlight w:val="none"/>
                      <w:lang w:eastAsia="zh-CN"/>
                    </w:rPr>
                    <w:t>北</w:t>
                  </w:r>
                </w:p>
              </w:tc>
              <w:tc>
                <w:tcPr>
                  <w:tcW w:w="1779" w:type="pct"/>
                  <w:noWrap w:val="0"/>
                  <w:vAlign w:val="center"/>
                </w:tcPr>
                <w:p w14:paraId="02035E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2"/>
                      <w:sz w:val="21"/>
                      <w:szCs w:val="21"/>
                      <w:highlight w:val="none"/>
                      <w:lang w:val="en-US" w:eastAsia="zh-CN" w:bidi="ar-SA"/>
                    </w:rPr>
                  </w:pPr>
                  <w:bookmarkStart w:id="33" w:name="OLE_LINK83"/>
                  <w:r>
                    <w:rPr>
                      <w:rFonts w:hint="eastAsia" w:eastAsia="宋体"/>
                      <w:color w:val="auto"/>
                      <w:sz w:val="21"/>
                      <w:szCs w:val="21"/>
                      <w:highlight w:val="none"/>
                      <w:lang w:val="en-US" w:eastAsia="zh-CN"/>
                    </w:rPr>
                    <w:t>45</w:t>
                  </w:r>
                  <w:bookmarkEnd w:id="33"/>
                </w:p>
              </w:tc>
            </w:tr>
          </w:tbl>
          <w:p w14:paraId="1A29F5C8">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3.地下水环境</w:t>
            </w:r>
          </w:p>
          <w:p w14:paraId="634466B4">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根据现场调查，本厂界外500m范围内无地下水集中式饮用水水源和热水、矿泉水、温泉等特殊地下水资源。</w:t>
            </w:r>
          </w:p>
          <w:p w14:paraId="20CB34AB">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4.生态环境</w:t>
            </w:r>
          </w:p>
          <w:p w14:paraId="27801516">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
                <w:bCs/>
                <w:color w:val="auto"/>
                <w:szCs w:val="21"/>
                <w:highlight w:val="none"/>
                <w:u w:val="none" w:color="auto"/>
              </w:rPr>
            </w:pPr>
            <w:r>
              <w:rPr>
                <w:rFonts w:hint="eastAsia" w:ascii="Times New Roman" w:hAnsi="Times New Roman" w:eastAsia="宋体" w:cs="Times New Roman"/>
                <w:color w:val="auto"/>
                <w:sz w:val="24"/>
                <w:szCs w:val="24"/>
                <w:highlight w:val="none"/>
                <w:u w:val="none" w:color="auto"/>
                <w:lang w:val="en-US" w:eastAsia="zh-CN"/>
              </w:rPr>
              <w:t>本工程在现有厂区内建设，不涉及新增土地，且用地范围内无生态环境保护目标，不进行生态环境保护目标调查。</w:t>
            </w:r>
          </w:p>
        </w:tc>
      </w:tr>
      <w:tr w14:paraId="537232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8" w:hRule="atLeast"/>
          <w:jc w:val="center"/>
        </w:trPr>
        <w:tc>
          <w:tcPr>
            <w:tcW w:w="465" w:type="dxa"/>
            <w:noWrap w:val="0"/>
            <w:tcMar>
              <w:left w:w="28" w:type="dxa"/>
              <w:right w:w="28" w:type="dxa"/>
            </w:tcMar>
            <w:vAlign w:val="center"/>
          </w:tcPr>
          <w:p w14:paraId="5F1333E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污染</w:t>
            </w:r>
          </w:p>
          <w:p w14:paraId="2443056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物排</w:t>
            </w:r>
          </w:p>
          <w:p w14:paraId="077CDA6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放控</w:t>
            </w:r>
          </w:p>
          <w:p w14:paraId="5C70E3B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制标</w:t>
            </w:r>
          </w:p>
          <w:p w14:paraId="358A6C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u w:val="none" w:color="auto"/>
              </w:rPr>
            </w:pPr>
            <w:r>
              <w:rPr>
                <w:rFonts w:hint="eastAsia" w:ascii="Times New Roman" w:hAnsi="Times New Roman" w:eastAsia="宋体" w:cs="Times New Roman"/>
                <w:color w:val="auto"/>
                <w:kern w:val="0"/>
                <w:sz w:val="24"/>
                <w:szCs w:val="24"/>
                <w:highlight w:val="none"/>
                <w:u w:val="none" w:color="auto"/>
              </w:rPr>
              <w:t>准</w:t>
            </w:r>
          </w:p>
        </w:tc>
        <w:tc>
          <w:tcPr>
            <w:tcW w:w="8538" w:type="dxa"/>
            <w:noWrap w:val="0"/>
            <w:vAlign w:val="center"/>
          </w:tcPr>
          <w:p w14:paraId="08A7321E">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1.废气</w:t>
            </w:r>
          </w:p>
          <w:p w14:paraId="141BFABF">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eastAsia" w:cs="Times New Roman"/>
                <w:b w:val="0"/>
                <w:bCs w:val="0"/>
                <w:color w:val="auto"/>
                <w:sz w:val="24"/>
                <w:szCs w:val="24"/>
                <w:highlight w:val="none"/>
                <w:u w:val="none" w:color="auto"/>
                <w:lang w:eastAsia="zh-CN"/>
              </w:rPr>
            </w:pPr>
            <w:r>
              <w:rPr>
                <w:rFonts w:hint="eastAsia" w:cs="Times New Roman"/>
                <w:b w:val="0"/>
                <w:bCs w:val="0"/>
                <w:color w:val="auto"/>
                <w:sz w:val="24"/>
                <w:szCs w:val="24"/>
                <w:highlight w:val="none"/>
                <w:u w:val="none" w:color="auto"/>
                <w:lang w:eastAsia="zh-CN"/>
              </w:rPr>
              <w:t>本项目弹簧钢盘圆进厂时无附着物，在拉拔处理时使用拉丝粉</w:t>
            </w:r>
            <w:r>
              <w:rPr>
                <w:rFonts w:hint="eastAsia" w:cs="Times New Roman"/>
                <w:b w:val="0"/>
                <w:bCs w:val="0"/>
                <w:color w:val="auto"/>
                <w:sz w:val="24"/>
                <w:szCs w:val="24"/>
                <w:highlight w:val="none"/>
                <w:u w:val="none" w:color="auto"/>
                <w:lang w:val="en-US" w:eastAsia="zh-CN"/>
              </w:rPr>
              <w:t>0.03t/a，每次取少量拉丝粉至密闭容器，根据《33-37,431-434机械行业系数手册》“06预处理，其他废金属材料”产污系数为2.19kg/t，本项目所产生颗粒物量为0.03t/a×2.19kg/t=0.0657kg/a，排放量极少，加强防护措施无组织排放量可以忽略不计；拉丝粉主要成分为硬脂酸钙与氢氧化钙，在热处理过程中拉丝粉分解成CaO、CO</w:t>
            </w:r>
            <w:r>
              <w:rPr>
                <w:rFonts w:hint="eastAsia" w:cs="Times New Roman"/>
                <w:b w:val="0"/>
                <w:bCs w:val="0"/>
                <w:color w:val="auto"/>
                <w:sz w:val="24"/>
                <w:szCs w:val="24"/>
                <w:highlight w:val="none"/>
                <w:u w:val="none" w:color="auto"/>
                <w:vertAlign w:val="subscript"/>
                <w:lang w:val="en-US" w:eastAsia="zh-CN"/>
              </w:rPr>
              <w:t>2</w:t>
            </w:r>
            <w:r>
              <w:rPr>
                <w:rFonts w:hint="eastAsia" w:cs="Times New Roman"/>
                <w:b w:val="0"/>
                <w:bCs w:val="0"/>
                <w:color w:val="auto"/>
                <w:sz w:val="24"/>
                <w:szCs w:val="24"/>
                <w:highlight w:val="none"/>
                <w:u w:val="none" w:color="auto"/>
                <w:lang w:val="en-US" w:eastAsia="zh-CN"/>
              </w:rPr>
              <w:t>与水蒸气，无废气</w:t>
            </w:r>
            <w:r>
              <w:rPr>
                <w:rFonts w:hint="eastAsia" w:cs="Times New Roman"/>
                <w:b w:val="0"/>
                <w:bCs w:val="0"/>
                <w:color w:val="auto"/>
                <w:sz w:val="24"/>
                <w:szCs w:val="24"/>
                <w:highlight w:val="none"/>
                <w:u w:val="none" w:color="auto"/>
                <w:lang w:eastAsia="zh-CN"/>
              </w:rPr>
              <w:t>产生。</w:t>
            </w:r>
          </w:p>
          <w:p w14:paraId="3C2C6170">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2</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噪声</w:t>
            </w:r>
          </w:p>
          <w:p w14:paraId="3E066A6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kern w:val="0"/>
                <w:sz w:val="24"/>
                <w:szCs w:val="24"/>
                <w:highlight w:val="none"/>
                <w:u w:val="none" w:color="auto"/>
              </w:rPr>
            </w:pPr>
            <w:r>
              <w:rPr>
                <w:rFonts w:hint="default" w:ascii="Times New Roman" w:hAnsi="Times New Roman" w:eastAsia="宋体" w:cs="Times New Roman"/>
                <w:color w:val="auto"/>
                <w:kern w:val="0"/>
                <w:sz w:val="24"/>
                <w:szCs w:val="24"/>
                <w:highlight w:val="none"/>
                <w:u w:val="none" w:color="auto"/>
              </w:rPr>
              <w:t>厂界噪声执行《工业企业厂界环境噪声排放标准》（GB12348-2008）中</w:t>
            </w:r>
            <w:r>
              <w:rPr>
                <w:rFonts w:hint="eastAsia" w:cs="Times New Roman"/>
                <w:color w:val="auto"/>
                <w:kern w:val="0"/>
                <w:sz w:val="24"/>
                <w:szCs w:val="24"/>
                <w:highlight w:val="none"/>
                <w:u w:val="none" w:color="auto"/>
                <w:lang w:val="en-US" w:eastAsia="zh-CN"/>
              </w:rPr>
              <w:t>2</w:t>
            </w:r>
            <w:r>
              <w:rPr>
                <w:rFonts w:hint="default" w:ascii="Times New Roman" w:hAnsi="Times New Roman" w:eastAsia="宋体" w:cs="Times New Roman"/>
                <w:color w:val="auto"/>
                <w:kern w:val="0"/>
                <w:sz w:val="24"/>
                <w:szCs w:val="24"/>
                <w:highlight w:val="none"/>
                <w:u w:val="none" w:color="auto"/>
              </w:rPr>
              <w:t>类区限值：昼间≤</w:t>
            </w:r>
            <w:r>
              <w:rPr>
                <w:rFonts w:hint="default" w:ascii="Times New Roman" w:hAnsi="Times New Roman" w:eastAsia="宋体" w:cs="Times New Roman"/>
                <w:color w:val="auto"/>
                <w:kern w:val="0"/>
                <w:sz w:val="24"/>
                <w:szCs w:val="24"/>
                <w:highlight w:val="none"/>
                <w:u w:val="none" w:color="auto"/>
                <w:lang w:val="en-US" w:eastAsia="zh-CN"/>
              </w:rPr>
              <w:t>6</w:t>
            </w:r>
            <w:r>
              <w:rPr>
                <w:rFonts w:hint="eastAsia" w:cs="Times New Roman"/>
                <w:color w:val="auto"/>
                <w:kern w:val="0"/>
                <w:sz w:val="24"/>
                <w:szCs w:val="24"/>
                <w:highlight w:val="none"/>
                <w:u w:val="none" w:color="auto"/>
                <w:lang w:val="en-US" w:eastAsia="zh-CN"/>
              </w:rPr>
              <w:t>0</w:t>
            </w:r>
            <w:r>
              <w:rPr>
                <w:rFonts w:hint="default" w:ascii="Times New Roman" w:hAnsi="Times New Roman" w:eastAsia="宋体" w:cs="Times New Roman"/>
                <w:color w:val="auto"/>
                <w:kern w:val="0"/>
                <w:sz w:val="24"/>
                <w:szCs w:val="24"/>
                <w:highlight w:val="none"/>
                <w:u w:val="none" w:color="auto"/>
              </w:rPr>
              <w:t>dB(A)，夜间≤5</w:t>
            </w:r>
            <w:r>
              <w:rPr>
                <w:rFonts w:hint="eastAsia" w:cs="Times New Roman"/>
                <w:color w:val="auto"/>
                <w:kern w:val="0"/>
                <w:sz w:val="24"/>
                <w:szCs w:val="24"/>
                <w:highlight w:val="none"/>
                <w:u w:val="none" w:color="auto"/>
                <w:lang w:val="en-US" w:eastAsia="zh-CN"/>
              </w:rPr>
              <w:t>0</w:t>
            </w:r>
            <w:r>
              <w:rPr>
                <w:rFonts w:hint="default" w:ascii="Times New Roman" w:hAnsi="Times New Roman" w:eastAsia="宋体" w:cs="Times New Roman"/>
                <w:color w:val="auto"/>
                <w:kern w:val="0"/>
                <w:sz w:val="24"/>
                <w:szCs w:val="24"/>
                <w:highlight w:val="none"/>
                <w:u w:val="none" w:color="auto"/>
              </w:rPr>
              <w:t>dB(A)。</w:t>
            </w:r>
          </w:p>
          <w:p w14:paraId="1AE6B7A7">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3</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废水</w:t>
            </w:r>
          </w:p>
          <w:p w14:paraId="405C71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105" w:rightChars="-50" w:firstLine="480" w:firstLineChars="200"/>
              <w:jc w:val="both"/>
              <w:textAlignment w:val="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本</w:t>
            </w:r>
            <w:r>
              <w:rPr>
                <w:rFonts w:hint="default" w:ascii="Times New Roman" w:hAnsi="Times New Roman" w:eastAsia="宋体" w:cs="Times New Roman"/>
                <w:color w:val="auto"/>
                <w:sz w:val="24"/>
                <w:szCs w:val="24"/>
                <w:highlight w:val="none"/>
                <w:u w:val="none" w:color="auto"/>
                <w:lang w:val="en-US" w:eastAsia="zh-CN"/>
              </w:rPr>
              <w:t>项目</w:t>
            </w:r>
            <w:r>
              <w:rPr>
                <w:rFonts w:hint="eastAsia" w:cs="Times New Roman"/>
                <w:color w:val="auto"/>
                <w:sz w:val="24"/>
                <w:szCs w:val="24"/>
                <w:highlight w:val="none"/>
                <w:u w:val="none" w:color="auto"/>
                <w:lang w:val="en-US" w:eastAsia="zh-CN"/>
              </w:rPr>
              <w:t>废</w:t>
            </w:r>
            <w:r>
              <w:rPr>
                <w:rFonts w:hint="default" w:ascii="Times New Roman" w:hAnsi="Times New Roman" w:eastAsia="宋体" w:cs="Times New Roman"/>
                <w:color w:val="auto"/>
                <w:sz w:val="24"/>
                <w:szCs w:val="24"/>
                <w:highlight w:val="none"/>
                <w:u w:val="none" w:color="auto"/>
                <w:lang w:val="en-US" w:eastAsia="zh-CN"/>
              </w:rPr>
              <w:t>水</w:t>
            </w:r>
            <w:r>
              <w:rPr>
                <w:rFonts w:hint="eastAsia" w:ascii="Times New Roman" w:hAnsi="Times New Roman" w:eastAsia="宋体" w:cs="Times New Roman"/>
                <w:color w:val="auto"/>
                <w:sz w:val="24"/>
                <w:szCs w:val="24"/>
                <w:highlight w:val="none"/>
                <w:u w:val="none" w:color="auto"/>
                <w:lang w:val="en-US" w:eastAsia="zh-CN"/>
              </w:rPr>
              <w:t>主要为</w:t>
            </w:r>
            <w:r>
              <w:rPr>
                <w:rFonts w:hint="eastAsia" w:cs="Times New Roman"/>
                <w:color w:val="auto"/>
                <w:sz w:val="24"/>
                <w:szCs w:val="24"/>
                <w:highlight w:val="none"/>
                <w:u w:val="none" w:color="auto"/>
                <w:lang w:val="en-US" w:eastAsia="zh-CN"/>
              </w:rPr>
              <w:t>冷却水</w:t>
            </w:r>
            <w:r>
              <w:rPr>
                <w:rFonts w:hint="eastAsia" w:ascii="Times New Roman" w:hAnsi="Times New Roman" w:eastAsia="宋体" w:cs="Times New Roman"/>
                <w:color w:val="auto"/>
                <w:sz w:val="24"/>
                <w:szCs w:val="24"/>
                <w:highlight w:val="none"/>
                <w:u w:val="none" w:color="auto"/>
                <w:lang w:val="en-US" w:eastAsia="zh-CN"/>
              </w:rPr>
              <w:t>。</w:t>
            </w:r>
            <w:r>
              <w:rPr>
                <w:rFonts w:hint="eastAsia" w:cs="Times New Roman"/>
                <w:color w:val="auto"/>
                <w:sz w:val="24"/>
                <w:szCs w:val="24"/>
                <w:highlight w:val="none"/>
                <w:u w:val="none" w:color="auto"/>
                <w:lang w:val="en-US" w:eastAsia="zh-CN"/>
              </w:rPr>
              <w:t>冷却水</w:t>
            </w:r>
            <w:r>
              <w:rPr>
                <w:rFonts w:hint="eastAsia" w:ascii="Times New Roman" w:hAnsi="Times New Roman" w:eastAsia="宋体" w:cs="Times New Roman"/>
                <w:color w:val="auto"/>
                <w:sz w:val="24"/>
                <w:szCs w:val="24"/>
                <w:highlight w:val="none"/>
                <w:u w:val="none" w:color="auto"/>
                <w:lang w:val="en-US" w:eastAsia="zh-CN"/>
              </w:rPr>
              <w:t>经</w:t>
            </w:r>
            <w:r>
              <w:rPr>
                <w:rFonts w:hint="eastAsia" w:cs="Times New Roman"/>
                <w:color w:val="auto"/>
                <w:sz w:val="24"/>
                <w:szCs w:val="24"/>
                <w:highlight w:val="none"/>
                <w:u w:val="none" w:color="auto"/>
                <w:lang w:val="en-US" w:eastAsia="zh-CN"/>
              </w:rPr>
              <w:t>管道回收到冷却</w:t>
            </w:r>
            <w:r>
              <w:rPr>
                <w:rFonts w:hint="eastAsia" w:ascii="Times New Roman" w:hAnsi="Times New Roman" w:eastAsia="宋体" w:cs="Times New Roman"/>
                <w:color w:val="auto"/>
                <w:sz w:val="24"/>
                <w:szCs w:val="24"/>
                <w:highlight w:val="none"/>
                <w:u w:val="none" w:color="auto"/>
                <w:lang w:val="en-US" w:eastAsia="zh-CN"/>
              </w:rPr>
              <w:t>池后循环使用，不外排</w:t>
            </w:r>
            <w:r>
              <w:rPr>
                <w:rFonts w:hint="default" w:ascii="Times New Roman" w:hAnsi="Times New Roman" w:eastAsia="宋体" w:cs="Times New Roman"/>
                <w:color w:val="auto"/>
                <w:sz w:val="24"/>
                <w:szCs w:val="24"/>
                <w:highlight w:val="none"/>
                <w:u w:val="none" w:color="auto"/>
                <w:lang w:val="en-US" w:eastAsia="zh-CN"/>
              </w:rPr>
              <w:t>。</w:t>
            </w:r>
          </w:p>
          <w:p w14:paraId="23851021">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4</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固废</w:t>
            </w:r>
          </w:p>
          <w:p w14:paraId="3E6F64F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auto"/>
                <w:kern w:val="0"/>
                <w:szCs w:val="21"/>
                <w:highlight w:val="none"/>
                <w:u w:val="none" w:color="auto"/>
              </w:rPr>
            </w:pPr>
            <w:r>
              <w:rPr>
                <w:rFonts w:hint="default" w:ascii="Times New Roman" w:hAnsi="Times New Roman" w:eastAsia="宋体" w:cs="Times New Roman"/>
                <w:color w:val="auto"/>
                <w:kern w:val="0"/>
                <w:sz w:val="24"/>
                <w:szCs w:val="24"/>
                <w:highlight w:val="none"/>
                <w:u w:val="none" w:color="auto"/>
              </w:rPr>
              <w:t>一般固体废物厂区暂存执行《一般工业固体废物贮存和填埋污染控制标准》（GB18599-2020）中相关要求。</w:t>
            </w:r>
          </w:p>
        </w:tc>
      </w:tr>
      <w:tr w14:paraId="5444AC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57" w:hRule="atLeast"/>
          <w:jc w:val="center"/>
        </w:trPr>
        <w:tc>
          <w:tcPr>
            <w:tcW w:w="465" w:type="dxa"/>
            <w:noWrap w:val="0"/>
            <w:vAlign w:val="center"/>
          </w:tcPr>
          <w:p w14:paraId="150E736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总量</w:t>
            </w:r>
          </w:p>
          <w:p w14:paraId="4BD1B2A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控制</w:t>
            </w:r>
          </w:p>
          <w:p w14:paraId="29BA15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4"/>
                <w:szCs w:val="24"/>
                <w:highlight w:val="none"/>
                <w:u w:val="none" w:color="auto"/>
              </w:rPr>
            </w:pPr>
            <w:r>
              <w:rPr>
                <w:rFonts w:hint="eastAsia" w:ascii="Times New Roman" w:hAnsi="Times New Roman" w:eastAsia="宋体" w:cs="Times New Roman"/>
                <w:color w:val="auto"/>
                <w:kern w:val="0"/>
                <w:sz w:val="24"/>
                <w:szCs w:val="24"/>
                <w:highlight w:val="none"/>
                <w:u w:val="none" w:color="auto"/>
              </w:rPr>
              <w:t>指标</w:t>
            </w:r>
          </w:p>
        </w:tc>
        <w:tc>
          <w:tcPr>
            <w:tcW w:w="8538" w:type="dxa"/>
            <w:noWrap w:val="0"/>
            <w:vAlign w:val="center"/>
          </w:tcPr>
          <w:p w14:paraId="5058D14F">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snapToGrid w:val="0"/>
                <w:color w:val="auto"/>
                <w:sz w:val="24"/>
                <w:szCs w:val="24"/>
                <w:highlight w:val="none"/>
                <w:lang w:val="en-US" w:eastAsia="zh-CN"/>
              </w:rPr>
            </w:pPr>
            <w:r>
              <w:rPr>
                <w:rFonts w:hint="eastAsia" w:ascii="Times New Roman" w:hAnsi="Times New Roman" w:eastAsia="宋体" w:cs="Times New Roman"/>
                <w:snapToGrid w:val="0"/>
                <w:color w:val="auto"/>
                <w:sz w:val="24"/>
                <w:szCs w:val="24"/>
                <w:highlight w:val="none"/>
                <w:lang w:val="en-US" w:eastAsia="zh-CN"/>
              </w:rPr>
              <w:t>（1）现有项目</w:t>
            </w:r>
          </w:p>
          <w:p w14:paraId="51AC3CD8">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highlight w:val="none"/>
                <w:lang w:val="en-US" w:eastAsia="zh-CN"/>
              </w:rPr>
            </w:pPr>
            <w:r>
              <w:rPr>
                <w:rFonts w:hint="eastAsia" w:ascii="Times New Roman" w:hAnsi="Times New Roman" w:eastAsia="宋体" w:cs="Times New Roman"/>
                <w:snapToGrid w:val="0"/>
                <w:color w:val="auto"/>
                <w:sz w:val="24"/>
                <w:szCs w:val="24"/>
                <w:highlight w:val="none"/>
                <w:lang w:val="en-US" w:eastAsia="zh-CN"/>
              </w:rPr>
              <w:t>现有</w:t>
            </w:r>
            <w:r>
              <w:rPr>
                <w:rFonts w:hint="eastAsia" w:cs="Times New Roman"/>
                <w:snapToGrid w:val="0"/>
                <w:color w:val="auto"/>
                <w:sz w:val="24"/>
                <w:szCs w:val="24"/>
                <w:highlight w:val="none"/>
                <w:lang w:val="en-US" w:eastAsia="zh-CN"/>
              </w:rPr>
              <w:t>项目</w:t>
            </w:r>
            <w:r>
              <w:rPr>
                <w:rFonts w:hint="eastAsia" w:ascii="Times New Roman" w:hAnsi="Times New Roman" w:eastAsia="宋体" w:cs="Times New Roman"/>
                <w:snapToGrid w:val="0"/>
                <w:color w:val="auto"/>
                <w:sz w:val="24"/>
                <w:szCs w:val="24"/>
                <w:highlight w:val="none"/>
                <w:lang w:val="en-US" w:eastAsia="zh-CN"/>
              </w:rPr>
              <w:t>废水污染物</w:t>
            </w:r>
            <w:r>
              <w:rPr>
                <w:rFonts w:hint="eastAsia" w:cs="Times New Roman"/>
                <w:snapToGrid w:val="0"/>
                <w:color w:val="auto"/>
                <w:sz w:val="24"/>
                <w:szCs w:val="24"/>
                <w:highlight w:val="none"/>
                <w:lang w:val="en-US" w:eastAsia="zh-CN"/>
              </w:rPr>
              <w:t>排放量</w:t>
            </w:r>
            <w:r>
              <w:rPr>
                <w:rFonts w:hint="eastAsia" w:ascii="Times New Roman" w:hAnsi="Times New Roman" w:eastAsia="宋体" w:cs="Times New Roman"/>
                <w:snapToGrid w:val="0"/>
                <w:color w:val="auto"/>
                <w:sz w:val="24"/>
                <w:szCs w:val="24"/>
                <w:highlight w:val="none"/>
                <w:lang w:val="en-US" w:eastAsia="zh-CN"/>
              </w:rPr>
              <w:t>：COD排放量0.</w:t>
            </w:r>
            <w:r>
              <w:rPr>
                <w:rFonts w:hint="eastAsia" w:cs="Times New Roman"/>
                <w:snapToGrid w:val="0"/>
                <w:color w:val="auto"/>
                <w:sz w:val="24"/>
                <w:szCs w:val="24"/>
                <w:highlight w:val="none"/>
                <w:lang w:val="en-US" w:eastAsia="zh-CN"/>
              </w:rPr>
              <w:t>008</w:t>
            </w:r>
            <w:r>
              <w:rPr>
                <w:rFonts w:hint="eastAsia" w:ascii="Times New Roman" w:hAnsi="Times New Roman" w:eastAsia="宋体" w:cs="Times New Roman"/>
                <w:snapToGrid w:val="0"/>
                <w:color w:val="auto"/>
                <w:sz w:val="24"/>
                <w:szCs w:val="24"/>
                <w:highlight w:val="none"/>
                <w:lang w:val="en-US" w:eastAsia="zh-CN"/>
              </w:rPr>
              <w:t>t/a，氨氮排放量0.0</w:t>
            </w:r>
            <w:r>
              <w:rPr>
                <w:rFonts w:hint="eastAsia" w:cs="Times New Roman"/>
                <w:snapToGrid w:val="0"/>
                <w:color w:val="auto"/>
                <w:sz w:val="24"/>
                <w:szCs w:val="24"/>
                <w:highlight w:val="none"/>
                <w:lang w:val="en-US" w:eastAsia="zh-CN"/>
              </w:rPr>
              <w:t>008</w:t>
            </w:r>
            <w:r>
              <w:rPr>
                <w:rFonts w:hint="eastAsia" w:ascii="Times New Roman" w:hAnsi="Times New Roman" w:eastAsia="宋体" w:cs="Times New Roman"/>
                <w:snapToGrid w:val="0"/>
                <w:color w:val="auto"/>
                <w:sz w:val="24"/>
                <w:szCs w:val="24"/>
                <w:highlight w:val="none"/>
                <w:lang w:val="en-US" w:eastAsia="zh-CN"/>
              </w:rPr>
              <w:t>t/a</w:t>
            </w:r>
            <w:r>
              <w:rPr>
                <w:rFonts w:hint="eastAsia" w:cs="Times New Roman"/>
                <w:snapToGrid w:val="0"/>
                <w:color w:val="auto"/>
                <w:sz w:val="24"/>
                <w:szCs w:val="24"/>
                <w:highlight w:val="none"/>
                <w:lang w:val="en-US" w:eastAsia="zh-CN"/>
              </w:rPr>
              <w:t>，未超过环评批复总量：COD排放量0.0144t/a，氨氮排放量0.0014t/a。</w:t>
            </w:r>
          </w:p>
          <w:p w14:paraId="63E40861">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snapToGrid w:val="0"/>
                <w:color w:val="auto"/>
                <w:sz w:val="24"/>
                <w:szCs w:val="24"/>
                <w:highlight w:val="none"/>
                <w:lang w:val="en-US" w:eastAsia="zh-CN"/>
              </w:rPr>
            </w:pPr>
            <w:r>
              <w:rPr>
                <w:rFonts w:hint="eastAsia" w:ascii="Times New Roman" w:hAnsi="Times New Roman" w:eastAsia="宋体" w:cs="Times New Roman"/>
                <w:snapToGrid w:val="0"/>
                <w:color w:val="auto"/>
                <w:sz w:val="24"/>
                <w:szCs w:val="24"/>
                <w:highlight w:val="none"/>
                <w:lang w:val="en-US" w:eastAsia="zh-CN"/>
              </w:rPr>
              <w:t>（2）扩建项目</w:t>
            </w:r>
          </w:p>
          <w:p w14:paraId="64DE132F">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auto"/>
                <w:sz w:val="24"/>
                <w:szCs w:val="24"/>
                <w:highlight w:val="none"/>
                <w:lang w:val="en-US" w:eastAsia="zh-CN"/>
              </w:rPr>
            </w:pPr>
            <w:r>
              <w:rPr>
                <w:rFonts w:hint="eastAsia" w:ascii="Times New Roman" w:hAnsi="Times New Roman" w:eastAsia="宋体" w:cs="Times New Roman"/>
                <w:snapToGrid w:val="0"/>
                <w:color w:val="auto"/>
                <w:sz w:val="24"/>
                <w:szCs w:val="24"/>
                <w:highlight w:val="none"/>
                <w:lang w:val="en-US" w:eastAsia="zh-CN"/>
              </w:rPr>
              <w:t>本项目无废气产生、新增</w:t>
            </w:r>
            <w:r>
              <w:rPr>
                <w:rFonts w:hint="eastAsia" w:cs="Times New Roman"/>
                <w:snapToGrid w:val="0"/>
                <w:color w:val="auto"/>
                <w:sz w:val="24"/>
                <w:szCs w:val="24"/>
                <w:highlight w:val="none"/>
                <w:lang w:val="en-US" w:eastAsia="zh-CN"/>
              </w:rPr>
              <w:t>冷却水</w:t>
            </w:r>
            <w:r>
              <w:rPr>
                <w:rFonts w:hint="eastAsia" w:ascii="Times New Roman" w:hAnsi="Times New Roman" w:eastAsia="宋体" w:cs="Times New Roman"/>
                <w:snapToGrid w:val="0"/>
                <w:color w:val="auto"/>
                <w:sz w:val="24"/>
                <w:szCs w:val="24"/>
                <w:highlight w:val="none"/>
                <w:lang w:val="en-US" w:eastAsia="zh-CN"/>
              </w:rPr>
              <w:t>循环使用不外排。</w:t>
            </w:r>
          </w:p>
          <w:p w14:paraId="7537FA96">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r>
              <w:rPr>
                <w:rFonts w:hint="default" w:ascii="Times New Roman" w:hAnsi="Times New Roman" w:eastAsia="宋体" w:cs="Times New Roman"/>
                <w:snapToGrid w:val="0"/>
                <w:color w:val="auto"/>
                <w:sz w:val="24"/>
                <w:szCs w:val="24"/>
                <w:highlight w:val="none"/>
                <w:lang w:val="en-US" w:eastAsia="zh-CN"/>
              </w:rPr>
              <w:t>本项目建成后</w:t>
            </w:r>
            <w:r>
              <w:rPr>
                <w:rFonts w:hint="eastAsia" w:ascii="Times New Roman" w:hAnsi="Times New Roman" w:eastAsia="宋体" w:cs="Times New Roman"/>
                <w:snapToGrid w:val="0"/>
                <w:color w:val="auto"/>
                <w:sz w:val="24"/>
                <w:szCs w:val="24"/>
                <w:highlight w:val="none"/>
                <w:lang w:val="en-US" w:eastAsia="zh-CN"/>
              </w:rPr>
              <w:t>，</w:t>
            </w:r>
            <w:r>
              <w:rPr>
                <w:rFonts w:hint="eastAsia" w:ascii="Times New Roman" w:hAnsi="Times New Roman" w:eastAsia="宋体"/>
                <w:b w:val="0"/>
                <w:sz w:val="24"/>
                <w:lang w:eastAsia="zh-CN"/>
              </w:rPr>
              <w:t>废水出厂界排放量：</w:t>
            </w:r>
            <w:r>
              <w:rPr>
                <w:rFonts w:hint="eastAsia" w:ascii="Times New Roman" w:hAnsi="Times New Roman" w:eastAsia="宋体"/>
                <w:b w:val="0"/>
                <w:bCs w:val="0"/>
                <w:sz w:val="24"/>
                <w:u w:val="none"/>
                <w:lang w:val="en-US" w:eastAsia="zh-CN"/>
              </w:rPr>
              <w:t>COD 0.</w:t>
            </w:r>
            <w:r>
              <w:rPr>
                <w:rFonts w:hint="eastAsia"/>
                <w:b w:val="0"/>
                <w:bCs w:val="0"/>
                <w:sz w:val="24"/>
                <w:u w:val="none"/>
                <w:lang w:val="en-US" w:eastAsia="zh-CN"/>
              </w:rPr>
              <w:t>0159</w:t>
            </w:r>
            <w:r>
              <w:rPr>
                <w:rFonts w:hint="eastAsia" w:ascii="Times New Roman" w:hAnsi="Times New Roman" w:eastAsia="宋体"/>
                <w:b w:val="0"/>
                <w:bCs w:val="0"/>
                <w:sz w:val="24"/>
                <w:u w:val="none"/>
                <w:lang w:val="en-US" w:eastAsia="zh-CN"/>
              </w:rPr>
              <w:t>t/a，NH</w:t>
            </w:r>
            <w:r>
              <w:rPr>
                <w:rFonts w:hint="eastAsia" w:ascii="Times New Roman" w:hAnsi="Times New Roman" w:eastAsia="宋体"/>
                <w:b w:val="0"/>
                <w:bCs w:val="0"/>
                <w:sz w:val="24"/>
                <w:u w:val="none"/>
                <w:vertAlign w:val="subscript"/>
                <w:lang w:val="en-US" w:eastAsia="zh-CN"/>
              </w:rPr>
              <w:t>3</w:t>
            </w:r>
            <w:r>
              <w:rPr>
                <w:rFonts w:hint="eastAsia" w:ascii="Times New Roman" w:hAnsi="Times New Roman" w:eastAsia="宋体"/>
                <w:b w:val="0"/>
                <w:bCs w:val="0"/>
                <w:sz w:val="24"/>
                <w:u w:val="none"/>
                <w:lang w:val="en-US" w:eastAsia="zh-CN"/>
              </w:rPr>
              <w:t>-N 0.00</w:t>
            </w:r>
            <w:r>
              <w:rPr>
                <w:rFonts w:hint="eastAsia"/>
                <w:b w:val="0"/>
                <w:bCs w:val="0"/>
                <w:sz w:val="24"/>
                <w:u w:val="none"/>
                <w:lang w:val="en-US" w:eastAsia="zh-CN"/>
              </w:rPr>
              <w:t>28</w:t>
            </w:r>
            <w:r>
              <w:rPr>
                <w:rFonts w:hint="eastAsia" w:ascii="Times New Roman" w:hAnsi="Times New Roman" w:eastAsia="宋体"/>
                <w:b w:val="0"/>
                <w:bCs w:val="0"/>
                <w:sz w:val="24"/>
                <w:u w:val="none"/>
                <w:lang w:val="en-US" w:eastAsia="zh-CN"/>
              </w:rPr>
              <w:t>t/a；废水出</w:t>
            </w:r>
            <w:r>
              <w:rPr>
                <w:rFonts w:hint="eastAsia"/>
                <w:b w:val="0"/>
                <w:bCs w:val="0"/>
                <w:sz w:val="24"/>
                <w:u w:val="none"/>
                <w:lang w:val="en-US" w:eastAsia="zh-CN"/>
              </w:rPr>
              <w:t>污水处理厂</w:t>
            </w:r>
            <w:r>
              <w:rPr>
                <w:rFonts w:hint="eastAsia" w:ascii="Times New Roman" w:hAnsi="Times New Roman" w:eastAsia="宋体"/>
                <w:b w:val="0"/>
                <w:bCs w:val="0"/>
                <w:sz w:val="24"/>
                <w:u w:val="none"/>
                <w:lang w:val="en-US" w:eastAsia="zh-CN"/>
              </w:rPr>
              <w:t>排放量：COD 0.</w:t>
            </w:r>
            <w:r>
              <w:rPr>
                <w:rFonts w:hint="eastAsia"/>
                <w:b w:val="0"/>
                <w:bCs w:val="0"/>
                <w:sz w:val="24"/>
                <w:u w:val="none"/>
                <w:lang w:val="en-US" w:eastAsia="zh-CN"/>
              </w:rPr>
              <w:t>008</w:t>
            </w:r>
            <w:r>
              <w:rPr>
                <w:rFonts w:hint="eastAsia" w:ascii="Times New Roman" w:hAnsi="Times New Roman" w:eastAsia="宋体"/>
                <w:b w:val="0"/>
                <w:bCs w:val="0"/>
                <w:sz w:val="24"/>
                <w:u w:val="none"/>
                <w:lang w:val="en-US" w:eastAsia="zh-CN"/>
              </w:rPr>
              <w:t>/a，NH</w:t>
            </w:r>
            <w:r>
              <w:rPr>
                <w:rFonts w:hint="eastAsia" w:ascii="Times New Roman" w:hAnsi="Times New Roman" w:eastAsia="宋体"/>
                <w:b w:val="0"/>
                <w:bCs w:val="0"/>
                <w:sz w:val="24"/>
                <w:u w:val="none"/>
                <w:vertAlign w:val="subscript"/>
                <w:lang w:val="en-US" w:eastAsia="zh-CN"/>
              </w:rPr>
              <w:t>3</w:t>
            </w:r>
            <w:r>
              <w:rPr>
                <w:rFonts w:hint="eastAsia" w:ascii="Times New Roman" w:hAnsi="Times New Roman" w:eastAsia="宋体"/>
                <w:b w:val="0"/>
                <w:bCs w:val="0"/>
                <w:sz w:val="24"/>
                <w:u w:val="none"/>
                <w:lang w:val="en-US" w:eastAsia="zh-CN"/>
              </w:rPr>
              <w:t>-N 0.000</w:t>
            </w:r>
            <w:r>
              <w:rPr>
                <w:rFonts w:hint="eastAsia"/>
                <w:b w:val="0"/>
                <w:bCs w:val="0"/>
                <w:sz w:val="24"/>
                <w:u w:val="none"/>
                <w:lang w:val="en-US" w:eastAsia="zh-CN"/>
              </w:rPr>
              <w:t>8</w:t>
            </w:r>
            <w:r>
              <w:rPr>
                <w:rFonts w:hint="eastAsia" w:ascii="Times New Roman" w:hAnsi="Times New Roman" w:eastAsia="宋体"/>
                <w:b w:val="0"/>
                <w:bCs w:val="0"/>
                <w:sz w:val="24"/>
                <w:u w:val="none"/>
                <w:lang w:val="en-US" w:eastAsia="zh-CN"/>
              </w:rPr>
              <w:t>t/a</w:t>
            </w:r>
            <w:r>
              <w:rPr>
                <w:rFonts w:hint="eastAsia"/>
                <w:b w:val="0"/>
                <w:bCs w:val="0"/>
                <w:sz w:val="24"/>
                <w:u w:val="none"/>
                <w:lang w:val="en-US" w:eastAsia="zh-CN"/>
              </w:rPr>
              <w:t>。</w:t>
            </w:r>
          </w:p>
          <w:p w14:paraId="63B2BE85">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5E1C2385">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3E77208E">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64C81AB6">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7A05C081">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6E50D5EB">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5875F791">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0A5EDD15">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12674A29">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56324466">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779CFA70">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019091F2">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1349AACB">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0A951AEF">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7B82EC35">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3FBD90F8">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09CD4F47">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30B47D1A">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18D9719B">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7084E5B3">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3EA6730C">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18D18D6C">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firstLine="482"/>
              <w:textAlignment w:val="auto"/>
              <w:rPr>
                <w:rFonts w:hint="eastAsia"/>
                <w:b/>
                <w:bCs/>
                <w:sz w:val="24"/>
                <w:u w:val="single"/>
                <w:lang w:val="en-US" w:eastAsia="zh-CN"/>
              </w:rPr>
            </w:pPr>
          </w:p>
          <w:p w14:paraId="2192FD02">
            <w:pPr>
              <w:keepNext w:val="0"/>
              <w:keepLines w:val="0"/>
              <w:pageBreakBefore w:val="0"/>
              <w:widowControl w:val="0"/>
              <w:suppressLineNumbers w:val="0"/>
              <w:tabs>
                <w:tab w:val="left" w:pos="720"/>
              </w:tabs>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b/>
                <w:bCs/>
                <w:sz w:val="24"/>
                <w:u w:val="single"/>
                <w:lang w:val="en-US" w:eastAsia="zh-CN"/>
              </w:rPr>
            </w:pPr>
          </w:p>
        </w:tc>
      </w:tr>
    </w:tbl>
    <w:p w14:paraId="2F2FAB2A">
      <w:pPr>
        <w:pStyle w:val="23"/>
        <w:jc w:val="center"/>
        <w:outlineLvl w:val="0"/>
        <w:rPr>
          <w:rFonts w:ascii="Times New Roman" w:hAnsi="Times New Roman" w:eastAsia="黑体" w:cs="Times New Roman"/>
          <w:snapToGrid w:val="0"/>
          <w:color w:val="000000"/>
          <w:sz w:val="30"/>
          <w:szCs w:val="30"/>
          <w:highlight w:val="none"/>
          <w:u w:val="none" w:color="auto"/>
        </w:rPr>
      </w:pPr>
      <w:r>
        <w:rPr>
          <w:rFonts w:ascii="Times New Roman" w:hAnsi="Times New Roman" w:eastAsia="黑体" w:cs="Times New Roman"/>
          <w:snapToGrid w:val="0"/>
          <w:color w:val="000000"/>
          <w:sz w:val="36"/>
          <w:szCs w:val="36"/>
          <w:highlight w:val="none"/>
          <w:u w:val="none" w:color="auto"/>
        </w:rPr>
        <w:br w:type="page"/>
      </w:r>
      <w:bookmarkStart w:id="34" w:name="_Toc25196"/>
      <w:bookmarkStart w:id="35" w:name="_Toc12076"/>
      <w:bookmarkStart w:id="36" w:name="_Toc30562"/>
      <w:r>
        <w:rPr>
          <w:rFonts w:hint="eastAsia" w:ascii="Times New Roman" w:hAnsi="Times New Roman" w:eastAsia="黑体" w:cs="Times New Roman"/>
          <w:snapToGrid w:val="0"/>
          <w:color w:val="000000"/>
          <w:sz w:val="30"/>
          <w:szCs w:val="30"/>
          <w:highlight w:val="none"/>
          <w:u w:val="none" w:color="auto"/>
        </w:rPr>
        <w:t>四、主要环境影响和保护措施</w:t>
      </w:r>
      <w:bookmarkEnd w:id="34"/>
      <w:bookmarkEnd w:id="35"/>
      <w:bookmarkEnd w:id="36"/>
    </w:p>
    <w:tbl>
      <w:tblPr>
        <w:tblStyle w:val="2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8541"/>
      </w:tblGrid>
      <w:tr w14:paraId="624BCA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80" w:hRule="atLeast"/>
          <w:jc w:val="center"/>
        </w:trPr>
        <w:tc>
          <w:tcPr>
            <w:tcW w:w="440" w:type="dxa"/>
            <w:noWrap w:val="0"/>
            <w:tcMar>
              <w:left w:w="28" w:type="dxa"/>
              <w:right w:w="28" w:type="dxa"/>
            </w:tcMar>
            <w:vAlign w:val="center"/>
          </w:tcPr>
          <w:p w14:paraId="72FB66F7">
            <w:pPr>
              <w:pStyle w:val="2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ascii="Times New Roman" w:hAnsi="Times New Roman" w:cs="Times New Roman"/>
                <w:bCs/>
                <w:color w:val="auto"/>
                <w:kern w:val="2"/>
                <w:sz w:val="24"/>
                <w:szCs w:val="24"/>
                <w:highlight w:val="none"/>
                <w:u w:val="none" w:color="auto"/>
              </w:rPr>
            </w:pPr>
            <w:r>
              <w:rPr>
                <w:rFonts w:ascii="Times New Roman" w:hAnsi="Times New Roman" w:cs="Times New Roman"/>
                <w:color w:val="auto"/>
                <w:kern w:val="2"/>
                <w:sz w:val="24"/>
                <w:szCs w:val="24"/>
                <w:highlight w:val="none"/>
                <w:u w:val="none" w:color="auto"/>
              </w:rPr>
              <w:t>施工期环境保护措施</w:t>
            </w:r>
          </w:p>
        </w:tc>
        <w:tc>
          <w:tcPr>
            <w:tcW w:w="8541" w:type="dxa"/>
            <w:noWrap w:val="0"/>
            <w:vAlign w:val="center"/>
          </w:tcPr>
          <w:p w14:paraId="47D16B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黑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lang w:val="en-US" w:eastAsia="zh-CN"/>
              </w:rPr>
              <w:t>本项目主要建设</w:t>
            </w:r>
            <w:r>
              <w:rPr>
                <w:rFonts w:hint="eastAsia" w:cs="Times New Roman"/>
                <w:color w:val="auto"/>
                <w:sz w:val="24"/>
                <w:szCs w:val="24"/>
                <w:highlight w:val="none"/>
                <w:u w:val="none" w:color="auto"/>
                <w:lang w:val="en-US" w:eastAsia="zh-CN"/>
              </w:rPr>
              <w:t>热处理</w:t>
            </w:r>
            <w:r>
              <w:rPr>
                <w:rFonts w:hint="eastAsia" w:ascii="Times New Roman" w:hAnsi="Times New Roman" w:eastAsia="宋体" w:cs="Times New Roman"/>
                <w:color w:val="auto"/>
                <w:sz w:val="24"/>
                <w:szCs w:val="24"/>
                <w:highlight w:val="none"/>
                <w:u w:val="none" w:color="auto"/>
                <w:lang w:val="en-US" w:eastAsia="zh-CN"/>
              </w:rPr>
              <w:t>生产线</w:t>
            </w:r>
            <w:r>
              <w:rPr>
                <w:rFonts w:hint="eastAsia" w:cs="Times New Roman"/>
                <w:color w:val="auto"/>
                <w:sz w:val="24"/>
                <w:szCs w:val="24"/>
                <w:highlight w:val="none"/>
                <w:u w:val="none" w:color="auto"/>
                <w:lang w:val="en-US" w:eastAsia="zh-CN"/>
              </w:rPr>
              <w:t>、拉丝线、剪切线</w:t>
            </w:r>
            <w:r>
              <w:rPr>
                <w:rFonts w:hint="eastAsia" w:ascii="Times New Roman" w:hAnsi="Times New Roman" w:eastAsia="宋体" w:cs="Times New Roman"/>
                <w:color w:val="auto"/>
                <w:sz w:val="24"/>
                <w:szCs w:val="24"/>
                <w:highlight w:val="none"/>
                <w:u w:val="none" w:color="auto"/>
                <w:lang w:val="en-US" w:eastAsia="zh-CN"/>
              </w:rPr>
              <w:t>，在现有厂区现有厂房内建设，施工期主要为生产设备的调试，不涉及土建工程，施工期较短，因此，本次环评对施工期环境影响不</w:t>
            </w:r>
            <w:r>
              <w:rPr>
                <w:rFonts w:hint="eastAsia" w:cs="Times New Roman"/>
                <w:color w:val="auto"/>
                <w:sz w:val="24"/>
                <w:szCs w:val="24"/>
                <w:highlight w:val="none"/>
                <w:u w:val="none" w:color="auto"/>
                <w:lang w:val="en-US" w:eastAsia="zh-CN"/>
              </w:rPr>
              <w:t>做</w:t>
            </w:r>
            <w:r>
              <w:rPr>
                <w:rFonts w:hint="eastAsia" w:ascii="Times New Roman" w:hAnsi="Times New Roman" w:eastAsia="宋体" w:cs="Times New Roman"/>
                <w:color w:val="auto"/>
                <w:sz w:val="24"/>
                <w:szCs w:val="24"/>
                <w:highlight w:val="none"/>
                <w:u w:val="none" w:color="auto"/>
                <w:lang w:val="en-US" w:eastAsia="zh-CN"/>
              </w:rPr>
              <w:t>分析</w:t>
            </w:r>
            <w:r>
              <w:rPr>
                <w:rFonts w:hint="eastAsia" w:ascii="Times New Roman" w:hAnsi="Times New Roman" w:eastAsia="宋体" w:cs="Times New Roman"/>
                <w:color w:val="auto"/>
                <w:sz w:val="24"/>
                <w:szCs w:val="24"/>
                <w:highlight w:val="none"/>
                <w:u w:val="none" w:color="auto"/>
              </w:rPr>
              <w:t>。</w:t>
            </w:r>
          </w:p>
        </w:tc>
      </w:tr>
      <w:tr w14:paraId="4C34F1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85" w:hRule="atLeast"/>
          <w:jc w:val="center"/>
        </w:trPr>
        <w:tc>
          <w:tcPr>
            <w:tcW w:w="440" w:type="dxa"/>
            <w:noWrap w:val="0"/>
            <w:tcMar>
              <w:left w:w="28" w:type="dxa"/>
              <w:right w:w="28" w:type="dxa"/>
            </w:tcMar>
            <w:vAlign w:val="center"/>
          </w:tcPr>
          <w:p w14:paraId="3FA0D92C">
            <w:pPr>
              <w:pStyle w:val="23"/>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kern w:val="2"/>
                <w:sz w:val="21"/>
                <w:szCs w:val="21"/>
                <w:highlight w:val="none"/>
                <w:u w:val="none" w:color="auto"/>
              </w:rPr>
            </w:pPr>
            <w:r>
              <w:rPr>
                <w:rFonts w:hint="eastAsia" w:ascii="Times New Roman" w:hAnsi="Times New Roman" w:cs="Times New Roman"/>
                <w:color w:val="auto"/>
                <w:kern w:val="2"/>
                <w:sz w:val="21"/>
                <w:szCs w:val="21"/>
                <w:highlight w:val="none"/>
                <w:u w:val="none" w:color="auto"/>
              </w:rPr>
              <w:t>运营</w:t>
            </w:r>
          </w:p>
          <w:p w14:paraId="69F0D40C">
            <w:pPr>
              <w:pStyle w:val="23"/>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kern w:val="2"/>
                <w:sz w:val="21"/>
                <w:szCs w:val="21"/>
                <w:highlight w:val="none"/>
                <w:u w:val="none" w:color="auto"/>
              </w:rPr>
            </w:pPr>
            <w:r>
              <w:rPr>
                <w:rFonts w:hint="eastAsia" w:ascii="Times New Roman" w:hAnsi="Times New Roman" w:cs="Times New Roman"/>
                <w:color w:val="auto"/>
                <w:kern w:val="2"/>
                <w:sz w:val="21"/>
                <w:szCs w:val="21"/>
                <w:highlight w:val="none"/>
                <w:u w:val="none" w:color="auto"/>
              </w:rPr>
              <w:t>期环</w:t>
            </w:r>
          </w:p>
          <w:p w14:paraId="33D504CB">
            <w:pPr>
              <w:pStyle w:val="23"/>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kern w:val="2"/>
                <w:sz w:val="21"/>
                <w:szCs w:val="21"/>
                <w:highlight w:val="none"/>
                <w:u w:val="none" w:color="auto"/>
              </w:rPr>
            </w:pPr>
            <w:r>
              <w:rPr>
                <w:rFonts w:hint="eastAsia" w:ascii="Times New Roman" w:hAnsi="Times New Roman" w:cs="Times New Roman"/>
                <w:color w:val="auto"/>
                <w:kern w:val="2"/>
                <w:sz w:val="21"/>
                <w:szCs w:val="21"/>
                <w:highlight w:val="none"/>
                <w:u w:val="none" w:color="auto"/>
              </w:rPr>
              <w:t>境影</w:t>
            </w:r>
          </w:p>
          <w:p w14:paraId="10509FA4">
            <w:pPr>
              <w:pStyle w:val="23"/>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kern w:val="2"/>
                <w:sz w:val="21"/>
                <w:szCs w:val="21"/>
                <w:highlight w:val="none"/>
                <w:u w:val="none" w:color="auto"/>
              </w:rPr>
            </w:pPr>
            <w:r>
              <w:rPr>
                <w:rFonts w:hint="eastAsia" w:ascii="Times New Roman" w:hAnsi="Times New Roman" w:cs="Times New Roman"/>
                <w:color w:val="auto"/>
                <w:kern w:val="2"/>
                <w:sz w:val="21"/>
                <w:szCs w:val="21"/>
                <w:highlight w:val="none"/>
                <w:u w:val="none" w:color="auto"/>
              </w:rPr>
              <w:t>响和</w:t>
            </w:r>
          </w:p>
          <w:p w14:paraId="200BF2C4">
            <w:pPr>
              <w:pStyle w:val="23"/>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kern w:val="2"/>
                <w:sz w:val="21"/>
                <w:szCs w:val="21"/>
                <w:highlight w:val="none"/>
                <w:u w:val="none" w:color="auto"/>
              </w:rPr>
            </w:pPr>
            <w:r>
              <w:rPr>
                <w:rFonts w:hint="eastAsia" w:ascii="Times New Roman" w:hAnsi="Times New Roman" w:cs="Times New Roman"/>
                <w:color w:val="auto"/>
                <w:kern w:val="2"/>
                <w:sz w:val="21"/>
                <w:szCs w:val="21"/>
                <w:highlight w:val="none"/>
                <w:u w:val="none" w:color="auto"/>
              </w:rPr>
              <w:t>保护</w:t>
            </w:r>
          </w:p>
          <w:p w14:paraId="72C67980">
            <w:pPr>
              <w:pStyle w:val="23"/>
              <w:keepNext w:val="0"/>
              <w:keepLines w:val="0"/>
              <w:suppressLineNumbers w:val="0"/>
              <w:adjustRightInd w:val="0"/>
              <w:snapToGrid w:val="0"/>
              <w:spacing w:before="0" w:beforeAutospacing="0" w:after="0" w:afterAutospacing="0"/>
              <w:ind w:left="0" w:right="0"/>
              <w:jc w:val="center"/>
              <w:rPr>
                <w:rFonts w:ascii="Times New Roman" w:hAnsi="Times New Roman" w:cs="Times New Roman"/>
                <w:color w:val="auto"/>
                <w:kern w:val="2"/>
                <w:sz w:val="21"/>
                <w:szCs w:val="21"/>
                <w:highlight w:val="none"/>
                <w:u w:val="none" w:color="auto"/>
              </w:rPr>
            </w:pPr>
            <w:r>
              <w:rPr>
                <w:rFonts w:hint="eastAsia" w:ascii="Times New Roman" w:hAnsi="Times New Roman" w:cs="Times New Roman"/>
                <w:color w:val="auto"/>
                <w:kern w:val="2"/>
                <w:sz w:val="21"/>
                <w:szCs w:val="21"/>
                <w:highlight w:val="none"/>
                <w:u w:val="none" w:color="auto"/>
              </w:rPr>
              <w:t>措施</w:t>
            </w:r>
          </w:p>
        </w:tc>
        <w:tc>
          <w:tcPr>
            <w:tcW w:w="8541" w:type="dxa"/>
            <w:noWrap w:val="0"/>
            <w:vAlign w:val="center"/>
          </w:tcPr>
          <w:p w14:paraId="6E9DBDF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本项目运营期的污染源有噪声污染。根据本项目的性质及工程概况，本项目运营期环境影响分析如下：</w:t>
            </w:r>
          </w:p>
          <w:p w14:paraId="21A0E80E">
            <w:pPr>
              <w:keepNext w:val="0"/>
              <w:keepLines w:val="0"/>
              <w:pageBreakBefore w:val="0"/>
              <w:widowControl w:val="0"/>
              <w:numPr>
                <w:ilvl w:val="0"/>
                <w:numId w:val="4"/>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b/>
                <w:bCs/>
                <w:color w:val="auto"/>
                <w:kern w:val="0"/>
                <w:sz w:val="24"/>
                <w:szCs w:val="24"/>
                <w:lang w:val="en-US" w:eastAsia="zh-CN" w:bidi="ar"/>
              </w:rPr>
            </w:pPr>
            <w:r>
              <w:rPr>
                <w:rFonts w:hint="eastAsia" w:ascii="Times New Roman" w:hAnsi="Times New Roman" w:eastAsia="宋体" w:cs="Times New Roman"/>
                <w:b/>
                <w:bCs/>
                <w:color w:val="auto"/>
                <w:kern w:val="0"/>
                <w:sz w:val="24"/>
                <w:szCs w:val="24"/>
                <w:lang w:val="en-US" w:eastAsia="zh-CN" w:bidi="ar"/>
              </w:rPr>
              <w:t>大气环境影响分析</w:t>
            </w:r>
          </w:p>
          <w:p w14:paraId="2E9219ED">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eastAsia"/>
                <w:b w:val="0"/>
                <w:bCs w:val="0"/>
                <w:color w:val="auto"/>
                <w:sz w:val="24"/>
                <w:szCs w:val="32"/>
                <w:u w:val="none" w:color="auto"/>
                <w:lang w:val="en-US" w:eastAsia="zh-CN"/>
              </w:rPr>
            </w:pPr>
            <w:r>
              <w:rPr>
                <w:rFonts w:hint="eastAsia" w:cs="Times New Roman"/>
                <w:b w:val="0"/>
                <w:bCs w:val="0"/>
                <w:color w:val="auto"/>
                <w:kern w:val="0"/>
                <w:sz w:val="24"/>
                <w:szCs w:val="24"/>
                <w:u w:val="none" w:color="auto"/>
                <w:vertAlign w:val="baseline"/>
                <w:lang w:val="en-US" w:eastAsia="zh-CN" w:bidi="ar"/>
              </w:rPr>
              <w:t>本项目采用酸洗磷化的弹簧钢盘圆（详细请见附件12），进厂之后在拉拔处理时使用拉丝粉0.03t/a，每次取少量拉丝粉放置于密闭容器，</w:t>
            </w:r>
            <w:r>
              <w:rPr>
                <w:rFonts w:hint="eastAsia" w:cs="Times New Roman"/>
                <w:b w:val="0"/>
                <w:bCs w:val="0"/>
                <w:color w:val="auto"/>
                <w:sz w:val="24"/>
                <w:szCs w:val="24"/>
                <w:highlight w:val="none"/>
                <w:u w:val="none" w:color="auto"/>
                <w:lang w:val="en-US" w:eastAsia="zh-CN"/>
              </w:rPr>
              <w:t>根据《33-37,431-434机械行业系数手册》“06预处理，其他废金属材料”产污系数为2.19kg/t，本项目所产生颗粒物量为0.03t/a×2.19kg/t=0.0657kg/a，排放量极少，加强防护措施无组织排放量可以忽略不计；</w:t>
            </w:r>
            <w:r>
              <w:rPr>
                <w:rFonts w:hint="eastAsia" w:cs="Times New Roman"/>
                <w:b w:val="0"/>
                <w:bCs w:val="0"/>
                <w:color w:val="auto"/>
                <w:kern w:val="0"/>
                <w:sz w:val="24"/>
                <w:szCs w:val="24"/>
                <w:u w:val="none" w:color="auto"/>
                <w:vertAlign w:val="baseline"/>
                <w:lang w:val="en-US" w:eastAsia="zh-CN" w:bidi="ar"/>
              </w:rPr>
              <w:t>拉丝粉主要成分为硬脂酸钙与氢氧化钙，在热处理过程中拉丝粉分解成CaO、CO</w:t>
            </w:r>
            <w:r>
              <w:rPr>
                <w:rFonts w:hint="eastAsia" w:cs="Times New Roman"/>
                <w:b w:val="0"/>
                <w:bCs w:val="0"/>
                <w:color w:val="auto"/>
                <w:kern w:val="0"/>
                <w:sz w:val="24"/>
                <w:szCs w:val="24"/>
                <w:u w:val="none" w:color="auto"/>
                <w:vertAlign w:val="subscript"/>
                <w:lang w:val="en-US" w:eastAsia="zh-CN" w:bidi="ar"/>
              </w:rPr>
              <w:t>2</w:t>
            </w:r>
            <w:r>
              <w:rPr>
                <w:rFonts w:hint="eastAsia" w:cs="Times New Roman"/>
                <w:b w:val="0"/>
                <w:bCs w:val="0"/>
                <w:color w:val="auto"/>
                <w:kern w:val="0"/>
                <w:sz w:val="24"/>
                <w:szCs w:val="24"/>
                <w:u w:val="none" w:color="auto"/>
                <w:vertAlign w:val="baseline"/>
                <w:lang w:val="en-US" w:eastAsia="zh-CN" w:bidi="ar"/>
              </w:rPr>
              <w:t>与水蒸气，无废气产生</w:t>
            </w:r>
            <w:r>
              <w:rPr>
                <w:rFonts w:hint="eastAsia"/>
                <w:b w:val="0"/>
                <w:bCs w:val="0"/>
                <w:color w:val="auto"/>
                <w:sz w:val="24"/>
                <w:szCs w:val="32"/>
                <w:u w:val="none" w:color="auto"/>
                <w:lang w:val="en-US" w:eastAsia="zh-CN"/>
              </w:rPr>
              <w:t>。</w:t>
            </w:r>
          </w:p>
          <w:p w14:paraId="6D85A281">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eastAsia"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4"/>
                <w:szCs w:val="24"/>
                <w:lang w:val="en-US" w:eastAsia="zh-CN" w:bidi="ar"/>
              </w:rPr>
              <w:t>2</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废水</w:t>
            </w:r>
          </w:p>
          <w:p w14:paraId="38C38AF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b w:val="0"/>
                <w:bCs w:val="0"/>
                <w:color w:val="auto"/>
                <w:kern w:val="2"/>
                <w:sz w:val="24"/>
                <w:szCs w:val="24"/>
                <w:highlight w:val="none"/>
                <w:u w:val="none" w:color="auto"/>
                <w:lang w:val="en-US" w:eastAsia="zh-CN" w:bidi="ar-SA"/>
              </w:rPr>
              <w:t>本项目运营期生产废水</w:t>
            </w:r>
            <w:r>
              <w:rPr>
                <w:rFonts w:hint="eastAsia" w:ascii="Times New Roman" w:hAnsi="Times New Roman" w:eastAsia="宋体" w:cs="Times New Roman"/>
                <w:b w:val="0"/>
                <w:bCs w:val="0"/>
                <w:color w:val="auto"/>
                <w:kern w:val="2"/>
                <w:sz w:val="24"/>
                <w:szCs w:val="24"/>
                <w:highlight w:val="none"/>
                <w:u w:val="none" w:color="auto"/>
                <w:lang w:val="en-US" w:eastAsia="zh-CN" w:bidi="ar-SA"/>
              </w:rPr>
              <w:t>主</w:t>
            </w:r>
            <w:r>
              <w:rPr>
                <w:rFonts w:hint="eastAsia" w:cs="Times New Roman"/>
                <w:b w:val="0"/>
                <w:bCs w:val="0"/>
                <w:color w:val="auto"/>
                <w:kern w:val="2"/>
                <w:sz w:val="24"/>
                <w:szCs w:val="24"/>
                <w:highlight w:val="none"/>
                <w:u w:val="none" w:color="auto"/>
                <w:lang w:val="en-US" w:eastAsia="zh-CN" w:bidi="ar-SA"/>
              </w:rPr>
              <w:t>要是冷却水</w:t>
            </w:r>
            <w:r>
              <w:rPr>
                <w:rFonts w:hint="eastAsia" w:cs="Times New Roman"/>
                <w:b w:val="0"/>
                <w:bCs w:val="0"/>
                <w:color w:val="auto"/>
                <w:kern w:val="0"/>
                <w:sz w:val="24"/>
                <w:szCs w:val="24"/>
                <w:u w:val="none"/>
                <w:vertAlign w:val="baseline"/>
                <w:lang w:val="en-US" w:eastAsia="zh-CN" w:bidi="ar"/>
              </w:rPr>
              <w:t>。</w:t>
            </w:r>
            <w:r>
              <w:rPr>
                <w:rFonts w:hint="eastAsia" w:cs="Times New Roman"/>
                <w:b w:val="0"/>
                <w:bCs w:val="0"/>
                <w:color w:val="auto"/>
                <w:kern w:val="2"/>
                <w:sz w:val="24"/>
                <w:szCs w:val="24"/>
                <w:highlight w:val="none"/>
                <w:u w:val="none" w:color="auto"/>
                <w:lang w:val="en-US" w:eastAsia="zh-CN" w:bidi="ar-SA"/>
              </w:rPr>
              <w:t>冷却水经现有管道回收到冷却池后循环使用，不外排。</w:t>
            </w:r>
            <w:r>
              <w:rPr>
                <w:rFonts w:hint="default" w:ascii="Times New Roman" w:hAnsi="Times New Roman" w:eastAsia="宋体" w:cs="Times New Roman"/>
                <w:color w:val="auto"/>
                <w:sz w:val="24"/>
                <w:szCs w:val="24"/>
                <w:highlight w:val="none"/>
                <w:u w:val="none" w:color="auto"/>
                <w:lang w:val="en-US" w:eastAsia="zh-CN"/>
              </w:rPr>
              <w:t>本项目职工由厂内原有职工调剂，不新增劳动定员</w:t>
            </w:r>
            <w:r>
              <w:rPr>
                <w:rFonts w:hint="eastAsia" w:ascii="Times New Roman" w:hAnsi="Times New Roman" w:eastAsia="宋体" w:cs="Times New Roman"/>
                <w:color w:val="auto"/>
                <w:sz w:val="24"/>
                <w:szCs w:val="24"/>
                <w:highlight w:val="none"/>
                <w:u w:val="none" w:color="auto"/>
                <w:lang w:val="en-US" w:eastAsia="zh-CN"/>
              </w:rPr>
              <w:t>，无新增生活污水。</w:t>
            </w:r>
            <w:r>
              <w:rPr>
                <w:rFonts w:hint="eastAsia" w:cs="Times New Roman"/>
                <w:color w:val="auto"/>
                <w:sz w:val="24"/>
                <w:szCs w:val="24"/>
                <w:highlight w:val="none"/>
                <w:u w:val="none" w:color="auto"/>
                <w:lang w:val="en-US" w:eastAsia="zh-CN"/>
              </w:rPr>
              <w:t>使用新鲜水进行淬火，淬火用水全部蒸发损耗，不外排</w:t>
            </w:r>
          </w:p>
          <w:p w14:paraId="39380998">
            <w:pPr>
              <w:keepNext w:val="0"/>
              <w:keepLines w:val="0"/>
              <w:suppressLineNumbers w:val="0"/>
              <w:autoSpaceDE w:val="0"/>
              <w:autoSpaceDN w:val="0"/>
              <w:spacing w:before="0" w:beforeAutospacing="0" w:after="0" w:afterAutospacing="0" w:line="360" w:lineRule="auto"/>
              <w:ind w:left="0" w:right="0" w:firstLine="482" w:firstLineChars="200"/>
              <w:rPr>
                <w:rFonts w:hint="eastAsia" w:cs="Times New Roman"/>
                <w:b/>
                <w:bCs/>
                <w:color w:val="auto"/>
                <w:kern w:val="2"/>
                <w:sz w:val="24"/>
                <w:szCs w:val="24"/>
                <w:highlight w:val="none"/>
                <w:lang w:val="en-US" w:eastAsia="zh-CN" w:bidi="ar"/>
              </w:rPr>
            </w:pPr>
            <w:r>
              <w:rPr>
                <w:rFonts w:hint="eastAsia" w:cs="Times New Roman"/>
                <w:b/>
                <w:bCs/>
                <w:color w:val="auto"/>
                <w:kern w:val="2"/>
                <w:sz w:val="24"/>
                <w:szCs w:val="24"/>
                <w:highlight w:val="none"/>
                <w:lang w:val="en-US" w:eastAsia="zh-CN" w:bidi="ar"/>
              </w:rPr>
              <w:t>2.1生产废水</w:t>
            </w:r>
          </w:p>
          <w:p w14:paraId="0965F031">
            <w:pPr>
              <w:keepNext w:val="0"/>
              <w:keepLines w:val="0"/>
              <w:suppressLineNumbers w:val="0"/>
              <w:autoSpaceDE w:val="0"/>
              <w:autoSpaceDN w:val="0"/>
              <w:spacing w:before="0" w:beforeAutospacing="0" w:after="0" w:afterAutospacing="0" w:line="360" w:lineRule="auto"/>
              <w:ind w:left="0" w:right="0" w:firstLine="480" w:firstLineChars="200"/>
              <w:rPr>
                <w:rFonts w:hint="eastAsia" w:cs="Times New Roman"/>
                <w:b w:val="0"/>
                <w:bCs w:val="0"/>
                <w:color w:val="auto"/>
                <w:kern w:val="2"/>
                <w:sz w:val="24"/>
                <w:szCs w:val="24"/>
                <w:highlight w:val="none"/>
                <w:vertAlign w:val="baseline"/>
                <w:lang w:val="en-US" w:eastAsia="zh-CN" w:bidi="ar"/>
              </w:rPr>
            </w:pPr>
            <w:r>
              <w:rPr>
                <w:rFonts w:hint="eastAsia" w:cs="Times New Roman"/>
                <w:b w:val="0"/>
                <w:bCs w:val="0"/>
                <w:color w:val="auto"/>
                <w:kern w:val="2"/>
                <w:sz w:val="24"/>
                <w:szCs w:val="24"/>
                <w:highlight w:val="none"/>
                <w:lang w:val="en-US" w:eastAsia="zh-CN" w:bidi="ar"/>
              </w:rPr>
              <w:t>本项目循环水量为120m</w:t>
            </w:r>
            <w:r>
              <w:rPr>
                <w:rFonts w:hint="eastAsia" w:cs="Times New Roman"/>
                <w:b w:val="0"/>
                <w:bCs w:val="0"/>
                <w:color w:val="auto"/>
                <w:kern w:val="2"/>
                <w:sz w:val="24"/>
                <w:szCs w:val="24"/>
                <w:highlight w:val="none"/>
                <w:vertAlign w:val="superscript"/>
                <w:lang w:val="en-US" w:eastAsia="zh-CN" w:bidi="ar"/>
              </w:rPr>
              <w:t>3</w:t>
            </w:r>
            <w:r>
              <w:rPr>
                <w:rFonts w:hint="eastAsia" w:cs="Times New Roman"/>
                <w:b w:val="0"/>
                <w:bCs w:val="0"/>
                <w:color w:val="auto"/>
                <w:kern w:val="2"/>
                <w:sz w:val="24"/>
                <w:szCs w:val="24"/>
                <w:highlight w:val="none"/>
                <w:lang w:val="en-US" w:eastAsia="zh-CN" w:bidi="ar"/>
              </w:rPr>
              <w:t>/a，补充水量为循环水量的10%，则本项目冷却水为108m</w:t>
            </w:r>
            <w:r>
              <w:rPr>
                <w:rFonts w:hint="eastAsia" w:cs="Times New Roman"/>
                <w:b w:val="0"/>
                <w:bCs w:val="0"/>
                <w:color w:val="auto"/>
                <w:kern w:val="2"/>
                <w:sz w:val="24"/>
                <w:szCs w:val="24"/>
                <w:highlight w:val="none"/>
                <w:vertAlign w:val="superscript"/>
                <w:lang w:val="en-US" w:eastAsia="zh-CN" w:bidi="ar"/>
              </w:rPr>
              <w:t>3</w:t>
            </w:r>
            <w:r>
              <w:rPr>
                <w:rFonts w:hint="eastAsia" w:cs="Times New Roman"/>
                <w:b w:val="0"/>
                <w:bCs w:val="0"/>
                <w:color w:val="auto"/>
                <w:kern w:val="2"/>
                <w:sz w:val="24"/>
                <w:szCs w:val="24"/>
                <w:highlight w:val="none"/>
                <w:lang w:val="en-US" w:eastAsia="zh-CN" w:bidi="ar"/>
              </w:rPr>
              <w:t>/a，经管道流入冷却池循环使用，定期补充冷却用水12m</w:t>
            </w:r>
            <w:r>
              <w:rPr>
                <w:rFonts w:hint="eastAsia" w:cs="Times New Roman"/>
                <w:b w:val="0"/>
                <w:bCs w:val="0"/>
                <w:color w:val="auto"/>
                <w:kern w:val="2"/>
                <w:sz w:val="24"/>
                <w:szCs w:val="24"/>
                <w:highlight w:val="none"/>
                <w:vertAlign w:val="superscript"/>
                <w:lang w:val="en-US" w:eastAsia="zh-CN" w:bidi="ar"/>
              </w:rPr>
              <w:t>3</w:t>
            </w:r>
            <w:r>
              <w:rPr>
                <w:rFonts w:hint="eastAsia" w:cs="Times New Roman"/>
                <w:b w:val="0"/>
                <w:bCs w:val="0"/>
                <w:color w:val="auto"/>
                <w:kern w:val="2"/>
                <w:sz w:val="24"/>
                <w:szCs w:val="24"/>
                <w:highlight w:val="none"/>
                <w:vertAlign w:val="baseline"/>
                <w:lang w:val="en-US" w:eastAsia="zh-CN" w:bidi="ar"/>
              </w:rPr>
              <w:t>/a；淬火用水量为0.5t/a。</w:t>
            </w:r>
          </w:p>
          <w:p w14:paraId="55A861BD">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3.噪声</w:t>
            </w:r>
          </w:p>
          <w:p w14:paraId="503377C8">
            <w:pPr>
              <w:keepNext w:val="0"/>
              <w:keepLines w:val="0"/>
              <w:widowControl w:val="0"/>
              <w:suppressLineNumbers w:val="0"/>
              <w:adjustRightInd w:val="0"/>
              <w:snapToGrid w:val="0"/>
              <w:spacing w:before="0" w:beforeAutospacing="0" w:after="0" w:afterAutospacing="0" w:line="360" w:lineRule="auto"/>
              <w:ind w:left="0" w:right="0" w:firstLine="241" w:firstLineChars="100"/>
              <w:jc w:val="both"/>
              <w:rPr>
                <w:rFonts w:hint="default" w:ascii="Times New Roman" w:hAnsi="Times New Roman" w:eastAsia="宋体" w:cs="Times New Roman"/>
                <w:b w:val="0"/>
                <w:bCs w:val="0"/>
                <w:color w:val="auto"/>
                <w:kern w:val="2"/>
                <w:sz w:val="24"/>
                <w:szCs w:val="24"/>
              </w:rPr>
            </w:pPr>
            <w:r>
              <w:rPr>
                <w:rFonts w:hint="default" w:ascii="Times New Roman" w:hAnsi="Times New Roman" w:eastAsia="宋体" w:cs="Times New Roman"/>
                <w:b/>
                <w:bCs/>
                <w:color w:val="auto"/>
                <w:kern w:val="2"/>
                <w:sz w:val="24"/>
                <w:szCs w:val="24"/>
                <w:lang w:val="en-US" w:eastAsia="zh-CN" w:bidi="ar"/>
              </w:rPr>
              <w:t>3.1噪声源强</w:t>
            </w:r>
          </w:p>
          <w:p w14:paraId="1AE73B71">
            <w:pPr>
              <w:keepNext w:val="0"/>
              <w:keepLines w:val="0"/>
              <w:widowControl w:val="0"/>
              <w:suppressLineNumbers w:val="0"/>
              <w:spacing w:before="0" w:beforeAutospacing="0" w:after="0" w:afterAutospacing="0" w:line="360" w:lineRule="auto"/>
              <w:ind w:left="0" w:right="0" w:firstLine="482"/>
              <w:jc w:val="both"/>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本项目噪声主要来自</w:t>
            </w:r>
            <w:r>
              <w:rPr>
                <w:rFonts w:hint="eastAsia" w:cs="Times New Roman"/>
                <w:color w:val="auto"/>
                <w:kern w:val="2"/>
                <w:sz w:val="24"/>
                <w:szCs w:val="24"/>
                <w:lang w:val="en-US" w:eastAsia="zh-CN" w:bidi="ar"/>
              </w:rPr>
              <w:t>热处理生产线、单头拉丝机</w:t>
            </w:r>
            <w:r>
              <w:rPr>
                <w:rFonts w:hint="eastAsia" w:ascii="Times New Roman" w:hAnsi="Times New Roman" w:eastAsia="宋体" w:cs="Times New Roman"/>
                <w:color w:val="auto"/>
                <w:kern w:val="2"/>
                <w:sz w:val="24"/>
                <w:szCs w:val="24"/>
                <w:lang w:val="en-US" w:eastAsia="zh-CN" w:bidi="ar"/>
              </w:rPr>
              <w:t>、</w:t>
            </w:r>
            <w:r>
              <w:rPr>
                <w:rFonts w:hint="eastAsia" w:cs="Times New Roman"/>
                <w:color w:val="auto"/>
                <w:kern w:val="2"/>
                <w:sz w:val="24"/>
                <w:szCs w:val="24"/>
                <w:lang w:val="en-US" w:eastAsia="zh-CN" w:bidi="ar"/>
              </w:rPr>
              <w:t>剪切线</w:t>
            </w:r>
            <w:r>
              <w:rPr>
                <w:rFonts w:hint="default" w:ascii="Times New Roman" w:hAnsi="Times New Roman" w:eastAsia="宋体" w:cs="Times New Roman"/>
                <w:color w:val="auto"/>
                <w:kern w:val="2"/>
                <w:sz w:val="24"/>
                <w:szCs w:val="24"/>
                <w:lang w:val="en-US" w:eastAsia="zh-CN" w:bidi="ar"/>
              </w:rPr>
              <w:t>设备运行，其噪声源强</w:t>
            </w:r>
            <w:r>
              <w:rPr>
                <w:rFonts w:hint="eastAsia" w:cs="Times New Roman"/>
                <w:color w:val="auto"/>
                <w:kern w:val="2"/>
                <w:sz w:val="24"/>
                <w:szCs w:val="24"/>
                <w:lang w:val="en-US" w:eastAsia="zh-CN" w:bidi="ar"/>
              </w:rPr>
              <w:t>75~80</w:t>
            </w:r>
            <w:r>
              <w:rPr>
                <w:rFonts w:hint="default" w:ascii="Times New Roman" w:hAnsi="Times New Roman" w:eastAsia="宋体" w:cs="Times New Roman"/>
                <w:color w:val="auto"/>
                <w:kern w:val="2"/>
                <w:sz w:val="24"/>
                <w:szCs w:val="24"/>
                <w:lang w:val="en-US" w:eastAsia="zh-CN" w:bidi="ar"/>
              </w:rPr>
              <w:t>dB（A），经采取基础减震、厂房隔声后噪声源可衰减约</w:t>
            </w:r>
            <w:r>
              <w:rPr>
                <w:rFonts w:hint="eastAsia" w:cs="Times New Roman"/>
                <w:color w:val="auto"/>
                <w:kern w:val="2"/>
                <w:sz w:val="24"/>
                <w:szCs w:val="24"/>
                <w:lang w:val="en-US" w:eastAsia="zh-CN" w:bidi="ar"/>
              </w:rPr>
              <w:t>15</w:t>
            </w:r>
            <w:r>
              <w:rPr>
                <w:rFonts w:hint="default" w:ascii="Times New Roman" w:hAnsi="Times New Roman" w:eastAsia="宋体" w:cs="Times New Roman"/>
                <w:bCs/>
                <w:color w:val="auto"/>
                <w:kern w:val="2"/>
                <w:sz w:val="24"/>
                <w:szCs w:val="24"/>
                <w:lang w:val="en-US" w:eastAsia="zh-CN" w:bidi="ar"/>
              </w:rPr>
              <w:t>dB（A）。</w:t>
            </w:r>
            <w:r>
              <w:rPr>
                <w:rFonts w:hint="default" w:ascii="Times New Roman" w:hAnsi="Times New Roman" w:eastAsia="宋体" w:cs="Times New Roman"/>
                <w:color w:val="auto"/>
                <w:kern w:val="2"/>
                <w:sz w:val="24"/>
                <w:szCs w:val="24"/>
                <w:lang w:val="en-US" w:eastAsia="zh-CN" w:bidi="ar"/>
              </w:rPr>
              <w:t>设备噪声产生具体情况及治理措施见下表</w:t>
            </w:r>
            <w:r>
              <w:rPr>
                <w:rFonts w:hint="eastAsia" w:cs="Times New Roman"/>
                <w:color w:val="auto"/>
                <w:kern w:val="2"/>
                <w:sz w:val="24"/>
                <w:szCs w:val="24"/>
                <w:lang w:val="en-US" w:eastAsia="zh-CN" w:bidi="ar"/>
              </w:rPr>
              <w:t>，以</w:t>
            </w:r>
            <w:r>
              <w:rPr>
                <w:rFonts w:hint="eastAsia" w:cs="Times New Roman"/>
                <w:b w:val="0"/>
                <w:bCs/>
                <w:color w:val="auto"/>
                <w:kern w:val="2"/>
                <w:sz w:val="24"/>
                <w:szCs w:val="24"/>
                <w:lang w:val="en-US" w:eastAsia="zh-CN" w:bidi="ar"/>
              </w:rPr>
              <w:t>公司厂界西南角为原点</w:t>
            </w:r>
            <w:r>
              <w:rPr>
                <w:rFonts w:hint="default" w:ascii="Times New Roman" w:hAnsi="Times New Roman" w:eastAsia="宋体" w:cs="Times New Roman"/>
                <w:color w:val="auto"/>
                <w:kern w:val="2"/>
                <w:sz w:val="24"/>
                <w:szCs w:val="24"/>
                <w:lang w:val="en-US" w:eastAsia="zh-CN" w:bidi="ar"/>
              </w:rPr>
              <w:t>。</w:t>
            </w:r>
          </w:p>
          <w:p w14:paraId="61C179DB">
            <w:pPr>
              <w:keepNext w:val="0"/>
              <w:keepLines w:val="0"/>
              <w:widowControl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bCs w:val="0"/>
                <w:color w:val="auto"/>
                <w:kern w:val="2"/>
                <w:sz w:val="21"/>
                <w:szCs w:val="21"/>
                <w:lang w:val="en-US" w:eastAsia="zh-CN" w:bidi="ar"/>
              </w:rPr>
            </w:pPr>
            <w:r>
              <w:rPr>
                <w:rFonts w:hint="eastAsia" w:cs="Times New Roman"/>
                <w:b/>
                <w:bCs w:val="0"/>
                <w:color w:val="auto"/>
                <w:kern w:val="2"/>
                <w:sz w:val="21"/>
                <w:szCs w:val="21"/>
                <w:lang w:val="en-US" w:eastAsia="zh-CN" w:bidi="ar"/>
              </w:rPr>
              <w:t xml:space="preserve">表23  </w:t>
            </w:r>
            <w:r>
              <w:rPr>
                <w:rFonts w:hint="default" w:ascii="Times New Roman" w:hAnsi="Times New Roman" w:eastAsia="宋体" w:cs="Times New Roman"/>
                <w:b/>
                <w:bCs w:val="0"/>
                <w:color w:val="auto"/>
                <w:kern w:val="2"/>
                <w:sz w:val="21"/>
                <w:szCs w:val="21"/>
                <w:lang w:val="en-US" w:eastAsia="zh-CN" w:bidi="ar"/>
              </w:rPr>
              <w:t>本项目主要生产设备源强及治理措施一览表（室内声源）</w:t>
            </w:r>
          </w:p>
          <w:tbl>
            <w:tblPr>
              <w:tblStyle w:val="27"/>
              <w:tblW w:w="4996"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427"/>
              <w:gridCol w:w="501"/>
              <w:gridCol w:w="823"/>
              <w:gridCol w:w="448"/>
              <w:gridCol w:w="486"/>
              <w:gridCol w:w="533"/>
              <w:gridCol w:w="453"/>
              <w:gridCol w:w="939"/>
              <w:gridCol w:w="856"/>
              <w:gridCol w:w="486"/>
              <w:gridCol w:w="824"/>
              <w:gridCol w:w="699"/>
              <w:gridCol w:w="416"/>
            </w:tblGrid>
            <w:tr w14:paraId="0320DB49">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256" w:type="pct"/>
                  <w:vMerge w:val="restart"/>
                  <w:tcBorders>
                    <w:top w:val="single" w:color="auto" w:sz="12" w:space="0"/>
                    <w:left w:val="nil"/>
                    <w:bottom w:val="single" w:color="auto" w:sz="4" w:space="0"/>
                    <w:right w:val="single" w:color="auto" w:sz="4" w:space="0"/>
                  </w:tcBorders>
                  <w:noWrap w:val="0"/>
                  <w:vAlign w:val="center"/>
                </w:tcPr>
                <w:p w14:paraId="691B0E66">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序号</w:t>
                  </w:r>
                </w:p>
              </w:tc>
              <w:tc>
                <w:tcPr>
                  <w:tcW w:w="256" w:type="pct"/>
                  <w:vMerge w:val="restart"/>
                  <w:tcBorders>
                    <w:top w:val="single" w:color="auto" w:sz="12" w:space="0"/>
                    <w:left w:val="nil"/>
                    <w:bottom w:val="single" w:color="auto" w:sz="4" w:space="0"/>
                    <w:right w:val="single" w:color="auto" w:sz="4" w:space="0"/>
                  </w:tcBorders>
                  <w:noWrap w:val="0"/>
                  <w:vAlign w:val="center"/>
                </w:tcPr>
                <w:p w14:paraId="5998741A">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建筑物名称</w:t>
                  </w:r>
                </w:p>
              </w:tc>
              <w:tc>
                <w:tcPr>
                  <w:tcW w:w="301" w:type="pct"/>
                  <w:vMerge w:val="restart"/>
                  <w:tcBorders>
                    <w:top w:val="single" w:color="auto" w:sz="12" w:space="0"/>
                    <w:left w:val="nil"/>
                    <w:bottom w:val="single" w:color="auto" w:sz="4" w:space="0"/>
                    <w:right w:val="single" w:color="auto" w:sz="4" w:space="0"/>
                  </w:tcBorders>
                  <w:noWrap w:val="0"/>
                  <w:vAlign w:val="center"/>
                </w:tcPr>
                <w:p w14:paraId="6489FB25">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声源名称</w:t>
                  </w:r>
                </w:p>
              </w:tc>
              <w:tc>
                <w:tcPr>
                  <w:tcW w:w="494" w:type="pct"/>
                  <w:vMerge w:val="restart"/>
                  <w:tcBorders>
                    <w:top w:val="single" w:color="auto" w:sz="12" w:space="0"/>
                    <w:left w:val="nil"/>
                    <w:bottom w:val="single" w:color="auto" w:sz="4" w:space="0"/>
                    <w:right w:val="single" w:color="auto" w:sz="4" w:space="0"/>
                  </w:tcBorders>
                  <w:noWrap w:val="0"/>
                  <w:vAlign w:val="center"/>
                </w:tcPr>
                <w:p w14:paraId="6B6595D1">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声功率级/dB(A)</w:t>
                  </w:r>
                </w:p>
              </w:tc>
              <w:tc>
                <w:tcPr>
                  <w:tcW w:w="269" w:type="pct"/>
                  <w:vMerge w:val="restart"/>
                  <w:tcBorders>
                    <w:top w:val="single" w:color="auto" w:sz="12" w:space="0"/>
                    <w:left w:val="nil"/>
                    <w:bottom w:val="single" w:color="auto" w:sz="4" w:space="0"/>
                    <w:right w:val="single" w:color="auto" w:sz="4" w:space="0"/>
                  </w:tcBorders>
                  <w:noWrap w:val="0"/>
                  <w:vAlign w:val="center"/>
                </w:tcPr>
                <w:p w14:paraId="7FCBBAEF">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声源控制措施</w:t>
                  </w:r>
                </w:p>
              </w:tc>
              <w:tc>
                <w:tcPr>
                  <w:tcW w:w="884" w:type="pct"/>
                  <w:gridSpan w:val="3"/>
                  <w:tcBorders>
                    <w:top w:val="single" w:color="auto" w:sz="12" w:space="0"/>
                    <w:left w:val="nil"/>
                    <w:bottom w:val="single" w:color="auto" w:sz="4" w:space="0"/>
                    <w:right w:val="single" w:color="auto" w:sz="4" w:space="0"/>
                  </w:tcBorders>
                  <w:noWrap w:val="0"/>
                  <w:vAlign w:val="center"/>
                </w:tcPr>
                <w:p w14:paraId="5D2BB3FF">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Pr>
                  </w:pPr>
                  <w:r>
                    <w:rPr>
                      <w:rFonts w:hint="default" w:ascii="Times New Roman" w:hAnsi="Times New Roman" w:cs="Times New Roman" w:eastAsiaTheme="minorEastAsia"/>
                      <w:b/>
                      <w:bCs w:val="0"/>
                      <w:color w:val="auto"/>
                      <w:kern w:val="2"/>
                      <w:sz w:val="21"/>
                      <w:szCs w:val="21"/>
                      <w:lang w:val="en-US" w:eastAsia="zh-CN" w:bidi="ar"/>
                    </w:rPr>
                    <w:t>空间相对</w:t>
                  </w:r>
                </w:p>
                <w:p w14:paraId="648FCB8D">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位置/m</w:t>
                  </w:r>
                </w:p>
              </w:tc>
              <w:tc>
                <w:tcPr>
                  <w:tcW w:w="564" w:type="pct"/>
                  <w:vMerge w:val="restart"/>
                  <w:tcBorders>
                    <w:top w:val="single" w:color="auto" w:sz="12" w:space="0"/>
                    <w:left w:val="nil"/>
                    <w:bottom w:val="single" w:color="auto" w:sz="4" w:space="0"/>
                    <w:right w:val="single" w:color="auto" w:sz="4" w:space="0"/>
                  </w:tcBorders>
                  <w:noWrap w:val="0"/>
                  <w:vAlign w:val="center"/>
                </w:tcPr>
                <w:p w14:paraId="42E0D53C">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距室内边界距离/m</w:t>
                  </w:r>
                </w:p>
              </w:tc>
              <w:tc>
                <w:tcPr>
                  <w:tcW w:w="514" w:type="pct"/>
                  <w:vMerge w:val="restart"/>
                  <w:tcBorders>
                    <w:top w:val="single" w:color="auto" w:sz="12" w:space="0"/>
                    <w:left w:val="nil"/>
                    <w:bottom w:val="single" w:color="auto" w:sz="4" w:space="0"/>
                    <w:right w:val="single" w:color="auto" w:sz="4" w:space="0"/>
                  </w:tcBorders>
                  <w:noWrap w:val="0"/>
                  <w:vAlign w:val="center"/>
                </w:tcPr>
                <w:p w14:paraId="59B0163A">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室内边界声级/dB(A)</w:t>
                  </w:r>
                </w:p>
              </w:tc>
              <w:tc>
                <w:tcPr>
                  <w:tcW w:w="292" w:type="pct"/>
                  <w:vMerge w:val="restart"/>
                  <w:tcBorders>
                    <w:top w:val="single" w:color="auto" w:sz="12" w:space="0"/>
                    <w:left w:val="nil"/>
                    <w:bottom w:val="single" w:color="auto" w:sz="4" w:space="0"/>
                    <w:right w:val="single" w:color="auto" w:sz="4" w:space="0"/>
                  </w:tcBorders>
                  <w:noWrap w:val="0"/>
                  <w:vAlign w:val="center"/>
                </w:tcPr>
                <w:p w14:paraId="291BB2F1">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运行时段</w:t>
                  </w:r>
                </w:p>
              </w:tc>
              <w:tc>
                <w:tcPr>
                  <w:tcW w:w="495" w:type="pct"/>
                  <w:vMerge w:val="restart"/>
                  <w:tcBorders>
                    <w:top w:val="single" w:color="auto" w:sz="12" w:space="0"/>
                    <w:left w:val="nil"/>
                    <w:bottom w:val="single" w:color="auto" w:sz="4" w:space="0"/>
                    <w:right w:val="single" w:color="auto" w:sz="4" w:space="0"/>
                  </w:tcBorders>
                  <w:noWrap w:val="0"/>
                  <w:vAlign w:val="center"/>
                </w:tcPr>
                <w:p w14:paraId="690CA3C2">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bookmarkStart w:id="37" w:name="PT_10"/>
                  <w:bookmarkEnd w:id="37"/>
                  <w:r>
                    <w:rPr>
                      <w:rFonts w:hint="default" w:ascii="Times New Roman" w:hAnsi="Times New Roman" w:cs="Times New Roman" w:eastAsiaTheme="minorEastAsia"/>
                      <w:b/>
                      <w:bCs w:val="0"/>
                      <w:color w:val="auto"/>
                      <w:kern w:val="2"/>
                      <w:sz w:val="21"/>
                      <w:szCs w:val="21"/>
                      <w:lang w:val="en-US" w:eastAsia="zh-CN" w:bidi="ar"/>
                    </w:rPr>
                    <w:t>建筑物插入损失/dB(A)</w:t>
                  </w:r>
                </w:p>
              </w:tc>
              <w:tc>
                <w:tcPr>
                  <w:tcW w:w="670" w:type="pct"/>
                  <w:gridSpan w:val="2"/>
                  <w:tcBorders>
                    <w:top w:val="single" w:color="auto" w:sz="12" w:space="0"/>
                    <w:left w:val="nil"/>
                    <w:bottom w:val="nil"/>
                    <w:right w:val="nil"/>
                  </w:tcBorders>
                  <w:noWrap w:val="0"/>
                  <w:vAlign w:val="center"/>
                </w:tcPr>
                <w:p w14:paraId="6E7F460B">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建筑物外噪声</w:t>
                  </w:r>
                </w:p>
              </w:tc>
            </w:tr>
            <w:tr w14:paraId="679D6F6B">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vMerge w:val="continue"/>
                  <w:tcBorders>
                    <w:top w:val="single" w:color="auto" w:sz="12" w:space="0"/>
                    <w:left w:val="nil"/>
                    <w:bottom w:val="single" w:color="auto" w:sz="4" w:space="0"/>
                    <w:right w:val="single" w:color="auto" w:sz="4" w:space="0"/>
                  </w:tcBorders>
                  <w:noWrap w:val="0"/>
                  <w:vAlign w:val="center"/>
                </w:tcPr>
                <w:p w14:paraId="0660A701">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56" w:type="pct"/>
                  <w:vMerge w:val="continue"/>
                  <w:tcBorders>
                    <w:top w:val="single" w:color="auto" w:sz="12" w:space="0"/>
                    <w:left w:val="nil"/>
                    <w:bottom w:val="single" w:color="auto" w:sz="4" w:space="0"/>
                    <w:right w:val="single" w:color="auto" w:sz="4" w:space="0"/>
                  </w:tcBorders>
                  <w:noWrap w:val="0"/>
                  <w:vAlign w:val="center"/>
                </w:tcPr>
                <w:p w14:paraId="4F53878D">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301" w:type="pct"/>
                  <w:vMerge w:val="continue"/>
                  <w:tcBorders>
                    <w:top w:val="single" w:color="auto" w:sz="12" w:space="0"/>
                    <w:left w:val="nil"/>
                    <w:bottom w:val="single" w:color="auto" w:sz="4" w:space="0"/>
                    <w:right w:val="single" w:color="auto" w:sz="4" w:space="0"/>
                  </w:tcBorders>
                  <w:noWrap w:val="0"/>
                  <w:vAlign w:val="center"/>
                </w:tcPr>
                <w:p w14:paraId="5C02F8AC">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494" w:type="pct"/>
                  <w:vMerge w:val="continue"/>
                  <w:tcBorders>
                    <w:top w:val="single" w:color="auto" w:sz="12" w:space="0"/>
                    <w:left w:val="nil"/>
                    <w:bottom w:val="single" w:color="auto" w:sz="4" w:space="0"/>
                    <w:right w:val="single" w:color="auto" w:sz="4" w:space="0"/>
                  </w:tcBorders>
                  <w:noWrap w:val="0"/>
                  <w:vAlign w:val="center"/>
                </w:tcPr>
                <w:p w14:paraId="3387935F">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69" w:type="pct"/>
                  <w:vMerge w:val="continue"/>
                  <w:tcBorders>
                    <w:top w:val="single" w:color="auto" w:sz="12" w:space="0"/>
                    <w:left w:val="nil"/>
                    <w:bottom w:val="single" w:color="auto" w:sz="4" w:space="0"/>
                    <w:right w:val="single" w:color="auto" w:sz="4" w:space="0"/>
                  </w:tcBorders>
                  <w:noWrap w:val="0"/>
                  <w:vAlign w:val="center"/>
                </w:tcPr>
                <w:p w14:paraId="5406BCDA">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25C974C2">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rtl/>
                      <w:cs/>
                      <w:lang w:val="en-US" w:eastAsia="zh-CN" w:bidi="ar"/>
                    </w:rPr>
                    <w:t>X</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1BFEF5DA">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rtl/>
                      <w:cs/>
                      <w:lang w:val="en-US" w:eastAsia="zh-CN" w:bidi="ar"/>
                    </w:rPr>
                    <w:t>Y</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3BFAFDAC">
                  <w:pPr>
                    <w:keepNext w:val="0"/>
                    <w:keepLines w:val="0"/>
                    <w:pageBreakBefore w:val="0"/>
                    <w:widowControl w:val="0"/>
                    <w:suppressLineNumbers w:val="0"/>
                    <w:kinsoku/>
                    <w:wordWrap/>
                    <w:overflowPunct/>
                    <w:topLinePunct w:val="0"/>
                    <w:autoSpaceDE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rtl/>
                      <w:cs/>
                      <w:lang w:val="en-US" w:eastAsia="zh-CN" w:bidi="ar"/>
                    </w:rPr>
                    <w:t>Z</w:t>
                  </w:r>
                </w:p>
              </w:tc>
              <w:tc>
                <w:tcPr>
                  <w:tcW w:w="564" w:type="pct"/>
                  <w:vMerge w:val="continue"/>
                  <w:tcBorders>
                    <w:top w:val="single" w:color="auto" w:sz="12" w:space="0"/>
                    <w:left w:val="nil"/>
                    <w:bottom w:val="single" w:color="auto" w:sz="4" w:space="0"/>
                    <w:right w:val="single" w:color="auto" w:sz="4" w:space="0"/>
                  </w:tcBorders>
                  <w:noWrap w:val="0"/>
                  <w:vAlign w:val="center"/>
                </w:tcPr>
                <w:p w14:paraId="66DEDB16">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514" w:type="pct"/>
                  <w:vMerge w:val="continue"/>
                  <w:tcBorders>
                    <w:top w:val="single" w:color="auto" w:sz="12" w:space="0"/>
                    <w:left w:val="nil"/>
                    <w:bottom w:val="single" w:color="auto" w:sz="4" w:space="0"/>
                    <w:right w:val="single" w:color="auto" w:sz="4" w:space="0"/>
                  </w:tcBorders>
                  <w:noWrap w:val="0"/>
                  <w:vAlign w:val="center"/>
                </w:tcPr>
                <w:p w14:paraId="3E865892">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vMerge w:val="continue"/>
                  <w:tcBorders>
                    <w:top w:val="single" w:color="auto" w:sz="12" w:space="0"/>
                    <w:left w:val="nil"/>
                    <w:bottom w:val="single" w:color="auto" w:sz="4" w:space="0"/>
                    <w:right w:val="single" w:color="auto" w:sz="4" w:space="0"/>
                  </w:tcBorders>
                  <w:noWrap w:val="0"/>
                  <w:vAlign w:val="center"/>
                </w:tcPr>
                <w:p w14:paraId="23804792">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495" w:type="pct"/>
                  <w:vMerge w:val="continue"/>
                  <w:tcBorders>
                    <w:top w:val="single" w:color="auto" w:sz="12" w:space="0"/>
                    <w:left w:val="nil"/>
                    <w:bottom w:val="single" w:color="auto" w:sz="4" w:space="0"/>
                    <w:right w:val="single" w:color="auto" w:sz="4" w:space="0"/>
                  </w:tcBorders>
                  <w:noWrap w:val="0"/>
                  <w:vAlign w:val="center"/>
                </w:tcPr>
                <w:p w14:paraId="48710DF7">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47A1F8E8">
                  <w:pPr>
                    <w:keepNext w:val="0"/>
                    <w:keepLines w:val="0"/>
                    <w:pageBreakBefore w:val="0"/>
                    <w:widowControl w:val="0"/>
                    <w:suppressLineNumbers w:val="0"/>
                    <w:kinsoku/>
                    <w:wordWrap/>
                    <w:overflowPunct/>
                    <w:topLinePunct w:val="0"/>
                    <w:autoSpaceDN/>
                    <w:bidi/>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tl/>
                      <w:cs/>
                    </w:rPr>
                  </w:pPr>
                  <w:r>
                    <w:rPr>
                      <w:rFonts w:hint="default" w:ascii="Times New Roman" w:hAnsi="Times New Roman" w:cs="Times New Roman" w:eastAsiaTheme="minorEastAsia"/>
                      <w:b/>
                      <w:bCs w:val="0"/>
                      <w:color w:val="auto"/>
                      <w:kern w:val="2"/>
                      <w:sz w:val="21"/>
                      <w:szCs w:val="21"/>
                      <w:lang w:val="en-US" w:eastAsia="zh-CN" w:bidi="ar"/>
                    </w:rPr>
                    <w:t>声压级/dB(A)</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3621C368">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bCs w:val="0"/>
                      <w:color w:val="auto"/>
                      <w:kern w:val="2"/>
                      <w:sz w:val="21"/>
                      <w:szCs w:val="21"/>
                    </w:rPr>
                  </w:pPr>
                  <w:r>
                    <w:rPr>
                      <w:rFonts w:hint="default" w:ascii="Times New Roman" w:hAnsi="Times New Roman" w:cs="Times New Roman" w:eastAsiaTheme="minorEastAsia"/>
                      <w:b/>
                      <w:bCs w:val="0"/>
                      <w:color w:val="auto"/>
                      <w:kern w:val="2"/>
                      <w:sz w:val="21"/>
                      <w:szCs w:val="21"/>
                      <w:lang w:val="en-US" w:eastAsia="zh-CN" w:bidi="ar"/>
                    </w:rPr>
                    <w:t>建筑物外距离</w:t>
                  </w:r>
                </w:p>
              </w:tc>
            </w:tr>
            <w:tr w14:paraId="18F1532B">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49350181">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en-US" w:eastAsia="zh-CN" w:bidi="ar"/>
                    </w:rPr>
                    <w:t>1</w:t>
                  </w:r>
                </w:p>
              </w:tc>
              <w:tc>
                <w:tcPr>
                  <w:tcW w:w="256" w:type="pct"/>
                  <w:vMerge w:val="restart"/>
                  <w:tcBorders>
                    <w:top w:val="nil"/>
                    <w:left w:val="nil"/>
                    <w:right w:val="single" w:color="auto" w:sz="4" w:space="0"/>
                  </w:tcBorders>
                  <w:noWrap w:val="0"/>
                  <w:tcMar>
                    <w:left w:w="0" w:type="dxa"/>
                    <w:right w:w="0" w:type="dxa"/>
                  </w:tcMar>
                  <w:vAlign w:val="center"/>
                </w:tcPr>
                <w:p w14:paraId="3CE78F37">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en-US" w:eastAsia="zh-CN" w:bidi="ar"/>
                    </w:rPr>
                    <w:t>生产车间</w:t>
                  </w: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6A6E9F94">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color w:val="auto"/>
                      <w:kern w:val="2"/>
                      <w:sz w:val="21"/>
                      <w:szCs w:val="21"/>
                      <w:lang w:val="en-US" w:eastAsia="zh-CN" w:bidi="ar"/>
                    </w:rPr>
                    <w:t>热处理生产线1</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6947A4C0">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i w:val="0"/>
                      <w:iCs w:val="0"/>
                      <w:color w:val="auto"/>
                      <w:kern w:val="0"/>
                      <w:sz w:val="21"/>
                      <w:szCs w:val="21"/>
                      <w:lang w:val="en-US" w:eastAsia="zh-CN" w:bidi="ar"/>
                    </w:rPr>
                    <w:t>75</w:t>
                  </w:r>
                </w:p>
              </w:tc>
              <w:tc>
                <w:tcPr>
                  <w:tcW w:w="269" w:type="pct"/>
                  <w:vMerge w:val="restart"/>
                  <w:tcBorders>
                    <w:top w:val="nil"/>
                    <w:left w:val="nil"/>
                    <w:right w:val="single" w:color="auto" w:sz="4" w:space="0"/>
                  </w:tcBorders>
                  <w:noWrap w:val="0"/>
                  <w:tcMar>
                    <w:left w:w="0" w:type="dxa"/>
                    <w:right w:w="0" w:type="dxa"/>
                  </w:tcMar>
                  <w:vAlign w:val="center"/>
                </w:tcPr>
                <w:p w14:paraId="5DCA1B2F">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en-US" w:eastAsia="zh-CN" w:bidi="ar"/>
                    </w:rPr>
                    <w:t>基础减震、厂房隔声</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135D7233">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33</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011187A7">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177</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4BE79478">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53CEF828">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i w:val="0"/>
                      <w:iCs w:val="0"/>
                      <w:color w:val="auto"/>
                      <w:kern w:val="0"/>
                      <w:sz w:val="21"/>
                      <w:szCs w:val="21"/>
                      <w:u w:val="none"/>
                      <w:lang w:val="en-US" w:eastAsia="zh-CN" w:bidi="ar"/>
                    </w:rPr>
                    <w:t>36.35</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3EB076E2">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56.15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77CC3AC5">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22350870">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370D0663">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35.13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392D2712">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en-US" w:eastAsia="zh-CN" w:bidi="ar"/>
                    </w:rPr>
                    <w:t>1</w:t>
                  </w:r>
                </w:p>
              </w:tc>
            </w:tr>
            <w:tr w14:paraId="73F53528">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37EED852">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en-US" w:eastAsia="zh-CN" w:bidi="ar"/>
                    </w:rPr>
                    <w:t>2</w:t>
                  </w:r>
                </w:p>
              </w:tc>
              <w:tc>
                <w:tcPr>
                  <w:tcW w:w="256" w:type="pct"/>
                  <w:vMerge w:val="continue"/>
                  <w:tcBorders>
                    <w:left w:val="nil"/>
                    <w:right w:val="single" w:color="auto" w:sz="4" w:space="0"/>
                  </w:tcBorders>
                  <w:noWrap w:val="0"/>
                  <w:tcMar>
                    <w:left w:w="0" w:type="dxa"/>
                    <w:right w:w="0" w:type="dxa"/>
                  </w:tcMar>
                  <w:vAlign w:val="center"/>
                </w:tcPr>
                <w:p w14:paraId="2B011E37">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4DA9D96E">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color w:val="auto"/>
                      <w:kern w:val="2"/>
                      <w:sz w:val="21"/>
                      <w:szCs w:val="21"/>
                      <w:lang w:val="en-US" w:eastAsia="zh-CN" w:bidi="ar"/>
                    </w:rPr>
                    <w:t>热处理生产线2</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2DE1E3A1">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lang w:val="en-US" w:eastAsia="zh-CN" w:bidi="ar"/>
                    </w:rPr>
                    <w:t>75</w:t>
                  </w:r>
                </w:p>
              </w:tc>
              <w:tc>
                <w:tcPr>
                  <w:tcW w:w="269" w:type="pct"/>
                  <w:vMerge w:val="continue"/>
                  <w:tcBorders>
                    <w:left w:val="nil"/>
                    <w:right w:val="single" w:color="auto" w:sz="4" w:space="0"/>
                  </w:tcBorders>
                  <w:noWrap w:val="0"/>
                  <w:tcMar>
                    <w:left w:w="0" w:type="dxa"/>
                    <w:right w:w="0" w:type="dxa"/>
                  </w:tcMar>
                  <w:vAlign w:val="center"/>
                </w:tcPr>
                <w:p w14:paraId="3C91D215">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7B862BA6">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42</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4094A41E">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174</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492A5B1C">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01850A7A">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i w:val="0"/>
                      <w:iCs w:val="0"/>
                      <w:color w:val="auto"/>
                      <w:kern w:val="0"/>
                      <w:sz w:val="21"/>
                      <w:szCs w:val="21"/>
                      <w:u w:val="none"/>
                      <w:lang w:val="en-US" w:eastAsia="zh-CN" w:bidi="ar"/>
                    </w:rPr>
                    <w:t>36.35</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08C145A4">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56.15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64691134">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2B75602F">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5D888A17">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rPr>
                  </w:pPr>
                  <w:r>
                    <w:rPr>
                      <w:rFonts w:hint="default" w:ascii="Times New Roman" w:hAnsi="Times New Roman" w:cs="Times New Roman" w:eastAsiaTheme="minorEastAsia"/>
                      <w:i w:val="0"/>
                      <w:iCs w:val="0"/>
                      <w:color w:val="auto"/>
                      <w:kern w:val="0"/>
                      <w:sz w:val="21"/>
                      <w:szCs w:val="21"/>
                      <w:u w:val="none"/>
                      <w:lang w:val="en-US" w:eastAsia="zh-CN" w:bidi="ar"/>
                    </w:rPr>
                    <w:t>35.13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242CD524">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en-US" w:eastAsia="zh-CN" w:bidi="ar"/>
                    </w:rPr>
                    <w:t>1</w:t>
                  </w:r>
                </w:p>
              </w:tc>
            </w:tr>
            <w:tr w14:paraId="7B7B3B99">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309BF43C">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3</w:t>
                  </w:r>
                </w:p>
              </w:tc>
              <w:tc>
                <w:tcPr>
                  <w:tcW w:w="256" w:type="pct"/>
                  <w:vMerge w:val="continue"/>
                  <w:tcBorders>
                    <w:left w:val="nil"/>
                    <w:right w:val="single" w:color="auto" w:sz="4" w:space="0"/>
                  </w:tcBorders>
                  <w:noWrap w:val="0"/>
                  <w:tcMar>
                    <w:left w:w="0" w:type="dxa"/>
                    <w:right w:w="0" w:type="dxa"/>
                  </w:tcMar>
                  <w:vAlign w:val="center"/>
                </w:tcPr>
                <w:p w14:paraId="42C17A8D">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55979AED">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热处理生产线3</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6780737E">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75</w:t>
                  </w:r>
                </w:p>
              </w:tc>
              <w:tc>
                <w:tcPr>
                  <w:tcW w:w="269" w:type="pct"/>
                  <w:vMerge w:val="continue"/>
                  <w:tcBorders>
                    <w:left w:val="nil"/>
                    <w:right w:val="single" w:color="auto" w:sz="4" w:space="0"/>
                  </w:tcBorders>
                  <w:noWrap w:val="0"/>
                  <w:tcMar>
                    <w:left w:w="0" w:type="dxa"/>
                    <w:right w:w="0" w:type="dxa"/>
                  </w:tcMar>
                  <w:vAlign w:val="center"/>
                </w:tcPr>
                <w:p w14:paraId="35270785">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6D72ECA3">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45</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63FBF418">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172</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27268F67">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3D728A98">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36.35</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3E73002D">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56.15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362277BC">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421D410D">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3E4A49A1">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35.13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0F939560">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r w14:paraId="175B598C">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5F912386">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4</w:t>
                  </w:r>
                </w:p>
              </w:tc>
              <w:tc>
                <w:tcPr>
                  <w:tcW w:w="256" w:type="pct"/>
                  <w:vMerge w:val="continue"/>
                  <w:tcBorders>
                    <w:left w:val="nil"/>
                    <w:right w:val="single" w:color="auto" w:sz="4" w:space="0"/>
                  </w:tcBorders>
                  <w:noWrap w:val="0"/>
                  <w:tcMar>
                    <w:left w:w="0" w:type="dxa"/>
                    <w:right w:w="0" w:type="dxa"/>
                  </w:tcMar>
                  <w:vAlign w:val="center"/>
                </w:tcPr>
                <w:p w14:paraId="19787058">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1D1ECF32">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单头拉丝机1</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7CA36AEE">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lang w:val="en-US" w:eastAsia="zh-CN" w:bidi="ar"/>
                    </w:rPr>
                    <w:t>80</w:t>
                  </w:r>
                </w:p>
              </w:tc>
              <w:tc>
                <w:tcPr>
                  <w:tcW w:w="269" w:type="pct"/>
                  <w:vMerge w:val="continue"/>
                  <w:tcBorders>
                    <w:left w:val="nil"/>
                    <w:right w:val="single" w:color="auto" w:sz="4" w:space="0"/>
                  </w:tcBorders>
                  <w:noWrap w:val="0"/>
                  <w:tcMar>
                    <w:left w:w="0" w:type="dxa"/>
                    <w:right w:w="0" w:type="dxa"/>
                  </w:tcMar>
                  <w:vAlign w:val="center"/>
                </w:tcPr>
                <w:p w14:paraId="2481467F">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4EDE320E">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40</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078EBAAC">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143</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0D7B1E69">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2E70E79C">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36.35</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0943766A">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61.15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26DEBB9B">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0B7A5D14">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13F7C02A">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40.13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29E6D431">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r w14:paraId="66A23F10">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5DBD10FC">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5</w:t>
                  </w:r>
                </w:p>
              </w:tc>
              <w:tc>
                <w:tcPr>
                  <w:tcW w:w="256" w:type="pct"/>
                  <w:vMerge w:val="continue"/>
                  <w:tcBorders>
                    <w:left w:val="nil"/>
                    <w:right w:val="single" w:color="auto" w:sz="4" w:space="0"/>
                  </w:tcBorders>
                  <w:noWrap w:val="0"/>
                  <w:tcMar>
                    <w:left w:w="0" w:type="dxa"/>
                    <w:right w:w="0" w:type="dxa"/>
                  </w:tcMar>
                  <w:vAlign w:val="center"/>
                </w:tcPr>
                <w:p w14:paraId="05A1D59B">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3300E5F8">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单头拉丝机2</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4E388F82">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lang w:val="en-US" w:eastAsia="zh-CN" w:bidi="ar"/>
                    </w:rPr>
                    <w:t>80</w:t>
                  </w:r>
                </w:p>
              </w:tc>
              <w:tc>
                <w:tcPr>
                  <w:tcW w:w="269" w:type="pct"/>
                  <w:vMerge w:val="continue"/>
                  <w:tcBorders>
                    <w:left w:val="nil"/>
                    <w:right w:val="single" w:color="auto" w:sz="4" w:space="0"/>
                  </w:tcBorders>
                  <w:noWrap w:val="0"/>
                  <w:tcMar>
                    <w:left w:w="0" w:type="dxa"/>
                    <w:right w:w="0" w:type="dxa"/>
                  </w:tcMar>
                  <w:vAlign w:val="center"/>
                </w:tcPr>
                <w:p w14:paraId="37F42B7C">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55AD3483">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48</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01DC804F">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172</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242961F8">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61F49A9A">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36.35</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1D51F93A">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61.15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6C36AA22">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563C062F">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11462C73">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i w:val="0"/>
                      <w:iCs w:val="0"/>
                      <w:color w:val="auto"/>
                      <w:kern w:val="0"/>
                      <w:sz w:val="21"/>
                      <w:szCs w:val="21"/>
                      <w:u w:val="none"/>
                      <w:lang w:val="en-US" w:eastAsia="zh-CN" w:bidi="ar"/>
                    </w:rPr>
                    <w:t>40.13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44FAA1CB">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r w14:paraId="2EE057DE">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01B8DA2C">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6</w:t>
                  </w:r>
                </w:p>
              </w:tc>
              <w:tc>
                <w:tcPr>
                  <w:tcW w:w="256" w:type="pct"/>
                  <w:vMerge w:val="restart"/>
                  <w:tcBorders>
                    <w:left w:val="nil"/>
                    <w:right w:val="single" w:color="auto" w:sz="4" w:space="0"/>
                  </w:tcBorders>
                  <w:noWrap w:val="0"/>
                  <w:tcMar>
                    <w:left w:w="0" w:type="dxa"/>
                    <w:right w:w="0" w:type="dxa"/>
                  </w:tcMar>
                  <w:vAlign w:val="center"/>
                </w:tcPr>
                <w:p w14:paraId="2A530B73">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仓库</w:t>
                  </w: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7353851A">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eastAsia" w:cs="Times New Roman" w:eastAsiaTheme="minorEastAsia"/>
                      <w:color w:val="auto"/>
                      <w:kern w:val="2"/>
                      <w:sz w:val="21"/>
                      <w:szCs w:val="21"/>
                      <w:lang w:val="en-US" w:eastAsia="zh-CN" w:bidi="ar"/>
                    </w:rPr>
                    <w:t>剪切</w:t>
                  </w:r>
                  <w:r>
                    <w:rPr>
                      <w:rFonts w:hint="default" w:ascii="Times New Roman" w:hAnsi="Times New Roman" w:cs="Times New Roman" w:eastAsiaTheme="minorEastAsia"/>
                      <w:color w:val="auto"/>
                      <w:kern w:val="2"/>
                      <w:sz w:val="21"/>
                      <w:szCs w:val="21"/>
                      <w:lang w:val="en-US" w:eastAsia="zh-CN" w:bidi="ar"/>
                    </w:rPr>
                    <w:t>机1</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7B48A00E">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eastAsia="zh-CN" w:bidi="ar"/>
                    </w:rPr>
                  </w:pPr>
                  <w:r>
                    <w:rPr>
                      <w:rFonts w:hint="default" w:ascii="Times New Roman" w:hAnsi="Times New Roman" w:cs="Times New Roman" w:eastAsiaTheme="minorEastAsia"/>
                      <w:i w:val="0"/>
                      <w:iCs w:val="0"/>
                      <w:color w:val="auto"/>
                      <w:kern w:val="0"/>
                      <w:sz w:val="21"/>
                      <w:szCs w:val="21"/>
                      <w:lang w:val="en-US" w:eastAsia="zh-CN" w:bidi="ar"/>
                    </w:rPr>
                    <w:t>8</w:t>
                  </w:r>
                  <w:r>
                    <w:rPr>
                      <w:rFonts w:hint="default" w:cs="Times New Roman" w:eastAsiaTheme="minorEastAsia"/>
                      <w:i w:val="0"/>
                      <w:iCs w:val="0"/>
                      <w:color w:val="auto"/>
                      <w:kern w:val="0"/>
                      <w:sz w:val="21"/>
                      <w:szCs w:val="21"/>
                      <w:lang w:eastAsia="zh-CN" w:bidi="ar"/>
                    </w:rPr>
                    <w:t>0</w:t>
                  </w:r>
                </w:p>
              </w:tc>
              <w:tc>
                <w:tcPr>
                  <w:tcW w:w="269" w:type="pct"/>
                  <w:vMerge w:val="continue"/>
                  <w:tcBorders>
                    <w:left w:val="nil"/>
                    <w:right w:val="single" w:color="auto" w:sz="4" w:space="0"/>
                  </w:tcBorders>
                  <w:noWrap w:val="0"/>
                  <w:tcMar>
                    <w:left w:w="0" w:type="dxa"/>
                    <w:right w:w="0" w:type="dxa"/>
                  </w:tcMar>
                  <w:vAlign w:val="center"/>
                </w:tcPr>
                <w:p w14:paraId="33133172">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3BBB3576">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94</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64AD19FE">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220</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4B1E4D32">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69F3CB2B">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27.58</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1DA94288">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61.15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13046F5F">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491BDF4D">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683E95E3">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40.13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5125EC94">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r w14:paraId="78461294">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76B90520">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7</w:t>
                  </w:r>
                </w:p>
              </w:tc>
              <w:tc>
                <w:tcPr>
                  <w:tcW w:w="256" w:type="pct"/>
                  <w:vMerge w:val="continue"/>
                  <w:tcBorders>
                    <w:left w:val="nil"/>
                    <w:right w:val="single" w:color="auto" w:sz="4" w:space="0"/>
                  </w:tcBorders>
                  <w:noWrap w:val="0"/>
                  <w:tcMar>
                    <w:left w:w="0" w:type="dxa"/>
                    <w:right w:w="0" w:type="dxa"/>
                  </w:tcMar>
                  <w:vAlign w:val="center"/>
                </w:tcPr>
                <w:p w14:paraId="3B100D65">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lang w:eastAsia="zh-CN"/>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6BBBFAD8">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eastAsia" w:cs="Times New Roman" w:eastAsiaTheme="minorEastAsia"/>
                      <w:color w:val="auto"/>
                      <w:kern w:val="2"/>
                      <w:sz w:val="21"/>
                      <w:szCs w:val="21"/>
                      <w:lang w:val="en-US" w:eastAsia="zh-CN" w:bidi="ar"/>
                    </w:rPr>
                    <w:t>剪切</w:t>
                  </w:r>
                  <w:r>
                    <w:rPr>
                      <w:rFonts w:hint="default" w:ascii="Times New Roman" w:hAnsi="Times New Roman" w:cs="Times New Roman" w:eastAsiaTheme="minorEastAsia"/>
                      <w:color w:val="auto"/>
                      <w:kern w:val="2"/>
                      <w:sz w:val="21"/>
                      <w:szCs w:val="21"/>
                      <w:lang w:val="en-US" w:eastAsia="zh-CN" w:bidi="ar"/>
                    </w:rPr>
                    <w:t>机2</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1C859BC2">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eastAsia="zh-CN" w:bidi="ar"/>
                    </w:rPr>
                  </w:pPr>
                  <w:r>
                    <w:rPr>
                      <w:rFonts w:hint="default" w:ascii="Times New Roman" w:hAnsi="Times New Roman" w:cs="Times New Roman" w:eastAsiaTheme="minorEastAsia"/>
                      <w:i w:val="0"/>
                      <w:iCs w:val="0"/>
                      <w:color w:val="auto"/>
                      <w:kern w:val="0"/>
                      <w:sz w:val="21"/>
                      <w:szCs w:val="21"/>
                      <w:lang w:val="en-US" w:eastAsia="zh-CN" w:bidi="ar"/>
                    </w:rPr>
                    <w:t>8</w:t>
                  </w:r>
                  <w:r>
                    <w:rPr>
                      <w:rFonts w:hint="default" w:cs="Times New Roman" w:eastAsiaTheme="minorEastAsia"/>
                      <w:i w:val="0"/>
                      <w:iCs w:val="0"/>
                      <w:color w:val="auto"/>
                      <w:kern w:val="0"/>
                      <w:sz w:val="21"/>
                      <w:szCs w:val="21"/>
                      <w:lang w:eastAsia="zh-CN" w:bidi="ar"/>
                    </w:rPr>
                    <w:t>0</w:t>
                  </w:r>
                </w:p>
              </w:tc>
              <w:tc>
                <w:tcPr>
                  <w:tcW w:w="269" w:type="pct"/>
                  <w:vMerge w:val="continue"/>
                  <w:tcBorders>
                    <w:left w:val="nil"/>
                    <w:right w:val="single" w:color="auto" w:sz="4" w:space="0"/>
                  </w:tcBorders>
                  <w:noWrap w:val="0"/>
                  <w:tcMar>
                    <w:left w:w="0" w:type="dxa"/>
                    <w:right w:w="0" w:type="dxa"/>
                  </w:tcMar>
                  <w:vAlign w:val="center"/>
                </w:tcPr>
                <w:p w14:paraId="22B0F70A">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478AA8EF">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99</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76922F4E">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220</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3CC0C081">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6205F261">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27.58</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1B0DED61">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61.15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43076DF6">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2FBE9758">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13BF2059">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i w:val="0"/>
                      <w:iCs w:val="0"/>
                      <w:color w:val="auto"/>
                      <w:kern w:val="0"/>
                      <w:sz w:val="21"/>
                      <w:szCs w:val="21"/>
                      <w:u w:val="none"/>
                      <w:lang w:val="en-US" w:eastAsia="zh-CN" w:bidi="ar"/>
                    </w:rPr>
                    <w:t>40.13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5EF26D0B">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r w14:paraId="641B5C68">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363B0249">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8</w:t>
                  </w:r>
                </w:p>
              </w:tc>
              <w:tc>
                <w:tcPr>
                  <w:tcW w:w="256" w:type="pct"/>
                  <w:vMerge w:val="continue"/>
                  <w:tcBorders>
                    <w:left w:val="nil"/>
                    <w:right w:val="single" w:color="auto" w:sz="4" w:space="0"/>
                  </w:tcBorders>
                  <w:noWrap w:val="0"/>
                  <w:tcMar>
                    <w:left w:w="0" w:type="dxa"/>
                    <w:right w:w="0" w:type="dxa"/>
                  </w:tcMar>
                  <w:vAlign w:val="center"/>
                </w:tcPr>
                <w:p w14:paraId="620375F5">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lang w:eastAsia="zh-CN"/>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6AF6C934">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eastAsia" w:cs="Times New Roman" w:eastAsiaTheme="minorEastAsia"/>
                      <w:color w:val="auto"/>
                      <w:kern w:val="2"/>
                      <w:sz w:val="21"/>
                      <w:szCs w:val="21"/>
                      <w:lang w:val="en-US" w:eastAsia="zh-CN" w:bidi="ar"/>
                    </w:rPr>
                    <w:t>剪切</w:t>
                  </w:r>
                  <w:r>
                    <w:rPr>
                      <w:rFonts w:hint="default" w:ascii="Times New Roman" w:hAnsi="Times New Roman" w:cs="Times New Roman" w:eastAsiaTheme="minorEastAsia"/>
                      <w:color w:val="auto"/>
                      <w:kern w:val="2"/>
                      <w:sz w:val="21"/>
                      <w:szCs w:val="21"/>
                      <w:lang w:val="en-US" w:eastAsia="zh-CN" w:bidi="ar"/>
                    </w:rPr>
                    <w:t>机3</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44F856A3">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eastAsia="zh-CN" w:bidi="ar"/>
                    </w:rPr>
                  </w:pPr>
                  <w:r>
                    <w:rPr>
                      <w:rFonts w:hint="default" w:ascii="Times New Roman" w:hAnsi="Times New Roman" w:cs="Times New Roman" w:eastAsiaTheme="minorEastAsia"/>
                      <w:i w:val="0"/>
                      <w:iCs w:val="0"/>
                      <w:color w:val="auto"/>
                      <w:kern w:val="0"/>
                      <w:sz w:val="21"/>
                      <w:szCs w:val="21"/>
                      <w:lang w:val="en-US" w:eastAsia="zh-CN" w:bidi="ar"/>
                    </w:rPr>
                    <w:t>8</w:t>
                  </w:r>
                  <w:r>
                    <w:rPr>
                      <w:rFonts w:hint="default" w:cs="Times New Roman" w:eastAsiaTheme="minorEastAsia"/>
                      <w:i w:val="0"/>
                      <w:iCs w:val="0"/>
                      <w:color w:val="auto"/>
                      <w:kern w:val="0"/>
                      <w:sz w:val="21"/>
                      <w:szCs w:val="21"/>
                      <w:lang w:eastAsia="zh-CN" w:bidi="ar"/>
                    </w:rPr>
                    <w:t>0</w:t>
                  </w:r>
                </w:p>
              </w:tc>
              <w:tc>
                <w:tcPr>
                  <w:tcW w:w="269" w:type="pct"/>
                  <w:vMerge w:val="continue"/>
                  <w:tcBorders>
                    <w:left w:val="nil"/>
                    <w:right w:val="single" w:color="auto" w:sz="4" w:space="0"/>
                  </w:tcBorders>
                  <w:noWrap w:val="0"/>
                  <w:tcMar>
                    <w:left w:w="0" w:type="dxa"/>
                    <w:right w:w="0" w:type="dxa"/>
                  </w:tcMar>
                  <w:vAlign w:val="center"/>
                </w:tcPr>
                <w:p w14:paraId="2300118E">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575608A9">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95</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181310CD">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217</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2B1A5CF9">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155884C0">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27.58</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27217A36">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61.15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7330DD54">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4A44B132">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0B1327BF">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i w:val="0"/>
                      <w:iCs w:val="0"/>
                      <w:color w:val="auto"/>
                      <w:kern w:val="0"/>
                      <w:sz w:val="21"/>
                      <w:szCs w:val="21"/>
                      <w:u w:val="none"/>
                      <w:lang w:val="en-US" w:eastAsia="zh-CN" w:bidi="ar"/>
                    </w:rPr>
                    <w:t>40.13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434FA870">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r w14:paraId="1C815D74">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6F38EDD1">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9</w:t>
                  </w:r>
                </w:p>
              </w:tc>
              <w:tc>
                <w:tcPr>
                  <w:tcW w:w="256" w:type="pct"/>
                  <w:vMerge w:val="continue"/>
                  <w:tcBorders>
                    <w:left w:val="nil"/>
                    <w:right w:val="single" w:color="auto" w:sz="4" w:space="0"/>
                  </w:tcBorders>
                  <w:noWrap w:val="0"/>
                  <w:tcMar>
                    <w:left w:w="0" w:type="dxa"/>
                    <w:right w:w="0" w:type="dxa"/>
                  </w:tcMar>
                  <w:vAlign w:val="center"/>
                </w:tcPr>
                <w:p w14:paraId="104B1C6B">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lang w:eastAsia="zh-CN"/>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02D3E32A">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eastAsia" w:cs="Times New Roman" w:eastAsiaTheme="minorEastAsia"/>
                      <w:color w:val="auto"/>
                      <w:kern w:val="2"/>
                      <w:sz w:val="21"/>
                      <w:szCs w:val="21"/>
                      <w:lang w:val="en-US" w:eastAsia="zh-CN" w:bidi="ar"/>
                    </w:rPr>
                    <w:t>剪切</w:t>
                  </w:r>
                  <w:r>
                    <w:rPr>
                      <w:rFonts w:hint="default" w:ascii="Times New Roman" w:hAnsi="Times New Roman" w:cs="Times New Roman" w:eastAsiaTheme="minorEastAsia"/>
                      <w:color w:val="auto"/>
                      <w:kern w:val="2"/>
                      <w:sz w:val="21"/>
                      <w:szCs w:val="21"/>
                      <w:lang w:val="en-US" w:eastAsia="zh-CN" w:bidi="ar"/>
                    </w:rPr>
                    <w:t>机4</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15FB511C">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eastAsia="zh-CN" w:bidi="ar"/>
                    </w:rPr>
                  </w:pPr>
                  <w:r>
                    <w:rPr>
                      <w:rFonts w:hint="default" w:ascii="Times New Roman" w:hAnsi="Times New Roman" w:cs="Times New Roman" w:eastAsiaTheme="minorEastAsia"/>
                      <w:i w:val="0"/>
                      <w:iCs w:val="0"/>
                      <w:color w:val="auto"/>
                      <w:kern w:val="0"/>
                      <w:sz w:val="21"/>
                      <w:szCs w:val="21"/>
                      <w:lang w:val="en-US" w:eastAsia="zh-CN" w:bidi="ar"/>
                    </w:rPr>
                    <w:t>8</w:t>
                  </w:r>
                  <w:r>
                    <w:rPr>
                      <w:rFonts w:hint="default" w:cs="Times New Roman" w:eastAsiaTheme="minorEastAsia"/>
                      <w:i w:val="0"/>
                      <w:iCs w:val="0"/>
                      <w:color w:val="auto"/>
                      <w:kern w:val="0"/>
                      <w:sz w:val="21"/>
                      <w:szCs w:val="21"/>
                      <w:lang w:eastAsia="zh-CN" w:bidi="ar"/>
                    </w:rPr>
                    <w:t>0</w:t>
                  </w:r>
                </w:p>
              </w:tc>
              <w:tc>
                <w:tcPr>
                  <w:tcW w:w="269" w:type="pct"/>
                  <w:vMerge w:val="continue"/>
                  <w:tcBorders>
                    <w:left w:val="nil"/>
                    <w:right w:val="single" w:color="auto" w:sz="4" w:space="0"/>
                  </w:tcBorders>
                  <w:noWrap w:val="0"/>
                  <w:tcMar>
                    <w:left w:w="0" w:type="dxa"/>
                    <w:right w:w="0" w:type="dxa"/>
                  </w:tcMar>
                  <w:vAlign w:val="center"/>
                </w:tcPr>
                <w:p w14:paraId="6C23654F">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693808E4">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94</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3E37259A">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216</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44F1667C">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49C29497">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27.58</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4F818C2F">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61.15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6E77771B">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6AFA90F9">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4689F3AB">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i w:val="0"/>
                      <w:iCs w:val="0"/>
                      <w:color w:val="auto"/>
                      <w:kern w:val="0"/>
                      <w:sz w:val="21"/>
                      <w:szCs w:val="21"/>
                      <w:u w:val="none"/>
                      <w:lang w:val="en-US" w:eastAsia="zh-CN" w:bidi="ar"/>
                    </w:rPr>
                    <w:t>40.13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3194A5C7">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r w14:paraId="4CA724F2">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256" w:type="pct"/>
                  <w:tcBorders>
                    <w:top w:val="single" w:color="auto" w:sz="4" w:space="0"/>
                    <w:left w:val="nil"/>
                    <w:bottom w:val="single" w:color="auto" w:sz="4" w:space="0"/>
                    <w:right w:val="single" w:color="auto" w:sz="4" w:space="0"/>
                  </w:tcBorders>
                  <w:noWrap w:val="0"/>
                  <w:tcMar>
                    <w:left w:w="0" w:type="dxa"/>
                    <w:right w:w="0" w:type="dxa"/>
                  </w:tcMar>
                  <w:vAlign w:val="center"/>
                </w:tcPr>
                <w:p w14:paraId="16FEB7BF">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10</w:t>
                  </w:r>
                </w:p>
              </w:tc>
              <w:tc>
                <w:tcPr>
                  <w:tcW w:w="256" w:type="pct"/>
                  <w:vMerge w:val="continue"/>
                  <w:tcBorders>
                    <w:left w:val="nil"/>
                    <w:bottom w:val="single" w:color="auto" w:sz="4" w:space="0"/>
                    <w:right w:val="single" w:color="auto" w:sz="4" w:space="0"/>
                  </w:tcBorders>
                  <w:noWrap w:val="0"/>
                  <w:tcMar>
                    <w:left w:w="0" w:type="dxa"/>
                    <w:right w:w="0" w:type="dxa"/>
                  </w:tcMar>
                  <w:vAlign w:val="center"/>
                </w:tcPr>
                <w:p w14:paraId="323E5601">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lang w:eastAsia="zh-CN"/>
                    </w:rPr>
                  </w:pPr>
                </w:p>
              </w:tc>
              <w:tc>
                <w:tcPr>
                  <w:tcW w:w="301" w:type="pct"/>
                  <w:tcBorders>
                    <w:top w:val="single" w:color="auto" w:sz="4" w:space="0"/>
                    <w:left w:val="nil"/>
                    <w:bottom w:val="single" w:color="auto" w:sz="4" w:space="0"/>
                    <w:right w:val="single" w:color="auto" w:sz="4" w:space="0"/>
                  </w:tcBorders>
                  <w:noWrap w:val="0"/>
                  <w:tcMar>
                    <w:left w:w="0" w:type="dxa"/>
                    <w:right w:w="0" w:type="dxa"/>
                  </w:tcMar>
                  <w:vAlign w:val="center"/>
                </w:tcPr>
                <w:p w14:paraId="209283A8">
                  <w:pPr>
                    <w:keepNext w:val="0"/>
                    <w:keepLines w:val="0"/>
                    <w:pageBreakBefore w:val="0"/>
                    <w:widowControl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eastAsia" w:cs="Times New Roman" w:eastAsiaTheme="minorEastAsia"/>
                      <w:color w:val="auto"/>
                      <w:kern w:val="2"/>
                      <w:sz w:val="21"/>
                      <w:szCs w:val="21"/>
                      <w:lang w:val="en-US" w:eastAsia="zh-CN" w:bidi="ar"/>
                    </w:rPr>
                    <w:t>剪切</w:t>
                  </w:r>
                  <w:r>
                    <w:rPr>
                      <w:rFonts w:hint="default" w:ascii="Times New Roman" w:hAnsi="Times New Roman" w:cs="Times New Roman" w:eastAsiaTheme="minorEastAsia"/>
                      <w:color w:val="auto"/>
                      <w:kern w:val="2"/>
                      <w:sz w:val="21"/>
                      <w:szCs w:val="21"/>
                      <w:lang w:val="en-US" w:eastAsia="zh-CN" w:bidi="ar"/>
                    </w:rPr>
                    <w:t>机5</w:t>
                  </w:r>
                </w:p>
              </w:tc>
              <w:tc>
                <w:tcPr>
                  <w:tcW w:w="494" w:type="pct"/>
                  <w:tcBorders>
                    <w:top w:val="single" w:color="auto" w:sz="4" w:space="0"/>
                    <w:left w:val="nil"/>
                    <w:bottom w:val="single" w:color="auto" w:sz="4" w:space="0"/>
                    <w:right w:val="single" w:color="auto" w:sz="4" w:space="0"/>
                  </w:tcBorders>
                  <w:noWrap w:val="0"/>
                  <w:tcMar>
                    <w:left w:w="0" w:type="dxa"/>
                    <w:right w:w="0" w:type="dxa"/>
                  </w:tcMar>
                  <w:vAlign w:val="center"/>
                </w:tcPr>
                <w:p w14:paraId="253D27A7">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eastAsia="zh-CN" w:bidi="ar"/>
                    </w:rPr>
                  </w:pPr>
                  <w:r>
                    <w:rPr>
                      <w:rFonts w:hint="default" w:ascii="Times New Roman" w:hAnsi="Times New Roman" w:cs="Times New Roman" w:eastAsiaTheme="minorEastAsia"/>
                      <w:i w:val="0"/>
                      <w:iCs w:val="0"/>
                      <w:color w:val="auto"/>
                      <w:kern w:val="0"/>
                      <w:sz w:val="21"/>
                      <w:szCs w:val="21"/>
                      <w:lang w:val="en-US" w:eastAsia="zh-CN" w:bidi="ar"/>
                    </w:rPr>
                    <w:t>8</w:t>
                  </w:r>
                  <w:r>
                    <w:rPr>
                      <w:rFonts w:hint="default" w:cs="Times New Roman" w:eastAsiaTheme="minorEastAsia"/>
                      <w:i w:val="0"/>
                      <w:iCs w:val="0"/>
                      <w:color w:val="auto"/>
                      <w:kern w:val="0"/>
                      <w:sz w:val="21"/>
                      <w:szCs w:val="21"/>
                      <w:lang w:eastAsia="zh-CN" w:bidi="ar"/>
                    </w:rPr>
                    <w:t>0</w:t>
                  </w:r>
                </w:p>
              </w:tc>
              <w:tc>
                <w:tcPr>
                  <w:tcW w:w="269" w:type="pct"/>
                  <w:vMerge w:val="continue"/>
                  <w:tcBorders>
                    <w:left w:val="nil"/>
                    <w:bottom w:val="single" w:color="auto" w:sz="4" w:space="0"/>
                    <w:right w:val="single" w:color="auto" w:sz="4" w:space="0"/>
                  </w:tcBorders>
                  <w:noWrap w:val="0"/>
                  <w:tcMar>
                    <w:left w:w="0" w:type="dxa"/>
                    <w:right w:w="0" w:type="dxa"/>
                  </w:tcMar>
                  <w:vAlign w:val="center"/>
                </w:tcPr>
                <w:p w14:paraId="730F6313">
                  <w:pPr>
                    <w:keepNext w:val="0"/>
                    <w:keepLines w:val="0"/>
                    <w:pageBreakBefore w:val="0"/>
                    <w:suppressLineNumbers w:val="0"/>
                    <w:kinsoku/>
                    <w:wordWrap/>
                    <w:overflowPunct/>
                    <w:topLinePunct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sz w:val="21"/>
                      <w:szCs w:val="21"/>
                    </w:rPr>
                  </w:pP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1098DF76">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99</w:t>
                  </w:r>
                </w:p>
              </w:tc>
              <w:tc>
                <w:tcPr>
                  <w:tcW w:w="320" w:type="pct"/>
                  <w:tcBorders>
                    <w:top w:val="single" w:color="auto" w:sz="4" w:space="0"/>
                    <w:left w:val="nil"/>
                    <w:bottom w:val="single" w:color="auto" w:sz="4" w:space="0"/>
                    <w:right w:val="single" w:color="auto" w:sz="4" w:space="0"/>
                  </w:tcBorders>
                  <w:noWrap w:val="0"/>
                  <w:tcMar>
                    <w:left w:w="0" w:type="dxa"/>
                    <w:right w:w="0" w:type="dxa"/>
                  </w:tcMar>
                  <w:vAlign w:val="center"/>
                </w:tcPr>
                <w:p w14:paraId="6BA4571C">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i w:val="0"/>
                      <w:iCs w:val="0"/>
                      <w:color w:val="auto"/>
                      <w:kern w:val="0"/>
                      <w:sz w:val="21"/>
                      <w:szCs w:val="21"/>
                      <w:u w:val="none"/>
                      <w:lang w:val="en-US" w:eastAsia="zh-CN" w:bidi="ar"/>
                    </w:rPr>
                    <w:t>219</w:t>
                  </w:r>
                </w:p>
              </w:tc>
              <w:tc>
                <w:tcPr>
                  <w:tcW w:w="271" w:type="pct"/>
                  <w:tcBorders>
                    <w:top w:val="single" w:color="auto" w:sz="4" w:space="0"/>
                    <w:left w:val="nil"/>
                    <w:bottom w:val="single" w:color="auto" w:sz="4" w:space="0"/>
                    <w:right w:val="single" w:color="auto" w:sz="4" w:space="0"/>
                  </w:tcBorders>
                  <w:noWrap w:val="0"/>
                  <w:tcMar>
                    <w:left w:w="0" w:type="dxa"/>
                    <w:right w:w="0" w:type="dxa"/>
                  </w:tcMar>
                  <w:vAlign w:val="center"/>
                </w:tcPr>
                <w:p w14:paraId="6E2F4C2B">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0.5</w:t>
                  </w:r>
                </w:p>
              </w:tc>
              <w:tc>
                <w:tcPr>
                  <w:tcW w:w="564" w:type="pct"/>
                  <w:tcBorders>
                    <w:top w:val="single" w:color="auto" w:sz="4" w:space="0"/>
                    <w:left w:val="nil"/>
                    <w:bottom w:val="single" w:color="auto" w:sz="4" w:space="0"/>
                    <w:right w:val="single" w:color="auto" w:sz="4" w:space="0"/>
                  </w:tcBorders>
                  <w:noWrap w:val="0"/>
                  <w:tcMar>
                    <w:left w:w="0" w:type="dxa"/>
                    <w:right w:w="0" w:type="dxa"/>
                  </w:tcMar>
                  <w:vAlign w:val="center"/>
                </w:tcPr>
                <w:p w14:paraId="69939715">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27.58</w:t>
                  </w:r>
                </w:p>
              </w:tc>
              <w:tc>
                <w:tcPr>
                  <w:tcW w:w="514" w:type="pct"/>
                  <w:tcBorders>
                    <w:top w:val="single" w:color="auto" w:sz="4" w:space="0"/>
                    <w:left w:val="nil"/>
                    <w:bottom w:val="single" w:color="auto" w:sz="4" w:space="0"/>
                    <w:right w:val="single" w:color="auto" w:sz="4" w:space="0"/>
                  </w:tcBorders>
                  <w:noWrap w:val="0"/>
                  <w:tcMar>
                    <w:left w:w="0" w:type="dxa"/>
                    <w:right w:w="0" w:type="dxa"/>
                  </w:tcMar>
                  <w:vAlign w:val="center"/>
                </w:tcPr>
                <w:p w14:paraId="52B6907A">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61.15</w:t>
                  </w:r>
                </w:p>
              </w:tc>
              <w:tc>
                <w:tcPr>
                  <w:tcW w:w="292" w:type="pct"/>
                  <w:tcBorders>
                    <w:top w:val="single" w:color="auto" w:sz="4" w:space="0"/>
                    <w:left w:val="nil"/>
                    <w:bottom w:val="single" w:color="auto" w:sz="4" w:space="0"/>
                    <w:right w:val="single" w:color="auto" w:sz="4" w:space="0"/>
                  </w:tcBorders>
                  <w:noWrap w:val="0"/>
                  <w:tcMar>
                    <w:left w:w="0" w:type="dxa"/>
                    <w:right w:w="0" w:type="dxa"/>
                  </w:tcMar>
                  <w:vAlign w:val="center"/>
                </w:tcPr>
                <w:p w14:paraId="035518DD">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pPr>
                  <w:r>
                    <w:rPr>
                      <w:rFonts w:hint="default" w:ascii="Times New Roman" w:hAnsi="Times New Roman" w:cs="Times New Roman" w:eastAsiaTheme="minorEastAsia"/>
                      <w:b w:val="0"/>
                      <w:bCs w:val="0"/>
                      <w:i w:val="0"/>
                      <w:iCs w:val="0"/>
                      <w:color w:val="auto"/>
                      <w:kern w:val="0"/>
                      <w:sz w:val="21"/>
                      <w:szCs w:val="21"/>
                      <w:highlight w:val="none"/>
                      <w:u w:val="none"/>
                      <w:lang w:val="en-US" w:eastAsia="zh-CN" w:bidi="ar"/>
                    </w:rPr>
                    <w:t>稳定声源</w:t>
                  </w:r>
                </w:p>
              </w:tc>
              <w:tc>
                <w:tcPr>
                  <w:tcW w:w="495" w:type="pct"/>
                  <w:tcBorders>
                    <w:top w:val="single" w:color="auto" w:sz="4" w:space="0"/>
                    <w:left w:val="nil"/>
                    <w:bottom w:val="single" w:color="auto" w:sz="4" w:space="0"/>
                    <w:right w:val="single" w:color="auto" w:sz="4" w:space="0"/>
                  </w:tcBorders>
                  <w:noWrap w:val="0"/>
                  <w:tcMar>
                    <w:left w:w="0" w:type="dxa"/>
                    <w:right w:w="0" w:type="dxa"/>
                  </w:tcMar>
                  <w:vAlign w:val="center"/>
                </w:tcPr>
                <w:p w14:paraId="23E360F5">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15</w:t>
                  </w:r>
                </w:p>
              </w:tc>
              <w:tc>
                <w:tcPr>
                  <w:tcW w:w="420" w:type="pct"/>
                  <w:tcBorders>
                    <w:top w:val="single" w:color="auto" w:sz="4" w:space="0"/>
                    <w:left w:val="nil"/>
                    <w:bottom w:val="single" w:color="auto" w:sz="4" w:space="0"/>
                    <w:right w:val="single" w:color="auto" w:sz="4" w:space="0"/>
                  </w:tcBorders>
                  <w:noWrap w:val="0"/>
                  <w:tcMar>
                    <w:left w:w="0" w:type="dxa"/>
                    <w:right w:w="0" w:type="dxa"/>
                  </w:tcMar>
                  <w:vAlign w:val="center"/>
                </w:tcPr>
                <w:p w14:paraId="220614F8">
                  <w:pPr>
                    <w:keepNext w:val="0"/>
                    <w:keepLines w:val="0"/>
                    <w:pageBreakBefore w:val="0"/>
                    <w:widowControl/>
                    <w:suppressLineNumbers w:val="0"/>
                    <w:kinsoku/>
                    <w:wordWrap/>
                    <w:overflowPunct/>
                    <w:topLinePunct w:val="0"/>
                    <w:autoSpaceDN/>
                    <w:adjustRightInd w:val="0"/>
                    <w:snapToGrid w:val="0"/>
                    <w:spacing w:before="0" w:beforeAutospacing="0" w:after="0" w:afterAutospacing="0" w:line="240" w:lineRule="auto"/>
                    <w:ind w:left="0" w:right="0"/>
                    <w:jc w:val="center"/>
                    <w:textAlignment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i w:val="0"/>
                      <w:iCs w:val="0"/>
                      <w:color w:val="auto"/>
                      <w:kern w:val="0"/>
                      <w:sz w:val="21"/>
                      <w:szCs w:val="21"/>
                      <w:u w:val="none"/>
                      <w:lang w:val="en-US" w:eastAsia="zh-CN" w:bidi="ar"/>
                    </w:rPr>
                    <w:t>40.13</w:t>
                  </w:r>
                </w:p>
              </w:tc>
              <w:tc>
                <w:tcPr>
                  <w:tcW w:w="250" w:type="pct"/>
                  <w:tcBorders>
                    <w:top w:val="single" w:color="auto" w:sz="4" w:space="0"/>
                    <w:left w:val="nil"/>
                    <w:bottom w:val="single" w:color="auto" w:sz="4" w:space="0"/>
                    <w:right w:val="nil"/>
                  </w:tcBorders>
                  <w:noWrap w:val="0"/>
                  <w:tcMar>
                    <w:left w:w="0" w:type="dxa"/>
                    <w:right w:w="0" w:type="dxa"/>
                  </w:tcMar>
                  <w:vAlign w:val="center"/>
                </w:tcPr>
                <w:p w14:paraId="76F0B6F4">
                  <w:pPr>
                    <w:keepNext w:val="0"/>
                    <w:keepLines w:val="0"/>
                    <w:pageBreakBefore w:val="0"/>
                    <w:widowControl w:val="0"/>
                    <w:suppressLineNumbers w:val="0"/>
                    <w:kinsoku/>
                    <w:wordWrap/>
                    <w:overflowPunct/>
                    <w:topLinePunct w:val="0"/>
                    <w:autoSpaceDE w:val="0"/>
                    <w:autoSpaceDN/>
                    <w:adjustRightInd w:val="0"/>
                    <w:snapToGrid w:val="0"/>
                    <w:spacing w:before="0" w:beforeAutospacing="0" w:after="0" w:afterAutospacing="0" w:line="240" w:lineRule="auto"/>
                    <w:ind w:left="0" w:right="0"/>
                    <w:jc w:val="center"/>
                    <w:rPr>
                      <w:rFonts w:hint="default" w:ascii="Times New Roman" w:hAnsi="Times New Roman" w:cs="Times New Roman" w:eastAsiaTheme="minorEastAsia"/>
                      <w:color w:val="auto"/>
                      <w:kern w:val="2"/>
                      <w:sz w:val="21"/>
                      <w:szCs w:val="21"/>
                      <w:lang w:val="en-US" w:eastAsia="zh-CN" w:bidi="ar"/>
                    </w:rPr>
                  </w:pPr>
                  <w:r>
                    <w:rPr>
                      <w:rFonts w:hint="default" w:ascii="Times New Roman" w:hAnsi="Times New Roman" w:cs="Times New Roman" w:eastAsiaTheme="minorEastAsia"/>
                      <w:color w:val="auto"/>
                      <w:kern w:val="2"/>
                      <w:sz w:val="21"/>
                      <w:szCs w:val="21"/>
                      <w:lang w:val="en-US" w:eastAsia="zh-CN" w:bidi="ar"/>
                    </w:rPr>
                    <w:t>1</w:t>
                  </w:r>
                </w:p>
              </w:tc>
            </w:tr>
          </w:tbl>
          <w:p w14:paraId="6F430A4D">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241" w:firstLineChars="100"/>
              <w:jc w:val="both"/>
              <w:rPr>
                <w:rFonts w:hint="default" w:ascii="Times New Roman" w:hAnsi="Times New Roman" w:eastAsia="宋体" w:cs="Times New Roman"/>
                <w:b/>
                <w:bCs/>
                <w:color w:val="auto"/>
                <w:kern w:val="2"/>
                <w:sz w:val="24"/>
                <w:szCs w:val="24"/>
                <w:lang w:val="en-US" w:eastAsia="zh-CN" w:bidi="ar"/>
              </w:rPr>
            </w:pPr>
            <w:r>
              <w:rPr>
                <w:rFonts w:hint="default" w:ascii="Times New Roman" w:hAnsi="Times New Roman" w:eastAsia="宋体" w:cs="Times New Roman"/>
                <w:b/>
                <w:bCs/>
                <w:color w:val="auto"/>
                <w:kern w:val="2"/>
                <w:sz w:val="24"/>
                <w:szCs w:val="24"/>
                <w:lang w:val="en-US" w:eastAsia="zh-CN" w:bidi="ar"/>
              </w:rPr>
              <w:t>3.2预测模式</w:t>
            </w:r>
          </w:p>
          <w:p w14:paraId="4DB03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textAlignment w:val="auto"/>
              <w:rPr>
                <w:rFonts w:hint="eastAsia" w:ascii="Times New Roman" w:hAnsi="Times New Roman" w:eastAsia="宋体"/>
                <w:b/>
                <w:bCs/>
                <w:color w:val="auto"/>
                <w:sz w:val="21"/>
                <w:szCs w:val="21"/>
                <w:highlight w:val="none"/>
                <w:lang w:eastAsia="zh-CN"/>
              </w:rPr>
            </w:pPr>
            <w:r>
              <w:rPr>
                <w:rFonts w:hint="eastAsia" w:ascii="Times New Roman" w:hAnsi="Times New Roman" w:eastAsia="宋体"/>
                <w:b/>
                <w:bCs/>
                <w:color w:val="auto"/>
                <w:sz w:val="21"/>
                <w:szCs w:val="21"/>
                <w:highlight w:val="none"/>
                <w:lang w:val="en-US" w:eastAsia="zh-CN"/>
              </w:rPr>
              <w:t>3</w:t>
            </w:r>
            <w:r>
              <w:rPr>
                <w:rFonts w:hint="eastAsia" w:ascii="Times New Roman" w:hAnsi="Times New Roman" w:eastAsia="宋体"/>
                <w:b/>
                <w:bCs/>
                <w:color w:val="auto"/>
                <w:sz w:val="21"/>
                <w:szCs w:val="21"/>
                <w:highlight w:val="none"/>
              </w:rPr>
              <w:t>.2</w:t>
            </w:r>
            <w:r>
              <w:rPr>
                <w:rFonts w:hint="eastAsia" w:ascii="Times New Roman" w:hAnsi="Times New Roman" w:eastAsia="宋体"/>
                <w:b/>
                <w:bCs/>
                <w:color w:val="auto"/>
                <w:sz w:val="21"/>
                <w:szCs w:val="21"/>
                <w:highlight w:val="none"/>
                <w:lang w:eastAsia="zh-CN"/>
              </w:rPr>
              <w:t>预测模式</w:t>
            </w:r>
          </w:p>
          <w:p w14:paraId="6BFDEF79">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项目采用《环境影响评价技术导则-声环境》（HJ2.4-20</w:t>
            </w:r>
            <w:r>
              <w:rPr>
                <w:rFonts w:hint="eastAsia" w:ascii="Times New Roman" w:hAnsi="Times New Roman" w:eastAsia="宋体" w:cs="Times New Roman"/>
                <w:b w:val="0"/>
                <w:bCs w:val="0"/>
                <w:color w:val="auto"/>
                <w:sz w:val="24"/>
                <w:szCs w:val="24"/>
                <w:highlight w:val="none"/>
                <w:u w:val="none" w:color="auto"/>
                <w:lang w:val="en-US" w:eastAsia="zh-CN"/>
              </w:rPr>
              <w:t>21</w:t>
            </w:r>
            <w:r>
              <w:rPr>
                <w:rFonts w:hint="default" w:ascii="Times New Roman" w:hAnsi="Times New Roman" w:eastAsia="宋体" w:cs="Times New Roman"/>
                <w:b w:val="0"/>
                <w:bCs w:val="0"/>
                <w:color w:val="auto"/>
                <w:sz w:val="24"/>
                <w:szCs w:val="24"/>
                <w:highlight w:val="none"/>
                <w:u w:val="none" w:color="auto"/>
                <w:lang w:val="en-US" w:eastAsia="zh-CN"/>
              </w:rPr>
              <w:t>）中点声源预测模式进行预测。声环境影响点源预测模式如下：</w:t>
            </w:r>
          </w:p>
          <w:p w14:paraId="003509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（1）点声源衰减公式如下：</w:t>
            </w:r>
          </w:p>
          <w:p w14:paraId="491FA00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Lp</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rPr>
              <w:t>r</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rPr>
              <w:t>=Lp</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rPr>
              <w:t>r</w:t>
            </w:r>
            <w:r>
              <w:rPr>
                <w:rFonts w:hint="default" w:ascii="Times New Roman" w:hAnsi="Times New Roman" w:eastAsia="宋体" w:cs="Times New Roman"/>
                <w:color w:val="auto"/>
                <w:sz w:val="24"/>
                <w:szCs w:val="24"/>
                <w:highlight w:val="none"/>
                <w:u w:val="none"/>
                <w:vertAlign w:val="subscript"/>
              </w:rPr>
              <w:t>0</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rPr>
              <w:t>20lg</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rPr>
              <w:t>r</w:t>
            </w:r>
            <w:r>
              <w:rPr>
                <w:rFonts w:hint="eastAsia"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u w:val="none"/>
              </w:rPr>
              <w:t>r</w:t>
            </w:r>
            <w:r>
              <w:rPr>
                <w:rFonts w:hint="default" w:ascii="Times New Roman" w:hAnsi="Times New Roman" w:eastAsia="宋体" w:cs="Times New Roman"/>
                <w:color w:val="auto"/>
                <w:sz w:val="24"/>
                <w:szCs w:val="24"/>
                <w:highlight w:val="none"/>
                <w:u w:val="none"/>
                <w:vertAlign w:val="subscript"/>
              </w:rPr>
              <w:t>0</w:t>
            </w:r>
            <w:r>
              <w:rPr>
                <w:rFonts w:hint="eastAsia" w:ascii="Times New Roman" w:hAnsi="Times New Roman" w:eastAsia="宋体" w:cs="Times New Roman"/>
                <w:color w:val="auto"/>
                <w:sz w:val="24"/>
                <w:szCs w:val="24"/>
                <w:highlight w:val="none"/>
                <w:u w:val="none"/>
                <w:lang w:val="en-US" w:eastAsia="zh-CN"/>
              </w:rPr>
              <w:t>)</w:t>
            </w:r>
          </w:p>
          <w:p w14:paraId="6E59858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式中，Lp(r)——预测点处声压级，dB；</w:t>
            </w:r>
          </w:p>
          <w:p w14:paraId="3CA5151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Lp(r</w:t>
            </w:r>
            <w:r>
              <w:rPr>
                <w:rFonts w:hint="default" w:ascii="Times New Roman" w:hAnsi="Times New Roman" w:eastAsia="宋体" w:cs="Times New Roman"/>
                <w:color w:val="auto"/>
                <w:sz w:val="24"/>
                <w:szCs w:val="24"/>
                <w:highlight w:val="none"/>
                <w:u w:val="none"/>
                <w:vertAlign w:val="subscript"/>
              </w:rPr>
              <w:t>0</w:t>
            </w:r>
            <w:r>
              <w:rPr>
                <w:rFonts w:hint="default" w:ascii="Times New Roman" w:hAnsi="Times New Roman" w:eastAsia="宋体" w:cs="Times New Roman"/>
                <w:color w:val="auto"/>
                <w:sz w:val="24"/>
                <w:szCs w:val="24"/>
                <w:highlight w:val="none"/>
                <w:u w:val="none"/>
              </w:rPr>
              <w:t>)——参考位置r</w:t>
            </w:r>
            <w:r>
              <w:rPr>
                <w:rFonts w:hint="default" w:ascii="Times New Roman" w:hAnsi="Times New Roman" w:eastAsia="宋体" w:cs="Times New Roman"/>
                <w:color w:val="auto"/>
                <w:sz w:val="24"/>
                <w:szCs w:val="24"/>
                <w:highlight w:val="none"/>
                <w:u w:val="none"/>
                <w:vertAlign w:val="subscript"/>
              </w:rPr>
              <w:t>0</w:t>
            </w:r>
            <w:r>
              <w:rPr>
                <w:rFonts w:hint="default" w:ascii="Times New Roman" w:hAnsi="Times New Roman" w:eastAsia="宋体" w:cs="Times New Roman"/>
                <w:color w:val="auto"/>
                <w:sz w:val="24"/>
                <w:szCs w:val="24"/>
                <w:highlight w:val="none"/>
                <w:u w:val="none"/>
              </w:rPr>
              <w:t>处的声压级，dB；</w:t>
            </w:r>
          </w:p>
          <w:p w14:paraId="3D9FDD7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r——预测点距声源的距离；</w:t>
            </w:r>
          </w:p>
          <w:p w14:paraId="6E74481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r</w:t>
            </w:r>
            <w:r>
              <w:rPr>
                <w:rFonts w:hint="default" w:ascii="Times New Roman" w:hAnsi="Times New Roman" w:eastAsia="宋体" w:cs="Times New Roman"/>
                <w:color w:val="auto"/>
                <w:sz w:val="24"/>
                <w:szCs w:val="24"/>
                <w:highlight w:val="none"/>
                <w:u w:val="none"/>
                <w:vertAlign w:val="subscript"/>
              </w:rPr>
              <w:t>0</w:t>
            </w:r>
            <w:r>
              <w:rPr>
                <w:rFonts w:hint="default" w:ascii="Times New Roman" w:hAnsi="Times New Roman" w:eastAsia="宋体" w:cs="Times New Roman"/>
                <w:color w:val="auto"/>
                <w:sz w:val="24"/>
                <w:szCs w:val="24"/>
                <w:highlight w:val="none"/>
                <w:u w:val="none"/>
              </w:rPr>
              <w:t>——参考位置距声源的距离。</w:t>
            </w:r>
          </w:p>
          <w:p w14:paraId="133F957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（2）各预测点声压级按下列公式进行叠加：</w:t>
            </w:r>
          </w:p>
          <w:p w14:paraId="385EBB7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olor w:val="auto"/>
                <w:sz w:val="24"/>
                <w:szCs w:val="24"/>
                <w:highlight w:val="none"/>
              </w:rPr>
              <w:drawing>
                <wp:anchor distT="0" distB="0" distL="114300" distR="114300" simplePos="0" relativeHeight="251659264" behindDoc="1" locked="0" layoutInCell="1" allowOverlap="1">
                  <wp:simplePos x="0" y="0"/>
                  <wp:positionH relativeFrom="column">
                    <wp:posOffset>759460</wp:posOffset>
                  </wp:positionH>
                  <wp:positionV relativeFrom="paragraph">
                    <wp:posOffset>8890</wp:posOffset>
                  </wp:positionV>
                  <wp:extent cx="3590290" cy="623570"/>
                  <wp:effectExtent l="0" t="0" r="10160" b="5080"/>
                  <wp:wrapNone/>
                  <wp:docPr id="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
                          <pic:cNvPicPr>
                            <a:picLocks noChangeAspect="1"/>
                          </pic:cNvPicPr>
                        </pic:nvPicPr>
                        <pic:blipFill>
                          <a:blip r:embed="rId12"/>
                          <a:stretch>
                            <a:fillRect/>
                          </a:stretch>
                        </pic:blipFill>
                        <pic:spPr>
                          <a:xfrm>
                            <a:off x="0" y="0"/>
                            <a:ext cx="3590290" cy="623570"/>
                          </a:xfrm>
                          <a:prstGeom prst="rect">
                            <a:avLst/>
                          </a:prstGeom>
                          <a:noFill/>
                          <a:ln>
                            <a:noFill/>
                          </a:ln>
                        </pic:spPr>
                      </pic:pic>
                    </a:graphicData>
                  </a:graphic>
                </wp:anchor>
              </w:drawing>
            </w:r>
          </w:p>
          <w:p w14:paraId="1F4F78C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p>
          <w:p w14:paraId="2D76411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p>
          <w:p w14:paraId="338CF28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式中：Leqg——建设项目声源在预测点产生的噪声贡献值，dB；</w:t>
            </w:r>
          </w:p>
          <w:p w14:paraId="45EC503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T——用于计算等效声级的时间，s；</w:t>
            </w:r>
          </w:p>
          <w:p w14:paraId="4101C92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N——室外声源个数；</w:t>
            </w:r>
          </w:p>
          <w:p w14:paraId="778E6DF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t</w:t>
            </w:r>
            <w:r>
              <w:rPr>
                <w:rFonts w:hint="default" w:ascii="Times New Roman" w:hAnsi="Times New Roman" w:eastAsia="宋体" w:cs="Times New Roman"/>
                <w:color w:val="auto"/>
                <w:sz w:val="24"/>
                <w:szCs w:val="24"/>
                <w:highlight w:val="none"/>
                <w:u w:val="none"/>
                <w:vertAlign w:val="subscript"/>
              </w:rPr>
              <w:t>i</w:t>
            </w:r>
            <w:r>
              <w:rPr>
                <w:rFonts w:hint="default" w:ascii="Times New Roman" w:hAnsi="Times New Roman" w:eastAsia="宋体" w:cs="Times New Roman"/>
                <w:color w:val="auto"/>
                <w:sz w:val="24"/>
                <w:szCs w:val="24"/>
                <w:highlight w:val="none"/>
                <w:u w:val="none"/>
              </w:rPr>
              <w:t>——在T时间内i声源工作时间，s；</w:t>
            </w:r>
          </w:p>
          <w:p w14:paraId="18BE984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M——等效室外声源个数；</w:t>
            </w:r>
          </w:p>
          <w:p w14:paraId="2060A64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t</w:t>
            </w:r>
            <w:r>
              <w:rPr>
                <w:rFonts w:hint="default" w:ascii="Times New Roman" w:hAnsi="Times New Roman" w:eastAsia="宋体" w:cs="Times New Roman"/>
                <w:color w:val="auto"/>
                <w:sz w:val="24"/>
                <w:szCs w:val="24"/>
                <w:highlight w:val="none"/>
                <w:u w:val="none"/>
                <w:vertAlign w:val="subscript"/>
              </w:rPr>
              <w:t>j</w:t>
            </w:r>
            <w:r>
              <w:rPr>
                <w:rFonts w:hint="default" w:ascii="Times New Roman" w:hAnsi="Times New Roman" w:eastAsia="宋体" w:cs="Times New Roman"/>
                <w:color w:val="auto"/>
                <w:sz w:val="24"/>
                <w:szCs w:val="24"/>
                <w:highlight w:val="none"/>
                <w:u w:val="none"/>
              </w:rPr>
              <w:t>——在T时间内j声源工作时间，s。</w:t>
            </w:r>
          </w:p>
          <w:p w14:paraId="1667885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w:t>
            </w:r>
            <w:r>
              <w:rPr>
                <w:rFonts w:hint="eastAsia" w:ascii="Times New Roman" w:hAnsi="Times New Roman" w:eastAsia="宋体" w:cs="Times New Roman"/>
                <w:color w:val="auto"/>
                <w:sz w:val="24"/>
                <w:szCs w:val="24"/>
                <w:highlight w:val="none"/>
                <w:u w:val="none"/>
                <w:lang w:val="en-US" w:eastAsia="zh-CN"/>
              </w:rPr>
              <w:t>3</w:t>
            </w:r>
            <w:r>
              <w:rPr>
                <w:rFonts w:hint="default" w:ascii="Times New Roman" w:hAnsi="Times New Roman" w:eastAsia="宋体" w:cs="Times New Roman"/>
                <w:color w:val="auto"/>
                <w:sz w:val="24"/>
                <w:szCs w:val="24"/>
                <w:highlight w:val="none"/>
                <w:u w:val="none"/>
              </w:rPr>
              <w:t>）</w:t>
            </w:r>
            <w:r>
              <w:rPr>
                <w:rFonts w:hint="eastAsia" w:ascii="Times New Roman" w:hAnsi="Times New Roman" w:eastAsia="宋体" w:cs="Times New Roman"/>
                <w:color w:val="auto"/>
                <w:sz w:val="24"/>
                <w:szCs w:val="24"/>
                <w:highlight w:val="none"/>
                <w:u w:val="none"/>
                <w:lang w:eastAsia="zh-CN"/>
              </w:rPr>
              <w:t>噪声贡献值</w:t>
            </w:r>
            <w:r>
              <w:rPr>
                <w:rFonts w:hint="default" w:ascii="Times New Roman" w:hAnsi="Times New Roman" w:eastAsia="宋体" w:cs="Times New Roman"/>
                <w:b w:val="0"/>
                <w:bCs w:val="0"/>
                <w:color w:val="auto"/>
                <w:sz w:val="24"/>
                <w:szCs w:val="24"/>
                <w:highlight w:val="none"/>
                <w:u w:val="none" w:color="auto"/>
                <w:lang w:val="en-US" w:eastAsia="zh-CN"/>
              </w:rPr>
              <w:t>公式如下：</w:t>
            </w:r>
          </w:p>
          <w:p w14:paraId="6085A135">
            <w:pPr>
              <w:pStyle w:val="9"/>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r>
              <w:rPr>
                <w:rFonts w:hint="eastAsia" w:ascii="Times New Roman" w:hAnsi="Times New Roman" w:eastAsia="宋体" w:cs="Times New Roman"/>
                <w:color w:val="auto"/>
                <w:sz w:val="24"/>
                <w:szCs w:val="24"/>
                <w:highlight w:val="none"/>
                <w:u w:val="none"/>
                <w:lang w:eastAsia="zh-CN"/>
              </w:rPr>
              <w:drawing>
                <wp:anchor distT="0" distB="0" distL="114300" distR="114300" simplePos="0" relativeHeight="251660288" behindDoc="1" locked="0" layoutInCell="1" allowOverlap="1">
                  <wp:simplePos x="0" y="0"/>
                  <wp:positionH relativeFrom="column">
                    <wp:posOffset>1423035</wp:posOffset>
                  </wp:positionH>
                  <wp:positionV relativeFrom="paragraph">
                    <wp:posOffset>120015</wp:posOffset>
                  </wp:positionV>
                  <wp:extent cx="1920240" cy="487680"/>
                  <wp:effectExtent l="0" t="0" r="3810" b="7620"/>
                  <wp:wrapNone/>
                  <wp:docPr id="2" name="图片 36" descr="4a9f20f6c3bb911555957947ddef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6" descr="4a9f20f6c3bb911555957947ddef573"/>
                          <pic:cNvPicPr>
                            <a:picLocks noChangeAspect="1"/>
                          </pic:cNvPicPr>
                        </pic:nvPicPr>
                        <pic:blipFill>
                          <a:blip r:embed="rId13"/>
                          <a:stretch>
                            <a:fillRect/>
                          </a:stretch>
                        </pic:blipFill>
                        <pic:spPr>
                          <a:xfrm>
                            <a:off x="0" y="0"/>
                            <a:ext cx="1920240" cy="487680"/>
                          </a:xfrm>
                          <a:prstGeom prst="rect">
                            <a:avLst/>
                          </a:prstGeom>
                          <a:noFill/>
                          <a:ln>
                            <a:noFill/>
                          </a:ln>
                        </pic:spPr>
                      </pic:pic>
                    </a:graphicData>
                  </a:graphic>
                </wp:anchor>
              </w:drawing>
            </w:r>
          </w:p>
          <w:p w14:paraId="70A338C1">
            <w:pPr>
              <w:pStyle w:val="9"/>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p>
          <w:p w14:paraId="5B76A7E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p>
          <w:p w14:paraId="2B3D7CE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式中</w:t>
            </w:r>
            <w:r>
              <w:rPr>
                <w:rFonts w:hint="eastAsia" w:ascii="Times New Roman" w:hAnsi="Times New Roman" w:eastAsia="宋体" w:cs="Times New Roman"/>
                <w:color w:val="auto"/>
                <w:sz w:val="24"/>
                <w:szCs w:val="24"/>
                <w:highlight w:val="none"/>
                <w:u w:val="none"/>
                <w:lang w:eastAsia="zh-CN"/>
              </w:rPr>
              <w:t>，</w:t>
            </w:r>
            <w:r>
              <w:rPr>
                <w:rFonts w:hint="default" w:ascii="Times New Roman" w:hAnsi="Times New Roman" w:eastAsia="宋体" w:cs="Times New Roman"/>
                <w:color w:val="auto"/>
                <w:sz w:val="24"/>
                <w:szCs w:val="24"/>
                <w:highlight w:val="none"/>
                <w:u w:val="none"/>
              </w:rPr>
              <w:t>Leqg——噪声贡献值，dB；</w:t>
            </w:r>
          </w:p>
          <w:p w14:paraId="311EC07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T——预测计算的时间段，s；</w:t>
            </w:r>
          </w:p>
          <w:p w14:paraId="1C57546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t</w:t>
            </w:r>
            <w:r>
              <w:rPr>
                <w:rFonts w:hint="default" w:ascii="Times New Roman" w:hAnsi="Times New Roman" w:eastAsia="宋体" w:cs="Times New Roman"/>
                <w:color w:val="auto"/>
                <w:sz w:val="24"/>
                <w:szCs w:val="24"/>
                <w:highlight w:val="none"/>
                <w:u w:val="none"/>
                <w:vertAlign w:val="subscript"/>
              </w:rPr>
              <w:t>i</w:t>
            </w:r>
            <w:r>
              <w:rPr>
                <w:rFonts w:hint="default" w:ascii="Times New Roman" w:hAnsi="Times New Roman" w:eastAsia="宋体" w:cs="Times New Roman"/>
                <w:color w:val="auto"/>
                <w:sz w:val="24"/>
                <w:szCs w:val="24"/>
                <w:highlight w:val="none"/>
                <w:u w:val="none"/>
              </w:rPr>
              <w:t>——i声源在T时段内的运行时间，s；</w:t>
            </w:r>
          </w:p>
          <w:p w14:paraId="541DF49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L</w:t>
            </w:r>
            <w:r>
              <w:rPr>
                <w:rFonts w:hint="default" w:ascii="Times New Roman" w:hAnsi="Times New Roman" w:eastAsia="宋体" w:cs="Times New Roman"/>
                <w:color w:val="auto"/>
                <w:sz w:val="24"/>
                <w:szCs w:val="24"/>
                <w:highlight w:val="none"/>
                <w:u w:val="none"/>
                <w:vertAlign w:val="subscript"/>
              </w:rPr>
              <w:t>Ai</w:t>
            </w:r>
            <w:r>
              <w:rPr>
                <w:rFonts w:hint="default" w:ascii="Times New Roman" w:hAnsi="Times New Roman" w:eastAsia="宋体" w:cs="Times New Roman"/>
                <w:color w:val="auto"/>
                <w:sz w:val="24"/>
                <w:szCs w:val="24"/>
                <w:highlight w:val="none"/>
                <w:u w:val="none"/>
              </w:rPr>
              <w:t>——i声源在预测点产生的等效连续A声级，dB。</w:t>
            </w:r>
          </w:p>
          <w:p w14:paraId="10BCBF65">
            <w:pPr>
              <w:keepNext w:val="0"/>
              <w:keepLines w:val="0"/>
              <w:widowControl w:val="0"/>
              <w:suppressLineNumbers w:val="0"/>
              <w:spacing w:before="0" w:beforeAutospacing="0" w:after="0" w:afterAutospacing="0" w:line="240" w:lineRule="auto"/>
              <w:ind w:left="0" w:right="0" w:firstLine="241" w:firstLineChars="100"/>
              <w:jc w:val="left"/>
              <w:rPr>
                <w:rFonts w:hint="eastAsia" w:ascii="Times New Roman" w:hAnsi="Times New Roman" w:eastAsia="宋体" w:cs="Times New Roman"/>
                <w:b/>
                <w:bCs/>
                <w:color w:val="auto"/>
                <w:kern w:val="2"/>
                <w:sz w:val="24"/>
                <w:szCs w:val="24"/>
                <w:lang w:val="en-US" w:eastAsia="zh-CN"/>
              </w:rPr>
            </w:pPr>
            <w:r>
              <w:rPr>
                <w:rFonts w:hint="eastAsia" w:ascii="Times New Roman" w:hAnsi="Times New Roman" w:eastAsia="宋体" w:cs="Times New Roman"/>
                <w:b/>
                <w:bCs/>
                <w:color w:val="auto"/>
                <w:kern w:val="2"/>
                <w:sz w:val="24"/>
                <w:szCs w:val="24"/>
                <w:lang w:val="en-US" w:eastAsia="zh-CN"/>
              </w:rPr>
              <w:t>3.3预测结果</w:t>
            </w:r>
          </w:p>
          <w:p w14:paraId="01A199E4">
            <w:pPr>
              <w:keepNext w:val="0"/>
              <w:keepLines w:val="0"/>
              <w:widowControl w:val="0"/>
              <w:suppressLineNumbers w:val="0"/>
              <w:spacing w:before="0" w:beforeAutospacing="0" w:after="0" w:afterAutospacing="0" w:line="240" w:lineRule="auto"/>
              <w:ind w:left="0" w:right="0"/>
              <w:jc w:val="center"/>
              <w:rPr>
                <w:rFonts w:hint="default" w:ascii="Times New Roman" w:hAnsi="Times New Roman" w:eastAsia="黑体" w:cs="Times New Roman"/>
                <w:bCs/>
                <w:color w:val="auto"/>
                <w:kern w:val="2"/>
                <w:sz w:val="21"/>
                <w:szCs w:val="21"/>
              </w:rPr>
            </w:pPr>
            <w:r>
              <w:rPr>
                <w:rFonts w:hint="eastAsia" w:cs="Times New Roman"/>
                <w:b/>
                <w:bCs w:val="0"/>
                <w:color w:val="auto"/>
                <w:kern w:val="2"/>
                <w:sz w:val="21"/>
                <w:szCs w:val="21"/>
                <w:lang w:val="en-US" w:eastAsia="zh-CN" w:bidi="ar"/>
              </w:rPr>
              <w:t xml:space="preserve">表24  </w:t>
            </w:r>
            <w:r>
              <w:rPr>
                <w:rFonts w:hint="default" w:ascii="Times New Roman" w:hAnsi="Times New Roman" w:eastAsia="宋体" w:cs="Times New Roman"/>
                <w:b/>
                <w:bCs w:val="0"/>
                <w:color w:val="auto"/>
                <w:kern w:val="2"/>
                <w:sz w:val="21"/>
                <w:szCs w:val="21"/>
                <w:lang w:val="en-US" w:eastAsia="zh-CN" w:bidi="ar"/>
              </w:rPr>
              <w:t>厂界噪声预测结果与达标分析表</w:t>
            </w:r>
          </w:p>
          <w:tbl>
            <w:tblPr>
              <w:tblStyle w:val="27"/>
              <w:tblW w:w="4995"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8"/>
              <w:gridCol w:w="1015"/>
              <w:gridCol w:w="1118"/>
              <w:gridCol w:w="1062"/>
              <w:gridCol w:w="1190"/>
              <w:gridCol w:w="1311"/>
              <w:gridCol w:w="1363"/>
            </w:tblGrid>
            <w:tr w14:paraId="744489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56" w:type="pct"/>
                  <w:vMerge w:val="restart"/>
                  <w:tcBorders>
                    <w:top w:val="single" w:color="auto" w:sz="4" w:space="0"/>
                    <w:bottom w:val="single" w:color="auto" w:sz="4" w:space="0"/>
                    <w:right w:val="single" w:color="auto" w:sz="4" w:space="0"/>
                  </w:tcBorders>
                  <w:noWrap w:val="0"/>
                  <w:vAlign w:val="center"/>
                </w:tcPr>
                <w:p w14:paraId="1CA8252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b/>
                      <w:bCs w:val="0"/>
                      <w:color w:val="auto"/>
                      <w:kern w:val="2"/>
                      <w:sz w:val="21"/>
                      <w:szCs w:val="21"/>
                      <w:highlight w:val="none"/>
                      <w:lang w:val="en-US" w:eastAsia="zh-CN" w:bidi="ar"/>
                    </w:rPr>
                    <w:t>预测方位</w:t>
                  </w:r>
                </w:p>
              </w:tc>
              <w:tc>
                <w:tcPr>
                  <w:tcW w:w="1920" w:type="pct"/>
                  <w:gridSpan w:val="3"/>
                  <w:tcBorders>
                    <w:top w:val="single" w:color="auto" w:sz="4" w:space="0"/>
                    <w:left w:val="single" w:color="auto" w:sz="4" w:space="0"/>
                    <w:bottom w:val="single" w:color="auto" w:sz="4" w:space="0"/>
                    <w:right w:val="single" w:color="auto" w:sz="4" w:space="0"/>
                  </w:tcBorders>
                  <w:noWrap w:val="0"/>
                  <w:vAlign w:val="center"/>
                </w:tcPr>
                <w:p w14:paraId="48782E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b/>
                      <w:bCs w:val="0"/>
                      <w:color w:val="auto"/>
                      <w:kern w:val="2"/>
                      <w:sz w:val="21"/>
                      <w:szCs w:val="21"/>
                      <w:highlight w:val="none"/>
                      <w:lang w:val="en-US" w:eastAsia="zh-CN" w:bidi="ar"/>
                    </w:rPr>
                    <w:t>最大值点空间相对位置/m</w:t>
                  </w:r>
                </w:p>
              </w:tc>
              <w:tc>
                <w:tcPr>
                  <w:tcW w:w="715" w:type="pct"/>
                  <w:vMerge w:val="restart"/>
                  <w:tcBorders>
                    <w:top w:val="single" w:color="auto" w:sz="4" w:space="0"/>
                    <w:left w:val="single" w:color="auto" w:sz="4" w:space="0"/>
                    <w:bottom w:val="single" w:color="auto" w:sz="4" w:space="0"/>
                    <w:right w:val="single" w:color="auto" w:sz="4" w:space="0"/>
                  </w:tcBorders>
                  <w:noWrap w:val="0"/>
                  <w:vAlign w:val="center"/>
                </w:tcPr>
                <w:p w14:paraId="33F1751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b/>
                      <w:bCs w:val="0"/>
                      <w:color w:val="auto"/>
                      <w:kern w:val="2"/>
                      <w:sz w:val="21"/>
                      <w:szCs w:val="21"/>
                      <w:highlight w:val="none"/>
                      <w:lang w:val="en-US" w:eastAsia="zh-CN" w:bidi="ar"/>
                    </w:rPr>
                    <w:t>时段</w:t>
                  </w:r>
                </w:p>
              </w:tc>
              <w:tc>
                <w:tcPr>
                  <w:tcW w:w="788" w:type="pct"/>
                  <w:vMerge w:val="restart"/>
                  <w:tcBorders>
                    <w:top w:val="single" w:color="auto" w:sz="4" w:space="0"/>
                    <w:left w:val="single" w:color="auto" w:sz="4" w:space="0"/>
                    <w:bottom w:val="single" w:color="auto" w:sz="4" w:space="0"/>
                    <w:right w:val="single" w:color="auto" w:sz="4" w:space="0"/>
                  </w:tcBorders>
                  <w:noWrap w:val="0"/>
                  <w:vAlign w:val="center"/>
                </w:tcPr>
                <w:p w14:paraId="28E8C9A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bCs w:val="0"/>
                      <w:color w:val="auto"/>
                      <w:kern w:val="2"/>
                      <w:sz w:val="21"/>
                      <w:szCs w:val="21"/>
                      <w:highlight w:val="none"/>
                      <w:lang w:val="en-US" w:eastAsia="zh-CN" w:bidi="ar"/>
                    </w:rPr>
                  </w:pPr>
                  <w:r>
                    <w:rPr>
                      <w:rFonts w:hint="default" w:ascii="Times New Roman" w:hAnsi="Times New Roman" w:cs="Times New Roman" w:eastAsiaTheme="minorEastAsia"/>
                      <w:b/>
                      <w:bCs w:val="0"/>
                      <w:color w:val="auto"/>
                      <w:kern w:val="2"/>
                      <w:sz w:val="21"/>
                      <w:szCs w:val="21"/>
                      <w:highlight w:val="none"/>
                      <w:lang w:val="en-US" w:eastAsia="zh-CN" w:bidi="ar"/>
                    </w:rPr>
                    <w:t>贡献值（dB(A)）</w:t>
                  </w:r>
                </w:p>
                <w:p w14:paraId="7A5B6B9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eastAsia" w:cs="Times New Roman" w:eastAsiaTheme="minorEastAsia"/>
                      <w:b/>
                      <w:bCs w:val="0"/>
                      <w:color w:val="auto"/>
                      <w:kern w:val="2"/>
                      <w:sz w:val="21"/>
                      <w:szCs w:val="21"/>
                      <w:highlight w:val="none"/>
                      <w:lang w:val="en-US" w:eastAsia="zh-CN" w:bidi="ar"/>
                    </w:rPr>
                  </w:pPr>
                  <w:r>
                    <w:rPr>
                      <w:rFonts w:hint="default" w:ascii="Times New Roman" w:hAnsi="Times New Roman" w:cs="Times New Roman" w:eastAsiaTheme="minorEastAsia"/>
                      <w:b/>
                      <w:bCs w:val="0"/>
                      <w:color w:val="auto"/>
                      <w:kern w:val="2"/>
                      <w:sz w:val="21"/>
                      <w:szCs w:val="21"/>
                      <w:highlight w:val="none"/>
                      <w:lang w:val="en-US" w:eastAsia="zh-CN" w:bidi="ar"/>
                    </w:rPr>
                    <w:t>昼夜等效</w:t>
                  </w:r>
                  <w:r>
                    <w:rPr>
                      <w:rFonts w:hint="eastAsia" w:cs="Times New Roman" w:eastAsiaTheme="minorEastAsia"/>
                      <w:b/>
                      <w:bCs w:val="0"/>
                      <w:color w:val="auto"/>
                      <w:kern w:val="2"/>
                      <w:sz w:val="21"/>
                      <w:szCs w:val="21"/>
                      <w:highlight w:val="none"/>
                      <w:lang w:val="en-US" w:eastAsia="zh-CN" w:bidi="ar"/>
                    </w:rPr>
                    <w:t>（敏感点位</w:t>
                  </w:r>
                </w:p>
                <w:p w14:paraId="3AA7077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bCs w:val="0"/>
                      <w:color w:val="auto"/>
                      <w:kern w:val="2"/>
                      <w:sz w:val="21"/>
                      <w:szCs w:val="21"/>
                      <w:highlight w:val="none"/>
                      <w:lang w:val="en-US" w:eastAsia="zh-CN" w:bidi="ar"/>
                    </w:rPr>
                  </w:pPr>
                  <w:r>
                    <w:rPr>
                      <w:rFonts w:hint="eastAsia" w:cs="Times New Roman" w:eastAsiaTheme="minorEastAsia"/>
                      <w:b/>
                      <w:bCs w:val="0"/>
                      <w:color w:val="auto"/>
                      <w:kern w:val="2"/>
                      <w:sz w:val="21"/>
                      <w:szCs w:val="21"/>
                      <w:highlight w:val="none"/>
                      <w:lang w:val="en-US" w:eastAsia="zh-CN" w:bidi="ar"/>
                    </w:rPr>
                    <w:t>叠加值）</w:t>
                  </w:r>
                </w:p>
              </w:tc>
              <w:tc>
                <w:tcPr>
                  <w:tcW w:w="819" w:type="pct"/>
                  <w:vMerge w:val="restart"/>
                  <w:tcBorders>
                    <w:top w:val="single" w:color="auto" w:sz="4" w:space="0"/>
                    <w:left w:val="single" w:color="auto" w:sz="4" w:space="0"/>
                    <w:bottom w:val="single" w:color="auto" w:sz="4" w:space="0"/>
                  </w:tcBorders>
                  <w:noWrap w:val="0"/>
                  <w:vAlign w:val="center"/>
                </w:tcPr>
                <w:p w14:paraId="70559DD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b/>
                      <w:bCs w:val="0"/>
                      <w:color w:val="auto"/>
                      <w:kern w:val="2"/>
                      <w:sz w:val="21"/>
                      <w:szCs w:val="21"/>
                      <w:highlight w:val="none"/>
                      <w:lang w:val="en-US" w:eastAsia="zh-CN" w:bidi="ar"/>
                    </w:rPr>
                    <w:t>达标情况</w:t>
                  </w:r>
                </w:p>
              </w:tc>
            </w:tr>
            <w:tr w14:paraId="5FE83C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756" w:type="pct"/>
                  <w:vMerge w:val="continue"/>
                  <w:tcBorders>
                    <w:top w:val="single" w:color="auto" w:sz="4" w:space="0"/>
                    <w:bottom w:val="single" w:color="auto" w:sz="4" w:space="0"/>
                    <w:right w:val="single" w:color="auto" w:sz="4" w:space="0"/>
                  </w:tcBorders>
                  <w:noWrap w:val="0"/>
                  <w:vAlign w:val="center"/>
                </w:tcPr>
                <w:p w14:paraId="46AD1DA5">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610" w:type="pct"/>
                  <w:tcBorders>
                    <w:top w:val="single" w:color="auto" w:sz="4" w:space="0"/>
                    <w:left w:val="single" w:color="auto" w:sz="4" w:space="0"/>
                    <w:bottom w:val="single" w:color="auto" w:sz="4" w:space="0"/>
                    <w:right w:val="single" w:color="auto" w:sz="4" w:space="0"/>
                  </w:tcBorders>
                  <w:noWrap w:val="0"/>
                  <w:vAlign w:val="center"/>
                </w:tcPr>
                <w:p w14:paraId="38D5C69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lang w:val="en-US" w:eastAsia="zh-CN" w:bidi="ar"/>
                    </w:rPr>
                    <w:t>X</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24EC686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lang w:val="en-US" w:eastAsia="zh-CN" w:bidi="ar"/>
                    </w:rPr>
                    <w:t>Y</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49E27C6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b/>
                      <w:bCs/>
                      <w:color w:val="auto"/>
                      <w:kern w:val="2"/>
                      <w:sz w:val="21"/>
                      <w:szCs w:val="21"/>
                      <w:highlight w:val="none"/>
                    </w:rPr>
                  </w:pPr>
                  <w:r>
                    <w:rPr>
                      <w:rFonts w:hint="default" w:ascii="Times New Roman" w:hAnsi="Times New Roman" w:cs="Times New Roman" w:eastAsiaTheme="minorEastAsia"/>
                      <w:b/>
                      <w:bCs/>
                      <w:color w:val="auto"/>
                      <w:kern w:val="2"/>
                      <w:sz w:val="21"/>
                      <w:szCs w:val="21"/>
                      <w:highlight w:val="none"/>
                      <w:lang w:val="en-US" w:eastAsia="zh-CN" w:bidi="ar"/>
                    </w:rPr>
                    <w:t>Z</w:t>
                  </w:r>
                </w:p>
              </w:tc>
              <w:tc>
                <w:tcPr>
                  <w:tcW w:w="715" w:type="pct"/>
                  <w:vMerge w:val="continue"/>
                  <w:tcBorders>
                    <w:top w:val="single" w:color="auto" w:sz="4" w:space="0"/>
                    <w:left w:val="single" w:color="auto" w:sz="4" w:space="0"/>
                    <w:bottom w:val="single" w:color="auto" w:sz="4" w:space="0"/>
                    <w:right w:val="single" w:color="auto" w:sz="4" w:space="0"/>
                  </w:tcBorders>
                  <w:noWrap w:val="0"/>
                  <w:vAlign w:val="center"/>
                </w:tcPr>
                <w:p w14:paraId="5275D399">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788" w:type="pct"/>
                  <w:vMerge w:val="continue"/>
                  <w:tcBorders>
                    <w:top w:val="single" w:color="auto" w:sz="4" w:space="0"/>
                    <w:left w:val="single" w:color="auto" w:sz="4" w:space="0"/>
                    <w:bottom w:val="single" w:color="auto" w:sz="4" w:space="0"/>
                    <w:right w:val="single" w:color="auto" w:sz="4" w:space="0"/>
                  </w:tcBorders>
                  <w:noWrap w:val="0"/>
                  <w:vAlign w:val="center"/>
                </w:tcPr>
                <w:p w14:paraId="7BE21523">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819" w:type="pct"/>
                  <w:vMerge w:val="continue"/>
                  <w:tcBorders>
                    <w:top w:val="single" w:color="auto" w:sz="4" w:space="0"/>
                    <w:left w:val="single" w:color="auto" w:sz="4" w:space="0"/>
                    <w:bottom w:val="single" w:color="auto" w:sz="4" w:space="0"/>
                  </w:tcBorders>
                  <w:noWrap w:val="0"/>
                  <w:vAlign w:val="center"/>
                </w:tcPr>
                <w:p w14:paraId="3D3F6547">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r>
            <w:tr w14:paraId="46E14C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56" w:type="pct"/>
                  <w:tcBorders>
                    <w:top w:val="single" w:color="auto" w:sz="4" w:space="0"/>
                    <w:bottom w:val="single" w:color="auto" w:sz="4" w:space="0"/>
                    <w:right w:val="single" w:color="auto" w:sz="4" w:space="0"/>
                  </w:tcBorders>
                  <w:noWrap w:val="0"/>
                  <w:vAlign w:val="center"/>
                </w:tcPr>
                <w:p w14:paraId="5F90D5B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东</w:t>
                  </w:r>
                  <w:r>
                    <w:rPr>
                      <w:rFonts w:hint="eastAsia" w:ascii="Times New Roman" w:hAnsi="Times New Roman" w:cs="Times New Roman" w:eastAsiaTheme="minorEastAsia"/>
                      <w:color w:val="auto"/>
                      <w:kern w:val="2"/>
                      <w:sz w:val="21"/>
                      <w:szCs w:val="21"/>
                      <w:highlight w:val="none"/>
                      <w:lang w:val="en-US" w:eastAsia="zh-CN" w:bidi="ar"/>
                    </w:rPr>
                    <w:t>厂界</w:t>
                  </w:r>
                </w:p>
              </w:tc>
              <w:tc>
                <w:tcPr>
                  <w:tcW w:w="610" w:type="pct"/>
                  <w:tcBorders>
                    <w:top w:val="single" w:color="auto" w:sz="4" w:space="0"/>
                    <w:left w:val="single" w:color="auto" w:sz="4" w:space="0"/>
                    <w:bottom w:val="single" w:color="auto" w:sz="4" w:space="0"/>
                    <w:right w:val="single" w:color="auto" w:sz="4" w:space="0"/>
                  </w:tcBorders>
                  <w:noWrap w:val="0"/>
                  <w:vAlign w:val="center"/>
                </w:tcPr>
                <w:p w14:paraId="2C5647A8">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75</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7B4B6B3F">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72</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28E28A07">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1.2</w:t>
                  </w:r>
                </w:p>
              </w:tc>
              <w:tc>
                <w:tcPr>
                  <w:tcW w:w="715" w:type="pct"/>
                  <w:vMerge w:val="restart"/>
                  <w:tcBorders>
                    <w:top w:val="nil"/>
                    <w:left w:val="single" w:color="auto" w:sz="4" w:space="0"/>
                    <w:right w:val="single" w:color="auto" w:sz="4" w:space="0"/>
                  </w:tcBorders>
                  <w:noWrap w:val="0"/>
                  <w:vAlign w:val="center"/>
                </w:tcPr>
                <w:p w14:paraId="431517EC">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bidi="ar"/>
                    </w:rPr>
                    <w:t>昼（</w:t>
                  </w:r>
                  <w:r>
                    <w:rPr>
                      <w:rFonts w:hint="eastAsia" w:cs="Times New Roman" w:eastAsiaTheme="minorEastAsia"/>
                      <w:color w:val="auto"/>
                      <w:kern w:val="2"/>
                      <w:sz w:val="21"/>
                      <w:szCs w:val="21"/>
                      <w:highlight w:val="none"/>
                      <w:lang w:val="en-US" w:eastAsia="zh-CN" w:bidi="ar"/>
                    </w:rPr>
                    <w:t>60</w:t>
                  </w:r>
                  <w:r>
                    <w:rPr>
                      <w:rFonts w:hint="default" w:ascii="Times New Roman" w:hAnsi="Times New Roman" w:cs="Times New Roman" w:eastAsiaTheme="minorEastAsia"/>
                      <w:color w:val="auto"/>
                      <w:kern w:val="2"/>
                      <w:sz w:val="21"/>
                      <w:szCs w:val="21"/>
                      <w:highlight w:val="none"/>
                      <w:lang w:val="en-US" w:eastAsia="zh-CN" w:bidi="ar"/>
                    </w:rPr>
                    <w:t>）/夜（5</w:t>
                  </w:r>
                  <w:r>
                    <w:rPr>
                      <w:rFonts w:hint="eastAsia" w:cs="Times New Roman" w:eastAsiaTheme="minorEastAsia"/>
                      <w:color w:val="auto"/>
                      <w:kern w:val="2"/>
                      <w:sz w:val="21"/>
                      <w:szCs w:val="21"/>
                      <w:highlight w:val="none"/>
                      <w:lang w:val="en-US" w:eastAsia="zh-CN" w:bidi="ar"/>
                    </w:rPr>
                    <w:t>0</w:t>
                  </w:r>
                  <w:r>
                    <w:rPr>
                      <w:rFonts w:hint="default" w:ascii="Times New Roman" w:hAnsi="Times New Roman" w:cs="Times New Roman" w:eastAsiaTheme="minorEastAsia"/>
                      <w:color w:val="auto"/>
                      <w:kern w:val="2"/>
                      <w:sz w:val="21"/>
                      <w:szCs w:val="21"/>
                      <w:highlight w:val="none"/>
                      <w:lang w:val="en-US" w:eastAsia="zh-CN" w:bidi="ar"/>
                    </w:rPr>
                    <w:t>）</w:t>
                  </w:r>
                </w:p>
              </w:tc>
              <w:tc>
                <w:tcPr>
                  <w:tcW w:w="788" w:type="pct"/>
                  <w:tcBorders>
                    <w:top w:val="single" w:color="auto" w:sz="4" w:space="0"/>
                    <w:left w:val="single" w:color="auto" w:sz="4" w:space="0"/>
                    <w:bottom w:val="single" w:color="auto" w:sz="4" w:space="0"/>
                    <w:right w:val="single" w:color="auto" w:sz="4" w:space="0"/>
                  </w:tcBorders>
                  <w:noWrap w:val="0"/>
                  <w:vAlign w:val="center"/>
                </w:tcPr>
                <w:p w14:paraId="2747200F">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cs="Times New Roman" w:eastAsiaTheme="minorEastAsia"/>
                      <w:color w:val="auto"/>
                      <w:kern w:val="2"/>
                      <w:sz w:val="21"/>
                      <w:szCs w:val="21"/>
                      <w:highlight w:val="none"/>
                      <w:lang w:val="en-US" w:eastAsia="zh-CN"/>
                    </w:rPr>
                    <w:t>38.96</w:t>
                  </w:r>
                </w:p>
              </w:tc>
              <w:tc>
                <w:tcPr>
                  <w:tcW w:w="819" w:type="pct"/>
                  <w:tcBorders>
                    <w:top w:val="single" w:color="auto" w:sz="4" w:space="0"/>
                    <w:left w:val="single" w:color="auto" w:sz="4" w:space="0"/>
                    <w:bottom w:val="single" w:color="auto" w:sz="4" w:space="0"/>
                  </w:tcBorders>
                  <w:noWrap w:val="0"/>
                  <w:vAlign w:val="center"/>
                </w:tcPr>
                <w:p w14:paraId="32CC4F0C">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达标</w:t>
                  </w:r>
                </w:p>
              </w:tc>
            </w:tr>
            <w:tr w14:paraId="268837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56" w:type="pct"/>
                  <w:tcBorders>
                    <w:top w:val="single" w:color="auto" w:sz="4" w:space="0"/>
                    <w:bottom w:val="single" w:color="auto" w:sz="4" w:space="0"/>
                    <w:right w:val="single" w:color="auto" w:sz="4" w:space="0"/>
                  </w:tcBorders>
                  <w:noWrap w:val="0"/>
                  <w:vAlign w:val="center"/>
                </w:tcPr>
                <w:p w14:paraId="38D01FB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西</w:t>
                  </w:r>
                  <w:r>
                    <w:rPr>
                      <w:rFonts w:hint="eastAsia" w:ascii="Times New Roman" w:hAnsi="Times New Roman" w:cs="Times New Roman" w:eastAsiaTheme="minorEastAsia"/>
                      <w:color w:val="auto"/>
                      <w:kern w:val="2"/>
                      <w:sz w:val="21"/>
                      <w:szCs w:val="21"/>
                      <w:highlight w:val="none"/>
                      <w:lang w:val="en-US" w:eastAsia="zh-CN" w:bidi="ar"/>
                    </w:rPr>
                    <w:t>厂界</w:t>
                  </w:r>
                </w:p>
              </w:tc>
              <w:tc>
                <w:tcPr>
                  <w:tcW w:w="610" w:type="pct"/>
                  <w:tcBorders>
                    <w:top w:val="single" w:color="auto" w:sz="4" w:space="0"/>
                    <w:left w:val="single" w:color="auto" w:sz="4" w:space="0"/>
                    <w:bottom w:val="single" w:color="auto" w:sz="4" w:space="0"/>
                    <w:right w:val="single" w:color="auto" w:sz="4" w:space="0"/>
                  </w:tcBorders>
                  <w:noWrap w:val="0"/>
                  <w:vAlign w:val="center"/>
                </w:tcPr>
                <w:p w14:paraId="2370BACA">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5</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38CBB5E8">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82</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29BD7B53">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1.2</w:t>
                  </w:r>
                </w:p>
              </w:tc>
              <w:tc>
                <w:tcPr>
                  <w:tcW w:w="715" w:type="pct"/>
                  <w:vMerge w:val="continue"/>
                  <w:tcBorders>
                    <w:left w:val="single" w:color="auto" w:sz="4" w:space="0"/>
                    <w:right w:val="single" w:color="auto" w:sz="4" w:space="0"/>
                  </w:tcBorders>
                  <w:noWrap w:val="0"/>
                  <w:vAlign w:val="center"/>
                </w:tcPr>
                <w:p w14:paraId="173C86E4">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788" w:type="pct"/>
                  <w:tcBorders>
                    <w:top w:val="single" w:color="auto" w:sz="4" w:space="0"/>
                    <w:left w:val="single" w:color="auto" w:sz="4" w:space="0"/>
                    <w:bottom w:val="single" w:color="auto" w:sz="4" w:space="0"/>
                    <w:right w:val="single" w:color="auto" w:sz="4" w:space="0"/>
                  </w:tcBorders>
                  <w:noWrap w:val="0"/>
                  <w:vAlign w:val="center"/>
                </w:tcPr>
                <w:p w14:paraId="1087AF1D">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cs="Times New Roman" w:eastAsiaTheme="minorEastAsia"/>
                      <w:color w:val="auto"/>
                      <w:kern w:val="2"/>
                      <w:sz w:val="21"/>
                      <w:szCs w:val="21"/>
                      <w:highlight w:val="none"/>
                      <w:lang w:val="en-US" w:eastAsia="zh-CN"/>
                    </w:rPr>
                    <w:t>37.53</w:t>
                  </w:r>
                </w:p>
              </w:tc>
              <w:tc>
                <w:tcPr>
                  <w:tcW w:w="819" w:type="pct"/>
                  <w:tcBorders>
                    <w:top w:val="single" w:color="auto" w:sz="4" w:space="0"/>
                    <w:left w:val="single" w:color="auto" w:sz="4" w:space="0"/>
                    <w:bottom w:val="single" w:color="auto" w:sz="4" w:space="0"/>
                  </w:tcBorders>
                  <w:noWrap w:val="0"/>
                  <w:vAlign w:val="center"/>
                </w:tcPr>
                <w:p w14:paraId="49F717CD">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达标</w:t>
                  </w:r>
                </w:p>
              </w:tc>
            </w:tr>
            <w:tr w14:paraId="27B1E7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56" w:type="pct"/>
                  <w:tcBorders>
                    <w:top w:val="single" w:color="auto" w:sz="4" w:space="0"/>
                    <w:bottom w:val="single" w:color="auto" w:sz="4" w:space="0"/>
                    <w:right w:val="single" w:color="auto" w:sz="4" w:space="0"/>
                  </w:tcBorders>
                  <w:noWrap w:val="0"/>
                  <w:vAlign w:val="center"/>
                </w:tcPr>
                <w:p w14:paraId="015F279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南</w:t>
                  </w:r>
                  <w:r>
                    <w:rPr>
                      <w:rFonts w:hint="eastAsia" w:ascii="Times New Roman" w:hAnsi="Times New Roman" w:cs="Times New Roman" w:eastAsiaTheme="minorEastAsia"/>
                      <w:color w:val="auto"/>
                      <w:kern w:val="2"/>
                      <w:sz w:val="21"/>
                      <w:szCs w:val="21"/>
                      <w:highlight w:val="none"/>
                      <w:lang w:val="en-US" w:eastAsia="zh-CN" w:bidi="ar"/>
                    </w:rPr>
                    <w:t>厂界</w:t>
                  </w:r>
                </w:p>
              </w:tc>
              <w:tc>
                <w:tcPr>
                  <w:tcW w:w="610" w:type="pct"/>
                  <w:tcBorders>
                    <w:top w:val="single" w:color="auto" w:sz="4" w:space="0"/>
                    <w:left w:val="single" w:color="auto" w:sz="4" w:space="0"/>
                    <w:bottom w:val="single" w:color="auto" w:sz="4" w:space="0"/>
                    <w:right w:val="single" w:color="auto" w:sz="4" w:space="0"/>
                  </w:tcBorders>
                  <w:noWrap w:val="0"/>
                  <w:vAlign w:val="center"/>
                </w:tcPr>
                <w:p w14:paraId="4E0BA57C">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17</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6E7F2001">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w:t>
                  </w:r>
                  <w:r>
                    <w:rPr>
                      <w:rFonts w:hint="eastAsia" w:cs="Times New Roman" w:eastAsiaTheme="minorEastAsia"/>
                      <w:color w:val="auto"/>
                      <w:kern w:val="2"/>
                      <w:sz w:val="21"/>
                      <w:szCs w:val="21"/>
                      <w:highlight w:val="none"/>
                      <w:lang w:val="en-US" w:eastAsia="zh-CN"/>
                    </w:rPr>
                    <w:t>1</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7594CB90">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1.2</w:t>
                  </w:r>
                </w:p>
              </w:tc>
              <w:tc>
                <w:tcPr>
                  <w:tcW w:w="715" w:type="pct"/>
                  <w:vMerge w:val="continue"/>
                  <w:tcBorders>
                    <w:left w:val="single" w:color="auto" w:sz="4" w:space="0"/>
                    <w:right w:val="single" w:color="auto" w:sz="4" w:space="0"/>
                  </w:tcBorders>
                  <w:noWrap w:val="0"/>
                  <w:vAlign w:val="center"/>
                </w:tcPr>
                <w:p w14:paraId="4DB5B06E">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788" w:type="pct"/>
                  <w:tcBorders>
                    <w:top w:val="single" w:color="auto" w:sz="4" w:space="0"/>
                    <w:left w:val="single" w:color="auto" w:sz="4" w:space="0"/>
                    <w:bottom w:val="single" w:color="auto" w:sz="4" w:space="0"/>
                    <w:right w:val="single" w:color="auto" w:sz="4" w:space="0"/>
                  </w:tcBorders>
                  <w:noWrap w:val="0"/>
                  <w:vAlign w:val="center"/>
                </w:tcPr>
                <w:p w14:paraId="1AF5CD97">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cs="Times New Roman" w:eastAsiaTheme="minorEastAsia"/>
                      <w:color w:val="auto"/>
                      <w:kern w:val="2"/>
                      <w:sz w:val="21"/>
                      <w:szCs w:val="21"/>
                      <w:highlight w:val="none"/>
                      <w:lang w:val="en-US" w:eastAsia="zh-CN"/>
                    </w:rPr>
                    <w:t>20.90</w:t>
                  </w:r>
                </w:p>
              </w:tc>
              <w:tc>
                <w:tcPr>
                  <w:tcW w:w="819" w:type="pct"/>
                  <w:tcBorders>
                    <w:top w:val="single" w:color="auto" w:sz="4" w:space="0"/>
                    <w:left w:val="single" w:color="auto" w:sz="4" w:space="0"/>
                    <w:bottom w:val="single" w:color="auto" w:sz="4" w:space="0"/>
                  </w:tcBorders>
                  <w:noWrap w:val="0"/>
                  <w:vAlign w:val="center"/>
                </w:tcPr>
                <w:p w14:paraId="712212E1">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达标</w:t>
                  </w:r>
                </w:p>
              </w:tc>
            </w:tr>
            <w:tr w14:paraId="79FB37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56" w:type="pct"/>
                  <w:tcBorders>
                    <w:top w:val="single" w:color="auto" w:sz="4" w:space="0"/>
                    <w:bottom w:val="single" w:color="auto" w:sz="4" w:space="0"/>
                    <w:right w:val="single" w:color="auto" w:sz="4" w:space="0"/>
                  </w:tcBorders>
                  <w:noWrap w:val="0"/>
                  <w:vAlign w:val="center"/>
                </w:tcPr>
                <w:p w14:paraId="7E95CBC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北</w:t>
                  </w:r>
                  <w:r>
                    <w:rPr>
                      <w:rFonts w:hint="eastAsia" w:ascii="Times New Roman" w:hAnsi="Times New Roman" w:cs="Times New Roman" w:eastAsiaTheme="minorEastAsia"/>
                      <w:color w:val="auto"/>
                      <w:kern w:val="2"/>
                      <w:sz w:val="21"/>
                      <w:szCs w:val="21"/>
                      <w:highlight w:val="none"/>
                      <w:lang w:val="en-US" w:eastAsia="zh-CN" w:bidi="ar"/>
                    </w:rPr>
                    <w:t>厂界</w:t>
                  </w:r>
                </w:p>
              </w:tc>
              <w:tc>
                <w:tcPr>
                  <w:tcW w:w="610" w:type="pct"/>
                  <w:tcBorders>
                    <w:top w:val="single" w:color="auto" w:sz="4" w:space="0"/>
                    <w:left w:val="single" w:color="auto" w:sz="4" w:space="0"/>
                    <w:bottom w:val="single" w:color="auto" w:sz="4" w:space="0"/>
                    <w:right w:val="single" w:color="auto" w:sz="4" w:space="0"/>
                  </w:tcBorders>
                  <w:noWrap w:val="0"/>
                  <w:vAlign w:val="center"/>
                </w:tcPr>
                <w:p w14:paraId="51A42164">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48</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1745D1A1">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234</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540605C9">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1.2</w:t>
                  </w:r>
                </w:p>
              </w:tc>
              <w:tc>
                <w:tcPr>
                  <w:tcW w:w="715" w:type="pct"/>
                  <w:vMerge w:val="continue"/>
                  <w:tcBorders>
                    <w:left w:val="single" w:color="auto" w:sz="4" w:space="0"/>
                    <w:right w:val="single" w:color="auto" w:sz="4" w:space="0"/>
                  </w:tcBorders>
                  <w:noWrap w:val="0"/>
                  <w:vAlign w:val="center"/>
                </w:tcPr>
                <w:p w14:paraId="0274ED80">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788" w:type="pct"/>
                  <w:tcBorders>
                    <w:top w:val="single" w:color="auto" w:sz="4" w:space="0"/>
                    <w:left w:val="single" w:color="auto" w:sz="4" w:space="0"/>
                    <w:bottom w:val="single" w:color="auto" w:sz="4" w:space="0"/>
                    <w:right w:val="single" w:color="auto" w:sz="4" w:space="0"/>
                  </w:tcBorders>
                  <w:noWrap w:val="0"/>
                  <w:vAlign w:val="center"/>
                </w:tcPr>
                <w:p w14:paraId="0FC8E30A">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cs="Times New Roman" w:eastAsiaTheme="minorEastAsia"/>
                      <w:color w:val="auto"/>
                      <w:kern w:val="2"/>
                      <w:sz w:val="21"/>
                      <w:szCs w:val="21"/>
                      <w:highlight w:val="none"/>
                      <w:lang w:val="en-US" w:eastAsia="zh-CN"/>
                    </w:rPr>
                    <w:t>44.81</w:t>
                  </w:r>
                </w:p>
              </w:tc>
              <w:tc>
                <w:tcPr>
                  <w:tcW w:w="819" w:type="pct"/>
                  <w:tcBorders>
                    <w:top w:val="single" w:color="auto" w:sz="4" w:space="0"/>
                    <w:left w:val="single" w:color="auto" w:sz="4" w:space="0"/>
                    <w:bottom w:val="single" w:color="auto" w:sz="4" w:space="0"/>
                  </w:tcBorders>
                  <w:noWrap w:val="0"/>
                  <w:vAlign w:val="center"/>
                </w:tcPr>
                <w:p w14:paraId="24D7AE13">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rPr>
                  </w:pPr>
                  <w:r>
                    <w:rPr>
                      <w:rFonts w:hint="default" w:ascii="Times New Roman" w:hAnsi="Times New Roman" w:cs="Times New Roman" w:eastAsiaTheme="minorEastAsia"/>
                      <w:color w:val="auto"/>
                      <w:kern w:val="2"/>
                      <w:sz w:val="21"/>
                      <w:szCs w:val="21"/>
                      <w:highlight w:val="none"/>
                      <w:lang w:val="en-US" w:eastAsia="zh-CN" w:bidi="ar"/>
                    </w:rPr>
                    <w:t>达标</w:t>
                  </w:r>
                </w:p>
              </w:tc>
            </w:tr>
            <w:tr w14:paraId="582336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56" w:type="pct"/>
                  <w:tcBorders>
                    <w:top w:val="single" w:color="auto" w:sz="4" w:space="0"/>
                    <w:left w:val="nil"/>
                    <w:bottom w:val="single" w:color="auto" w:sz="4" w:space="0"/>
                    <w:right w:val="single" w:color="auto" w:sz="4" w:space="0"/>
                  </w:tcBorders>
                  <w:noWrap w:val="0"/>
                  <w:vAlign w:val="center"/>
                </w:tcPr>
                <w:p w14:paraId="73AC8C3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bidi="ar"/>
                    </w:rPr>
                  </w:pPr>
                  <w:r>
                    <w:rPr>
                      <w:rFonts w:hint="default" w:ascii="Times New Roman" w:hAnsi="Times New Roman" w:cs="Times New Roman" w:eastAsiaTheme="minorEastAsia"/>
                      <w:color w:val="auto"/>
                      <w:kern w:val="2"/>
                      <w:sz w:val="21"/>
                      <w:szCs w:val="21"/>
                      <w:highlight w:val="none"/>
                      <w:lang w:val="en-US" w:eastAsia="zh-CN" w:bidi="ar"/>
                    </w:rPr>
                    <w:t>园河丽景小区1楼</w:t>
                  </w:r>
                </w:p>
              </w:tc>
              <w:tc>
                <w:tcPr>
                  <w:tcW w:w="610" w:type="pct"/>
                  <w:tcBorders>
                    <w:top w:val="single" w:color="auto" w:sz="4" w:space="0"/>
                    <w:left w:val="single" w:color="auto" w:sz="4" w:space="0"/>
                    <w:bottom w:val="single" w:color="auto" w:sz="4" w:space="0"/>
                    <w:right w:val="single" w:color="auto" w:sz="4" w:space="0"/>
                  </w:tcBorders>
                  <w:noWrap w:val="0"/>
                  <w:vAlign w:val="center"/>
                </w:tcPr>
                <w:p w14:paraId="2A0AFCC2">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331</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14704547">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247</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716FFAF1">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1.5</w:t>
                  </w:r>
                </w:p>
              </w:tc>
              <w:tc>
                <w:tcPr>
                  <w:tcW w:w="715" w:type="pct"/>
                  <w:vMerge w:val="continue"/>
                  <w:tcBorders>
                    <w:left w:val="single" w:color="auto" w:sz="4" w:space="0"/>
                    <w:right w:val="single" w:color="auto" w:sz="4" w:space="0"/>
                  </w:tcBorders>
                  <w:noWrap w:val="0"/>
                  <w:vAlign w:val="center"/>
                </w:tcPr>
                <w:p w14:paraId="2B81065C">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lang w:val="en-US" w:eastAsia="zh-CN"/>
                    </w:rPr>
                  </w:pPr>
                </w:p>
              </w:tc>
              <w:tc>
                <w:tcPr>
                  <w:tcW w:w="788" w:type="pct"/>
                  <w:tcBorders>
                    <w:top w:val="single" w:color="auto" w:sz="4" w:space="0"/>
                    <w:left w:val="single" w:color="auto" w:sz="4" w:space="0"/>
                    <w:bottom w:val="single" w:color="auto" w:sz="4" w:space="0"/>
                    <w:right w:val="single" w:color="auto" w:sz="4" w:space="0"/>
                  </w:tcBorders>
                  <w:noWrap w:val="0"/>
                  <w:vAlign w:val="center"/>
                </w:tcPr>
                <w:p w14:paraId="5EB2288E">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cs="Times New Roman" w:eastAsiaTheme="minorEastAsia"/>
                      <w:color w:val="auto"/>
                      <w:kern w:val="2"/>
                      <w:sz w:val="21"/>
                      <w:szCs w:val="21"/>
                      <w:highlight w:val="none"/>
                      <w:lang w:val="en-US" w:eastAsia="zh-CN"/>
                    </w:rPr>
                    <w:t>50.61</w:t>
                  </w:r>
                  <w:r>
                    <w:rPr>
                      <w:rFonts w:hint="default" w:ascii="Times New Roman" w:hAnsi="Times New Roman" w:cs="Times New Roman" w:eastAsiaTheme="minorEastAsia"/>
                      <w:color w:val="auto"/>
                      <w:kern w:val="2"/>
                      <w:sz w:val="21"/>
                      <w:szCs w:val="21"/>
                      <w:highlight w:val="none"/>
                      <w:lang w:val="en-US" w:eastAsia="zh-CN"/>
                    </w:rPr>
                    <w:t>/</w:t>
                  </w:r>
                  <w:r>
                    <w:rPr>
                      <w:rFonts w:hint="eastAsia" w:cs="Times New Roman" w:eastAsiaTheme="minorEastAsia"/>
                      <w:color w:val="auto"/>
                      <w:kern w:val="2"/>
                      <w:sz w:val="21"/>
                      <w:szCs w:val="21"/>
                      <w:highlight w:val="none"/>
                      <w:lang w:val="en-US" w:eastAsia="zh-CN"/>
                    </w:rPr>
                    <w:t>44.43</w:t>
                  </w:r>
                </w:p>
              </w:tc>
              <w:tc>
                <w:tcPr>
                  <w:tcW w:w="819" w:type="pct"/>
                  <w:tcBorders>
                    <w:top w:val="single" w:color="auto" w:sz="4" w:space="0"/>
                    <w:left w:val="single" w:color="auto" w:sz="4" w:space="0"/>
                    <w:bottom w:val="single" w:color="auto" w:sz="4" w:space="0"/>
                    <w:right w:val="nil"/>
                  </w:tcBorders>
                  <w:noWrap w:val="0"/>
                  <w:vAlign w:val="center"/>
                </w:tcPr>
                <w:p w14:paraId="6433CEFB">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bidi="ar"/>
                    </w:rPr>
                  </w:pPr>
                  <w:r>
                    <w:rPr>
                      <w:rFonts w:hint="default" w:ascii="Times New Roman" w:hAnsi="Times New Roman" w:cs="Times New Roman" w:eastAsiaTheme="minorEastAsia"/>
                      <w:color w:val="auto"/>
                      <w:kern w:val="2"/>
                      <w:sz w:val="21"/>
                      <w:szCs w:val="21"/>
                      <w:highlight w:val="none"/>
                      <w:lang w:val="en-US" w:eastAsia="zh-CN" w:bidi="ar"/>
                    </w:rPr>
                    <w:t>达标</w:t>
                  </w:r>
                </w:p>
              </w:tc>
            </w:tr>
            <w:tr w14:paraId="0195D0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56" w:type="pct"/>
                  <w:tcBorders>
                    <w:top w:val="single" w:color="auto" w:sz="4" w:space="0"/>
                    <w:bottom w:val="single" w:color="auto" w:sz="4" w:space="0"/>
                    <w:right w:val="single" w:color="auto" w:sz="4" w:space="0"/>
                  </w:tcBorders>
                  <w:noWrap w:val="0"/>
                  <w:vAlign w:val="center"/>
                </w:tcPr>
                <w:p w14:paraId="17D98DE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bidi="ar"/>
                    </w:rPr>
                  </w:pPr>
                  <w:r>
                    <w:rPr>
                      <w:rFonts w:hint="default" w:ascii="Times New Roman" w:hAnsi="Times New Roman" w:cs="Times New Roman" w:eastAsiaTheme="minorEastAsia"/>
                      <w:color w:val="auto"/>
                      <w:kern w:val="2"/>
                      <w:sz w:val="21"/>
                      <w:szCs w:val="21"/>
                      <w:highlight w:val="none"/>
                      <w:lang w:val="en-US" w:eastAsia="zh-CN" w:bidi="ar"/>
                    </w:rPr>
                    <w:t>园河丽景小区3楼</w:t>
                  </w:r>
                </w:p>
              </w:tc>
              <w:tc>
                <w:tcPr>
                  <w:tcW w:w="610" w:type="pct"/>
                  <w:tcBorders>
                    <w:top w:val="single" w:color="auto" w:sz="4" w:space="0"/>
                    <w:left w:val="single" w:color="auto" w:sz="4" w:space="0"/>
                    <w:bottom w:val="single" w:color="auto" w:sz="4" w:space="0"/>
                    <w:right w:val="single" w:color="auto" w:sz="4" w:space="0"/>
                  </w:tcBorders>
                  <w:noWrap w:val="0"/>
                  <w:vAlign w:val="center"/>
                </w:tcPr>
                <w:p w14:paraId="2250B194">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331</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582F0DFD">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247</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14B3C522">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5.5</w:t>
                  </w:r>
                </w:p>
              </w:tc>
              <w:tc>
                <w:tcPr>
                  <w:tcW w:w="715" w:type="pct"/>
                  <w:vMerge w:val="continue"/>
                  <w:tcBorders>
                    <w:left w:val="single" w:color="auto" w:sz="4" w:space="0"/>
                    <w:right w:val="single" w:color="auto" w:sz="4" w:space="0"/>
                  </w:tcBorders>
                  <w:noWrap w:val="0"/>
                  <w:vAlign w:val="center"/>
                </w:tcPr>
                <w:p w14:paraId="7196E527">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788" w:type="pct"/>
                  <w:tcBorders>
                    <w:top w:val="single" w:color="auto" w:sz="4" w:space="0"/>
                    <w:left w:val="single" w:color="auto" w:sz="4" w:space="0"/>
                    <w:bottom w:val="single" w:color="auto" w:sz="4" w:space="0"/>
                    <w:right w:val="single" w:color="auto" w:sz="4" w:space="0"/>
                  </w:tcBorders>
                  <w:noWrap w:val="0"/>
                  <w:vAlign w:val="center"/>
                </w:tcPr>
                <w:p w14:paraId="72519C1F">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cs="Times New Roman" w:eastAsiaTheme="minorEastAsia"/>
                      <w:color w:val="auto"/>
                      <w:kern w:val="2"/>
                      <w:sz w:val="21"/>
                      <w:szCs w:val="21"/>
                      <w:highlight w:val="none"/>
                      <w:lang w:val="en-US" w:eastAsia="zh-CN"/>
                    </w:rPr>
                    <w:t>46.71</w:t>
                  </w:r>
                  <w:r>
                    <w:rPr>
                      <w:rFonts w:hint="default" w:ascii="Times New Roman" w:hAnsi="Times New Roman" w:cs="Times New Roman" w:eastAsiaTheme="minorEastAsia"/>
                      <w:color w:val="auto"/>
                      <w:kern w:val="2"/>
                      <w:sz w:val="21"/>
                      <w:szCs w:val="21"/>
                      <w:highlight w:val="none"/>
                      <w:lang w:val="en-US" w:eastAsia="zh-CN"/>
                    </w:rPr>
                    <w:t>/</w:t>
                  </w:r>
                  <w:r>
                    <w:rPr>
                      <w:rFonts w:hint="eastAsia" w:cs="Times New Roman" w:eastAsiaTheme="minorEastAsia"/>
                      <w:color w:val="auto"/>
                      <w:kern w:val="2"/>
                      <w:sz w:val="21"/>
                      <w:szCs w:val="21"/>
                      <w:highlight w:val="none"/>
                      <w:lang w:val="en-US" w:eastAsia="zh-CN"/>
                    </w:rPr>
                    <w:t>42.83</w:t>
                  </w:r>
                </w:p>
              </w:tc>
              <w:tc>
                <w:tcPr>
                  <w:tcW w:w="819" w:type="pct"/>
                  <w:tcBorders>
                    <w:top w:val="single" w:color="auto" w:sz="4" w:space="0"/>
                    <w:left w:val="single" w:color="auto" w:sz="4" w:space="0"/>
                    <w:bottom w:val="single" w:color="auto" w:sz="4" w:space="0"/>
                  </w:tcBorders>
                  <w:noWrap w:val="0"/>
                  <w:vAlign w:val="center"/>
                </w:tcPr>
                <w:p w14:paraId="30EF75A8">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bidi="ar"/>
                    </w:rPr>
                  </w:pPr>
                  <w:r>
                    <w:rPr>
                      <w:rFonts w:hint="default" w:ascii="Times New Roman" w:hAnsi="Times New Roman" w:cs="Times New Roman" w:eastAsiaTheme="minorEastAsia"/>
                      <w:color w:val="auto"/>
                      <w:kern w:val="2"/>
                      <w:sz w:val="21"/>
                      <w:szCs w:val="21"/>
                      <w:highlight w:val="none"/>
                      <w:lang w:val="en-US" w:eastAsia="zh-CN" w:bidi="ar"/>
                    </w:rPr>
                    <w:t>达标</w:t>
                  </w:r>
                </w:p>
              </w:tc>
            </w:tr>
            <w:tr w14:paraId="2C6A26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56" w:type="pct"/>
                  <w:tcBorders>
                    <w:top w:val="single" w:color="auto" w:sz="4" w:space="0"/>
                    <w:bottom w:val="single" w:color="auto" w:sz="4" w:space="0"/>
                    <w:right w:val="single" w:color="auto" w:sz="4" w:space="0"/>
                  </w:tcBorders>
                  <w:noWrap w:val="0"/>
                  <w:vAlign w:val="center"/>
                </w:tcPr>
                <w:p w14:paraId="4B09518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bidi="ar"/>
                    </w:rPr>
                  </w:pPr>
                  <w:r>
                    <w:rPr>
                      <w:rFonts w:hint="default" w:ascii="Times New Roman" w:hAnsi="Times New Roman" w:cs="Times New Roman" w:eastAsiaTheme="minorEastAsia"/>
                      <w:color w:val="auto"/>
                      <w:kern w:val="2"/>
                      <w:sz w:val="21"/>
                      <w:szCs w:val="21"/>
                      <w:highlight w:val="none"/>
                      <w:lang w:val="en-US" w:eastAsia="zh-CN" w:bidi="ar"/>
                    </w:rPr>
                    <w:t>园河丽景小区5楼</w:t>
                  </w:r>
                </w:p>
              </w:tc>
              <w:tc>
                <w:tcPr>
                  <w:tcW w:w="610" w:type="pct"/>
                  <w:tcBorders>
                    <w:top w:val="single" w:color="auto" w:sz="4" w:space="0"/>
                    <w:left w:val="single" w:color="auto" w:sz="4" w:space="0"/>
                    <w:bottom w:val="single" w:color="auto" w:sz="4" w:space="0"/>
                    <w:right w:val="single" w:color="auto" w:sz="4" w:space="0"/>
                  </w:tcBorders>
                  <w:noWrap w:val="0"/>
                  <w:vAlign w:val="center"/>
                </w:tcPr>
                <w:p w14:paraId="672D8214">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331</w:t>
                  </w:r>
                </w:p>
              </w:tc>
              <w:tc>
                <w:tcPr>
                  <w:tcW w:w="672" w:type="pct"/>
                  <w:tcBorders>
                    <w:top w:val="single" w:color="auto" w:sz="4" w:space="0"/>
                    <w:left w:val="single" w:color="auto" w:sz="4" w:space="0"/>
                    <w:bottom w:val="single" w:color="auto" w:sz="4" w:space="0"/>
                    <w:right w:val="single" w:color="auto" w:sz="4" w:space="0"/>
                  </w:tcBorders>
                  <w:noWrap w:val="0"/>
                  <w:vAlign w:val="center"/>
                </w:tcPr>
                <w:p w14:paraId="19C4FA7F">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247</w:t>
                  </w:r>
                </w:p>
              </w:tc>
              <w:tc>
                <w:tcPr>
                  <w:tcW w:w="637" w:type="pct"/>
                  <w:tcBorders>
                    <w:top w:val="single" w:color="auto" w:sz="4" w:space="0"/>
                    <w:left w:val="single" w:color="auto" w:sz="4" w:space="0"/>
                    <w:bottom w:val="single" w:color="auto" w:sz="4" w:space="0"/>
                    <w:right w:val="single" w:color="auto" w:sz="4" w:space="0"/>
                  </w:tcBorders>
                  <w:noWrap w:val="0"/>
                  <w:vAlign w:val="center"/>
                </w:tcPr>
                <w:p w14:paraId="423EDCAB">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default" w:ascii="Times New Roman" w:hAnsi="Times New Roman" w:cs="Times New Roman" w:eastAsiaTheme="minorEastAsia"/>
                      <w:color w:val="auto"/>
                      <w:kern w:val="2"/>
                      <w:sz w:val="21"/>
                      <w:szCs w:val="21"/>
                      <w:highlight w:val="none"/>
                      <w:lang w:val="en-US" w:eastAsia="zh-CN"/>
                    </w:rPr>
                    <w:t>9.5</w:t>
                  </w:r>
                </w:p>
              </w:tc>
              <w:tc>
                <w:tcPr>
                  <w:tcW w:w="715" w:type="pct"/>
                  <w:vMerge w:val="continue"/>
                  <w:tcBorders>
                    <w:left w:val="single" w:color="auto" w:sz="4" w:space="0"/>
                    <w:bottom w:val="single" w:color="auto" w:sz="4" w:space="0"/>
                    <w:right w:val="single" w:color="auto" w:sz="4" w:space="0"/>
                  </w:tcBorders>
                  <w:noWrap w:val="0"/>
                  <w:vAlign w:val="center"/>
                </w:tcPr>
                <w:p w14:paraId="67A8E3DF">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textAlignment w:val="auto"/>
                    <w:rPr>
                      <w:rFonts w:hint="default" w:ascii="Times New Roman" w:hAnsi="Times New Roman" w:cs="Times New Roman" w:eastAsiaTheme="minorEastAsia"/>
                      <w:color w:val="auto"/>
                      <w:kern w:val="2"/>
                      <w:sz w:val="21"/>
                      <w:szCs w:val="21"/>
                      <w:highlight w:val="none"/>
                    </w:rPr>
                  </w:pPr>
                </w:p>
              </w:tc>
              <w:tc>
                <w:tcPr>
                  <w:tcW w:w="788" w:type="pct"/>
                  <w:tcBorders>
                    <w:top w:val="single" w:color="auto" w:sz="4" w:space="0"/>
                    <w:left w:val="single" w:color="auto" w:sz="4" w:space="0"/>
                    <w:bottom w:val="single" w:color="auto" w:sz="4" w:space="0"/>
                    <w:right w:val="single" w:color="auto" w:sz="4" w:space="0"/>
                  </w:tcBorders>
                  <w:noWrap w:val="0"/>
                  <w:vAlign w:val="center"/>
                </w:tcPr>
                <w:p w14:paraId="3B86C782">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rPr>
                  </w:pPr>
                  <w:r>
                    <w:rPr>
                      <w:rFonts w:hint="eastAsia" w:cs="Times New Roman" w:eastAsiaTheme="minorEastAsia"/>
                      <w:color w:val="auto"/>
                      <w:kern w:val="2"/>
                      <w:sz w:val="21"/>
                      <w:szCs w:val="21"/>
                      <w:highlight w:val="none"/>
                      <w:lang w:val="en-US" w:eastAsia="zh-CN"/>
                    </w:rPr>
                    <w:t>46.04</w:t>
                  </w:r>
                  <w:r>
                    <w:rPr>
                      <w:rFonts w:hint="default" w:ascii="Times New Roman" w:hAnsi="Times New Roman" w:cs="Times New Roman" w:eastAsiaTheme="minorEastAsia"/>
                      <w:color w:val="auto"/>
                      <w:kern w:val="2"/>
                      <w:sz w:val="21"/>
                      <w:szCs w:val="21"/>
                      <w:highlight w:val="none"/>
                      <w:lang w:val="en-US" w:eastAsia="zh-CN"/>
                    </w:rPr>
                    <w:t>/</w:t>
                  </w:r>
                  <w:r>
                    <w:rPr>
                      <w:rFonts w:hint="eastAsia" w:cs="Times New Roman" w:eastAsiaTheme="minorEastAsia"/>
                      <w:color w:val="auto"/>
                      <w:kern w:val="2"/>
                      <w:sz w:val="21"/>
                      <w:szCs w:val="21"/>
                      <w:highlight w:val="none"/>
                      <w:lang w:val="en-US" w:eastAsia="zh-CN"/>
                    </w:rPr>
                    <w:t>43.03</w:t>
                  </w:r>
                </w:p>
              </w:tc>
              <w:tc>
                <w:tcPr>
                  <w:tcW w:w="819" w:type="pct"/>
                  <w:tcBorders>
                    <w:top w:val="single" w:color="auto" w:sz="4" w:space="0"/>
                    <w:left w:val="single" w:color="auto" w:sz="4" w:space="0"/>
                    <w:bottom w:val="single" w:color="auto" w:sz="4" w:space="0"/>
                  </w:tcBorders>
                  <w:noWrap w:val="0"/>
                  <w:vAlign w:val="center"/>
                </w:tcPr>
                <w:p w14:paraId="549D1931">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eastAsiaTheme="minorEastAsia"/>
                      <w:color w:val="auto"/>
                      <w:kern w:val="2"/>
                      <w:sz w:val="21"/>
                      <w:szCs w:val="21"/>
                      <w:highlight w:val="none"/>
                      <w:lang w:val="en-US" w:eastAsia="zh-CN" w:bidi="ar"/>
                    </w:rPr>
                  </w:pPr>
                  <w:r>
                    <w:rPr>
                      <w:rFonts w:hint="default" w:ascii="Times New Roman" w:hAnsi="Times New Roman" w:cs="Times New Roman" w:eastAsiaTheme="minorEastAsia"/>
                      <w:color w:val="auto"/>
                      <w:kern w:val="2"/>
                      <w:sz w:val="21"/>
                      <w:szCs w:val="21"/>
                      <w:highlight w:val="none"/>
                      <w:lang w:val="en-US" w:eastAsia="zh-CN" w:bidi="ar"/>
                    </w:rPr>
                    <w:t>达标</w:t>
                  </w:r>
                </w:p>
              </w:tc>
            </w:tr>
          </w:tbl>
          <w:p w14:paraId="50608E6A">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kern w:val="2"/>
                <w:sz w:val="24"/>
                <w:szCs w:val="24"/>
              </w:rPr>
            </w:pPr>
            <w:r>
              <w:rPr>
                <w:rFonts w:hint="eastAsia" w:ascii="Times New Roman" w:hAnsi="Times New Roman" w:eastAsia="宋体" w:cs="Times New Roman"/>
                <w:bCs/>
                <w:color w:val="auto"/>
                <w:kern w:val="2"/>
                <w:sz w:val="24"/>
                <w:szCs w:val="24"/>
                <w:lang w:val="en-US" w:eastAsia="zh-CN" w:bidi="ar"/>
              </w:rPr>
              <w:t>本项目每天为</w:t>
            </w:r>
            <w:r>
              <w:rPr>
                <w:rFonts w:hint="eastAsia" w:cs="Times New Roman"/>
                <w:bCs/>
                <w:color w:val="auto"/>
                <w:kern w:val="2"/>
                <w:sz w:val="24"/>
                <w:szCs w:val="24"/>
                <w:lang w:val="en-US" w:eastAsia="zh-CN" w:bidi="ar"/>
              </w:rPr>
              <w:t>24小</w:t>
            </w:r>
            <w:r>
              <w:rPr>
                <w:rFonts w:hint="eastAsia" w:ascii="Times New Roman" w:hAnsi="Times New Roman" w:eastAsia="宋体" w:cs="Times New Roman"/>
                <w:bCs/>
                <w:color w:val="auto"/>
                <w:kern w:val="2"/>
                <w:sz w:val="24"/>
                <w:szCs w:val="24"/>
                <w:lang w:val="en-US" w:eastAsia="zh-CN" w:bidi="ar"/>
              </w:rPr>
              <w:t>时工作制。根据预测结果</w:t>
            </w:r>
            <w:r>
              <w:rPr>
                <w:rFonts w:hint="default" w:ascii="Times New Roman" w:hAnsi="Times New Roman" w:eastAsia="宋体" w:cs="Times New Roman"/>
                <w:bCs/>
                <w:color w:val="auto"/>
                <w:kern w:val="2"/>
                <w:sz w:val="24"/>
                <w:szCs w:val="24"/>
                <w:lang w:val="en-US" w:eastAsia="zh-CN" w:bidi="ar"/>
              </w:rPr>
              <w:t>，项目运营期噪声源采取隔声、减振措施后，厂界噪声值可满足《工业企业厂界环境噪声排放标准》（GB12348-2008）</w:t>
            </w:r>
            <w:r>
              <w:rPr>
                <w:rFonts w:hint="eastAsia" w:cs="Times New Roman"/>
                <w:bCs/>
                <w:color w:val="auto"/>
                <w:kern w:val="2"/>
                <w:sz w:val="24"/>
                <w:szCs w:val="24"/>
                <w:lang w:val="en-US" w:eastAsia="zh-CN" w:bidi="ar"/>
              </w:rPr>
              <w:t>2</w:t>
            </w:r>
            <w:r>
              <w:rPr>
                <w:rFonts w:hint="default" w:ascii="Times New Roman" w:hAnsi="Times New Roman" w:eastAsia="宋体" w:cs="Times New Roman"/>
                <w:bCs/>
                <w:color w:val="auto"/>
                <w:kern w:val="2"/>
                <w:sz w:val="24"/>
                <w:szCs w:val="24"/>
                <w:lang w:val="en-US" w:eastAsia="zh-CN" w:bidi="ar"/>
              </w:rPr>
              <w:t>类的标准要求（</w:t>
            </w:r>
            <w:r>
              <w:rPr>
                <w:rFonts w:hint="eastAsia" w:cs="Times New Roman"/>
                <w:bCs/>
                <w:color w:val="auto"/>
                <w:kern w:val="2"/>
                <w:sz w:val="24"/>
                <w:szCs w:val="24"/>
                <w:lang w:val="en-US" w:eastAsia="zh-CN" w:bidi="ar"/>
              </w:rPr>
              <w:t>昼</w:t>
            </w:r>
            <w:r>
              <w:rPr>
                <w:rFonts w:hint="default" w:ascii="Times New Roman" w:hAnsi="Times New Roman" w:eastAsia="宋体" w:cs="Times New Roman"/>
                <w:bCs/>
                <w:color w:val="auto"/>
                <w:kern w:val="2"/>
                <w:sz w:val="24"/>
                <w:szCs w:val="24"/>
                <w:lang w:val="en-US" w:eastAsia="zh-CN" w:bidi="ar"/>
              </w:rPr>
              <w:t>6</w:t>
            </w:r>
            <w:r>
              <w:rPr>
                <w:rFonts w:hint="eastAsia" w:cs="Times New Roman"/>
                <w:bCs/>
                <w:color w:val="auto"/>
                <w:kern w:val="2"/>
                <w:sz w:val="24"/>
                <w:szCs w:val="24"/>
                <w:lang w:val="en-US" w:eastAsia="zh-CN" w:bidi="ar"/>
              </w:rPr>
              <w:t>0</w:t>
            </w:r>
            <w:r>
              <w:rPr>
                <w:rFonts w:hint="default" w:ascii="Times New Roman" w:hAnsi="Times New Roman" w:eastAsia="宋体" w:cs="Times New Roman"/>
                <w:bCs/>
                <w:color w:val="auto"/>
                <w:kern w:val="2"/>
                <w:sz w:val="24"/>
                <w:szCs w:val="24"/>
                <w:lang w:val="en-US" w:eastAsia="zh-CN" w:bidi="ar"/>
              </w:rPr>
              <w:t>dB</w:t>
            </w:r>
            <w:r>
              <w:rPr>
                <w:rFonts w:hint="eastAsia" w:cs="Times New Roman"/>
                <w:bCs/>
                <w:color w:val="auto"/>
                <w:kern w:val="2"/>
                <w:sz w:val="24"/>
                <w:szCs w:val="24"/>
                <w:lang w:val="en-US" w:eastAsia="zh-CN" w:bidi="ar"/>
              </w:rPr>
              <w:t>/夜50dB</w:t>
            </w:r>
            <w:r>
              <w:rPr>
                <w:rFonts w:hint="default" w:ascii="Times New Roman" w:hAnsi="Times New Roman" w:eastAsia="宋体" w:cs="Times New Roman"/>
                <w:bCs/>
                <w:color w:val="auto"/>
                <w:kern w:val="2"/>
                <w:sz w:val="24"/>
                <w:szCs w:val="24"/>
                <w:lang w:val="en-US" w:eastAsia="zh-CN" w:bidi="ar"/>
              </w:rPr>
              <w:t>）</w:t>
            </w:r>
            <w:r>
              <w:rPr>
                <w:rFonts w:hint="eastAsia" w:cs="Times New Roman"/>
                <w:bCs/>
                <w:color w:val="auto"/>
                <w:kern w:val="2"/>
                <w:sz w:val="24"/>
                <w:szCs w:val="24"/>
                <w:lang w:val="en-US" w:eastAsia="zh-CN" w:bidi="ar"/>
              </w:rPr>
              <w:t>；园河丽景小区敏感点</w:t>
            </w:r>
            <w:r>
              <w:rPr>
                <w:rFonts w:hint="default" w:ascii="Times New Roman" w:hAnsi="Times New Roman" w:eastAsia="宋体" w:cs="Times New Roman"/>
                <w:bCs/>
                <w:color w:val="auto"/>
                <w:kern w:val="2"/>
                <w:sz w:val="24"/>
                <w:szCs w:val="24"/>
                <w:lang w:val="en-US" w:eastAsia="zh-CN" w:bidi="ar"/>
              </w:rPr>
              <w:t>可满足</w:t>
            </w:r>
            <w:r>
              <w:rPr>
                <w:rFonts w:hint="eastAsia" w:ascii="Times New Roman" w:hAnsi="Times New Roman" w:eastAsia="宋体" w:cs="Times New Roman"/>
                <w:b w:val="0"/>
                <w:bCs w:val="0"/>
                <w:color w:val="auto"/>
                <w:sz w:val="24"/>
                <w:szCs w:val="24"/>
                <w:highlight w:val="none"/>
                <w:u w:val="none" w:color="auto"/>
                <w:lang w:eastAsia="zh-CN"/>
              </w:rPr>
              <w:t>《声环境质量标准》（</w:t>
            </w:r>
            <w:r>
              <w:rPr>
                <w:rFonts w:hint="eastAsia" w:ascii="Times New Roman" w:hAnsi="Times New Roman" w:eastAsia="宋体" w:cs="Times New Roman"/>
                <w:b w:val="0"/>
                <w:bCs w:val="0"/>
                <w:color w:val="auto"/>
                <w:sz w:val="24"/>
                <w:szCs w:val="24"/>
                <w:highlight w:val="none"/>
                <w:u w:val="none" w:color="auto"/>
                <w:lang w:val="en-US" w:eastAsia="zh-CN"/>
              </w:rPr>
              <w:t>GB3096-2008</w:t>
            </w:r>
            <w:r>
              <w:rPr>
                <w:rFonts w:hint="eastAsia" w:ascii="Times New Roman" w:hAnsi="Times New Roman" w:eastAsia="宋体" w:cs="Times New Roman"/>
                <w:b w:val="0"/>
                <w:bCs w:val="0"/>
                <w:color w:val="auto"/>
                <w:sz w:val="24"/>
                <w:szCs w:val="24"/>
                <w:highlight w:val="none"/>
                <w:u w:val="none" w:color="auto"/>
                <w:lang w:eastAsia="zh-CN"/>
              </w:rPr>
              <w:t>）</w:t>
            </w:r>
            <w:r>
              <w:rPr>
                <w:rFonts w:hint="eastAsia" w:ascii="Times New Roman" w:hAnsi="Times New Roman" w:eastAsia="宋体" w:cs="Times New Roman"/>
                <w:bCs/>
                <w:color w:val="auto"/>
                <w:kern w:val="2"/>
                <w:sz w:val="24"/>
                <w:szCs w:val="24"/>
                <w:lang w:val="en-US" w:eastAsia="zh-CN" w:bidi="ar"/>
              </w:rPr>
              <w:t>2</w:t>
            </w:r>
            <w:r>
              <w:rPr>
                <w:rFonts w:hint="default" w:ascii="Times New Roman" w:hAnsi="Times New Roman" w:eastAsia="宋体" w:cs="Times New Roman"/>
                <w:bCs/>
                <w:color w:val="auto"/>
                <w:kern w:val="2"/>
                <w:sz w:val="24"/>
                <w:szCs w:val="24"/>
                <w:lang w:val="en-US" w:eastAsia="zh-CN" w:bidi="ar"/>
              </w:rPr>
              <w:t>类的标准要求（</w:t>
            </w:r>
            <w:r>
              <w:rPr>
                <w:rFonts w:hint="eastAsia" w:cs="Times New Roman"/>
                <w:bCs/>
                <w:color w:val="auto"/>
                <w:kern w:val="2"/>
                <w:sz w:val="24"/>
                <w:szCs w:val="24"/>
                <w:lang w:val="en-US" w:eastAsia="zh-CN" w:bidi="ar"/>
              </w:rPr>
              <w:t>昼60</w:t>
            </w:r>
            <w:r>
              <w:rPr>
                <w:rFonts w:hint="default" w:ascii="Times New Roman" w:hAnsi="Times New Roman" w:eastAsia="宋体" w:cs="Times New Roman"/>
                <w:bCs/>
                <w:color w:val="auto"/>
                <w:kern w:val="2"/>
                <w:sz w:val="24"/>
                <w:szCs w:val="24"/>
                <w:lang w:val="en-US" w:eastAsia="zh-CN" w:bidi="ar"/>
              </w:rPr>
              <w:t>dB</w:t>
            </w:r>
            <w:r>
              <w:rPr>
                <w:rFonts w:hint="eastAsia" w:cs="Times New Roman"/>
                <w:bCs/>
                <w:color w:val="auto"/>
                <w:kern w:val="2"/>
                <w:sz w:val="24"/>
                <w:szCs w:val="24"/>
                <w:lang w:val="en-US" w:eastAsia="zh-CN" w:bidi="ar"/>
              </w:rPr>
              <w:t>/夜50dB</w:t>
            </w:r>
            <w:r>
              <w:rPr>
                <w:rFonts w:hint="default" w:ascii="Times New Roman" w:hAnsi="Times New Roman" w:eastAsia="宋体" w:cs="Times New Roman"/>
                <w:bCs/>
                <w:color w:val="auto"/>
                <w:kern w:val="2"/>
                <w:sz w:val="24"/>
                <w:szCs w:val="24"/>
                <w:lang w:val="en-US" w:eastAsia="zh-CN" w:bidi="ar"/>
              </w:rPr>
              <w:t>）</w:t>
            </w:r>
            <w:r>
              <w:rPr>
                <w:rFonts w:hint="eastAsia" w:cs="Times New Roman"/>
                <w:bCs/>
                <w:color w:val="auto"/>
                <w:kern w:val="2"/>
                <w:sz w:val="24"/>
                <w:szCs w:val="24"/>
                <w:lang w:val="en-US" w:eastAsia="zh-CN" w:bidi="ar"/>
              </w:rPr>
              <w:t>满足</w:t>
            </w:r>
            <w:r>
              <w:rPr>
                <w:rFonts w:hint="default" w:ascii="Times New Roman" w:hAnsi="Times New Roman" w:eastAsia="宋体" w:cs="Times New Roman"/>
                <w:bCs/>
                <w:color w:val="auto"/>
                <w:kern w:val="2"/>
                <w:sz w:val="24"/>
                <w:szCs w:val="24"/>
                <w:lang w:val="en-US" w:eastAsia="zh-CN" w:bidi="ar"/>
              </w:rPr>
              <w:t>。</w:t>
            </w:r>
          </w:p>
          <w:p w14:paraId="5C0F352A">
            <w:pPr>
              <w:keepNext w:val="0"/>
              <w:keepLines w:val="0"/>
              <w:widowControl w:val="0"/>
              <w:suppressLineNumbers w:val="0"/>
              <w:autoSpaceDE w:val="0"/>
              <w:autoSpaceDN/>
              <w:adjustRightInd w:val="0"/>
              <w:snapToGrid w:val="0"/>
              <w:spacing w:before="0" w:beforeAutospacing="0" w:after="0" w:afterAutospacing="0" w:line="360" w:lineRule="auto"/>
              <w:ind w:left="0" w:right="0" w:firstLine="241" w:firstLineChars="100"/>
              <w:jc w:val="both"/>
              <w:rPr>
                <w:rFonts w:hint="default" w:ascii="Times New Roman" w:hAnsi="Times New Roman" w:eastAsia="宋体" w:cs="Times New Roman"/>
                <w:bCs/>
                <w:color w:val="auto"/>
                <w:kern w:val="2"/>
                <w:sz w:val="24"/>
                <w:szCs w:val="24"/>
              </w:rPr>
            </w:pPr>
            <w:r>
              <w:rPr>
                <w:rFonts w:hint="default" w:ascii="Times New Roman" w:hAnsi="Times New Roman" w:eastAsia="宋体" w:cs="Times New Roman"/>
                <w:b/>
                <w:bCs/>
                <w:color w:val="auto"/>
                <w:kern w:val="2"/>
                <w:sz w:val="24"/>
                <w:szCs w:val="24"/>
                <w:lang w:val="en-US" w:eastAsia="zh-CN" w:bidi="ar"/>
              </w:rPr>
              <w:t>3.4监测计划</w:t>
            </w:r>
          </w:p>
          <w:p w14:paraId="2C94FD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Times New Roman" w:cs="Times New Roman"/>
                <w:color w:val="auto"/>
                <w:sz w:val="24"/>
                <w:szCs w:val="21"/>
                <w:highlight w:val="none"/>
                <w:lang w:val="en-US" w:eastAsia="zh-CN"/>
              </w:rPr>
            </w:pPr>
            <w:r>
              <w:rPr>
                <w:rFonts w:hint="default" w:ascii="Times New Roman" w:hAnsi="Times New Roman" w:eastAsia="Times New Roman" w:cs="Times New Roman"/>
                <w:color w:val="auto"/>
                <w:sz w:val="24"/>
                <w:szCs w:val="21"/>
                <w:highlight w:val="none"/>
                <w:lang w:val="en-US" w:eastAsia="zh-CN"/>
              </w:rPr>
              <w:t>依据《排污许可证申请与核发技术规范</w:t>
            </w:r>
            <w:r>
              <w:rPr>
                <w:rFonts w:hint="eastAsia" w:eastAsia="Times New Roman" w:cs="Times New Roman"/>
                <w:color w:val="auto"/>
                <w:sz w:val="24"/>
                <w:szCs w:val="21"/>
                <w:highlight w:val="none"/>
                <w:lang w:val="en-US" w:eastAsia="zh-CN"/>
              </w:rPr>
              <w:t xml:space="preserve"> </w:t>
            </w:r>
            <w:r>
              <w:rPr>
                <w:rFonts w:hint="default" w:ascii="Times New Roman" w:hAnsi="Times New Roman" w:eastAsia="Times New Roman" w:cs="Times New Roman"/>
                <w:color w:val="auto"/>
                <w:sz w:val="24"/>
                <w:szCs w:val="21"/>
                <w:highlight w:val="none"/>
                <w:lang w:val="en-US" w:eastAsia="zh-CN"/>
              </w:rPr>
              <w:t>工业噪声》（HJ1301-2023）要求，本项目运营期自行监测计划见下表。</w:t>
            </w:r>
          </w:p>
          <w:p w14:paraId="090F5523">
            <w:pPr>
              <w:keepNext w:val="0"/>
              <w:keepLines w:val="0"/>
              <w:pageBreakBefore w:val="0"/>
              <w:suppressLineNumbers w:val="0"/>
              <w:kinsoku/>
              <w:wordWrap/>
              <w:topLinePunct w:val="0"/>
              <w:bidi w:val="0"/>
              <w:adjustRightInd w:val="0"/>
              <w:snapToGrid w:val="0"/>
              <w:spacing w:before="0" w:beforeAutospacing="0" w:after="0" w:afterAutospacing="0" w:line="240" w:lineRule="auto"/>
              <w:ind w:left="0" w:right="0"/>
              <w:jc w:val="center"/>
              <w:rPr>
                <w:rFonts w:hint="default" w:ascii="Times New Roman" w:hAnsi="Times New Roman" w:eastAsia="Times New Roman" w:cs="Times New Roman"/>
                <w:color w:val="auto"/>
                <w:sz w:val="21"/>
                <w:szCs w:val="21"/>
                <w:highlight w:val="none"/>
              </w:rPr>
            </w:pPr>
            <w:r>
              <w:rPr>
                <w:rFonts w:hint="default" w:ascii="Times New Roman" w:hAnsi="Times New Roman" w:eastAsia="Times New Roman" w:cs="Times New Roman"/>
                <w:b/>
                <w:color w:val="auto"/>
                <w:sz w:val="21"/>
                <w:szCs w:val="21"/>
                <w:highlight w:val="none"/>
              </w:rPr>
              <w:t>表</w:t>
            </w:r>
            <w:r>
              <w:rPr>
                <w:rFonts w:hint="eastAsia" w:eastAsia="Times New Roman" w:cs="Times New Roman"/>
                <w:b/>
                <w:color w:val="auto"/>
                <w:sz w:val="21"/>
                <w:szCs w:val="21"/>
                <w:highlight w:val="none"/>
                <w:lang w:val="en-US" w:eastAsia="zh-CN"/>
              </w:rPr>
              <w:t xml:space="preserve">25 </w:t>
            </w:r>
            <w:r>
              <w:rPr>
                <w:rFonts w:hint="default" w:ascii="Times New Roman" w:hAnsi="Times New Roman" w:eastAsia="Times New Roman" w:cs="Times New Roman"/>
                <w:b/>
                <w:color w:val="auto"/>
                <w:sz w:val="21"/>
                <w:szCs w:val="21"/>
                <w:highlight w:val="none"/>
              </w:rPr>
              <w:t xml:space="preserve"> 噪声自行监测计划</w:t>
            </w:r>
          </w:p>
          <w:tbl>
            <w:tblPr>
              <w:tblStyle w:val="2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8"/>
              <w:gridCol w:w="1089"/>
              <w:gridCol w:w="1890"/>
              <w:gridCol w:w="1232"/>
              <w:gridCol w:w="2563"/>
            </w:tblGrid>
            <w:tr w14:paraId="5A7B33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30" w:type="pct"/>
                  <w:noWrap w:val="0"/>
                  <w:vAlign w:val="center"/>
                </w:tcPr>
                <w:p w14:paraId="5F8798C3">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噪声监测点位</w:t>
                  </w:r>
                </w:p>
              </w:tc>
              <w:tc>
                <w:tcPr>
                  <w:tcW w:w="654" w:type="pct"/>
                  <w:noWrap w:val="0"/>
                  <w:vAlign w:val="center"/>
                </w:tcPr>
                <w:p w14:paraId="7C0EEF64">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监测内容</w:t>
                  </w:r>
                </w:p>
              </w:tc>
              <w:tc>
                <w:tcPr>
                  <w:tcW w:w="1135" w:type="pct"/>
                  <w:noWrap w:val="0"/>
                  <w:vAlign w:val="center"/>
                </w:tcPr>
                <w:p w14:paraId="06B1B8A3">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监测周期</w:t>
                  </w:r>
                </w:p>
              </w:tc>
              <w:tc>
                <w:tcPr>
                  <w:tcW w:w="740" w:type="pct"/>
                  <w:noWrap w:val="0"/>
                  <w:vAlign w:val="center"/>
                </w:tcPr>
                <w:p w14:paraId="5C3F9C67">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监测频次</w:t>
                  </w:r>
                </w:p>
              </w:tc>
              <w:tc>
                <w:tcPr>
                  <w:tcW w:w="1539" w:type="pct"/>
                  <w:noWrap w:val="0"/>
                  <w:vAlign w:val="center"/>
                </w:tcPr>
                <w:p w14:paraId="45BEF031">
                  <w:pPr>
                    <w:keepNext w:val="0"/>
                    <w:keepLines w:val="0"/>
                    <w:suppressLineNumbers w:val="0"/>
                    <w:adjustRightInd w:val="0"/>
                    <w:snapToGrid w:val="0"/>
                    <w:spacing w:before="0" w:beforeAutospacing="0" w:after="0" w:afterAutospacing="0"/>
                    <w:ind w:left="0" w:right="0"/>
                    <w:jc w:val="center"/>
                    <w:rPr>
                      <w:rFonts w:hint="default"/>
                      <w:b/>
                      <w:color w:val="auto"/>
                      <w:szCs w:val="21"/>
                    </w:rPr>
                  </w:pPr>
                  <w:r>
                    <w:rPr>
                      <w:rFonts w:hint="default"/>
                      <w:b/>
                      <w:color w:val="auto"/>
                      <w:szCs w:val="21"/>
                    </w:rPr>
                    <w:t>执行标准</w:t>
                  </w:r>
                </w:p>
              </w:tc>
            </w:tr>
            <w:tr w14:paraId="247525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0" w:type="pct"/>
                  <w:vMerge w:val="restart"/>
                  <w:noWrap w:val="0"/>
                  <w:vAlign w:val="center"/>
                </w:tcPr>
                <w:p w14:paraId="1807D1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color w:val="auto"/>
                      <w:sz w:val="21"/>
                      <w:szCs w:val="18"/>
                      <w:highlight w:val="none"/>
                      <w:lang w:val="en-US" w:eastAsia="zh-CN"/>
                    </w:rPr>
                  </w:pPr>
                  <w:r>
                    <w:rPr>
                      <w:rFonts w:hint="eastAsia" w:ascii="Times New Roman" w:hAnsi="Times New Roman" w:eastAsia="Times New Roman" w:cs="Times New Roman"/>
                      <w:color w:val="auto"/>
                      <w:sz w:val="21"/>
                      <w:szCs w:val="18"/>
                      <w:highlight w:val="none"/>
                      <w:lang w:val="en-US" w:eastAsia="zh-CN"/>
                    </w:rPr>
                    <w:t>厂</w:t>
                  </w:r>
                  <w:r>
                    <w:rPr>
                      <w:rFonts w:hint="default" w:ascii="Times New Roman" w:hAnsi="Times New Roman" w:eastAsia="Times New Roman" w:cs="Times New Roman"/>
                      <w:color w:val="auto"/>
                      <w:sz w:val="21"/>
                      <w:szCs w:val="18"/>
                      <w:highlight w:val="none"/>
                      <w:lang w:val="en-US" w:eastAsia="zh-CN"/>
                    </w:rPr>
                    <w:t>界四周外1m</w:t>
                  </w:r>
                </w:p>
              </w:tc>
              <w:tc>
                <w:tcPr>
                  <w:tcW w:w="654" w:type="pct"/>
                  <w:noWrap w:val="0"/>
                  <w:vAlign w:val="center"/>
                </w:tcPr>
                <w:p w14:paraId="2BB863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color w:val="auto"/>
                      <w:sz w:val="21"/>
                      <w:szCs w:val="18"/>
                      <w:highlight w:val="none"/>
                      <w:lang w:val="en-US" w:eastAsia="zh-CN"/>
                    </w:rPr>
                  </w:pPr>
                  <w:r>
                    <w:rPr>
                      <w:rFonts w:hint="eastAsia" w:ascii="Times New Roman" w:hAnsi="Times New Roman" w:eastAsia="Times New Roman" w:cs="Times New Roman"/>
                      <w:color w:val="auto"/>
                      <w:sz w:val="21"/>
                      <w:szCs w:val="18"/>
                      <w:highlight w:val="none"/>
                      <w:lang w:val="en-US" w:eastAsia="zh-CN"/>
                    </w:rPr>
                    <w:t>等效连续A声级</w:t>
                  </w:r>
                </w:p>
              </w:tc>
              <w:tc>
                <w:tcPr>
                  <w:tcW w:w="1135" w:type="pct"/>
                  <w:noWrap w:val="0"/>
                  <w:vAlign w:val="center"/>
                </w:tcPr>
                <w:p w14:paraId="389BB10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Times New Roman" w:cs="Times New Roman"/>
                      <w:color w:val="auto"/>
                      <w:sz w:val="21"/>
                      <w:szCs w:val="18"/>
                      <w:highlight w:val="none"/>
                      <w:lang w:val="en-US" w:eastAsia="zh-CN"/>
                    </w:rPr>
                  </w:pPr>
                  <w:r>
                    <w:rPr>
                      <w:rFonts w:hint="default" w:ascii="Times New Roman" w:hAnsi="Times New Roman" w:eastAsia="Times New Roman" w:cs="Times New Roman"/>
                      <w:color w:val="auto"/>
                      <w:sz w:val="21"/>
                      <w:szCs w:val="18"/>
                      <w:highlight w:val="none"/>
                      <w:lang w:val="en-US" w:eastAsia="zh-CN"/>
                    </w:rPr>
                    <w:t>1天</w:t>
                  </w:r>
                  <w:r>
                    <w:rPr>
                      <w:rFonts w:hint="eastAsia" w:ascii="Times New Roman" w:hAnsi="Times New Roman" w:eastAsia="Times New Roman" w:cs="Times New Roman"/>
                      <w:color w:val="auto"/>
                      <w:sz w:val="21"/>
                      <w:szCs w:val="18"/>
                      <w:highlight w:val="none"/>
                      <w:lang w:val="en-US" w:eastAsia="zh-CN"/>
                    </w:rPr>
                    <w:t>（昼、夜间各一次）</w:t>
                  </w:r>
                </w:p>
              </w:tc>
              <w:tc>
                <w:tcPr>
                  <w:tcW w:w="740" w:type="pct"/>
                  <w:noWrap w:val="0"/>
                  <w:vAlign w:val="center"/>
                </w:tcPr>
                <w:p w14:paraId="69D4F1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color w:val="auto"/>
                      <w:sz w:val="21"/>
                      <w:szCs w:val="18"/>
                      <w:highlight w:val="none"/>
                      <w:lang w:val="en-US" w:eastAsia="zh-CN"/>
                    </w:rPr>
                  </w:pPr>
                  <w:r>
                    <w:rPr>
                      <w:rFonts w:hint="default" w:ascii="Times New Roman" w:hAnsi="Times New Roman" w:eastAsia="Times New Roman" w:cs="Times New Roman"/>
                      <w:color w:val="auto"/>
                      <w:sz w:val="21"/>
                      <w:szCs w:val="18"/>
                      <w:highlight w:val="none"/>
                      <w:lang w:val="en-US" w:eastAsia="zh-CN"/>
                    </w:rPr>
                    <w:t>1次/季度</w:t>
                  </w:r>
                </w:p>
              </w:tc>
              <w:tc>
                <w:tcPr>
                  <w:tcW w:w="1539" w:type="pct"/>
                  <w:vMerge w:val="restart"/>
                  <w:noWrap w:val="0"/>
                  <w:vAlign w:val="center"/>
                </w:tcPr>
                <w:p w14:paraId="66D6A7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color w:val="auto"/>
                      <w:sz w:val="21"/>
                      <w:szCs w:val="18"/>
                      <w:highlight w:val="none"/>
                      <w:lang w:val="en-US" w:eastAsia="zh-CN"/>
                    </w:rPr>
                  </w:pPr>
                  <w:r>
                    <w:rPr>
                      <w:rFonts w:hint="default" w:ascii="Times New Roman" w:hAnsi="Times New Roman" w:eastAsia="Times New Roman" w:cs="Times New Roman"/>
                      <w:color w:val="auto"/>
                      <w:sz w:val="21"/>
                      <w:szCs w:val="18"/>
                      <w:highlight w:val="none"/>
                      <w:lang w:val="en-US" w:eastAsia="zh-CN"/>
                    </w:rPr>
                    <w:t>《工业企业厂界环境噪声排放标准》（GB12348-2008）</w:t>
                  </w:r>
                  <w:r>
                    <w:rPr>
                      <w:rFonts w:hint="eastAsia" w:eastAsia="Times New Roman" w:cs="Times New Roman"/>
                      <w:color w:val="auto"/>
                      <w:sz w:val="21"/>
                      <w:szCs w:val="18"/>
                      <w:highlight w:val="none"/>
                      <w:lang w:val="en-US" w:eastAsia="zh-CN"/>
                    </w:rPr>
                    <w:t>2</w:t>
                  </w:r>
                  <w:r>
                    <w:rPr>
                      <w:rFonts w:hint="default" w:ascii="Times New Roman" w:hAnsi="Times New Roman" w:eastAsia="Times New Roman" w:cs="Times New Roman"/>
                      <w:color w:val="auto"/>
                      <w:sz w:val="21"/>
                      <w:szCs w:val="18"/>
                      <w:highlight w:val="none"/>
                      <w:lang w:val="en-US" w:eastAsia="zh-CN"/>
                    </w:rPr>
                    <w:t>类</w:t>
                  </w:r>
                </w:p>
              </w:tc>
            </w:tr>
            <w:tr w14:paraId="1724D1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0" w:type="pct"/>
                  <w:vMerge w:val="continue"/>
                  <w:noWrap w:val="0"/>
                  <w:vAlign w:val="center"/>
                </w:tcPr>
                <w:p w14:paraId="6374E411">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654" w:type="pct"/>
                  <w:noWrap w:val="0"/>
                  <w:vAlign w:val="center"/>
                </w:tcPr>
                <w:p w14:paraId="7F94E5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Times New Roman" w:cs="Times New Roman"/>
                      <w:color w:val="auto"/>
                      <w:sz w:val="21"/>
                      <w:szCs w:val="18"/>
                      <w:highlight w:val="none"/>
                      <w:lang w:val="en-US" w:eastAsia="zh-CN"/>
                    </w:rPr>
                    <w:t>最大A声级</w:t>
                  </w:r>
                </w:p>
              </w:tc>
              <w:tc>
                <w:tcPr>
                  <w:tcW w:w="1135" w:type="pct"/>
                  <w:noWrap w:val="0"/>
                  <w:vAlign w:val="center"/>
                </w:tcPr>
                <w:p w14:paraId="070E42C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default" w:ascii="Times New Roman" w:hAnsi="Times New Roman" w:eastAsia="Times New Roman" w:cs="Times New Roman"/>
                      <w:color w:val="auto"/>
                      <w:sz w:val="21"/>
                      <w:szCs w:val="18"/>
                      <w:highlight w:val="none"/>
                      <w:lang w:val="en-US" w:eastAsia="zh-CN"/>
                    </w:rPr>
                    <w:t>1天</w:t>
                  </w:r>
                  <w:r>
                    <w:rPr>
                      <w:rFonts w:hint="eastAsia" w:ascii="Times New Roman" w:hAnsi="Times New Roman" w:eastAsia="Times New Roman" w:cs="Times New Roman"/>
                      <w:color w:val="auto"/>
                      <w:sz w:val="21"/>
                      <w:szCs w:val="18"/>
                      <w:highlight w:val="none"/>
                      <w:lang w:val="en-US" w:eastAsia="zh-CN"/>
                    </w:rPr>
                    <w:t>（夜间频发噪声、偶发噪声在发生时进行监测）</w:t>
                  </w:r>
                </w:p>
              </w:tc>
              <w:tc>
                <w:tcPr>
                  <w:tcW w:w="740" w:type="pct"/>
                  <w:noWrap w:val="0"/>
                  <w:vAlign w:val="center"/>
                </w:tcPr>
                <w:p w14:paraId="673AD069">
                  <w:pPr>
                    <w:keepNext w:val="0"/>
                    <w:keepLines w:val="0"/>
                    <w:suppressLineNumbers w:val="0"/>
                    <w:adjustRightInd w:val="0"/>
                    <w:snapToGrid w:val="0"/>
                    <w:spacing w:before="0" w:beforeAutospacing="0" w:after="0" w:afterAutospacing="0"/>
                    <w:ind w:left="0" w:right="0"/>
                    <w:jc w:val="center"/>
                    <w:rPr>
                      <w:rFonts w:hint="default"/>
                      <w:color w:val="auto"/>
                      <w:kern w:val="2"/>
                      <w:sz w:val="21"/>
                      <w:szCs w:val="21"/>
                      <w:lang w:val="en-US" w:eastAsia="zh-CN" w:bidi="ar-SA"/>
                    </w:rPr>
                  </w:pPr>
                  <w:r>
                    <w:rPr>
                      <w:rFonts w:hint="default" w:ascii="Times New Roman" w:hAnsi="Times New Roman" w:eastAsia="Times New Roman" w:cs="Times New Roman"/>
                      <w:color w:val="auto"/>
                      <w:sz w:val="21"/>
                      <w:szCs w:val="18"/>
                      <w:highlight w:val="none"/>
                      <w:lang w:val="en-US" w:eastAsia="zh-CN"/>
                    </w:rPr>
                    <w:t>1次/季度</w:t>
                  </w:r>
                </w:p>
              </w:tc>
              <w:tc>
                <w:tcPr>
                  <w:tcW w:w="1539" w:type="pct"/>
                  <w:vMerge w:val="continue"/>
                  <w:noWrap w:val="0"/>
                  <w:vAlign w:val="center"/>
                </w:tcPr>
                <w:p w14:paraId="4B4B0451">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r>
          </w:tbl>
          <w:p w14:paraId="48F8077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4.固体废物</w:t>
            </w:r>
          </w:p>
          <w:p w14:paraId="5D348CBE">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auto"/>
                <w:kern w:val="2"/>
                <w:sz w:val="24"/>
                <w:szCs w:val="24"/>
              </w:rPr>
            </w:pPr>
            <w:r>
              <w:rPr>
                <w:rFonts w:hint="default" w:ascii="Times New Roman" w:hAnsi="Times New Roman" w:eastAsia="宋体" w:cs="Times New Roman"/>
                <w:bCs/>
                <w:color w:val="auto"/>
                <w:kern w:val="2"/>
                <w:sz w:val="24"/>
                <w:szCs w:val="24"/>
                <w:lang w:val="en-US" w:eastAsia="zh-CN" w:bidi="ar"/>
              </w:rPr>
              <w:t>本项目固体废物主要为</w:t>
            </w:r>
            <w:r>
              <w:rPr>
                <w:rFonts w:hint="eastAsia" w:cs="Times New Roman"/>
                <w:bCs/>
                <w:color w:val="auto"/>
                <w:kern w:val="2"/>
                <w:sz w:val="24"/>
                <w:szCs w:val="24"/>
                <w:lang w:val="en-US" w:eastAsia="zh-CN" w:bidi="ar"/>
              </w:rPr>
              <w:t>不合格原料</w:t>
            </w:r>
            <w:r>
              <w:rPr>
                <w:rFonts w:hint="eastAsia" w:ascii="Times New Roman" w:hAnsi="Times New Roman" w:eastAsia="宋体" w:cs="Times New Roman"/>
                <w:bCs/>
                <w:color w:val="auto"/>
                <w:kern w:val="2"/>
                <w:sz w:val="24"/>
                <w:szCs w:val="24"/>
                <w:lang w:val="en-US" w:eastAsia="zh-CN" w:bidi="ar"/>
              </w:rPr>
              <w:t>、</w:t>
            </w:r>
            <w:r>
              <w:rPr>
                <w:rFonts w:hint="eastAsia" w:cs="Times New Roman"/>
                <w:bCs/>
                <w:color w:val="auto"/>
                <w:kern w:val="2"/>
                <w:sz w:val="24"/>
                <w:szCs w:val="24"/>
                <w:lang w:val="en-US" w:eastAsia="zh-CN" w:bidi="ar"/>
              </w:rPr>
              <w:t>不合格产品、边角料、</w:t>
            </w:r>
            <w:r>
              <w:rPr>
                <w:rFonts w:hint="eastAsia" w:ascii="Times New Roman" w:hAnsi="Times New Roman" w:eastAsia="宋体" w:cs="Times New Roman"/>
                <w:bCs/>
                <w:color w:val="auto"/>
                <w:kern w:val="2"/>
                <w:sz w:val="24"/>
                <w:szCs w:val="24"/>
                <w:lang w:val="en-US" w:eastAsia="zh-CN" w:bidi="ar"/>
              </w:rPr>
              <w:t>废</w:t>
            </w:r>
            <w:r>
              <w:rPr>
                <w:rFonts w:hint="eastAsia" w:cs="Times New Roman"/>
                <w:bCs/>
                <w:color w:val="auto"/>
                <w:kern w:val="2"/>
                <w:sz w:val="24"/>
                <w:szCs w:val="24"/>
                <w:lang w:val="en-US" w:eastAsia="zh-CN" w:bidi="ar"/>
              </w:rPr>
              <w:t>包装带、冷却池与淬火池底泥</w:t>
            </w:r>
            <w:r>
              <w:rPr>
                <w:rFonts w:hint="default" w:ascii="Times New Roman" w:hAnsi="Times New Roman" w:eastAsia="宋体" w:cs="Times New Roman"/>
                <w:bCs/>
                <w:color w:val="auto"/>
                <w:kern w:val="2"/>
                <w:sz w:val="24"/>
                <w:szCs w:val="24"/>
                <w:lang w:val="en-US" w:eastAsia="zh-CN" w:bidi="ar"/>
              </w:rPr>
              <w:t>。</w:t>
            </w:r>
          </w:p>
          <w:p w14:paraId="11B4C8D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val="0"/>
                <w:color w:val="auto"/>
                <w:kern w:val="2"/>
                <w:sz w:val="24"/>
                <w:szCs w:val="24"/>
                <w:lang w:val="en-US" w:eastAsia="zh-CN" w:bidi="ar"/>
              </w:rPr>
            </w:pPr>
            <w:r>
              <w:rPr>
                <w:rFonts w:hint="eastAsia" w:ascii="Times New Roman" w:hAnsi="Times New Roman" w:eastAsia="宋体" w:cs="Times New Roman"/>
                <w:b/>
                <w:bCs w:val="0"/>
                <w:color w:val="auto"/>
                <w:kern w:val="2"/>
                <w:sz w:val="24"/>
                <w:szCs w:val="24"/>
                <w:lang w:val="en-US" w:eastAsia="zh-CN" w:bidi="ar"/>
              </w:rPr>
              <w:t>4.1一般工业固废</w:t>
            </w:r>
          </w:p>
          <w:p w14:paraId="2F64CDE3">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bCs w:val="0"/>
                <w:color w:val="auto"/>
                <w:kern w:val="2"/>
                <w:sz w:val="24"/>
                <w:szCs w:val="24"/>
                <w:lang w:val="en-US" w:eastAsia="zh-CN" w:bidi="ar"/>
              </w:rPr>
            </w:pPr>
            <w:r>
              <w:rPr>
                <w:rFonts w:hint="eastAsia" w:ascii="Times New Roman" w:hAnsi="Times New Roman" w:eastAsia="宋体" w:cs="Times New Roman"/>
                <w:b/>
                <w:bCs w:val="0"/>
                <w:color w:val="auto"/>
                <w:kern w:val="2"/>
                <w:sz w:val="24"/>
                <w:szCs w:val="24"/>
                <w:lang w:val="en-US" w:eastAsia="zh-CN" w:bidi="ar"/>
              </w:rPr>
              <w:t>4.1.1</w:t>
            </w:r>
            <w:r>
              <w:rPr>
                <w:rFonts w:hint="eastAsia" w:cs="Times New Roman"/>
                <w:b/>
                <w:bCs w:val="0"/>
                <w:color w:val="auto"/>
                <w:kern w:val="2"/>
                <w:sz w:val="24"/>
                <w:szCs w:val="24"/>
                <w:lang w:val="en-US" w:eastAsia="zh-CN" w:bidi="ar"/>
              </w:rPr>
              <w:t>不合格原料</w:t>
            </w:r>
          </w:p>
          <w:p w14:paraId="3048BF1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auto"/>
                <w:kern w:val="2"/>
                <w:sz w:val="24"/>
                <w:szCs w:val="24"/>
              </w:rPr>
            </w:pPr>
            <w:r>
              <w:rPr>
                <w:rFonts w:hint="default" w:ascii="Times New Roman" w:hAnsi="Times New Roman" w:eastAsia="宋体" w:cs="Times New Roman"/>
                <w:bCs/>
                <w:color w:val="auto"/>
                <w:kern w:val="2"/>
                <w:sz w:val="24"/>
                <w:szCs w:val="24"/>
                <w:lang w:val="en-US" w:eastAsia="zh-CN" w:bidi="ar"/>
              </w:rPr>
              <w:t>本</w:t>
            </w:r>
            <w:r>
              <w:rPr>
                <w:rFonts w:hint="eastAsia" w:cs="Times New Roman"/>
                <w:bCs/>
                <w:color w:val="auto"/>
                <w:kern w:val="2"/>
                <w:sz w:val="24"/>
                <w:szCs w:val="24"/>
                <w:lang w:val="en-US" w:eastAsia="zh-CN" w:bidi="ar"/>
              </w:rPr>
              <w:t>项目购买弹簧钢盘圆原料</w:t>
            </w:r>
            <w:r>
              <w:rPr>
                <w:rFonts w:hint="eastAsia" w:cs="Times New Roman"/>
                <w:color w:val="auto"/>
                <w:sz w:val="24"/>
                <w:szCs w:val="24"/>
                <w:highlight w:val="none"/>
                <w:lang w:val="en-US" w:eastAsia="zh-CN"/>
              </w:rPr>
              <w:t>1582.665</w:t>
            </w:r>
            <w:r>
              <w:rPr>
                <w:rFonts w:hint="default" w:ascii="Times New Roman" w:hAnsi="Times New Roman" w:eastAsia="宋体" w:cs="Times New Roman"/>
                <w:color w:val="auto"/>
                <w:sz w:val="21"/>
                <w:szCs w:val="21"/>
                <w:highlight w:val="none"/>
                <w:lang w:val="en-US" w:eastAsia="zh-CN"/>
              </w:rPr>
              <w:t>t</w:t>
            </w:r>
            <w:r>
              <w:rPr>
                <w:rFonts w:hint="eastAsia" w:cs="Times New Roman"/>
                <w:bCs/>
                <w:color w:val="auto"/>
                <w:kern w:val="2"/>
                <w:sz w:val="24"/>
                <w:szCs w:val="24"/>
                <w:lang w:val="en-US" w:eastAsia="zh-CN" w:bidi="ar"/>
              </w:rPr>
              <w:t>/a，不合格率为0.1%，则不合格原料为1.583t/a，暂存一般固废间，</w:t>
            </w:r>
            <w:r>
              <w:rPr>
                <w:rFonts w:hint="eastAsia" w:cs="Times New Roman"/>
                <w:b w:val="0"/>
                <w:bCs w:val="0"/>
                <w:color w:val="auto"/>
                <w:kern w:val="44"/>
                <w:sz w:val="24"/>
                <w:szCs w:val="24"/>
                <w:lang w:val="en-US" w:eastAsia="zh-CN" w:bidi="ar-SA"/>
              </w:rPr>
              <w:t>定期外售废旧物资回收部门</w:t>
            </w:r>
            <w:r>
              <w:rPr>
                <w:rFonts w:hint="default" w:ascii="Times New Roman" w:hAnsi="Times New Roman" w:eastAsia="宋体" w:cs="Times New Roman"/>
                <w:bCs/>
                <w:color w:val="auto"/>
                <w:kern w:val="2"/>
                <w:sz w:val="24"/>
                <w:szCs w:val="24"/>
                <w:lang w:val="en-US" w:eastAsia="zh-CN" w:bidi="ar"/>
              </w:rPr>
              <w:t>。</w:t>
            </w:r>
          </w:p>
          <w:p w14:paraId="6A18F7DD">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Cs/>
                <w:color w:val="auto"/>
                <w:kern w:val="2"/>
                <w:sz w:val="24"/>
                <w:szCs w:val="24"/>
                <w:lang w:val="en-US" w:eastAsia="zh-CN" w:bidi="ar"/>
              </w:rPr>
            </w:pPr>
            <w:r>
              <w:rPr>
                <w:rFonts w:hint="eastAsia" w:ascii="Times New Roman" w:hAnsi="Times New Roman" w:eastAsia="宋体" w:cs="Times New Roman"/>
                <w:b/>
                <w:bCs w:val="0"/>
                <w:color w:val="auto"/>
                <w:kern w:val="2"/>
                <w:sz w:val="24"/>
                <w:szCs w:val="24"/>
                <w:lang w:val="en-US" w:eastAsia="zh-CN" w:bidi="ar"/>
              </w:rPr>
              <w:t>4.1.2</w:t>
            </w:r>
            <w:r>
              <w:rPr>
                <w:rFonts w:hint="eastAsia" w:cs="Times New Roman"/>
                <w:b/>
                <w:bCs w:val="0"/>
                <w:color w:val="auto"/>
                <w:kern w:val="2"/>
                <w:sz w:val="24"/>
                <w:szCs w:val="24"/>
                <w:lang w:val="en-US" w:eastAsia="zh-CN" w:bidi="ar"/>
              </w:rPr>
              <w:t>不合格产品</w:t>
            </w:r>
          </w:p>
          <w:p w14:paraId="65BFFF60">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both"/>
              <w:rPr>
                <w:rFonts w:hint="default" w:ascii="Calibri" w:hAnsi="Calibri" w:eastAsia="宋体" w:cs="Times New Roman"/>
                <w:color w:val="auto"/>
                <w:lang w:val="en-US" w:eastAsia="zh-CN"/>
              </w:rPr>
            </w:pPr>
            <w:r>
              <w:rPr>
                <w:rFonts w:hint="eastAsia" w:ascii="Times New Roman" w:hAnsi="Times New Roman" w:eastAsia="宋体" w:cs="Times New Roman"/>
                <w:bCs/>
                <w:color w:val="auto"/>
                <w:kern w:val="2"/>
                <w:sz w:val="24"/>
                <w:szCs w:val="24"/>
                <w:lang w:val="en-US" w:eastAsia="zh-CN" w:bidi="ar"/>
              </w:rPr>
              <w:t>本项目</w:t>
            </w:r>
            <w:r>
              <w:rPr>
                <w:rFonts w:hint="eastAsia" w:cs="Times New Roman"/>
                <w:bCs/>
                <w:color w:val="auto"/>
                <w:kern w:val="2"/>
                <w:sz w:val="24"/>
                <w:szCs w:val="24"/>
                <w:lang w:val="en-US" w:eastAsia="zh-CN" w:bidi="ar"/>
              </w:rPr>
              <w:t>在生产过程中，检验不合格率均为0.1%，则不合格产品共3.082</w:t>
            </w:r>
            <w:r>
              <w:rPr>
                <w:rFonts w:hint="eastAsia" w:cs="Times New Roman"/>
                <w:bCs/>
                <w:color w:val="auto"/>
                <w:kern w:val="2"/>
                <w:sz w:val="24"/>
                <w:szCs w:val="24"/>
                <w:highlight w:val="none"/>
                <w:lang w:val="en-US" w:eastAsia="zh-CN" w:bidi="ar"/>
              </w:rPr>
              <w:t>t/a</w:t>
            </w:r>
            <w:r>
              <w:rPr>
                <w:rFonts w:hint="eastAsia" w:cs="Times New Roman"/>
                <w:bCs/>
                <w:color w:val="auto"/>
                <w:kern w:val="2"/>
                <w:sz w:val="24"/>
                <w:szCs w:val="24"/>
                <w:lang w:val="en-US" w:eastAsia="zh-CN" w:bidi="ar"/>
              </w:rPr>
              <w:t>，暂存一般固废间定期外售综合利用。</w:t>
            </w:r>
          </w:p>
          <w:p w14:paraId="43B8458A">
            <w:pPr>
              <w:keepNext w:val="0"/>
              <w:keepLines w:val="0"/>
              <w:widowControl w:val="0"/>
              <w:suppressLineNumbers w:val="0"/>
              <w:autoSpaceDE w:val="0"/>
              <w:autoSpaceDN/>
              <w:adjustRightInd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Cs/>
                <w:color w:val="auto"/>
                <w:kern w:val="2"/>
                <w:sz w:val="24"/>
                <w:szCs w:val="24"/>
                <w:lang w:val="en-US" w:eastAsia="zh-CN" w:bidi="ar"/>
              </w:rPr>
            </w:pPr>
            <w:r>
              <w:rPr>
                <w:rFonts w:hint="eastAsia" w:ascii="Times New Roman" w:hAnsi="Times New Roman" w:eastAsia="宋体" w:cs="Times New Roman"/>
                <w:b/>
                <w:bCs w:val="0"/>
                <w:color w:val="auto"/>
                <w:kern w:val="2"/>
                <w:sz w:val="24"/>
                <w:szCs w:val="24"/>
                <w:lang w:val="en-US" w:eastAsia="zh-CN" w:bidi="ar"/>
              </w:rPr>
              <w:t>4.1.3</w:t>
            </w:r>
            <w:r>
              <w:rPr>
                <w:rFonts w:hint="eastAsia" w:cs="Times New Roman"/>
                <w:b/>
                <w:bCs w:val="0"/>
                <w:color w:val="auto"/>
                <w:kern w:val="2"/>
                <w:sz w:val="24"/>
                <w:szCs w:val="24"/>
                <w:lang w:val="en-US" w:eastAsia="zh-CN" w:bidi="ar"/>
              </w:rPr>
              <w:t>边角料</w:t>
            </w:r>
          </w:p>
          <w:p w14:paraId="792A3FB6">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bCs/>
                <w:color w:val="auto"/>
                <w:kern w:val="2"/>
                <w:sz w:val="24"/>
                <w:szCs w:val="24"/>
                <w:lang w:val="en-US" w:eastAsia="zh-CN" w:bidi="ar"/>
              </w:rPr>
            </w:pPr>
            <w:r>
              <w:rPr>
                <w:rFonts w:hint="eastAsia" w:cs="Times New Roman"/>
                <w:bCs/>
                <w:color w:val="auto"/>
                <w:kern w:val="2"/>
                <w:sz w:val="24"/>
                <w:szCs w:val="24"/>
                <w:lang w:val="en-US" w:eastAsia="zh-CN" w:bidi="ar"/>
              </w:rPr>
              <w:t>钢丝在剪切时产生边角料1.5t/a，暂存一般固废间定期外售综合利用。</w:t>
            </w:r>
          </w:p>
          <w:p w14:paraId="1026FA46">
            <w:pPr>
              <w:keepNext w:val="0"/>
              <w:keepLines w:val="0"/>
              <w:widowControl w:val="0"/>
              <w:suppressLineNumbers w:val="0"/>
              <w:autoSpaceDE w:val="0"/>
              <w:autoSpaceDN/>
              <w:adjustRightInd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Cs/>
                <w:color w:val="auto"/>
                <w:kern w:val="2"/>
                <w:sz w:val="24"/>
                <w:szCs w:val="24"/>
                <w:lang w:val="en-US" w:eastAsia="zh-CN" w:bidi="ar"/>
              </w:rPr>
            </w:pPr>
            <w:r>
              <w:rPr>
                <w:rFonts w:hint="eastAsia" w:ascii="Times New Roman" w:hAnsi="Times New Roman" w:eastAsia="宋体" w:cs="Times New Roman"/>
                <w:b/>
                <w:bCs w:val="0"/>
                <w:color w:val="auto"/>
                <w:kern w:val="2"/>
                <w:sz w:val="24"/>
                <w:szCs w:val="24"/>
                <w:lang w:val="en-US" w:eastAsia="zh-CN" w:bidi="ar"/>
              </w:rPr>
              <w:t>4.1.4</w:t>
            </w:r>
            <w:r>
              <w:rPr>
                <w:rFonts w:hint="eastAsia" w:cs="Times New Roman"/>
                <w:b/>
                <w:bCs w:val="0"/>
                <w:color w:val="auto"/>
                <w:kern w:val="2"/>
                <w:sz w:val="24"/>
                <w:szCs w:val="24"/>
                <w:lang w:val="en-US" w:eastAsia="zh-CN" w:bidi="ar"/>
              </w:rPr>
              <w:t>废包装带</w:t>
            </w:r>
          </w:p>
          <w:p w14:paraId="2C54D617">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kern w:val="2"/>
                <w:sz w:val="24"/>
                <w:szCs w:val="24"/>
                <w:lang w:val="en-US" w:eastAsia="zh-CN" w:bidi="ar"/>
              </w:rPr>
            </w:pPr>
            <w:r>
              <w:rPr>
                <w:rFonts w:hint="eastAsia" w:cs="Times New Roman"/>
                <w:bCs/>
                <w:color w:val="auto"/>
                <w:kern w:val="2"/>
                <w:sz w:val="24"/>
                <w:szCs w:val="24"/>
                <w:lang w:val="en-US" w:eastAsia="zh-CN" w:bidi="ar"/>
              </w:rPr>
              <w:t>本项目废包装带0.025t/a，暂存一般固废间定期外售。</w:t>
            </w:r>
          </w:p>
          <w:p w14:paraId="1557DCCE">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2" w:firstLineChars="200"/>
              <w:jc w:val="both"/>
              <w:rPr>
                <w:rFonts w:hint="eastAsia" w:cs="Times New Roman"/>
                <w:b/>
                <w:bCs/>
                <w:color w:val="auto"/>
                <w:kern w:val="0"/>
                <w:sz w:val="24"/>
                <w:szCs w:val="24"/>
                <w:u w:val="none"/>
                <w:lang w:val="en-US" w:eastAsia="zh-CN" w:bidi="ar"/>
              </w:rPr>
            </w:pPr>
            <w:r>
              <w:rPr>
                <w:rFonts w:hint="eastAsia" w:cs="Times New Roman"/>
                <w:b/>
                <w:bCs/>
                <w:color w:val="auto"/>
                <w:kern w:val="0"/>
                <w:sz w:val="24"/>
                <w:szCs w:val="24"/>
                <w:u w:val="none"/>
                <w:lang w:val="en-US" w:eastAsia="zh-CN" w:bidi="ar"/>
              </w:rPr>
              <w:t>4.1.5冷却池与淬火池底泥</w:t>
            </w:r>
          </w:p>
          <w:p w14:paraId="218BA2CB">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eastAsia" w:cs="Times New Roman"/>
                <w:b w:val="0"/>
                <w:bCs w:val="0"/>
                <w:color w:val="auto"/>
                <w:kern w:val="0"/>
                <w:sz w:val="24"/>
                <w:szCs w:val="24"/>
                <w:u w:val="none"/>
                <w:lang w:val="en-US" w:eastAsia="zh-CN" w:bidi="ar"/>
              </w:rPr>
            </w:pPr>
            <w:r>
              <w:rPr>
                <w:rFonts w:hint="eastAsia" w:cs="Times New Roman"/>
                <w:b w:val="0"/>
                <w:bCs w:val="0"/>
                <w:color w:val="auto"/>
                <w:kern w:val="0"/>
                <w:sz w:val="24"/>
                <w:szCs w:val="24"/>
                <w:u w:val="none"/>
                <w:lang w:val="en-US" w:eastAsia="zh-CN" w:bidi="ar"/>
              </w:rPr>
              <w:t>本项目冷却池与淬火池底泥共0.02t/a，定期清掏处理。</w:t>
            </w:r>
          </w:p>
          <w:p w14:paraId="069EDC10">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both"/>
              <w:rPr>
                <w:rFonts w:hint="default" w:cs="Times New Roman"/>
                <w:b/>
                <w:bCs/>
                <w:color w:val="auto"/>
                <w:kern w:val="0"/>
                <w:sz w:val="24"/>
                <w:szCs w:val="24"/>
                <w:u w:val="single"/>
                <w:lang w:val="en-US" w:eastAsia="zh-CN" w:bidi="ar"/>
              </w:rPr>
            </w:pPr>
            <w:r>
              <w:rPr>
                <w:rFonts w:hint="default" w:ascii="Times New Roman" w:hAnsi="Times New Roman" w:eastAsia="宋体" w:cs="Times New Roman"/>
                <w:bCs/>
                <w:color w:val="auto"/>
                <w:kern w:val="2"/>
                <w:sz w:val="24"/>
                <w:szCs w:val="24"/>
                <w:lang w:val="en-US" w:eastAsia="zh-CN" w:bidi="ar"/>
              </w:rPr>
              <w:t>由以上分析可知，本项目产生的固体废物均能得到合理处置。</w:t>
            </w:r>
          </w:p>
          <w:p w14:paraId="22BBED9F">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2" w:firstLineChars="200"/>
              <w:jc w:val="both"/>
              <w:rPr>
                <w:rFonts w:hint="eastAsia" w:cs="Times New Roman"/>
                <w:b/>
                <w:bCs/>
                <w:color w:val="auto"/>
                <w:kern w:val="0"/>
                <w:sz w:val="24"/>
                <w:szCs w:val="24"/>
                <w:lang w:val="en-US" w:eastAsia="zh-CN" w:bidi="ar"/>
              </w:rPr>
            </w:pPr>
            <w:r>
              <w:rPr>
                <w:rFonts w:hint="eastAsia" w:cs="Times New Roman"/>
                <w:b/>
                <w:bCs/>
                <w:color w:val="auto"/>
                <w:kern w:val="0"/>
                <w:sz w:val="24"/>
                <w:szCs w:val="24"/>
                <w:lang w:val="en-US" w:eastAsia="zh-CN" w:bidi="ar"/>
              </w:rPr>
              <w:t>4.1.6固废暂存分析</w:t>
            </w:r>
          </w:p>
          <w:p w14:paraId="062CC782">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利用现有一般固废间</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面</w:t>
            </w:r>
            <w:r>
              <w:rPr>
                <w:rFonts w:hint="default" w:ascii="Times New Roman" w:hAnsi="Times New Roman" w:eastAsia="宋体" w:cs="Times New Roman"/>
                <w:color w:val="auto"/>
                <w:sz w:val="24"/>
                <w:szCs w:val="24"/>
                <w:highlight w:val="none"/>
              </w:rPr>
              <w:t>积为</w:t>
            </w:r>
            <w:r>
              <w:rPr>
                <w:rFonts w:hint="eastAsia"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厂内现有</w:t>
            </w:r>
            <w:r>
              <w:rPr>
                <w:rFonts w:hint="default" w:ascii="Times New Roman" w:hAnsi="Times New Roman" w:eastAsia="宋体" w:cs="Times New Roman"/>
                <w:color w:val="auto"/>
                <w:sz w:val="24"/>
                <w:szCs w:val="24"/>
                <w:highlight w:val="none"/>
              </w:rPr>
              <w:t>一般固废暂存间完全有能力暂存本项目产生的一般固废。根据《一般工业固体废物贮存和填埋污染控制标准》（GB18599-2020），一般工业固体废物贮存、处置场</w:t>
            </w:r>
            <w:r>
              <w:rPr>
                <w:rFonts w:hint="eastAsia" w:ascii="Times New Roman" w:hAnsi="Times New Roman" w:eastAsia="宋体" w:cs="Times New Roman"/>
                <w:color w:val="auto"/>
                <w:sz w:val="24"/>
                <w:szCs w:val="24"/>
                <w:highlight w:val="none"/>
                <w:lang w:eastAsia="zh-CN"/>
              </w:rPr>
              <w:t>所</w:t>
            </w:r>
            <w:r>
              <w:rPr>
                <w:rFonts w:hint="default" w:ascii="Times New Roman" w:hAnsi="Times New Roman" w:eastAsia="宋体" w:cs="Times New Roman"/>
                <w:color w:val="auto"/>
                <w:sz w:val="24"/>
                <w:szCs w:val="24"/>
                <w:highlight w:val="none"/>
              </w:rPr>
              <w:t>运行管理要求如下：</w:t>
            </w:r>
          </w:p>
          <w:p w14:paraId="420091B0">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①不相容的一般工业固体废物应设置不同的分区进行贮存。</w:t>
            </w:r>
          </w:p>
          <w:p w14:paraId="331D3B01">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②危险废物和生活垃圾不得进入一般工业固体废物贮存场。</w:t>
            </w:r>
          </w:p>
          <w:p w14:paraId="7C2C2111">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③贮存场环境保护图形标志应符合GB15562.2的规定，并应定期检查和维护。</w:t>
            </w:r>
          </w:p>
          <w:p w14:paraId="692D9ADE">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般固废堆放应当按照国务院生态环境等主管部门的规定建设贮存设施、场所，安全分类存放，或者采取无害化处置措施，贮存工业固体废物应当采取符合国家环境保护标准的防护措施，并张贴一般固废贮存场所标牌。</w:t>
            </w:r>
          </w:p>
          <w:p w14:paraId="7C79480A">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eastAsia"/>
                <w:color w:val="auto"/>
                <w:lang w:val="en-US" w:eastAsia="zh-CN"/>
              </w:rPr>
            </w:pPr>
            <w:r>
              <w:rPr>
                <w:rFonts w:hint="default" w:ascii="Times New Roman" w:hAnsi="Times New Roman" w:eastAsia="宋体" w:cs="Times New Roman"/>
                <w:color w:val="auto"/>
                <w:sz w:val="24"/>
                <w:szCs w:val="24"/>
                <w:highlight w:val="none"/>
              </w:rPr>
              <w:t>本项目一般固废</w:t>
            </w:r>
            <w:r>
              <w:rPr>
                <w:rFonts w:hint="eastAsia" w:cs="Times New Roman"/>
                <w:color w:val="auto"/>
                <w:sz w:val="24"/>
                <w:szCs w:val="24"/>
                <w:highlight w:val="none"/>
                <w:lang w:eastAsia="zh-CN"/>
              </w:rPr>
              <w:t>为不合格原料</w:t>
            </w:r>
            <w:r>
              <w:rPr>
                <w:rFonts w:hint="eastAsia" w:cs="Times New Roman"/>
                <w:color w:val="auto"/>
                <w:sz w:val="24"/>
                <w:szCs w:val="24"/>
                <w:highlight w:val="none"/>
                <w:lang w:val="en-US" w:eastAsia="zh-CN"/>
              </w:rPr>
              <w:t>、不合格产品、边角料、废包装带</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eastAsia="zh-CN"/>
              </w:rPr>
              <w:t>不合格原料</w:t>
            </w:r>
            <w:r>
              <w:rPr>
                <w:rFonts w:hint="eastAsia" w:cs="Times New Roman"/>
                <w:color w:val="auto"/>
                <w:sz w:val="24"/>
                <w:szCs w:val="24"/>
                <w:highlight w:val="none"/>
                <w:lang w:val="en-US" w:eastAsia="zh-CN"/>
              </w:rPr>
              <w:t>暂存于一般固废间，定期退货</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eastAsia="zh-CN"/>
              </w:rPr>
              <w:t>不合格产品</w:t>
            </w:r>
            <w:r>
              <w:rPr>
                <w:rFonts w:hint="eastAsia" w:cs="Times New Roman"/>
                <w:color w:val="auto"/>
                <w:sz w:val="24"/>
                <w:szCs w:val="24"/>
                <w:highlight w:val="none"/>
                <w:lang w:val="en-US" w:eastAsia="zh-CN"/>
              </w:rPr>
              <w:t>、边角料、废包装带</w:t>
            </w:r>
            <w:r>
              <w:rPr>
                <w:rFonts w:hint="eastAsia" w:ascii="Times New Roman" w:hAnsi="Times New Roman" w:eastAsia="宋体" w:cs="Times New Roman"/>
                <w:color w:val="auto"/>
                <w:sz w:val="24"/>
                <w:szCs w:val="24"/>
                <w:highlight w:val="none"/>
                <w:lang w:eastAsia="zh-CN"/>
              </w:rPr>
              <w:t>暂存于一般固废间内，定期外售</w:t>
            </w:r>
            <w:r>
              <w:rPr>
                <w:rFonts w:hint="eastAsia" w:cs="Times New Roman"/>
                <w:color w:val="auto"/>
                <w:sz w:val="24"/>
                <w:szCs w:val="24"/>
                <w:highlight w:val="none"/>
                <w:lang w:eastAsia="zh-CN"/>
              </w:rPr>
              <w:t>综合回收利用</w:t>
            </w:r>
            <w:r>
              <w:rPr>
                <w:rFonts w:hint="eastAsia" w:cs="Times New Roman"/>
                <w:color w:val="auto"/>
                <w:sz w:val="24"/>
                <w:szCs w:val="24"/>
                <w:highlight w:val="none"/>
                <w:lang w:val="en-US" w:eastAsia="zh-CN"/>
              </w:rPr>
              <w:t>；冷却池与淬火池底泥定期清掏处理</w:t>
            </w:r>
            <w:r>
              <w:rPr>
                <w:rFonts w:hint="eastAsia" w:ascii="Times New Roman" w:hAnsi="Times New Roman" w:eastAsia="宋体" w:cs="Times New Roman"/>
                <w:color w:val="auto"/>
                <w:sz w:val="24"/>
                <w:szCs w:val="24"/>
                <w:highlight w:val="none"/>
                <w:lang w:eastAsia="zh-CN"/>
              </w:rPr>
              <w:t>。</w:t>
            </w:r>
          </w:p>
          <w:p w14:paraId="11DB4643">
            <w:pPr>
              <w:keepNext w:val="0"/>
              <w:keepLines w:val="0"/>
              <w:suppressLineNumbers w:val="0"/>
              <w:tabs>
                <w:tab w:val="left" w:pos="3052"/>
              </w:tabs>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4.1.</w:t>
            </w:r>
            <w:r>
              <w:rPr>
                <w:rFonts w:hint="eastAsia" w:cs="Times New Roman"/>
                <w:b/>
                <w:bCs/>
                <w:color w:val="auto"/>
                <w:sz w:val="24"/>
                <w:szCs w:val="24"/>
                <w:highlight w:val="none"/>
                <w:lang w:val="en-US" w:eastAsia="zh-CN"/>
              </w:rPr>
              <w:t>7</w:t>
            </w:r>
            <w:r>
              <w:rPr>
                <w:rFonts w:hint="eastAsia" w:ascii="Times New Roman" w:hAnsi="Times New Roman" w:eastAsia="宋体" w:cs="Times New Roman"/>
                <w:b/>
                <w:bCs/>
                <w:color w:val="auto"/>
                <w:sz w:val="24"/>
                <w:szCs w:val="24"/>
                <w:highlight w:val="none"/>
                <w:lang w:val="en-US" w:eastAsia="zh-CN"/>
              </w:rPr>
              <w:t>其他要求</w:t>
            </w:r>
          </w:p>
          <w:p w14:paraId="3E4EB050">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按照《中华人民共和国固体废物污染环境防治法》、《排污许可证申请与核发技术规范 工业固体废物（试行）》（HJ1200-2021）相关要求，评价要求企业应做到以下几点要求：</w:t>
            </w:r>
          </w:p>
          <w:p w14:paraId="62C2CDD6">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对工业固体废物采取防扬散、防流失、防渗漏或者其他防止污染环境的措施，不得擅自倾倒、堆放、丢弃、遗撒工业固体废物。</w:t>
            </w:r>
          </w:p>
          <w:p w14:paraId="73841EA2">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b</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p w14:paraId="2456798E">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c</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禁止向生活垃圾收集设施中投放工业固体废物。</w:t>
            </w:r>
          </w:p>
          <w:p w14:paraId="50302EA4">
            <w:pPr>
              <w:keepNext w:val="0"/>
              <w:keepLines w:val="0"/>
              <w:suppressLineNumbers w:val="0"/>
              <w:tabs>
                <w:tab w:val="left" w:pos="3052"/>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应当向所在地生态环境主管部门提供工业固体废物的种类、数量、流向、贮存、利用、处置等有关资料，以及减少工业固体废物产生、促进综合利用的具体措施，并执行排污许可管理制度的相关规定。</w:t>
            </w:r>
          </w:p>
          <w:p w14:paraId="472A4FB9">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4.</w:t>
            </w:r>
            <w:r>
              <w:rPr>
                <w:rFonts w:hint="eastAsia" w:ascii="Times New Roman" w:hAnsi="Times New Roman" w:eastAsia="宋体" w:cs="Times New Roman"/>
                <w:b/>
                <w:bCs w:val="0"/>
                <w:color w:val="auto"/>
                <w:sz w:val="24"/>
                <w:szCs w:val="24"/>
                <w:highlight w:val="none"/>
                <w:lang w:val="en-US" w:eastAsia="zh-CN"/>
              </w:rPr>
              <w:t>1</w:t>
            </w:r>
            <w:r>
              <w:rPr>
                <w:rFonts w:hint="default" w:ascii="Times New Roman" w:hAnsi="Times New Roman" w:eastAsia="宋体" w:cs="Times New Roman"/>
                <w:b/>
                <w:bCs w:val="0"/>
                <w:color w:val="auto"/>
                <w:sz w:val="24"/>
                <w:szCs w:val="24"/>
                <w:highlight w:val="none"/>
              </w:rPr>
              <w:t>.</w:t>
            </w:r>
            <w:r>
              <w:rPr>
                <w:rFonts w:hint="eastAsia" w:cs="Times New Roman"/>
                <w:b/>
                <w:bCs w:val="0"/>
                <w:color w:val="auto"/>
                <w:sz w:val="24"/>
                <w:szCs w:val="24"/>
                <w:highlight w:val="none"/>
                <w:lang w:val="en-US" w:eastAsia="zh-CN"/>
              </w:rPr>
              <w:t>8</w:t>
            </w:r>
            <w:r>
              <w:rPr>
                <w:rFonts w:hint="default" w:ascii="Times New Roman" w:hAnsi="Times New Roman" w:eastAsia="宋体" w:cs="Times New Roman"/>
                <w:b/>
                <w:bCs w:val="0"/>
                <w:color w:val="auto"/>
                <w:sz w:val="24"/>
                <w:szCs w:val="24"/>
                <w:highlight w:val="none"/>
              </w:rPr>
              <w:t>固废环境影响结论</w:t>
            </w:r>
          </w:p>
          <w:p w14:paraId="2784493B">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本项目固体废物全部得到综合利用和安全处置，措施可行。项目产生的固废经妥善处理后，不会对当地环境造成明显的影响。</w:t>
            </w:r>
          </w:p>
          <w:p w14:paraId="3957EA49">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5.地下水、土壤</w:t>
            </w:r>
          </w:p>
          <w:p w14:paraId="4488C8AB">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kern w:val="2"/>
                <w:sz w:val="24"/>
                <w:szCs w:val="24"/>
              </w:rPr>
            </w:pPr>
            <w:r>
              <w:rPr>
                <w:rFonts w:hint="default" w:ascii="Times New Roman" w:hAnsi="Times New Roman" w:eastAsia="宋体" w:cs="Times New Roman"/>
                <w:bCs/>
                <w:color w:val="auto"/>
                <w:kern w:val="2"/>
                <w:sz w:val="24"/>
                <w:szCs w:val="24"/>
                <w:lang w:val="en-US" w:eastAsia="zh-CN" w:bidi="ar"/>
              </w:rPr>
              <w:t>本项目</w:t>
            </w:r>
            <w:r>
              <w:rPr>
                <w:rFonts w:hint="eastAsia" w:cs="Times New Roman"/>
                <w:bCs/>
                <w:color w:val="auto"/>
                <w:kern w:val="2"/>
                <w:sz w:val="24"/>
                <w:szCs w:val="24"/>
                <w:lang w:val="en-US" w:eastAsia="zh-CN" w:bidi="ar"/>
              </w:rPr>
              <w:t>采用</w:t>
            </w:r>
            <w:r>
              <w:rPr>
                <w:rFonts w:hint="default" w:ascii="Times New Roman" w:hAnsi="Times New Roman" w:eastAsia="宋体" w:cs="Times New Roman"/>
                <w:bCs/>
                <w:color w:val="auto"/>
                <w:kern w:val="2"/>
                <w:sz w:val="24"/>
                <w:szCs w:val="24"/>
                <w:lang w:val="en-US" w:eastAsia="zh-CN" w:bidi="ar"/>
              </w:rPr>
              <w:t>不涉及地下水与土壤污染源，根据《建设项目环境影响报告表编制技术指南》（污染影响类）（试行），本工程不开展地下水、土壤环境影响分析。</w:t>
            </w:r>
          </w:p>
          <w:p w14:paraId="151EFFA1">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6.生态</w:t>
            </w:r>
          </w:p>
          <w:p w14:paraId="086361CD">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auto"/>
                <w:kern w:val="2"/>
                <w:sz w:val="24"/>
                <w:szCs w:val="24"/>
                <w:lang w:val="en-US" w:eastAsia="zh-CN" w:bidi="ar"/>
              </w:rPr>
            </w:pPr>
            <w:r>
              <w:rPr>
                <w:rFonts w:hint="default" w:ascii="Times New Roman" w:hAnsi="Times New Roman" w:eastAsia="宋体" w:cs="Times New Roman"/>
                <w:bCs/>
                <w:color w:val="auto"/>
                <w:kern w:val="2"/>
                <w:sz w:val="24"/>
                <w:szCs w:val="24"/>
                <w:lang w:val="en-US" w:eastAsia="zh-CN" w:bidi="ar"/>
              </w:rPr>
              <w:t>本工程在现有厂区内建设，不涉及新增土地，且用地范围内无生态环境保护目标，根据《建设项目环境影响报告表编制技术指南》（污染影响类）（试行），本工程不开展生态环境影响分析。</w:t>
            </w:r>
          </w:p>
          <w:p w14:paraId="2FCD3C16">
            <w:pPr>
              <w:keepNext w:val="0"/>
              <w:keepLines w:val="0"/>
              <w:widowControl w:val="0"/>
              <w:suppressLineNumbers w:val="0"/>
              <w:autoSpaceDE w:val="0"/>
              <w:autoSpaceDN w:val="0"/>
              <w:adjustRightInd w:val="0"/>
              <w:snapToGrid w:val="0"/>
              <w:spacing w:before="0" w:beforeAutospacing="0" w:after="0" w:afterAutospacing="0" w:line="360" w:lineRule="auto"/>
              <w:ind w:left="0" w:right="0"/>
              <w:jc w:val="both"/>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7</w:t>
            </w:r>
            <w:r>
              <w:rPr>
                <w:rFonts w:hint="eastAsia"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b/>
                <w:bCs/>
                <w:color w:val="auto"/>
                <w:kern w:val="0"/>
                <w:sz w:val="24"/>
                <w:szCs w:val="24"/>
                <w:lang w:val="en-US" w:eastAsia="zh-CN" w:bidi="ar"/>
              </w:rPr>
              <w:t>环境风险</w:t>
            </w:r>
          </w:p>
          <w:p w14:paraId="37C309BB">
            <w:pPr>
              <w:keepNext w:val="0"/>
              <w:keepLines w:val="0"/>
              <w:widowControl w:val="0"/>
              <w:suppressLineNumbers w:val="0"/>
              <w:autoSpaceDE w:val="0"/>
              <w:autoSpaceDN/>
              <w:adjustRightInd w:val="0"/>
              <w:snapToGrid w:val="0"/>
              <w:spacing w:before="0" w:beforeAutospacing="0" w:after="0" w:afterAutospacing="0" w:line="360" w:lineRule="auto"/>
              <w:ind w:left="0" w:right="0" w:firstLine="241" w:firstLineChars="100"/>
              <w:jc w:val="both"/>
              <w:rPr>
                <w:rFonts w:hint="default" w:ascii="Times New Roman" w:hAnsi="Times New Roman" w:eastAsia="宋体" w:cs="Times New Roman"/>
                <w:b/>
                <w:bCs w:val="0"/>
                <w:color w:val="auto"/>
                <w:kern w:val="2"/>
                <w:sz w:val="24"/>
                <w:szCs w:val="24"/>
                <w:lang w:val="en-US" w:eastAsia="zh-CN" w:bidi="ar"/>
              </w:rPr>
            </w:pPr>
            <w:r>
              <w:rPr>
                <w:rFonts w:hint="eastAsia" w:ascii="Times New Roman" w:hAnsi="Times New Roman" w:eastAsia="宋体" w:cs="Times New Roman"/>
                <w:b/>
                <w:bCs w:val="0"/>
                <w:color w:val="auto"/>
                <w:kern w:val="2"/>
                <w:sz w:val="24"/>
                <w:szCs w:val="24"/>
                <w:lang w:val="en-US" w:eastAsia="zh-CN" w:bidi="ar"/>
              </w:rPr>
              <w:t>7.1评价依据</w:t>
            </w:r>
          </w:p>
          <w:p w14:paraId="3EE0FF32">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bCs/>
                <w:color w:val="auto"/>
                <w:kern w:val="2"/>
                <w:sz w:val="24"/>
                <w:szCs w:val="24"/>
                <w:lang w:val="en-US" w:eastAsia="zh-CN" w:bidi="ar"/>
              </w:rPr>
            </w:pPr>
            <w:r>
              <w:rPr>
                <w:rFonts w:hint="eastAsia" w:ascii="Times New Roman" w:hAnsi="Times New Roman" w:eastAsia="宋体" w:cs="Times New Roman"/>
                <w:bCs/>
                <w:color w:val="auto"/>
                <w:kern w:val="2"/>
                <w:sz w:val="24"/>
                <w:szCs w:val="24"/>
                <w:lang w:val="en-US" w:eastAsia="zh-CN" w:bidi="ar"/>
              </w:rPr>
              <w:t>根据《企业突发环境事件风险分级方法》（HJ941-2018）、《建设项目环境风险评价技术导则》（HJ/T 169-2018）等文件，对比项目原辅料（</w:t>
            </w:r>
            <w:r>
              <w:rPr>
                <w:rFonts w:hint="eastAsia" w:cs="Times New Roman"/>
                <w:bCs/>
                <w:color w:val="auto"/>
                <w:kern w:val="2"/>
                <w:sz w:val="24"/>
                <w:szCs w:val="24"/>
                <w:lang w:val="en-US" w:eastAsia="zh-CN" w:bidi="ar"/>
              </w:rPr>
              <w:t>弹簧钢盘圆、包装带</w:t>
            </w:r>
            <w:r>
              <w:rPr>
                <w:rFonts w:hint="eastAsia" w:ascii="Times New Roman" w:hAnsi="Times New Roman" w:eastAsia="宋体" w:cs="Times New Roman"/>
                <w:bCs/>
                <w:color w:val="auto"/>
                <w:kern w:val="2"/>
                <w:sz w:val="24"/>
                <w:szCs w:val="24"/>
                <w:lang w:val="en-US" w:eastAsia="zh-CN" w:bidi="ar"/>
              </w:rPr>
              <w:t>）、产品（</w:t>
            </w:r>
            <w:r>
              <w:rPr>
                <w:rFonts w:hint="eastAsia" w:cs="Times New Roman"/>
                <w:bCs/>
                <w:color w:val="auto"/>
                <w:kern w:val="2"/>
                <w:sz w:val="24"/>
                <w:szCs w:val="24"/>
                <w:lang w:val="en-US" w:eastAsia="zh-CN" w:bidi="ar"/>
              </w:rPr>
              <w:t>高</w:t>
            </w:r>
            <w:r>
              <w:rPr>
                <w:rFonts w:hint="eastAsia" w:ascii="Times New Roman" w:hAnsi="Times New Roman" w:eastAsia="宋体" w:cs="Times New Roman"/>
                <w:bCs/>
                <w:color w:val="auto"/>
                <w:sz w:val="24"/>
                <w:szCs w:val="24"/>
                <w:highlight w:val="none"/>
                <w:u w:val="none" w:color="auto"/>
                <w:lang w:val="en-US" w:eastAsia="zh-CN"/>
              </w:rPr>
              <w:t>性能弹簧新钢丝</w:t>
            </w:r>
            <w:r>
              <w:rPr>
                <w:rFonts w:hint="eastAsia" w:ascii="Times New Roman" w:hAnsi="Times New Roman" w:eastAsia="宋体" w:cs="Times New Roman"/>
                <w:bCs/>
                <w:color w:val="auto"/>
                <w:kern w:val="2"/>
                <w:sz w:val="24"/>
                <w:szCs w:val="24"/>
                <w:lang w:val="en-US" w:eastAsia="zh-CN" w:bidi="ar"/>
              </w:rPr>
              <w:t>）及三废污染物（废气、废水、固废），企业无涉及风险物质，风险物质Q值为0。</w:t>
            </w:r>
          </w:p>
          <w:p w14:paraId="7D8FBB3D">
            <w:pPr>
              <w:pStyle w:val="23"/>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211" w:firstLineChars="100"/>
              <w:jc w:val="both"/>
              <w:textAlignment w:val="auto"/>
              <w:rPr>
                <w:rFonts w:hint="default"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en-US" w:eastAsia="zh-CN" w:bidi="ar"/>
              </w:rPr>
              <w:t>7.2</w:t>
            </w:r>
            <w:r>
              <w:rPr>
                <w:rFonts w:hint="eastAsia" w:ascii="宋体" w:hAnsi="宋体" w:eastAsia="宋体" w:cs="宋体"/>
                <w:b/>
                <w:bCs/>
                <w:color w:val="auto"/>
                <w:kern w:val="2"/>
                <w:sz w:val="21"/>
                <w:szCs w:val="21"/>
                <w:lang w:val="en-US" w:eastAsia="zh-CN" w:bidi="ar"/>
              </w:rPr>
              <w:t>环境风险识别</w:t>
            </w:r>
          </w:p>
          <w:p w14:paraId="16CC9DC3">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504" w:firstLineChars="200"/>
              <w:jc w:val="both"/>
              <w:textAlignment w:val="auto"/>
              <w:outlineLvl w:val="1"/>
              <w:rPr>
                <w:rFonts w:hint="default" w:ascii="Times New Roman" w:hAnsi="Times New Roman" w:eastAsia="宋体" w:cs="Times New Roman"/>
                <w:color w:val="auto"/>
                <w:kern w:val="2"/>
                <w:sz w:val="24"/>
                <w:szCs w:val="24"/>
              </w:rPr>
            </w:pPr>
            <w:r>
              <w:rPr>
                <w:rFonts w:hint="eastAsia" w:ascii="宋体" w:hAnsi="宋体" w:eastAsia="宋体" w:cs="宋体"/>
                <w:bCs/>
                <w:color w:val="auto"/>
                <w:spacing w:val="6"/>
                <w:kern w:val="2"/>
                <w:sz w:val="24"/>
                <w:szCs w:val="24"/>
                <w:lang w:val="en-US" w:eastAsia="zh-CN" w:bidi="ar"/>
              </w:rPr>
              <w:t>结合项目情况，项目扩建成后企业可能发生的突发环境事件包括：废水</w:t>
            </w:r>
            <w:r>
              <w:rPr>
                <w:rFonts w:hint="eastAsia" w:ascii="宋体" w:hAnsi="宋体" w:cs="宋体"/>
                <w:bCs/>
                <w:color w:val="auto"/>
                <w:spacing w:val="6"/>
                <w:kern w:val="2"/>
                <w:sz w:val="24"/>
                <w:szCs w:val="24"/>
                <w:lang w:val="en-US" w:eastAsia="zh-CN" w:bidi="ar"/>
              </w:rPr>
              <w:t>泄漏</w:t>
            </w:r>
            <w:r>
              <w:rPr>
                <w:rFonts w:hint="eastAsia" w:ascii="宋体" w:hAnsi="宋体" w:eastAsia="宋体" w:cs="宋体"/>
                <w:bCs/>
                <w:color w:val="auto"/>
                <w:spacing w:val="6"/>
                <w:kern w:val="2"/>
                <w:sz w:val="24"/>
                <w:szCs w:val="24"/>
                <w:lang w:val="en-US" w:eastAsia="zh-CN" w:bidi="ar"/>
              </w:rPr>
              <w:t>污染事件、</w:t>
            </w:r>
            <w:r>
              <w:rPr>
                <w:rFonts w:hint="default" w:ascii="Times New Roman" w:hAnsi="Times New Roman" w:eastAsia="宋体" w:cs="Times New Roman"/>
                <w:color w:val="auto"/>
                <w:sz w:val="24"/>
                <w:highlight w:val="none"/>
              </w:rPr>
              <w:t>火灾</w:t>
            </w:r>
            <w:r>
              <w:rPr>
                <w:rFonts w:hint="eastAsia" w:ascii="Times New Roman" w:hAnsi="Times New Roman" w:eastAsia="宋体" w:cs="Times New Roman"/>
                <w:color w:val="auto"/>
                <w:sz w:val="24"/>
                <w:highlight w:val="none"/>
                <w:lang w:eastAsia="zh-CN"/>
              </w:rPr>
              <w:t>爆炸</w:t>
            </w:r>
            <w:r>
              <w:rPr>
                <w:rFonts w:hint="default" w:ascii="Times New Roman" w:hAnsi="Times New Roman" w:eastAsia="宋体" w:cs="Times New Roman"/>
                <w:color w:val="auto"/>
                <w:sz w:val="24"/>
                <w:highlight w:val="none"/>
              </w:rPr>
              <w:t>次生衍生污染</w:t>
            </w:r>
            <w:r>
              <w:rPr>
                <w:rFonts w:hint="default" w:ascii="Times New Roman" w:hAnsi="Times New Roman" w:eastAsia="宋体" w:cs="Times New Roman"/>
                <w:bCs/>
                <w:color w:val="auto"/>
                <w:spacing w:val="6"/>
                <w:sz w:val="24"/>
                <w:highlight w:val="none"/>
              </w:rPr>
              <w:t>事件</w:t>
            </w:r>
            <w:r>
              <w:rPr>
                <w:rFonts w:hint="default" w:ascii="Times New Roman" w:hAnsi="Times New Roman" w:eastAsia="宋体" w:cs="Times New Roman"/>
                <w:color w:val="auto"/>
                <w:sz w:val="24"/>
                <w:highlight w:val="none"/>
              </w:rPr>
              <w:t>。</w:t>
            </w:r>
          </w:p>
          <w:p w14:paraId="55F60297">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rPr>
            </w:pPr>
            <w:r>
              <w:rPr>
                <w:rFonts w:hint="eastAsia" w:ascii="宋体" w:hAnsi="宋体" w:cs="宋体"/>
                <w:b/>
                <w:bCs w:val="0"/>
                <w:color w:val="auto"/>
                <w:kern w:val="2"/>
                <w:sz w:val="21"/>
                <w:szCs w:val="21"/>
                <w:lang w:val="en-US" w:eastAsia="zh-CN" w:bidi="ar"/>
              </w:rPr>
              <w:t>表</w:t>
            </w:r>
            <w:r>
              <w:rPr>
                <w:rFonts w:hint="default" w:ascii="Times New Roman" w:hAnsi="Times New Roman" w:cs="Times New Roman"/>
                <w:b/>
                <w:bCs w:val="0"/>
                <w:color w:val="auto"/>
                <w:kern w:val="2"/>
                <w:sz w:val="21"/>
                <w:szCs w:val="21"/>
                <w:lang w:val="en-US" w:eastAsia="zh-CN" w:bidi="ar"/>
              </w:rPr>
              <w:t>2</w:t>
            </w:r>
            <w:r>
              <w:rPr>
                <w:rFonts w:hint="eastAsia" w:cs="Times New Roman"/>
                <w:b/>
                <w:bCs w:val="0"/>
                <w:color w:val="auto"/>
                <w:kern w:val="2"/>
                <w:sz w:val="21"/>
                <w:szCs w:val="21"/>
                <w:lang w:val="en-US" w:eastAsia="zh-CN" w:bidi="ar"/>
              </w:rPr>
              <w:t>6</w:t>
            </w:r>
            <w:r>
              <w:rPr>
                <w:rFonts w:hint="eastAsia" w:ascii="宋体" w:hAnsi="宋体" w:cs="宋体"/>
                <w:b/>
                <w:bCs w:val="0"/>
                <w:color w:val="auto"/>
                <w:kern w:val="2"/>
                <w:sz w:val="21"/>
                <w:szCs w:val="21"/>
                <w:lang w:val="en-US" w:eastAsia="zh-CN" w:bidi="ar"/>
              </w:rPr>
              <w:t xml:space="preserve">   </w:t>
            </w:r>
            <w:r>
              <w:rPr>
                <w:rFonts w:hint="eastAsia" w:ascii="宋体" w:hAnsi="宋体" w:eastAsia="宋体" w:cs="宋体"/>
                <w:b/>
                <w:bCs w:val="0"/>
                <w:color w:val="auto"/>
                <w:kern w:val="2"/>
                <w:sz w:val="21"/>
                <w:szCs w:val="21"/>
                <w:lang w:val="en-US" w:eastAsia="zh-CN" w:bidi="ar"/>
              </w:rPr>
              <w:t>环境影响途径及危害后果一览表</w:t>
            </w:r>
          </w:p>
          <w:tbl>
            <w:tblPr>
              <w:tblStyle w:val="28"/>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167"/>
              <w:gridCol w:w="1196"/>
              <w:gridCol w:w="1226"/>
              <w:gridCol w:w="4074"/>
            </w:tblGrid>
            <w:tr w14:paraId="0DF2E4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56" w:type="dxa"/>
                  <w:tcBorders>
                    <w:top w:val="single" w:color="auto" w:sz="4" w:space="0"/>
                    <w:bottom w:val="single" w:color="auto" w:sz="4" w:space="0"/>
                    <w:right w:val="single" w:color="auto" w:sz="4" w:space="0"/>
                  </w:tcBorders>
                  <w:noWrap w:val="0"/>
                  <w:vAlign w:val="center"/>
                </w:tcPr>
                <w:p w14:paraId="75C5F7E7">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序号</w:t>
                  </w:r>
                </w:p>
              </w:tc>
              <w:tc>
                <w:tcPr>
                  <w:tcW w:w="1167" w:type="dxa"/>
                  <w:tcBorders>
                    <w:top w:val="single" w:color="auto" w:sz="4" w:space="0"/>
                    <w:left w:val="nil"/>
                    <w:bottom w:val="single" w:color="auto" w:sz="4" w:space="0"/>
                    <w:right w:val="single" w:color="auto" w:sz="4" w:space="0"/>
                  </w:tcBorders>
                  <w:noWrap w:val="0"/>
                  <w:vAlign w:val="center"/>
                </w:tcPr>
                <w:p w14:paraId="35986A2A">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事故类型</w:t>
                  </w:r>
                </w:p>
              </w:tc>
              <w:tc>
                <w:tcPr>
                  <w:tcW w:w="1196" w:type="dxa"/>
                  <w:tcBorders>
                    <w:top w:val="single" w:color="auto" w:sz="4" w:space="0"/>
                    <w:left w:val="nil"/>
                    <w:bottom w:val="single" w:color="auto" w:sz="4" w:space="0"/>
                    <w:right w:val="single" w:color="auto" w:sz="4" w:space="0"/>
                  </w:tcBorders>
                  <w:noWrap w:val="0"/>
                  <w:vAlign w:val="center"/>
                </w:tcPr>
                <w:p w14:paraId="4D712F55">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color w:val="auto"/>
                      <w:kern w:val="2"/>
                      <w:sz w:val="21"/>
                      <w:szCs w:val="21"/>
                      <w:lang w:val="en-US" w:eastAsia="zh-CN" w:bidi="ar"/>
                    </w:rPr>
                    <w:t>风险物质</w:t>
                  </w:r>
                </w:p>
              </w:tc>
              <w:tc>
                <w:tcPr>
                  <w:tcW w:w="1226" w:type="dxa"/>
                  <w:tcBorders>
                    <w:top w:val="single" w:color="auto" w:sz="4" w:space="0"/>
                    <w:left w:val="nil"/>
                    <w:bottom w:val="single" w:color="auto" w:sz="4" w:space="0"/>
                    <w:right w:val="single" w:color="auto" w:sz="4" w:space="0"/>
                  </w:tcBorders>
                  <w:noWrap w:val="0"/>
                  <w:vAlign w:val="center"/>
                </w:tcPr>
                <w:p w14:paraId="6E008E6C">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影响途径</w:t>
                  </w:r>
                </w:p>
              </w:tc>
              <w:tc>
                <w:tcPr>
                  <w:tcW w:w="4075" w:type="dxa"/>
                  <w:tcBorders>
                    <w:top w:val="single" w:color="auto" w:sz="4" w:space="0"/>
                    <w:left w:val="nil"/>
                    <w:bottom w:val="single" w:color="auto" w:sz="4" w:space="0"/>
                  </w:tcBorders>
                  <w:noWrap w:val="0"/>
                  <w:vAlign w:val="center"/>
                </w:tcPr>
                <w:p w14:paraId="2F9763BE">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bidi="ar"/>
                    </w:rPr>
                    <w:t>危害后果</w:t>
                  </w:r>
                </w:p>
              </w:tc>
            </w:tr>
            <w:tr w14:paraId="71313F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656" w:type="dxa"/>
                  <w:vMerge w:val="restart"/>
                  <w:tcBorders>
                    <w:top w:val="nil"/>
                    <w:bottom w:val="single" w:color="auto" w:sz="4" w:space="0"/>
                    <w:right w:val="single" w:color="auto" w:sz="4" w:space="0"/>
                  </w:tcBorders>
                  <w:noWrap w:val="0"/>
                  <w:vAlign w:val="center"/>
                </w:tcPr>
                <w:p w14:paraId="43F09A89">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eastAsia="宋体" w:cs="Times New Roman"/>
                      <w:color w:val="auto"/>
                      <w:kern w:val="2"/>
                      <w:sz w:val="21"/>
                      <w:szCs w:val="21"/>
                      <w:lang w:val="en-US" w:eastAsia="zh-CN" w:bidi="ar"/>
                    </w:rPr>
                    <w:t>1</w:t>
                  </w:r>
                </w:p>
              </w:tc>
              <w:tc>
                <w:tcPr>
                  <w:tcW w:w="1167" w:type="dxa"/>
                  <w:vMerge w:val="restart"/>
                  <w:tcBorders>
                    <w:top w:val="nil"/>
                    <w:left w:val="nil"/>
                    <w:bottom w:val="single" w:color="auto" w:sz="4" w:space="0"/>
                    <w:right w:val="single" w:color="auto" w:sz="4" w:space="0"/>
                  </w:tcBorders>
                  <w:noWrap w:val="0"/>
                  <w:vAlign w:val="center"/>
                </w:tcPr>
                <w:p w14:paraId="5BA9D76A">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火灾爆炸次生衍生污染</w:t>
                  </w:r>
                  <w:r>
                    <w:rPr>
                      <w:rFonts w:hint="eastAsia" w:ascii="宋体" w:hAnsi="宋体" w:eastAsia="宋体" w:cs="宋体"/>
                      <w:color w:val="auto"/>
                      <w:kern w:val="0"/>
                      <w:sz w:val="21"/>
                      <w:szCs w:val="21"/>
                      <w:lang w:val="en-US" w:eastAsia="zh-CN" w:bidi="ar"/>
                    </w:rPr>
                    <w:t>事件</w:t>
                  </w:r>
                </w:p>
              </w:tc>
              <w:tc>
                <w:tcPr>
                  <w:tcW w:w="1196" w:type="dxa"/>
                  <w:tcBorders>
                    <w:top w:val="single" w:color="auto" w:sz="4" w:space="0"/>
                    <w:left w:val="nil"/>
                    <w:bottom w:val="single" w:color="auto" w:sz="4" w:space="0"/>
                    <w:right w:val="single" w:color="auto" w:sz="4" w:space="0"/>
                  </w:tcBorders>
                  <w:noWrap w:val="0"/>
                  <w:vAlign w:val="center"/>
                </w:tcPr>
                <w:p w14:paraId="3BF21916">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燃烧废气</w:t>
                  </w:r>
                </w:p>
              </w:tc>
              <w:tc>
                <w:tcPr>
                  <w:tcW w:w="1226" w:type="dxa"/>
                  <w:tcBorders>
                    <w:top w:val="single" w:color="auto" w:sz="4" w:space="0"/>
                    <w:left w:val="nil"/>
                    <w:bottom w:val="single" w:color="auto" w:sz="4" w:space="0"/>
                    <w:right w:val="single" w:color="auto" w:sz="4" w:space="0"/>
                  </w:tcBorders>
                  <w:noWrap w:val="0"/>
                  <w:vAlign w:val="center"/>
                </w:tcPr>
                <w:p w14:paraId="6F344250">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大气</w:t>
                  </w:r>
                </w:p>
              </w:tc>
              <w:tc>
                <w:tcPr>
                  <w:tcW w:w="4075" w:type="dxa"/>
                  <w:tcBorders>
                    <w:top w:val="single" w:color="auto" w:sz="4" w:space="0"/>
                    <w:left w:val="nil"/>
                    <w:bottom w:val="single" w:color="auto" w:sz="4" w:space="0"/>
                  </w:tcBorders>
                  <w:noWrap w:val="0"/>
                  <w:vAlign w:val="center"/>
                </w:tcPr>
                <w:p w14:paraId="2996273D">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燃烧废气会污染区域环境空气。</w:t>
                  </w:r>
                </w:p>
              </w:tc>
            </w:tr>
            <w:tr w14:paraId="142FA3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6" w:type="dxa"/>
                  <w:vMerge w:val="continue"/>
                  <w:tcBorders>
                    <w:top w:val="nil"/>
                    <w:bottom w:val="single" w:color="auto" w:sz="4" w:space="0"/>
                    <w:right w:val="single" w:color="auto" w:sz="4" w:space="0"/>
                  </w:tcBorders>
                  <w:noWrap w:val="0"/>
                  <w:vAlign w:val="center"/>
                </w:tcPr>
                <w:p w14:paraId="122C0D32">
                  <w:pPr>
                    <w:keepNext/>
                    <w:keepLines w:val="0"/>
                    <w:pageBreakBefore w:val="0"/>
                    <w:widowControl/>
                    <w:suppressLineNumbers w:val="0"/>
                    <w:kinsoku/>
                    <w:wordWrap/>
                    <w:overflowPunct w:val="0"/>
                    <w:topLinePunct w:val="0"/>
                    <w:autoSpaceDE/>
                    <w:autoSpaceDN/>
                    <w:bidi w:val="0"/>
                    <w:spacing w:before="0" w:beforeAutospacing="0" w:after="0" w:afterAutospacing="0"/>
                    <w:ind w:left="0" w:right="0"/>
                    <w:textAlignment w:val="auto"/>
                    <w:rPr>
                      <w:rFonts w:hint="default" w:ascii="Times New Roman" w:hAnsi="Times New Roman" w:eastAsia="宋体" w:cs="Times New Roman"/>
                      <w:color w:val="auto"/>
                      <w:kern w:val="2"/>
                      <w:sz w:val="21"/>
                      <w:szCs w:val="21"/>
                      <w:lang w:val="en-US" w:eastAsia="zh-CN"/>
                    </w:rPr>
                  </w:pPr>
                </w:p>
              </w:tc>
              <w:tc>
                <w:tcPr>
                  <w:tcW w:w="1167" w:type="dxa"/>
                  <w:vMerge w:val="continue"/>
                  <w:tcBorders>
                    <w:top w:val="nil"/>
                    <w:left w:val="nil"/>
                    <w:bottom w:val="single" w:color="auto" w:sz="4" w:space="0"/>
                    <w:right w:val="single" w:color="auto" w:sz="4" w:space="0"/>
                  </w:tcBorders>
                  <w:noWrap w:val="0"/>
                  <w:vAlign w:val="center"/>
                </w:tcPr>
                <w:p w14:paraId="6D91D6E8">
                  <w:pPr>
                    <w:keepNext/>
                    <w:keepLines w:val="0"/>
                    <w:pageBreakBefore w:val="0"/>
                    <w:widowControl/>
                    <w:suppressLineNumbers w:val="0"/>
                    <w:kinsoku/>
                    <w:wordWrap/>
                    <w:overflowPunct w:val="0"/>
                    <w:topLinePunct w:val="0"/>
                    <w:autoSpaceDE/>
                    <w:autoSpaceDN/>
                    <w:bidi w:val="0"/>
                    <w:spacing w:before="0" w:beforeAutospacing="0" w:after="0" w:afterAutospacing="0"/>
                    <w:ind w:left="0" w:right="0"/>
                    <w:textAlignment w:val="auto"/>
                    <w:rPr>
                      <w:rFonts w:hint="default" w:ascii="Times New Roman" w:hAnsi="Times New Roman" w:eastAsia="宋体" w:cs="Times New Roman"/>
                      <w:color w:val="auto"/>
                      <w:kern w:val="2"/>
                      <w:sz w:val="21"/>
                      <w:szCs w:val="21"/>
                      <w:lang w:val="en-US" w:eastAsia="zh-CN"/>
                    </w:rPr>
                  </w:pPr>
                </w:p>
              </w:tc>
              <w:tc>
                <w:tcPr>
                  <w:tcW w:w="1196" w:type="dxa"/>
                  <w:tcBorders>
                    <w:top w:val="single" w:color="auto" w:sz="4" w:space="0"/>
                    <w:left w:val="nil"/>
                    <w:bottom w:val="single" w:color="auto" w:sz="4" w:space="0"/>
                    <w:right w:val="single" w:color="auto" w:sz="4" w:space="0"/>
                  </w:tcBorders>
                  <w:noWrap w:val="0"/>
                  <w:vAlign w:val="center"/>
                </w:tcPr>
                <w:p w14:paraId="4EE6752B">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消防</w:t>
                  </w:r>
                  <w:r>
                    <w:rPr>
                      <w:rFonts w:hint="eastAsia" w:ascii="宋体" w:hAnsi="宋体" w:cs="宋体"/>
                      <w:color w:val="auto"/>
                      <w:kern w:val="0"/>
                      <w:sz w:val="21"/>
                      <w:szCs w:val="21"/>
                      <w:lang w:val="en-US" w:eastAsia="zh-CN" w:bidi="ar"/>
                    </w:rPr>
                    <w:t>废水</w:t>
                  </w:r>
                </w:p>
              </w:tc>
              <w:tc>
                <w:tcPr>
                  <w:tcW w:w="1226" w:type="dxa"/>
                  <w:tcBorders>
                    <w:top w:val="single" w:color="auto" w:sz="4" w:space="0"/>
                    <w:left w:val="nil"/>
                    <w:bottom w:val="single" w:color="auto" w:sz="4" w:space="0"/>
                    <w:right w:val="single" w:color="auto" w:sz="4" w:space="0"/>
                  </w:tcBorders>
                  <w:noWrap w:val="0"/>
                  <w:vAlign w:val="center"/>
                </w:tcPr>
                <w:p w14:paraId="39503F06">
                  <w:pPr>
                    <w:keepNext/>
                    <w:keepLines w:val="0"/>
                    <w:pageBreakBefore w:val="0"/>
                    <w:widowControl/>
                    <w:suppressLineNumbers w:val="0"/>
                    <w:kinsoku/>
                    <w:wordWrap/>
                    <w:overflowPunct w:val="0"/>
                    <w:topLinePunct w:val="0"/>
                    <w:autoSpaceDE/>
                    <w:autoSpaceDN/>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lang w:val="en-US" w:eastAsia="zh-CN" w:bidi="ar"/>
                    </w:rPr>
                    <w:t>水、土壤</w:t>
                  </w:r>
                </w:p>
              </w:tc>
              <w:tc>
                <w:tcPr>
                  <w:tcW w:w="4075" w:type="dxa"/>
                  <w:tcBorders>
                    <w:top w:val="single" w:color="auto" w:sz="4" w:space="0"/>
                    <w:left w:val="nil"/>
                    <w:bottom w:val="single" w:color="auto" w:sz="4" w:space="0"/>
                  </w:tcBorders>
                  <w:noWrap w:val="0"/>
                  <w:vAlign w:val="center"/>
                </w:tcPr>
                <w:p w14:paraId="6F2E2707">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lang w:val="en-US" w:eastAsia="zh-CN"/>
                    </w:rPr>
                  </w:pPr>
                  <w:r>
                    <w:rPr>
                      <w:rFonts w:hint="eastAsia" w:ascii="宋体" w:hAnsi="宋体" w:eastAsia="宋体" w:cs="宋体"/>
                      <w:color w:val="auto"/>
                      <w:kern w:val="0"/>
                      <w:sz w:val="21"/>
                      <w:szCs w:val="21"/>
                      <w:lang w:val="en-US" w:eastAsia="zh-CN" w:bidi="ar"/>
                    </w:rPr>
                    <w:t>消防</w:t>
                  </w:r>
                  <w:r>
                    <w:rPr>
                      <w:rFonts w:hint="eastAsia" w:ascii="宋体" w:hAnsi="宋体" w:cs="宋体"/>
                      <w:color w:val="auto"/>
                      <w:kern w:val="0"/>
                      <w:sz w:val="21"/>
                      <w:szCs w:val="21"/>
                      <w:lang w:val="en-US" w:eastAsia="zh-CN" w:bidi="ar"/>
                    </w:rPr>
                    <w:t>废水</w:t>
                  </w:r>
                  <w:r>
                    <w:rPr>
                      <w:rFonts w:hint="eastAsia" w:ascii="宋体" w:hAnsi="宋体" w:eastAsia="宋体" w:cs="宋体"/>
                      <w:color w:val="auto"/>
                      <w:kern w:val="0"/>
                      <w:sz w:val="21"/>
                      <w:szCs w:val="21"/>
                      <w:lang w:val="en-US" w:eastAsia="zh-CN" w:bidi="ar"/>
                    </w:rPr>
                    <w:t>未合理处理，可能污染周边土壤、水环境。</w:t>
                  </w:r>
                </w:p>
              </w:tc>
            </w:tr>
            <w:tr w14:paraId="0D3040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656" w:type="dxa"/>
                  <w:tcBorders>
                    <w:top w:val="single" w:color="auto" w:sz="4" w:space="0"/>
                    <w:right w:val="single" w:color="auto" w:sz="4" w:space="0"/>
                  </w:tcBorders>
                  <w:noWrap w:val="0"/>
                  <w:vAlign w:val="center"/>
                </w:tcPr>
                <w:p w14:paraId="105488E0">
                  <w:pPr>
                    <w:keepNext/>
                    <w:keepLines w:val="0"/>
                    <w:pageBreakBefore w:val="0"/>
                    <w:widowControl/>
                    <w:suppressLineNumbers w:val="0"/>
                    <w:kinsoku/>
                    <w:wordWrap/>
                    <w:overflowPunct w:val="0"/>
                    <w:topLinePunct w:val="0"/>
                    <w:autoSpaceDE/>
                    <w:autoSpaceDN/>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2</w:t>
                  </w:r>
                </w:p>
              </w:tc>
              <w:tc>
                <w:tcPr>
                  <w:tcW w:w="1167" w:type="dxa"/>
                  <w:tcBorders>
                    <w:top w:val="single" w:color="auto" w:sz="4" w:space="0"/>
                    <w:left w:val="nil"/>
                    <w:right w:val="single" w:color="auto" w:sz="4" w:space="0"/>
                  </w:tcBorders>
                  <w:noWrap w:val="0"/>
                  <w:vAlign w:val="center"/>
                </w:tcPr>
                <w:p w14:paraId="31661908">
                  <w:pPr>
                    <w:keepNext/>
                    <w:keepLines w:val="0"/>
                    <w:pageBreakBefore w:val="0"/>
                    <w:widowControl/>
                    <w:suppressLineNumbers w:val="0"/>
                    <w:kinsoku/>
                    <w:wordWrap/>
                    <w:overflowPunct w:val="0"/>
                    <w:topLinePunct w:val="0"/>
                    <w:autoSpaceDE/>
                    <w:autoSpaceDN/>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废水泄漏</w:t>
                  </w:r>
                  <w:r>
                    <w:rPr>
                      <w:rFonts w:hint="default" w:ascii="Times New Roman" w:hAnsi="Times New Roman" w:eastAsia="宋体" w:cs="Times New Roman"/>
                      <w:color w:val="auto"/>
                      <w:szCs w:val="21"/>
                      <w:highlight w:val="none"/>
                      <w:lang w:eastAsia="zh-CN"/>
                    </w:rPr>
                    <w:t>污染事件</w:t>
                  </w:r>
                </w:p>
              </w:tc>
              <w:tc>
                <w:tcPr>
                  <w:tcW w:w="1196" w:type="dxa"/>
                  <w:tcBorders>
                    <w:top w:val="single" w:color="auto" w:sz="4" w:space="0"/>
                    <w:left w:val="nil"/>
                    <w:right w:val="single" w:color="auto" w:sz="4" w:space="0"/>
                  </w:tcBorders>
                  <w:noWrap w:val="0"/>
                  <w:vAlign w:val="center"/>
                </w:tcPr>
                <w:p w14:paraId="7104CD51">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eastAsia" w:ascii="宋体" w:hAnsi="宋体" w:eastAsia="宋体" w:cs="宋体"/>
                      <w:color w:val="auto"/>
                      <w:kern w:val="0"/>
                      <w:sz w:val="21"/>
                      <w:szCs w:val="21"/>
                      <w:lang w:val="en-US" w:eastAsia="zh-CN" w:bidi="ar"/>
                    </w:rPr>
                  </w:pPr>
                  <w:r>
                    <w:rPr>
                      <w:rFonts w:hint="eastAsia" w:ascii="宋体" w:hAnsi="宋体" w:cs="宋体"/>
                      <w:color w:val="auto"/>
                      <w:kern w:val="0"/>
                      <w:sz w:val="21"/>
                      <w:szCs w:val="21"/>
                      <w:lang w:val="en-US" w:eastAsia="zh-CN" w:bidi="ar"/>
                    </w:rPr>
                    <w:t>废水</w:t>
                  </w:r>
                </w:p>
              </w:tc>
              <w:tc>
                <w:tcPr>
                  <w:tcW w:w="1226" w:type="dxa"/>
                  <w:tcBorders>
                    <w:top w:val="single" w:color="auto" w:sz="4" w:space="0"/>
                    <w:left w:val="nil"/>
                    <w:right w:val="single" w:color="auto" w:sz="4" w:space="0"/>
                  </w:tcBorders>
                  <w:noWrap w:val="0"/>
                  <w:vAlign w:val="center"/>
                </w:tcPr>
                <w:p w14:paraId="79EAD872">
                  <w:pPr>
                    <w:keepNext/>
                    <w:keepLines w:val="0"/>
                    <w:pageBreakBefore w:val="0"/>
                    <w:widowControl/>
                    <w:suppressLineNumbers w:val="0"/>
                    <w:kinsoku/>
                    <w:wordWrap/>
                    <w:overflowPunct w:val="0"/>
                    <w:topLinePunct w:val="0"/>
                    <w:autoSpaceDE/>
                    <w:autoSpaceDN/>
                    <w:bidi w:val="0"/>
                    <w:spacing w:before="0" w:beforeAutospacing="0" w:after="0" w:afterAutospacing="0"/>
                    <w:ind w:left="0" w:right="0"/>
                    <w:jc w:val="center"/>
                    <w:textAlignment w:val="auto"/>
                    <w:rPr>
                      <w:rFonts w:hint="eastAsia" w:ascii="宋体" w:hAnsi="宋体" w:eastAsia="宋体" w:cs="宋体"/>
                      <w:color w:val="auto"/>
                      <w:kern w:val="2"/>
                      <w:sz w:val="21"/>
                      <w:szCs w:val="21"/>
                      <w:lang w:val="en-US" w:eastAsia="zh-CN" w:bidi="ar"/>
                    </w:rPr>
                  </w:pPr>
                  <w:r>
                    <w:rPr>
                      <w:rFonts w:hint="eastAsia" w:ascii="宋体" w:hAnsi="宋体" w:cs="宋体"/>
                      <w:color w:val="auto"/>
                      <w:kern w:val="2"/>
                      <w:sz w:val="21"/>
                      <w:szCs w:val="21"/>
                      <w:lang w:val="en-US" w:eastAsia="zh-CN" w:bidi="ar"/>
                    </w:rPr>
                    <w:t>水、土壤</w:t>
                  </w:r>
                </w:p>
              </w:tc>
              <w:tc>
                <w:tcPr>
                  <w:tcW w:w="4075" w:type="dxa"/>
                  <w:tcBorders>
                    <w:top w:val="single" w:color="auto" w:sz="4" w:space="0"/>
                    <w:left w:val="nil"/>
                    <w:bottom w:val="single" w:color="auto" w:sz="4" w:space="0"/>
                  </w:tcBorders>
                  <w:noWrap w:val="0"/>
                  <w:vAlign w:val="center"/>
                </w:tcPr>
                <w:p w14:paraId="23CDEE1B">
                  <w:pPr>
                    <w:keepNext/>
                    <w:keepLines w:val="0"/>
                    <w:pageBreakBefore w:val="0"/>
                    <w:widowControl/>
                    <w:suppressLineNumbers w:val="0"/>
                    <w:kinsoku/>
                    <w:wordWrap/>
                    <w:overflowPunct w:val="0"/>
                    <w:topLinePunct w:val="0"/>
                    <w:autoSpaceDE/>
                    <w:autoSpaceDN/>
                    <w:bidi w:val="0"/>
                    <w:snapToGrid w:val="0"/>
                    <w:spacing w:before="0" w:beforeAutospacing="0" w:after="0" w:afterAutospacing="0"/>
                    <w:ind w:left="0" w:right="0"/>
                    <w:jc w:val="center"/>
                    <w:textAlignment w:val="auto"/>
                    <w:rPr>
                      <w:rFonts w:hint="default" w:ascii="宋体" w:hAnsi="宋体" w:eastAsia="宋体" w:cs="宋体"/>
                      <w:color w:val="auto"/>
                      <w:kern w:val="0"/>
                      <w:sz w:val="21"/>
                      <w:szCs w:val="21"/>
                      <w:lang w:val="en-US" w:eastAsia="zh-CN" w:bidi="ar"/>
                    </w:rPr>
                  </w:pPr>
                  <w:r>
                    <w:rPr>
                      <w:rFonts w:hint="default" w:ascii="Times New Roman" w:hAnsi="Times New Roman" w:eastAsia="宋体" w:cs="Times New Roman"/>
                      <w:color w:val="auto"/>
                      <w:kern w:val="0"/>
                      <w:szCs w:val="21"/>
                      <w:highlight w:val="none"/>
                      <w:lang w:val="en-US" w:eastAsia="zh-CN"/>
                    </w:rPr>
                    <w:t>如果废水管道破裂</w:t>
                  </w:r>
                  <w:r>
                    <w:rPr>
                      <w:rFonts w:hint="eastAsia" w:ascii="宋体" w:hAnsi="宋体" w:cs="宋体"/>
                      <w:color w:val="auto"/>
                      <w:kern w:val="0"/>
                      <w:sz w:val="21"/>
                      <w:szCs w:val="21"/>
                      <w:lang w:val="en-US" w:eastAsia="zh-CN" w:bidi="ar"/>
                    </w:rPr>
                    <w:t>，可能污染周边土壤、水源。</w:t>
                  </w:r>
                </w:p>
              </w:tc>
            </w:tr>
          </w:tbl>
          <w:p w14:paraId="6679D3FB">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241" w:firstLineChars="100"/>
              <w:jc w:val="both"/>
              <w:textAlignment w:val="auto"/>
              <w:rPr>
                <w:rFonts w:hint="default" w:ascii="Times New Roman" w:hAnsi="Times New Roman" w:eastAsia="宋体" w:cs="Times New Roman"/>
                <w:b/>
                <w:bCs w:val="0"/>
                <w:color w:val="auto"/>
                <w:kern w:val="24"/>
                <w:sz w:val="24"/>
                <w:szCs w:val="24"/>
              </w:rPr>
            </w:pPr>
            <w:r>
              <w:rPr>
                <w:rFonts w:hint="eastAsia" w:eastAsia="宋体" w:cs="Times New Roman"/>
                <w:b/>
                <w:bCs w:val="0"/>
                <w:color w:val="auto"/>
                <w:kern w:val="24"/>
                <w:sz w:val="24"/>
                <w:szCs w:val="24"/>
                <w:lang w:val="en-US" w:eastAsia="zh-CN" w:bidi="ar"/>
              </w:rPr>
              <w:t>7</w:t>
            </w:r>
            <w:r>
              <w:rPr>
                <w:rFonts w:hint="default" w:ascii="Times New Roman" w:hAnsi="Times New Roman" w:eastAsia="宋体" w:cs="Times New Roman"/>
                <w:b/>
                <w:bCs w:val="0"/>
                <w:color w:val="auto"/>
                <w:kern w:val="24"/>
                <w:sz w:val="24"/>
                <w:szCs w:val="24"/>
                <w:lang w:val="en-US" w:eastAsia="zh-CN" w:bidi="ar"/>
              </w:rPr>
              <w:t>.</w:t>
            </w:r>
            <w:r>
              <w:rPr>
                <w:rFonts w:hint="eastAsia" w:cs="Times New Roman"/>
                <w:b/>
                <w:bCs w:val="0"/>
                <w:color w:val="auto"/>
                <w:kern w:val="24"/>
                <w:sz w:val="24"/>
                <w:szCs w:val="24"/>
                <w:lang w:val="en-US" w:eastAsia="zh-CN" w:bidi="ar"/>
              </w:rPr>
              <w:t>3</w:t>
            </w:r>
            <w:r>
              <w:rPr>
                <w:rFonts w:hint="eastAsia" w:ascii="宋体" w:hAnsi="宋体" w:eastAsia="宋体" w:cs="宋体"/>
                <w:b/>
                <w:bCs w:val="0"/>
                <w:color w:val="auto"/>
                <w:kern w:val="24"/>
                <w:sz w:val="24"/>
                <w:szCs w:val="24"/>
                <w:lang w:val="en-US" w:eastAsia="zh-CN" w:bidi="ar"/>
              </w:rPr>
              <w:t>环境风险防范措施及应急要求</w:t>
            </w:r>
          </w:p>
          <w:p w14:paraId="7BB152B2">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b/>
                <w:bCs/>
                <w:color w:val="auto"/>
                <w:kern w:val="2"/>
                <w:sz w:val="24"/>
                <w:szCs w:val="24"/>
              </w:rPr>
            </w:pPr>
            <w:r>
              <w:rPr>
                <w:rFonts w:hint="eastAsia" w:eastAsia="宋体" w:cs="Times New Roman"/>
                <w:b/>
                <w:bCs/>
                <w:color w:val="auto"/>
                <w:kern w:val="2"/>
                <w:sz w:val="24"/>
                <w:szCs w:val="24"/>
                <w:lang w:val="en-US" w:eastAsia="zh-CN" w:bidi="ar"/>
              </w:rPr>
              <w:t>7</w:t>
            </w:r>
            <w:r>
              <w:rPr>
                <w:rFonts w:hint="default" w:ascii="Times New Roman" w:hAnsi="Times New Roman" w:eastAsia="宋体" w:cs="Times New Roman"/>
                <w:b/>
                <w:bCs/>
                <w:color w:val="auto"/>
                <w:kern w:val="2"/>
                <w:sz w:val="24"/>
                <w:szCs w:val="24"/>
                <w:lang w:val="en-US" w:eastAsia="zh-CN" w:bidi="ar"/>
              </w:rPr>
              <w:t>.</w:t>
            </w:r>
            <w:r>
              <w:rPr>
                <w:rFonts w:hint="eastAsia" w:cs="Times New Roman"/>
                <w:b/>
                <w:bCs/>
                <w:color w:val="auto"/>
                <w:kern w:val="2"/>
                <w:sz w:val="24"/>
                <w:szCs w:val="24"/>
                <w:lang w:val="en-US" w:eastAsia="zh-CN" w:bidi="ar"/>
              </w:rPr>
              <w:t>3</w:t>
            </w:r>
            <w:r>
              <w:rPr>
                <w:rFonts w:hint="default" w:ascii="Times New Roman" w:hAnsi="Times New Roman" w:eastAsia="宋体" w:cs="Times New Roman"/>
                <w:b/>
                <w:bCs/>
                <w:color w:val="auto"/>
                <w:kern w:val="2"/>
                <w:sz w:val="24"/>
                <w:szCs w:val="24"/>
                <w:lang w:val="en-US" w:eastAsia="zh-CN" w:bidi="ar"/>
              </w:rPr>
              <w:t>.1</w:t>
            </w:r>
            <w:r>
              <w:rPr>
                <w:rFonts w:hint="eastAsia" w:ascii="宋体" w:hAnsi="宋体" w:eastAsia="宋体" w:cs="宋体"/>
                <w:b/>
                <w:bCs/>
                <w:color w:val="auto"/>
                <w:kern w:val="2"/>
                <w:sz w:val="24"/>
                <w:szCs w:val="24"/>
                <w:lang w:val="en-US" w:eastAsia="zh-CN" w:bidi="ar"/>
              </w:rPr>
              <w:t>生产操作规范化措施</w:t>
            </w:r>
          </w:p>
          <w:p w14:paraId="008EC7CA">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color w:val="auto"/>
                <w:sz w:val="24"/>
                <w:szCs w:val="24"/>
                <w:lang w:val="en-US" w:eastAsia="zh-CN"/>
              </w:rPr>
            </w:pPr>
            <w:r>
              <w:rPr>
                <w:rFonts w:hint="default" w:ascii="Times New Roman" w:hAnsi="Times New Roman" w:eastAsia="宋体" w:cs="Times New Roman"/>
                <w:color w:val="auto"/>
                <w:kern w:val="2"/>
                <w:sz w:val="24"/>
                <w:szCs w:val="24"/>
                <w:lang w:val="en-US" w:eastAsia="zh-CN" w:bidi="ar"/>
              </w:rPr>
              <w:t>①</w:t>
            </w:r>
            <w:r>
              <w:rPr>
                <w:rFonts w:hint="eastAsia" w:ascii="宋体" w:hAnsi="宋体" w:eastAsia="宋体" w:cs="宋体"/>
                <w:color w:val="auto"/>
                <w:kern w:val="2"/>
                <w:sz w:val="24"/>
                <w:szCs w:val="24"/>
                <w:lang w:val="en-US" w:eastAsia="zh-CN" w:bidi="ar"/>
              </w:rPr>
              <w:t>生产车间应按规范配置灭火器材和消防装备。</w:t>
            </w:r>
          </w:p>
          <w:p w14:paraId="1145B01E">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②</w:t>
            </w:r>
            <w:r>
              <w:rPr>
                <w:rFonts w:hint="eastAsia" w:ascii="宋体" w:hAnsi="宋体" w:eastAsia="宋体" w:cs="宋体"/>
                <w:color w:val="auto"/>
                <w:kern w:val="2"/>
                <w:sz w:val="24"/>
                <w:szCs w:val="24"/>
                <w:lang w:val="en-US" w:eastAsia="zh-CN" w:bidi="ar"/>
              </w:rPr>
              <w:t>制定巡查制度，对有事故迹象的部位及时采取处理措施。</w:t>
            </w:r>
          </w:p>
          <w:p w14:paraId="057438DF">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③</w:t>
            </w:r>
            <w:r>
              <w:rPr>
                <w:rFonts w:hint="eastAsia" w:ascii="宋体" w:hAnsi="宋体" w:eastAsia="宋体" w:cs="宋体"/>
                <w:color w:val="auto"/>
                <w:kern w:val="2"/>
                <w:sz w:val="24"/>
                <w:szCs w:val="24"/>
                <w:lang w:val="en-US" w:eastAsia="zh-CN" w:bidi="ar"/>
              </w:rPr>
              <w:t>加强火源管理，杜绝各种火种，严禁闲杂人员入内。</w:t>
            </w:r>
          </w:p>
          <w:p w14:paraId="3471E851">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④</w:t>
            </w:r>
            <w:r>
              <w:rPr>
                <w:rFonts w:hint="eastAsia" w:ascii="宋体" w:hAnsi="宋体" w:eastAsia="宋体" w:cs="宋体"/>
                <w:color w:val="auto"/>
                <w:kern w:val="2"/>
                <w:sz w:val="24"/>
                <w:szCs w:val="24"/>
                <w:lang w:val="en-US" w:eastAsia="zh-CN" w:bidi="ar"/>
              </w:rPr>
              <w:t>全厂建立健全健康</w:t>
            </w:r>
            <w:r>
              <w:rPr>
                <w:rFonts w:hint="default" w:ascii="Times New Roman" w:hAnsi="Times New Roman" w:eastAsia="宋体" w:cs="Times New Roman"/>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安全</w:t>
            </w:r>
            <w:r>
              <w:rPr>
                <w:rFonts w:hint="default" w:ascii="Times New Roman" w:hAnsi="Times New Roman" w:eastAsia="宋体" w:cs="Times New Roman"/>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环境管理制度，并严格予以执行；建立健全档案管理制度，做好产品和生产工艺有关的设计资料，指导安全生产运行的资料，设备购置、运行、维修和维护、检测、报废、处置的信息和资料，事故统计、分析、处理、整改措施落实的音像、实物、文件等资料的严格管理；建立汇报、抽查、定期检查相结合的安全检查制度，及时发现安全隐患并采取有效措施消除；建立严格的从业人员上岗培训制度，依法参加工伤保险，为从业人员缴纳保险费，为从业人员配备符合国家或行业标准规定的劳动防护用品；应按照《安全标志及其使用导则》</w:t>
            </w:r>
            <w:r>
              <w:rPr>
                <w:rFonts w:hint="default" w:ascii="Times New Roman" w:hAnsi="Times New Roman" w:eastAsia="宋体" w:cs="Times New Roman"/>
                <w:color w:val="auto"/>
                <w:kern w:val="2"/>
                <w:sz w:val="24"/>
                <w:szCs w:val="24"/>
                <w:lang w:val="en-US" w:eastAsia="zh-CN" w:bidi="ar"/>
              </w:rPr>
              <w:t>(GB2894-2008)</w:t>
            </w:r>
            <w:r>
              <w:rPr>
                <w:rFonts w:hint="eastAsia" w:ascii="宋体" w:hAnsi="宋体" w:eastAsia="宋体" w:cs="宋体"/>
                <w:color w:val="auto"/>
                <w:kern w:val="2"/>
                <w:sz w:val="24"/>
                <w:szCs w:val="24"/>
                <w:lang w:val="en-US" w:eastAsia="zh-CN" w:bidi="ar"/>
              </w:rPr>
              <w:t>、《安全色》</w:t>
            </w:r>
            <w:r>
              <w:rPr>
                <w:rFonts w:hint="eastAsia" w:cs="Times New Roman"/>
                <w:color w:val="auto"/>
                <w:kern w:val="2"/>
                <w:sz w:val="24"/>
                <w:szCs w:val="24"/>
                <w:lang w:val="en-US" w:eastAsia="zh-CN" w:bidi="ar"/>
              </w:rPr>
              <w:t>（</w:t>
            </w:r>
            <w:r>
              <w:rPr>
                <w:rFonts w:hint="default" w:ascii="Times New Roman" w:hAnsi="Times New Roman" w:eastAsia="宋体" w:cs="Times New Roman"/>
                <w:color w:val="auto"/>
                <w:kern w:val="2"/>
                <w:sz w:val="24"/>
                <w:szCs w:val="24"/>
                <w:lang w:val="en-US" w:eastAsia="zh-CN" w:bidi="ar"/>
              </w:rPr>
              <w:t>GB2893-2008</w:t>
            </w:r>
            <w:r>
              <w:rPr>
                <w:rFonts w:hint="eastAsia" w:cs="Times New Roman"/>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的要求设置并管理安全标识，主要安全标识包括：禁止标志有“禁止吸烟”、“禁止烟火”、“禁止带火种”等；警告标志如“当心火灾”标志；消防安全标志如“灭火器”、“灭火设备或报警装置方向”；应急疏散指示标志如“安全出口”、“消防通道”等；使损失和对环境污染降到最低。</w:t>
            </w:r>
          </w:p>
          <w:p w14:paraId="437B62A7">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⑤</w:t>
            </w:r>
            <w:r>
              <w:rPr>
                <w:rFonts w:hint="eastAsia" w:ascii="宋体" w:hAnsi="宋体" w:eastAsia="宋体" w:cs="宋体"/>
                <w:color w:val="auto"/>
                <w:kern w:val="2"/>
                <w:sz w:val="24"/>
                <w:szCs w:val="24"/>
                <w:lang w:val="en-US" w:eastAsia="zh-CN" w:bidi="ar"/>
              </w:rPr>
              <w:t>企业应当备有消防设施配置图、现场平面布置图、排水管网分布图。</w:t>
            </w:r>
          </w:p>
          <w:p w14:paraId="3ED73800">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color w:val="auto"/>
                <w:kern w:val="2"/>
                <w:sz w:val="24"/>
                <w:szCs w:val="24"/>
              </w:rPr>
            </w:pPr>
            <w:r>
              <w:rPr>
                <w:rFonts w:hint="eastAsia" w:cs="Times New Roman"/>
                <w:b/>
                <w:bCs/>
                <w:color w:val="auto"/>
                <w:kern w:val="2"/>
                <w:sz w:val="24"/>
                <w:szCs w:val="24"/>
                <w:lang w:val="en-US" w:eastAsia="zh-CN" w:bidi="ar"/>
              </w:rPr>
              <w:t>7.</w:t>
            </w:r>
            <w:r>
              <w:rPr>
                <w:rFonts w:hint="default" w:ascii="Times New Roman" w:hAnsi="Times New Roman" w:eastAsia="宋体" w:cs="Times New Roman"/>
                <w:b/>
                <w:bCs/>
                <w:color w:val="auto"/>
                <w:kern w:val="2"/>
                <w:sz w:val="24"/>
                <w:szCs w:val="24"/>
                <w:lang w:val="en-US" w:eastAsia="zh-CN" w:bidi="ar"/>
              </w:rPr>
              <w:t>3.</w:t>
            </w:r>
            <w:r>
              <w:rPr>
                <w:rFonts w:hint="eastAsia" w:ascii="Times New Roman" w:hAnsi="Times New Roman" w:eastAsia="宋体" w:cs="Times New Roman"/>
                <w:b/>
                <w:bCs/>
                <w:color w:val="auto"/>
                <w:kern w:val="2"/>
                <w:sz w:val="24"/>
                <w:szCs w:val="24"/>
                <w:lang w:val="en-US" w:eastAsia="zh-CN" w:bidi="ar"/>
              </w:rPr>
              <w:t>2</w:t>
            </w:r>
            <w:r>
              <w:rPr>
                <w:rFonts w:hint="eastAsia" w:ascii="宋体" w:hAnsi="宋体" w:eastAsia="宋体" w:cs="宋体"/>
                <w:b/>
                <w:bCs/>
                <w:color w:val="auto"/>
                <w:kern w:val="2"/>
                <w:sz w:val="24"/>
                <w:szCs w:val="24"/>
                <w:lang w:val="en-US" w:eastAsia="zh-CN" w:bidi="ar"/>
              </w:rPr>
              <w:t>火灾事故风险防范措施</w:t>
            </w:r>
          </w:p>
          <w:p w14:paraId="0DB59233">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210" w:rightChars="100" w:firstLine="480" w:firstLineChars="200"/>
              <w:jc w:val="left"/>
              <w:textAlignment w:val="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lang w:val="en-US" w:eastAsia="zh-CN" w:bidi="ar"/>
              </w:rPr>
              <w:t>①</w:t>
            </w:r>
            <w:r>
              <w:rPr>
                <w:rFonts w:hint="eastAsia" w:ascii="宋体" w:hAnsi="宋体" w:eastAsia="宋体" w:cs="宋体"/>
                <w:color w:val="auto"/>
                <w:kern w:val="2"/>
                <w:sz w:val="24"/>
                <w:szCs w:val="24"/>
                <w:lang w:val="en-US" w:eastAsia="zh-CN" w:bidi="ar"/>
              </w:rPr>
              <w:t>在车间和原料库的明显位置张贴禁用明火的告示，</w:t>
            </w:r>
            <w:r>
              <w:rPr>
                <w:rFonts w:hint="eastAsia" w:ascii="宋体" w:hAnsi="宋体" w:cs="宋体"/>
                <w:color w:val="auto"/>
                <w:kern w:val="2"/>
                <w:sz w:val="24"/>
                <w:szCs w:val="24"/>
                <w:lang w:val="en-US" w:eastAsia="zh-CN" w:bidi="ar"/>
              </w:rPr>
              <w:t>一般固废间</w:t>
            </w:r>
            <w:r>
              <w:rPr>
                <w:rFonts w:hint="eastAsia" w:ascii="宋体" w:hAnsi="宋体" w:eastAsia="宋体" w:cs="宋体"/>
                <w:color w:val="auto"/>
                <w:kern w:val="2"/>
                <w:sz w:val="24"/>
                <w:szCs w:val="24"/>
                <w:lang w:val="en-US" w:eastAsia="zh-CN" w:bidi="ar"/>
              </w:rPr>
              <w:t>和车间内设置移动式泡沫灭火器；</w:t>
            </w:r>
          </w:p>
          <w:p w14:paraId="5D6EEDF3">
            <w:pPr>
              <w:keepNext/>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ascii="宋体" w:hAnsi="宋体" w:eastAsia="宋体" w:cs="宋体"/>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②</w:t>
            </w:r>
            <w:r>
              <w:rPr>
                <w:rFonts w:hint="eastAsia" w:ascii="宋体" w:hAnsi="宋体" w:eastAsia="宋体" w:cs="宋体"/>
                <w:color w:val="auto"/>
                <w:kern w:val="2"/>
                <w:sz w:val="24"/>
                <w:szCs w:val="24"/>
                <w:lang w:val="en-US" w:eastAsia="zh-CN" w:bidi="ar"/>
              </w:rPr>
              <w:t>搬运和装卸时，应轻拿轻放</w:t>
            </w:r>
            <w:r>
              <w:rPr>
                <w:rFonts w:hint="eastAsia" w:ascii="宋体" w:hAnsi="宋体" w:cs="宋体"/>
                <w:color w:val="auto"/>
                <w:kern w:val="2"/>
                <w:sz w:val="24"/>
                <w:szCs w:val="24"/>
                <w:lang w:val="en-US" w:eastAsia="zh-CN" w:bidi="ar"/>
              </w:rPr>
              <w:t>。</w:t>
            </w:r>
          </w:p>
          <w:p w14:paraId="73370542">
            <w:pPr>
              <w:keepNext w:val="0"/>
              <w:keepLines w:val="0"/>
              <w:suppressLineNumbers w:val="0"/>
              <w:adjustRightInd w:val="0"/>
              <w:snapToGrid w:val="0"/>
              <w:spacing w:before="0" w:beforeAutospacing="0" w:after="0" w:afterAutospacing="0" w:line="360" w:lineRule="auto"/>
              <w:ind w:left="0" w:right="0" w:firstLine="482" w:firstLineChars="200"/>
              <w:outlineLvl w:val="1"/>
              <w:rPr>
                <w:rFonts w:hint="default" w:ascii="Times New Roman" w:hAnsi="Times New Roman" w:eastAsia="宋体" w:cs="Times New Roman"/>
                <w:b/>
                <w:bCs/>
                <w:color w:val="auto"/>
                <w:kern w:val="0"/>
                <w:sz w:val="24"/>
                <w:szCs w:val="21"/>
                <w:highlight w:val="none"/>
                <w:lang w:val="en-US" w:eastAsia="zh-CN"/>
              </w:rPr>
            </w:pPr>
            <w:r>
              <w:rPr>
                <w:rFonts w:hint="default" w:ascii="Times New Roman" w:hAnsi="Times New Roman" w:eastAsia="宋体" w:cs="Times New Roman"/>
                <w:b/>
                <w:bCs/>
                <w:color w:val="auto"/>
                <w:kern w:val="0"/>
                <w:sz w:val="24"/>
                <w:szCs w:val="21"/>
                <w:highlight w:val="none"/>
                <w:lang w:val="en-US" w:eastAsia="zh-CN"/>
              </w:rPr>
              <w:t>7.3.</w:t>
            </w:r>
            <w:r>
              <w:rPr>
                <w:rFonts w:hint="eastAsia" w:ascii="Times New Roman" w:hAnsi="Times New Roman" w:eastAsia="宋体" w:cs="Times New Roman"/>
                <w:b/>
                <w:bCs/>
                <w:color w:val="auto"/>
                <w:kern w:val="0"/>
                <w:sz w:val="24"/>
                <w:szCs w:val="21"/>
                <w:highlight w:val="none"/>
                <w:lang w:val="en-US" w:eastAsia="zh-CN"/>
              </w:rPr>
              <w:t>4</w:t>
            </w:r>
            <w:r>
              <w:rPr>
                <w:rFonts w:hint="default" w:ascii="Times New Roman" w:hAnsi="Times New Roman" w:eastAsia="宋体" w:cs="Times New Roman"/>
                <w:b/>
                <w:bCs/>
                <w:color w:val="auto"/>
                <w:kern w:val="0"/>
                <w:sz w:val="24"/>
                <w:szCs w:val="21"/>
                <w:highlight w:val="none"/>
                <w:lang w:val="en-US" w:eastAsia="zh-CN"/>
              </w:rPr>
              <w:t>泄</w:t>
            </w:r>
            <w:r>
              <w:rPr>
                <w:rFonts w:hint="eastAsia" w:cs="Times New Roman"/>
                <w:b/>
                <w:bCs/>
                <w:color w:val="auto"/>
                <w:kern w:val="0"/>
                <w:sz w:val="24"/>
                <w:szCs w:val="21"/>
                <w:highlight w:val="none"/>
                <w:lang w:val="en-US" w:eastAsia="zh-CN"/>
              </w:rPr>
              <w:t>漏</w:t>
            </w:r>
            <w:r>
              <w:rPr>
                <w:rFonts w:hint="default" w:ascii="Times New Roman" w:hAnsi="Times New Roman" w:eastAsia="宋体" w:cs="Times New Roman"/>
                <w:b/>
                <w:bCs/>
                <w:color w:val="auto"/>
                <w:kern w:val="0"/>
                <w:sz w:val="24"/>
                <w:szCs w:val="21"/>
                <w:highlight w:val="none"/>
                <w:lang w:val="en-US" w:eastAsia="zh-CN"/>
              </w:rPr>
              <w:t>风险防范措施</w:t>
            </w:r>
          </w:p>
          <w:p w14:paraId="5D65CA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32"/>
              </w:rPr>
            </w:pPr>
            <w:r>
              <w:rPr>
                <w:rFonts w:hint="default" w:ascii="Times New Roman" w:hAnsi="Times New Roman" w:eastAsia="宋体" w:cs="Times New Roman"/>
                <w:color w:val="auto"/>
                <w:kern w:val="2"/>
                <w:sz w:val="24"/>
                <w:szCs w:val="24"/>
                <w:lang w:val="en-US" w:eastAsia="zh-CN" w:bidi="ar"/>
              </w:rPr>
              <w:t>①</w:t>
            </w:r>
            <w:r>
              <w:rPr>
                <w:rFonts w:hint="default"/>
                <w:color w:val="auto"/>
                <w:sz w:val="24"/>
                <w:szCs w:val="32"/>
              </w:rPr>
              <w:t>若</w:t>
            </w:r>
            <w:r>
              <w:rPr>
                <w:rFonts w:hint="default"/>
                <w:color w:val="auto"/>
                <w:sz w:val="24"/>
                <w:szCs w:val="32"/>
                <w:lang w:eastAsia="zh-CN"/>
              </w:rPr>
              <w:t>废水管道破裂</w:t>
            </w:r>
            <w:r>
              <w:rPr>
                <w:rFonts w:hint="default"/>
                <w:color w:val="auto"/>
                <w:sz w:val="24"/>
                <w:szCs w:val="32"/>
              </w:rPr>
              <w:t>，会导致泄漏，一旦发生泄漏事故，立即采用干</w:t>
            </w:r>
            <w:r>
              <w:rPr>
                <w:rFonts w:hint="default"/>
                <w:color w:val="auto"/>
                <w:sz w:val="24"/>
                <w:szCs w:val="32"/>
                <w:lang w:eastAsia="zh-CN"/>
              </w:rPr>
              <w:t>土</w:t>
            </w:r>
            <w:r>
              <w:rPr>
                <w:rFonts w:hint="default"/>
                <w:color w:val="auto"/>
                <w:sz w:val="24"/>
                <w:szCs w:val="32"/>
              </w:rPr>
              <w:t>对</w:t>
            </w:r>
            <w:r>
              <w:rPr>
                <w:rFonts w:hint="default"/>
                <w:color w:val="auto"/>
                <w:sz w:val="24"/>
                <w:szCs w:val="32"/>
                <w:lang w:eastAsia="zh-CN"/>
              </w:rPr>
              <w:t>废水</w:t>
            </w:r>
            <w:r>
              <w:rPr>
                <w:rFonts w:hint="default"/>
                <w:color w:val="auto"/>
                <w:sz w:val="24"/>
                <w:szCs w:val="32"/>
              </w:rPr>
              <w:t>进行吸附，避免</w:t>
            </w:r>
            <w:r>
              <w:rPr>
                <w:rFonts w:hint="default"/>
                <w:color w:val="auto"/>
                <w:sz w:val="24"/>
                <w:szCs w:val="32"/>
                <w:lang w:eastAsia="zh-CN"/>
              </w:rPr>
              <w:t>废水</w:t>
            </w:r>
            <w:r>
              <w:rPr>
                <w:rFonts w:hint="default"/>
                <w:color w:val="auto"/>
                <w:sz w:val="24"/>
                <w:szCs w:val="32"/>
              </w:rPr>
              <w:t>进一步溢流，及时控制泄漏事故一般10min左右可处置完毕,吸附后的干</w:t>
            </w:r>
            <w:r>
              <w:rPr>
                <w:rFonts w:hint="default"/>
                <w:color w:val="auto"/>
                <w:sz w:val="24"/>
                <w:szCs w:val="32"/>
                <w:lang w:eastAsia="zh-CN"/>
              </w:rPr>
              <w:t>土作为一般固废处置</w:t>
            </w:r>
            <w:r>
              <w:rPr>
                <w:rFonts w:hint="default"/>
                <w:color w:val="auto"/>
                <w:sz w:val="24"/>
                <w:szCs w:val="32"/>
              </w:rPr>
              <w:t>。</w:t>
            </w:r>
          </w:p>
          <w:p w14:paraId="1B310E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32"/>
              </w:rPr>
            </w:pPr>
            <w:r>
              <w:rPr>
                <w:rFonts w:hint="default" w:ascii="Times New Roman" w:hAnsi="Times New Roman" w:eastAsia="宋体" w:cs="Times New Roman"/>
                <w:color w:val="auto"/>
                <w:kern w:val="2"/>
                <w:sz w:val="24"/>
                <w:szCs w:val="24"/>
                <w:lang w:val="en-US" w:eastAsia="zh-CN" w:bidi="ar"/>
              </w:rPr>
              <w:t>②</w:t>
            </w:r>
            <w:r>
              <w:rPr>
                <w:rFonts w:hint="eastAsia" w:cs="Times New Roman"/>
                <w:color w:val="auto"/>
                <w:kern w:val="2"/>
                <w:sz w:val="24"/>
                <w:szCs w:val="24"/>
                <w:lang w:val="en-US" w:eastAsia="zh-CN" w:bidi="ar"/>
              </w:rPr>
              <w:t>定期检查废水管道的严密性、畅通性，若发现损坏现象立即维修。</w:t>
            </w:r>
          </w:p>
          <w:p w14:paraId="79EFBA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color w:val="auto"/>
                <w:sz w:val="24"/>
                <w:szCs w:val="32"/>
                <w:lang w:val="en-US" w:eastAsia="zh-CN"/>
              </w:rPr>
            </w:pPr>
            <w:r>
              <w:rPr>
                <w:rFonts w:hint="eastAsia"/>
                <w:color w:val="auto"/>
                <w:sz w:val="24"/>
                <w:szCs w:val="32"/>
                <w:lang w:val="en-US" w:eastAsia="zh-CN"/>
              </w:rPr>
              <w:t>综上所述，本项目不存在重大危险源，只要项目严格落实上述措施，做好预防和应急措施，并加强防范意识，则项目运营期间发生环境风险的概率较小。建设单位对事故的预先判断准确及时，并采取正确的方法应对，则风险事故对周围环境的影响将大大降低。因此，项目的建设，从风险评价的角度分析是可行的。</w:t>
            </w:r>
          </w:p>
          <w:p w14:paraId="457CE5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8.环保设施安全生产工作要求</w:t>
            </w:r>
          </w:p>
          <w:p w14:paraId="10BF6F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8.1设施安全设计</w:t>
            </w:r>
          </w:p>
          <w:p w14:paraId="748064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环保设施应符合相关安全规范和标准，设计和建造时应采取安全措施，以预防事故和减少对环境的不良影响。</w:t>
            </w:r>
          </w:p>
          <w:p w14:paraId="2BE0C4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8.2安全设施和装备</w:t>
            </w:r>
          </w:p>
          <w:p w14:paraId="535FB6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环保设施应配备必要的安全设施和装备，如防爆装置、泄漏控制设备、紧急救援设备等，以防止事故发生和及时响应。</w:t>
            </w:r>
          </w:p>
          <w:p w14:paraId="115AE9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8.3安全管理制度</w:t>
            </w:r>
          </w:p>
          <w:p w14:paraId="2162A6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环保设施管理者应建立和落实一套完整的安全管理制度，包括设施操作规程、应急预案、事故报告和调查程序等，以确保设施的安全运营。</w:t>
            </w:r>
          </w:p>
          <w:p w14:paraId="1011B7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8.4安全培训和教育</w:t>
            </w:r>
          </w:p>
          <w:p w14:paraId="64C1C0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应确保设施操作人员接</w:t>
            </w:r>
            <w:r>
              <w:rPr>
                <w:rFonts w:hint="eastAsia" w:cs="Times New Roman"/>
                <w:color w:val="auto"/>
                <w:sz w:val="24"/>
                <w:szCs w:val="24"/>
                <w:lang w:val="en-US" w:eastAsia="zh-CN"/>
              </w:rPr>
              <w:t>受</w:t>
            </w:r>
            <w:r>
              <w:rPr>
                <w:rFonts w:hint="default" w:ascii="Times New Roman" w:hAnsi="Times New Roman" w:eastAsia="宋体" w:cs="Times New Roman"/>
                <w:color w:val="auto"/>
                <w:sz w:val="24"/>
                <w:szCs w:val="24"/>
                <w:lang w:val="en-US" w:eastAsia="zh-CN"/>
              </w:rPr>
              <w:t>必要的安全培训和教育，了解设施的安全操作规程、紧急情况下的应对措施等。</w:t>
            </w:r>
          </w:p>
          <w:p w14:paraId="17A934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8.5安全监测和检查</w:t>
            </w:r>
          </w:p>
          <w:p w14:paraId="0B62B1C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环评建议企业建立环保设施安全生产管理制度，推动企业主要负责人严格履行第一责任人责任，全面负责落实本单位的环保设备设施安全生产工作；开展环保设备设施安全风险辨识评估，安排专人定期对厂区内环保设施进行巡检，系统排查隐患，对存在风险隐患的部位提出整改措施并落实到位，及时消除隐患，并按照相关要求建立隐患整改台账；对涉环保设备设施相关岗位人员进行操作规程、风险管控、应急处置等专项安全培训教育，加强职工的防范意识。杜绝隐患发生，确保环保设施正常运转。</w:t>
            </w:r>
          </w:p>
          <w:p w14:paraId="2607F5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8.6事故应急管理</w:t>
            </w:r>
          </w:p>
          <w:p w14:paraId="23F474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设施管理者应制定和实施应急预案，包括事故报告和调查、事故处置措施、群众疏散等，以应对可能发生的事故情况。</w:t>
            </w:r>
          </w:p>
          <w:p w14:paraId="07D74E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241" w:firstLineChars="1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8.7安全评估和审查</w:t>
            </w:r>
          </w:p>
          <w:p w14:paraId="62ADBB1F">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对新建或改建的环保设施，应进行安全评估和审查，确保设施具备安全性和可持续性。</w:t>
            </w:r>
            <w:r>
              <w:rPr>
                <w:rFonts w:hint="eastAsia" w:cs="Times New Roman"/>
                <w:color w:val="auto"/>
                <w:sz w:val="24"/>
                <w:szCs w:val="24"/>
                <w:lang w:val="en-US" w:eastAsia="zh-CN"/>
              </w:rPr>
              <w:t>.</w:t>
            </w:r>
          </w:p>
          <w:p w14:paraId="1365DEDF">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7730CC77">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08109615">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07FCD834">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4DFBF09D">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231DC25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4B540E7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5DCAD70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3440F12D">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699BECEE">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6C7D339D">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firstLine="240" w:firstLineChars="100"/>
              <w:jc w:val="both"/>
              <w:textAlignment w:val="auto"/>
              <w:rPr>
                <w:rFonts w:hint="eastAsia" w:cs="Times New Roman"/>
                <w:color w:val="auto"/>
                <w:sz w:val="24"/>
                <w:szCs w:val="24"/>
                <w:lang w:val="en-US" w:eastAsia="zh-CN"/>
              </w:rPr>
            </w:pPr>
          </w:p>
          <w:p w14:paraId="41C95424">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360" w:lineRule="auto"/>
              <w:ind w:left="0" w:right="0"/>
              <w:jc w:val="both"/>
              <w:textAlignment w:val="auto"/>
              <w:rPr>
                <w:rFonts w:hint="default" w:cs="Times New Roman"/>
                <w:color w:val="auto"/>
                <w:sz w:val="24"/>
                <w:szCs w:val="24"/>
                <w:lang w:val="en-US" w:eastAsia="zh-CN"/>
              </w:rPr>
            </w:pPr>
          </w:p>
        </w:tc>
      </w:tr>
    </w:tbl>
    <w:p w14:paraId="59A4E376">
      <w:pPr>
        <w:pStyle w:val="23"/>
        <w:jc w:val="center"/>
        <w:outlineLvl w:val="0"/>
        <w:rPr>
          <w:rFonts w:hint="eastAsia" w:ascii="Times New Roman" w:hAnsi="Times New Roman" w:eastAsia="黑体" w:cs="Times New Roman"/>
          <w:snapToGrid w:val="0"/>
          <w:color w:val="000000"/>
          <w:sz w:val="30"/>
          <w:szCs w:val="30"/>
          <w:highlight w:val="none"/>
          <w:u w:val="none" w:color="auto"/>
        </w:rPr>
        <w:sectPr>
          <w:pgSz w:w="11907" w:h="16840"/>
          <w:pgMar w:top="1701" w:right="1531" w:bottom="2127"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1C0CDFDE">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ascii="Times New Roman" w:hAnsi="Times New Roman" w:eastAsia="黑体" w:cs="Times New Roman"/>
          <w:snapToGrid w:val="0"/>
          <w:color w:val="000000"/>
          <w:sz w:val="30"/>
          <w:szCs w:val="30"/>
          <w:highlight w:val="none"/>
          <w:u w:val="none" w:color="auto"/>
        </w:rPr>
      </w:pPr>
      <w:bookmarkStart w:id="38" w:name="_Toc20135"/>
      <w:bookmarkStart w:id="39" w:name="_Toc14450"/>
      <w:bookmarkStart w:id="40" w:name="_Toc22315"/>
      <w:r>
        <w:rPr>
          <w:rFonts w:hint="eastAsia" w:ascii="Times New Roman" w:hAnsi="Times New Roman" w:eastAsia="黑体" w:cs="Times New Roman"/>
          <w:snapToGrid w:val="0"/>
          <w:color w:val="000000"/>
          <w:sz w:val="30"/>
          <w:szCs w:val="30"/>
          <w:highlight w:val="none"/>
          <w:u w:val="none" w:color="auto"/>
        </w:rPr>
        <w:t>五、</w:t>
      </w:r>
      <w:bookmarkStart w:id="41" w:name="_Hlk54167917"/>
      <w:r>
        <w:rPr>
          <w:rFonts w:hint="eastAsia" w:ascii="Times New Roman" w:hAnsi="Times New Roman" w:eastAsia="黑体" w:cs="Times New Roman"/>
          <w:snapToGrid w:val="0"/>
          <w:color w:val="000000"/>
          <w:sz w:val="30"/>
          <w:szCs w:val="30"/>
          <w:highlight w:val="none"/>
          <w:u w:val="none" w:color="auto"/>
        </w:rPr>
        <w:t>环境保护措施监督检查清单</w:t>
      </w:r>
      <w:bookmarkEnd w:id="38"/>
      <w:bookmarkEnd w:id="39"/>
      <w:bookmarkEnd w:id="40"/>
      <w:bookmarkEnd w:id="41"/>
    </w:p>
    <w:tbl>
      <w:tblPr>
        <w:tblStyle w:val="27"/>
        <w:tblW w:w="9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2"/>
        <w:gridCol w:w="1452"/>
        <w:gridCol w:w="1431"/>
        <w:gridCol w:w="2790"/>
        <w:gridCol w:w="2139"/>
      </w:tblGrid>
      <w:tr w14:paraId="1CFD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6" w:hRule="atLeast"/>
          <w:jc w:val="center"/>
        </w:trPr>
        <w:tc>
          <w:tcPr>
            <w:tcW w:w="1502" w:type="dxa"/>
            <w:tcBorders>
              <w:tl2br w:val="nil"/>
              <w:tr2bl w:val="nil"/>
            </w:tcBorders>
            <w:noWrap w:val="0"/>
            <w:vAlign w:val="top"/>
            <mc:AlternateContent>
              <mc:Choice Requires="wpsCustomData">
                <wpsCustomData:diagonals>
                  <wpsCustomData:diagonal from="10000" to="30000">
                    <wpsCustomData:border w:val="single" w:color="auto" w:sz="4" w:space="0"/>
                  </wpsCustomData:diagonal>
                </wpsCustomData:diagonals>
              </mc:Choice>
            </mc:AlternateContent>
          </w:tcPr>
          <w:p w14:paraId="365CB2C2">
            <w:pPr>
              <w:keepNext w:val="0"/>
              <w:keepLines w:val="0"/>
              <w:suppressLineNumbers w:val="0"/>
              <w:spacing w:before="0" w:beforeAutospacing="0" w:after="0" w:afterAutospacing="0"/>
              <w:ind w:left="0" w:right="0"/>
              <w:rPr>
                <w:rFonts w:hint="default" w:ascii="Times New Roman" w:hAnsi="Times New Roman" w:eastAsia="宋体" w:cs="Times New Roman"/>
                <w:b/>
                <w:bCs/>
                <w:color w:val="auto"/>
                <w:sz w:val="24"/>
                <w:szCs w:val="24"/>
                <w:highlight w:val="none"/>
                <w:u w:val="none" w:color="auto"/>
              </w:rPr>
            </w:pPr>
          </w:p>
          <w:p w14:paraId="47023F49">
            <w:pPr>
              <w:keepNext w:val="0"/>
              <w:keepLines w:val="0"/>
              <w:suppressLineNumbers w:val="0"/>
              <w:spacing w:before="0" w:beforeAutospacing="0" w:after="0" w:afterAutospacing="0"/>
              <w:ind w:left="0" w:right="0"/>
              <mc:AlternateContent>
                <mc:Choice Requires="wpsCustomData">
                  <wpsCustomData:diagonalParaType/>
                </mc:Choice>
              </mc:AlternateContent>
              <w:rPr>
                <w:rFonts w:hint="eastAsia" w:ascii="Times New Roman" w:hAnsi="Times New Roman" w:eastAsia="宋体" w:cs="Times New Roman"/>
                <w:b/>
                <w:bCs/>
                <w:color w:val="auto"/>
                <w:sz w:val="24"/>
                <w:szCs w:val="24"/>
                <w:highlight w:val="none"/>
                <w:u w:val="none" w:color="auto"/>
                <w:lang w:eastAsia="zh-CN"/>
              </w:rPr>
            </w:pPr>
            <w:r>
              <w:rPr>
                <w:rFonts w:hint="eastAsia" w:ascii="Times New Roman" w:hAnsi="Times New Roman" w:eastAsia="宋体" w:cs="Times New Roman"/>
                <w:b/>
                <w:bCs/>
                <w:color w:val="auto"/>
                <w:sz w:val="24"/>
                <w:szCs w:val="24"/>
                <w:highlight w:val="none"/>
                <w:u w:val="none" w:color="auto"/>
                <w:lang w:eastAsia="zh-CN"/>
              </w:rPr>
              <w:t>要素</w:t>
            </w:r>
          </w:p>
          <w:p w14:paraId="4D9809AC">
            <w:pPr>
              <w:keepNext w:val="0"/>
              <w:keepLines w:val="0"/>
              <w:suppressLineNumbers w:val="0"/>
              <w:adjustRightInd w:val="0"/>
              <w:snapToGrid w:val="0"/>
              <w:spacing w:before="0" w:beforeAutospacing="0" w:after="0" w:afterAutospacing="0"/>
              <w:ind w:left="0" w:right="0"/>
              <w:jc w:val="right"/>
              <w:rPr>
                <w:rFonts w:hint="eastAsia" w:ascii="Times New Roman" w:hAnsi="Times New Roman" w:eastAsia="宋体" w:cs="Times New Roman"/>
                <w:b/>
                <w:bCs/>
                <w:color w:val="auto"/>
                <w:sz w:val="24"/>
                <w:szCs w:val="24"/>
                <w:highlight w:val="none"/>
                <w:u w:val="none" w:color="auto"/>
                <w:lang w:eastAsia="zh-CN"/>
              </w:rPr>
            </w:pPr>
            <w:r>
              <w:rPr>
                <w:rFonts w:hint="eastAsia" w:ascii="Times New Roman" w:hAnsi="Times New Roman" w:eastAsia="宋体" w:cs="Times New Roman"/>
                <w:b/>
                <w:bCs/>
                <w:color w:val="auto"/>
                <w:sz w:val="24"/>
                <w:szCs w:val="24"/>
                <w:highlight w:val="none"/>
                <w:u w:val="none" w:color="auto"/>
                <w:lang w:eastAsia="zh-CN"/>
              </w:rPr>
              <w:t>内容</w:t>
            </w:r>
          </w:p>
        </w:tc>
        <w:tc>
          <w:tcPr>
            <w:tcW w:w="1452" w:type="dxa"/>
            <w:tcBorders>
              <w:tl2br w:val="nil"/>
              <w:tr2bl w:val="nil"/>
            </w:tcBorders>
            <w:noWrap w:val="0"/>
            <w:vAlign w:val="center"/>
          </w:tcPr>
          <w:p w14:paraId="0C6F6F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排放口(编号、名称)/污染源</w:t>
            </w:r>
          </w:p>
        </w:tc>
        <w:tc>
          <w:tcPr>
            <w:tcW w:w="1431" w:type="dxa"/>
            <w:tcBorders>
              <w:tl2br w:val="nil"/>
              <w:tr2bl w:val="nil"/>
            </w:tcBorders>
            <w:noWrap w:val="0"/>
            <w:vAlign w:val="center"/>
          </w:tcPr>
          <w:p w14:paraId="5EED62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污染物项目</w:t>
            </w:r>
          </w:p>
        </w:tc>
        <w:tc>
          <w:tcPr>
            <w:tcW w:w="2790" w:type="dxa"/>
            <w:tcBorders>
              <w:tl2br w:val="nil"/>
              <w:tr2bl w:val="nil"/>
            </w:tcBorders>
            <w:noWrap w:val="0"/>
            <w:vAlign w:val="center"/>
          </w:tcPr>
          <w:p w14:paraId="665121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环境保护措施</w:t>
            </w:r>
          </w:p>
        </w:tc>
        <w:tc>
          <w:tcPr>
            <w:tcW w:w="2139" w:type="dxa"/>
            <w:tcBorders>
              <w:tl2br w:val="nil"/>
              <w:tr2bl w:val="nil"/>
            </w:tcBorders>
            <w:noWrap w:val="0"/>
            <w:vAlign w:val="center"/>
          </w:tcPr>
          <w:p w14:paraId="0D0664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4"/>
                <w:szCs w:val="24"/>
                <w:highlight w:val="none"/>
                <w:u w:val="none" w:color="auto"/>
              </w:rPr>
            </w:pPr>
            <w:r>
              <w:rPr>
                <w:rFonts w:hint="default" w:ascii="Times New Roman" w:hAnsi="Times New Roman" w:eastAsia="宋体" w:cs="Times New Roman"/>
                <w:b/>
                <w:bCs/>
                <w:color w:val="auto"/>
                <w:sz w:val="24"/>
                <w:szCs w:val="24"/>
                <w:highlight w:val="none"/>
                <w:u w:val="none" w:color="auto"/>
              </w:rPr>
              <w:t>执行标准</w:t>
            </w:r>
          </w:p>
        </w:tc>
      </w:tr>
      <w:tr w14:paraId="28F43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502" w:type="dxa"/>
            <w:tcBorders>
              <w:tl2br w:val="nil"/>
              <w:tr2bl w:val="nil"/>
            </w:tcBorders>
            <w:noWrap w:val="0"/>
            <w:vAlign w:val="center"/>
          </w:tcPr>
          <w:p w14:paraId="35F0D1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大气环境</w:t>
            </w:r>
          </w:p>
        </w:tc>
        <w:tc>
          <w:tcPr>
            <w:tcW w:w="1452" w:type="dxa"/>
            <w:tcBorders>
              <w:tl2br w:val="nil"/>
              <w:tr2bl w:val="nil"/>
            </w:tcBorders>
            <w:noWrap w:val="0"/>
            <w:vAlign w:val="center"/>
          </w:tcPr>
          <w:p w14:paraId="3A30E6A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pacing w:val="-10"/>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w:t>
            </w:r>
          </w:p>
        </w:tc>
        <w:tc>
          <w:tcPr>
            <w:tcW w:w="1431" w:type="dxa"/>
            <w:tcBorders>
              <w:tl2br w:val="nil"/>
              <w:tr2bl w:val="nil"/>
            </w:tcBorders>
            <w:noWrap w:val="0"/>
            <w:vAlign w:val="center"/>
          </w:tcPr>
          <w:p w14:paraId="215AF21E">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lang w:val="en-US" w:eastAsia="zh-CN"/>
              </w:rPr>
              <w:t>/</w:t>
            </w:r>
          </w:p>
        </w:tc>
        <w:tc>
          <w:tcPr>
            <w:tcW w:w="2790" w:type="dxa"/>
            <w:tcBorders>
              <w:tl2br w:val="nil"/>
              <w:tr2bl w:val="nil"/>
            </w:tcBorders>
            <w:noWrap w:val="0"/>
            <w:vAlign w:val="center"/>
          </w:tcPr>
          <w:p w14:paraId="6049C1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w:t>
            </w:r>
          </w:p>
        </w:tc>
        <w:tc>
          <w:tcPr>
            <w:tcW w:w="2139" w:type="dxa"/>
            <w:tcBorders>
              <w:tl2br w:val="nil"/>
              <w:tr2bl w:val="nil"/>
            </w:tcBorders>
            <w:noWrap w:val="0"/>
            <w:vAlign w:val="center"/>
          </w:tcPr>
          <w:p w14:paraId="520BC8A5">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rPr>
              <w:t>/</w:t>
            </w:r>
          </w:p>
        </w:tc>
      </w:tr>
      <w:tr w14:paraId="3FC4C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502" w:type="dxa"/>
            <w:tcBorders>
              <w:tl2br w:val="nil"/>
              <w:tr2bl w:val="nil"/>
            </w:tcBorders>
            <w:noWrap w:val="0"/>
            <w:vAlign w:val="center"/>
          </w:tcPr>
          <w:p w14:paraId="75114C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地表水环境</w:t>
            </w:r>
          </w:p>
        </w:tc>
        <w:tc>
          <w:tcPr>
            <w:tcW w:w="1452" w:type="dxa"/>
            <w:tcBorders>
              <w:tl2br w:val="nil"/>
              <w:tr2bl w:val="nil"/>
            </w:tcBorders>
            <w:noWrap w:val="0"/>
            <w:vAlign w:val="center"/>
          </w:tcPr>
          <w:p w14:paraId="5B0F2A1C">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4"/>
                <w:szCs w:val="24"/>
                <w:highlight w:val="none"/>
                <w:u w:val="none" w:color="auto"/>
              </w:rPr>
            </w:pPr>
            <w:r>
              <w:rPr>
                <w:rFonts w:hint="eastAsia" w:cs="Times New Roman"/>
                <w:color w:val="auto"/>
                <w:sz w:val="24"/>
                <w:szCs w:val="24"/>
                <w:u w:val="none" w:color="auto"/>
                <w:lang w:val="en-US" w:eastAsia="zh-CN"/>
              </w:rPr>
              <w:t>生产废水</w:t>
            </w:r>
          </w:p>
        </w:tc>
        <w:tc>
          <w:tcPr>
            <w:tcW w:w="1431" w:type="dxa"/>
            <w:tcBorders>
              <w:tl2br w:val="nil"/>
              <w:tr2bl w:val="nil"/>
            </w:tcBorders>
            <w:noWrap w:val="0"/>
            <w:vAlign w:val="center"/>
          </w:tcPr>
          <w:p w14:paraId="601B1FED">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4"/>
                <w:szCs w:val="24"/>
                <w:highlight w:val="none"/>
                <w:u w:val="none" w:color="auto"/>
                <w:lang w:val="en-US" w:eastAsia="zh-CN"/>
              </w:rPr>
            </w:pPr>
            <w:r>
              <w:rPr>
                <w:rFonts w:hint="eastAsia" w:cs="Times New Roman"/>
                <w:color w:val="auto"/>
                <w:sz w:val="24"/>
                <w:szCs w:val="24"/>
                <w:u w:val="none" w:color="auto"/>
                <w:lang w:val="en-US" w:eastAsia="zh-CN"/>
              </w:rPr>
              <w:t>冷却水</w:t>
            </w:r>
          </w:p>
        </w:tc>
        <w:tc>
          <w:tcPr>
            <w:tcW w:w="2790" w:type="dxa"/>
            <w:tcBorders>
              <w:tl2br w:val="nil"/>
              <w:tr2bl w:val="nil"/>
            </w:tcBorders>
            <w:noWrap w:val="0"/>
            <w:vAlign w:val="center"/>
          </w:tcPr>
          <w:p w14:paraId="712F939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4"/>
                <w:szCs w:val="24"/>
                <w:highlight w:val="none"/>
                <w:u w:val="none" w:color="auto"/>
                <w:lang w:val="en-US" w:eastAsia="zh-CN"/>
              </w:rPr>
            </w:pPr>
            <w:r>
              <w:rPr>
                <w:rFonts w:hint="eastAsia" w:cs="Times New Roman"/>
                <w:color w:val="auto"/>
                <w:sz w:val="24"/>
                <w:szCs w:val="24"/>
                <w:u w:val="none" w:color="auto"/>
                <w:vertAlign w:val="baseline"/>
                <w:lang w:val="en-US" w:eastAsia="zh-CN"/>
              </w:rPr>
              <w:t>流入冷却池循环使用</w:t>
            </w:r>
          </w:p>
        </w:tc>
        <w:tc>
          <w:tcPr>
            <w:tcW w:w="2139" w:type="dxa"/>
            <w:tcBorders>
              <w:tl2br w:val="nil"/>
              <w:tr2bl w:val="nil"/>
            </w:tcBorders>
            <w:noWrap w:val="0"/>
            <w:vAlign w:val="center"/>
          </w:tcPr>
          <w:p w14:paraId="1D5D71F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4"/>
                <w:szCs w:val="24"/>
                <w:highlight w:val="none"/>
                <w:u w:val="none" w:color="auto"/>
              </w:rPr>
            </w:pPr>
            <w:r>
              <w:rPr>
                <w:rFonts w:hint="eastAsia" w:cs="Times New Roman"/>
                <w:color w:val="auto"/>
                <w:sz w:val="24"/>
                <w:szCs w:val="24"/>
                <w:u w:val="none" w:color="auto"/>
                <w:lang w:val="en-US" w:eastAsia="zh-CN"/>
              </w:rPr>
              <w:t>不外排</w:t>
            </w:r>
          </w:p>
        </w:tc>
      </w:tr>
      <w:tr w14:paraId="2906E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502" w:type="dxa"/>
            <w:tcBorders>
              <w:tl2br w:val="nil"/>
              <w:tr2bl w:val="nil"/>
            </w:tcBorders>
            <w:noWrap w:val="0"/>
            <w:vAlign w:val="center"/>
          </w:tcPr>
          <w:p w14:paraId="37743D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声环境</w:t>
            </w:r>
          </w:p>
        </w:tc>
        <w:tc>
          <w:tcPr>
            <w:tcW w:w="1452" w:type="dxa"/>
            <w:tcBorders>
              <w:tl2br w:val="nil"/>
              <w:tr2bl w:val="nil"/>
            </w:tcBorders>
            <w:noWrap w:val="0"/>
            <w:vAlign w:val="center"/>
          </w:tcPr>
          <w:p w14:paraId="5473F14A">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生产设备</w:t>
            </w:r>
          </w:p>
        </w:tc>
        <w:tc>
          <w:tcPr>
            <w:tcW w:w="1431" w:type="dxa"/>
            <w:tcBorders>
              <w:tl2br w:val="nil"/>
              <w:tr2bl w:val="nil"/>
            </w:tcBorders>
            <w:noWrap w:val="0"/>
            <w:vAlign w:val="center"/>
          </w:tcPr>
          <w:p w14:paraId="7E6045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等效连续A声级</w:t>
            </w:r>
          </w:p>
        </w:tc>
        <w:tc>
          <w:tcPr>
            <w:tcW w:w="2790" w:type="dxa"/>
            <w:tcBorders>
              <w:tl2br w:val="nil"/>
              <w:tr2bl w:val="nil"/>
            </w:tcBorders>
            <w:noWrap w:val="0"/>
            <w:vAlign w:val="center"/>
          </w:tcPr>
          <w:p w14:paraId="543531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cs="Times New Roman"/>
                <w:color w:val="auto"/>
                <w:sz w:val="24"/>
                <w:highlight w:val="none"/>
              </w:rPr>
              <w:t>基础减振+厂房隔声</w:t>
            </w:r>
          </w:p>
        </w:tc>
        <w:tc>
          <w:tcPr>
            <w:tcW w:w="2139" w:type="dxa"/>
            <w:tcBorders>
              <w:tl2br w:val="nil"/>
              <w:tr2bl w:val="nil"/>
            </w:tcBorders>
            <w:noWrap w:val="0"/>
            <w:vAlign w:val="center"/>
          </w:tcPr>
          <w:p w14:paraId="0E03068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szCs w:val="24"/>
                <w:highlight w:val="none"/>
                <w:u w:val="none" w:color="auto"/>
              </w:rPr>
            </w:pPr>
            <w:r>
              <w:rPr>
                <w:rFonts w:hint="default" w:ascii="Times New Roman" w:hAnsi="Times New Roman" w:cs="Times New Roman"/>
                <w:color w:val="auto"/>
                <w:sz w:val="24"/>
                <w:highlight w:val="none"/>
              </w:rPr>
              <w:t>《工业企业厂界环境噪声排放标准》（GB12348-2008）</w:t>
            </w:r>
            <w:r>
              <w:rPr>
                <w:rFonts w:hint="default" w:ascii="Times New Roman" w:hAnsi="Times New Roman" w:cs="Times New Roman"/>
                <w:color w:val="auto"/>
                <w:sz w:val="24"/>
                <w:highlight w:val="none"/>
                <w:lang w:eastAsia="zh-CN"/>
              </w:rPr>
              <w:t>中</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lang w:val="en-US" w:eastAsia="zh-CN"/>
              </w:rPr>
              <w:t>类标准</w:t>
            </w:r>
          </w:p>
        </w:tc>
      </w:tr>
      <w:tr w14:paraId="68F46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02" w:type="dxa"/>
            <w:tcBorders>
              <w:tl2br w:val="nil"/>
              <w:tr2bl w:val="nil"/>
            </w:tcBorders>
            <w:noWrap w:val="0"/>
            <w:vAlign w:val="center"/>
          </w:tcPr>
          <w:p w14:paraId="7C3D84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电磁辐射</w:t>
            </w:r>
          </w:p>
        </w:tc>
        <w:tc>
          <w:tcPr>
            <w:tcW w:w="7812" w:type="dxa"/>
            <w:gridSpan w:val="4"/>
            <w:tcBorders>
              <w:tl2br w:val="nil"/>
              <w:tr2bl w:val="nil"/>
            </w:tcBorders>
            <w:noWrap w:val="0"/>
            <w:vAlign w:val="center"/>
          </w:tcPr>
          <w:p w14:paraId="31512D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lang w:val="en-US" w:eastAsia="zh-CN"/>
              </w:rPr>
            </w:pPr>
            <w:r>
              <w:rPr>
                <w:rFonts w:hint="eastAsia" w:cs="Times New Roman"/>
                <w:color w:val="auto"/>
                <w:sz w:val="24"/>
                <w:szCs w:val="24"/>
                <w:highlight w:val="none"/>
                <w:u w:val="none" w:color="auto"/>
                <w:lang w:val="en-US" w:eastAsia="zh-CN"/>
              </w:rPr>
              <w:t>不涉及</w:t>
            </w:r>
          </w:p>
        </w:tc>
      </w:tr>
      <w:tr w14:paraId="0D68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1502" w:type="dxa"/>
            <w:tcBorders>
              <w:tl2br w:val="nil"/>
              <w:tr2bl w:val="nil"/>
            </w:tcBorders>
            <w:noWrap w:val="0"/>
            <w:vAlign w:val="center"/>
          </w:tcPr>
          <w:p w14:paraId="73D2B5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固体废物</w:t>
            </w:r>
          </w:p>
        </w:tc>
        <w:tc>
          <w:tcPr>
            <w:tcW w:w="7812" w:type="dxa"/>
            <w:gridSpan w:val="4"/>
            <w:tcBorders>
              <w:tl2br w:val="nil"/>
              <w:tr2bl w:val="nil"/>
            </w:tcBorders>
            <w:noWrap w:val="0"/>
            <w:vAlign w:val="center"/>
          </w:tcPr>
          <w:p w14:paraId="68574EC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jc w:val="left"/>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（1）加强管理，从源头减少固体废弃物的产生；</w:t>
            </w:r>
          </w:p>
          <w:p w14:paraId="0AC8A45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jc w:val="left"/>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（2）按照《一般工业固体废物贮存和填埋污染控制标准》（GB18599-2020）依托现有一般固废间，同时做好“防风、防雨、防渗漏”等；</w:t>
            </w:r>
          </w:p>
          <w:p w14:paraId="13C87A69">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jc w:val="left"/>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（3）加强环保宣传教育工作，强化各项环境管理工作，自觉接受环保主管部门对公司环保工作的监督指导。</w:t>
            </w:r>
          </w:p>
          <w:p w14:paraId="5A2DB2E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jc w:val="left"/>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（4）禁止向生活垃圾收集设施中投放工业固体废物；</w:t>
            </w:r>
          </w:p>
          <w:p w14:paraId="6B478C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eastAsia" w:ascii="Times New Roman" w:hAnsi="Times New Roman" w:eastAsia="宋体" w:cs="Times New Roman"/>
                <w:color w:val="auto"/>
                <w:sz w:val="24"/>
                <w:szCs w:val="24"/>
                <w:highlight w:val="none"/>
                <w:u w:val="none" w:color="auto"/>
                <w:lang w:eastAsia="zh-CN"/>
              </w:rPr>
            </w:pPr>
            <w:r>
              <w:rPr>
                <w:rFonts w:hint="default" w:ascii="Times New Roman" w:hAnsi="Times New Roman" w:eastAsia="宋体" w:cs="Times New Roman"/>
                <w:color w:val="auto"/>
                <w:sz w:val="24"/>
                <w:szCs w:val="24"/>
                <w:u w:val="none" w:color="auto"/>
                <w:lang w:val="en-US" w:eastAsia="zh-CN"/>
              </w:rPr>
              <w:t>（5）应当向所在地生态环境主管部门提供工业固体废物的种类、数量、流向、贮存、利用、处置等有关资料，以及减少工业固体废物产生、促进综合利用的具体措施，并执行排污许可管理制度的相关规定。</w:t>
            </w:r>
          </w:p>
        </w:tc>
      </w:tr>
      <w:tr w14:paraId="713AF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1502" w:type="dxa"/>
            <w:tcBorders>
              <w:tl2br w:val="nil"/>
              <w:tr2bl w:val="nil"/>
            </w:tcBorders>
            <w:noWrap w:val="0"/>
            <w:vAlign w:val="center"/>
          </w:tcPr>
          <w:p w14:paraId="41439C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土壤及地下水污染防治措施</w:t>
            </w:r>
          </w:p>
        </w:tc>
        <w:tc>
          <w:tcPr>
            <w:tcW w:w="7812" w:type="dxa"/>
            <w:gridSpan w:val="4"/>
            <w:tcBorders>
              <w:tl2br w:val="nil"/>
              <w:tr2bl w:val="nil"/>
            </w:tcBorders>
            <w:noWrap w:val="0"/>
            <w:vAlign w:val="center"/>
          </w:tcPr>
          <w:p w14:paraId="1FC171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rPr>
              <w:t>厂区地面除绿化部</w:t>
            </w:r>
            <w:r>
              <w:rPr>
                <w:rFonts w:hint="eastAsia" w:ascii="Times New Roman" w:hAnsi="Times New Roman" w:eastAsia="宋体" w:cs="Times New Roman"/>
                <w:color w:val="auto"/>
                <w:sz w:val="24"/>
                <w:szCs w:val="24"/>
                <w:highlight w:val="none"/>
                <w:u w:val="none" w:color="auto"/>
                <w:lang w:eastAsia="zh-CN"/>
              </w:rPr>
              <w:t>分外</w:t>
            </w:r>
            <w:r>
              <w:rPr>
                <w:rFonts w:hint="eastAsia" w:ascii="Times New Roman" w:hAnsi="Times New Roman" w:eastAsia="宋体" w:cs="Times New Roman"/>
                <w:color w:val="auto"/>
                <w:sz w:val="24"/>
                <w:szCs w:val="24"/>
                <w:highlight w:val="none"/>
                <w:u w:val="none" w:color="auto"/>
              </w:rPr>
              <w:t>其余全部硬化，生产车间地面做有防渗措施，加强设备管理，运营期加强环保设施维护，规范生产操作，项目对周边地下水及土壤的影响可忽略不计。</w:t>
            </w:r>
          </w:p>
        </w:tc>
      </w:tr>
      <w:tr w14:paraId="669B9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1502" w:type="dxa"/>
            <w:tcBorders>
              <w:tl2br w:val="nil"/>
              <w:tr2bl w:val="nil"/>
            </w:tcBorders>
            <w:noWrap w:val="0"/>
            <w:vAlign w:val="center"/>
          </w:tcPr>
          <w:p w14:paraId="48FA13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生态保护措施</w:t>
            </w:r>
          </w:p>
        </w:tc>
        <w:tc>
          <w:tcPr>
            <w:tcW w:w="7812" w:type="dxa"/>
            <w:gridSpan w:val="4"/>
            <w:tcBorders>
              <w:tl2br w:val="nil"/>
              <w:tr2bl w:val="nil"/>
            </w:tcBorders>
            <w:noWrap w:val="0"/>
            <w:vAlign w:val="center"/>
          </w:tcPr>
          <w:p w14:paraId="21C107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不涉及</w:t>
            </w:r>
          </w:p>
        </w:tc>
      </w:tr>
      <w:tr w14:paraId="0C9BC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4" w:hRule="atLeast"/>
          <w:jc w:val="center"/>
        </w:trPr>
        <w:tc>
          <w:tcPr>
            <w:tcW w:w="1502" w:type="dxa"/>
            <w:tcBorders>
              <w:tl2br w:val="nil"/>
              <w:tr2bl w:val="nil"/>
            </w:tcBorders>
            <w:noWrap w:val="0"/>
            <w:vAlign w:val="center"/>
          </w:tcPr>
          <w:p w14:paraId="006C82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highlight w:val="none"/>
                <w:u w:val="none" w:color="auto"/>
              </w:rPr>
            </w:pPr>
            <w:r>
              <w:rPr>
                <w:rFonts w:hint="default" w:ascii="Times New Roman" w:hAnsi="Times New Roman" w:eastAsia="宋体" w:cs="Times New Roman"/>
                <w:color w:val="auto"/>
                <w:spacing w:val="-8"/>
                <w:sz w:val="24"/>
                <w:szCs w:val="24"/>
                <w:highlight w:val="none"/>
                <w:u w:val="none" w:color="auto"/>
              </w:rPr>
              <w:t>环境风险</w:t>
            </w:r>
          </w:p>
          <w:p w14:paraId="592D0E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highlight w:val="none"/>
                <w:u w:val="none" w:color="auto"/>
              </w:rPr>
            </w:pPr>
            <w:r>
              <w:rPr>
                <w:rFonts w:hint="default" w:ascii="Times New Roman" w:hAnsi="Times New Roman" w:eastAsia="宋体" w:cs="Times New Roman"/>
                <w:color w:val="auto"/>
                <w:spacing w:val="-8"/>
                <w:sz w:val="24"/>
                <w:szCs w:val="24"/>
                <w:highlight w:val="none"/>
                <w:u w:val="none" w:color="auto"/>
              </w:rPr>
              <w:t>防范措施</w:t>
            </w:r>
          </w:p>
        </w:tc>
        <w:tc>
          <w:tcPr>
            <w:tcW w:w="7812" w:type="dxa"/>
            <w:gridSpan w:val="4"/>
            <w:tcBorders>
              <w:tl2br w:val="nil"/>
              <w:tr2bl w:val="nil"/>
            </w:tcBorders>
            <w:noWrap w:val="0"/>
            <w:vAlign w:val="center"/>
          </w:tcPr>
          <w:p w14:paraId="72FB68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①在车间的明显位置张贴禁用明火的告示，设置移动式灭火器；</w:t>
            </w:r>
          </w:p>
          <w:p w14:paraId="2A4B76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②车间禁止使用明火，保持良好通风，并制定相应的管理制度。</w:t>
            </w:r>
          </w:p>
          <w:p w14:paraId="51AA0B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③车间符合相关防火、防爆设计规范要求。</w:t>
            </w:r>
          </w:p>
          <w:p w14:paraId="15200C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④按照规范设置消防系统，配置相应的灭火装置和个人防护设施，并定期维护，保持完好。</w:t>
            </w:r>
          </w:p>
          <w:p w14:paraId="7CB300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eastAsia" w:ascii="Times New Roman" w:hAnsi="Times New Roman" w:eastAsia="宋体" w:cs="Times New Roman"/>
                <w:color w:val="auto"/>
                <w:sz w:val="24"/>
                <w:szCs w:val="24"/>
                <w:highlight w:val="none"/>
                <w:u w:val="none" w:color="auto"/>
                <w:lang w:eastAsia="zh-CN"/>
              </w:rPr>
            </w:pPr>
            <w:r>
              <w:rPr>
                <w:rFonts w:hint="eastAsia" w:ascii="Times New Roman" w:hAnsi="Times New Roman" w:eastAsia="宋体" w:cs="Times New Roman"/>
                <w:color w:val="auto"/>
                <w:sz w:val="24"/>
                <w:szCs w:val="24"/>
                <w:highlight w:val="none"/>
                <w:u w:val="none" w:color="auto"/>
                <w:lang w:eastAsia="zh-CN"/>
              </w:rPr>
              <w:t>⑤落实安全生产责任制，明确安全生产职责，加强监管，及时发现隐患。</w:t>
            </w:r>
          </w:p>
          <w:p w14:paraId="1794B0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rPr>
              <w:t>⑥定期组织火灾事故演练，提升职工火灾事故处理能力，确保公司雨水排放口在事故状态下可及时关闭。</w:t>
            </w:r>
          </w:p>
        </w:tc>
      </w:tr>
      <w:tr w14:paraId="6F7CA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6" w:hRule="atLeast"/>
          <w:jc w:val="center"/>
        </w:trPr>
        <w:tc>
          <w:tcPr>
            <w:tcW w:w="1502" w:type="dxa"/>
            <w:tcBorders>
              <w:tl2br w:val="nil"/>
              <w:tr2bl w:val="nil"/>
            </w:tcBorders>
            <w:noWrap w:val="0"/>
            <w:vAlign w:val="center"/>
          </w:tcPr>
          <w:p w14:paraId="4ECD8D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highlight w:val="none"/>
                <w:u w:val="none" w:color="auto"/>
              </w:rPr>
            </w:pPr>
            <w:r>
              <w:rPr>
                <w:rFonts w:hint="default" w:ascii="Times New Roman" w:hAnsi="Times New Roman" w:eastAsia="宋体" w:cs="Times New Roman"/>
                <w:color w:val="auto"/>
                <w:spacing w:val="-8"/>
                <w:sz w:val="24"/>
                <w:szCs w:val="24"/>
                <w:highlight w:val="none"/>
                <w:u w:val="none" w:color="auto"/>
              </w:rPr>
              <w:t>其他环境</w:t>
            </w:r>
          </w:p>
          <w:p w14:paraId="4E456B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pacing w:val="-8"/>
                <w:sz w:val="24"/>
                <w:szCs w:val="24"/>
                <w:highlight w:val="none"/>
                <w:u w:val="none" w:color="auto"/>
              </w:rPr>
            </w:pPr>
            <w:r>
              <w:rPr>
                <w:rFonts w:hint="default" w:ascii="Times New Roman" w:hAnsi="Times New Roman" w:eastAsia="宋体" w:cs="Times New Roman"/>
                <w:color w:val="auto"/>
                <w:spacing w:val="-8"/>
                <w:sz w:val="24"/>
                <w:szCs w:val="24"/>
                <w:highlight w:val="none"/>
                <w:u w:val="none" w:color="auto"/>
              </w:rPr>
              <w:t>管理要求</w:t>
            </w:r>
          </w:p>
        </w:tc>
        <w:tc>
          <w:tcPr>
            <w:tcW w:w="7812" w:type="dxa"/>
            <w:gridSpan w:val="4"/>
            <w:tcBorders>
              <w:tl2br w:val="nil"/>
              <w:tr2bl w:val="nil"/>
            </w:tcBorders>
            <w:noWrap w:val="0"/>
            <w:vAlign w:val="center"/>
          </w:tcPr>
          <w:p w14:paraId="717DA7F6">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jc w:val="both"/>
              <w:textAlignment w:val="auto"/>
              <w:rPr>
                <w:rFonts w:hint="eastAsia" w:ascii="Times New Roman" w:hAnsi="Times New Roman" w:cs="Times New Roman"/>
                <w:color w:val="auto"/>
                <w:sz w:val="24"/>
                <w:szCs w:val="24"/>
                <w:highlight w:val="none"/>
                <w:u w:val="none" w:color="auto"/>
              </w:rPr>
            </w:pPr>
            <w:r>
              <w:rPr>
                <w:rFonts w:hint="eastAsia" w:ascii="Times New Roman" w:hAnsi="Times New Roman" w:cs="Times New Roman"/>
                <w:color w:val="auto"/>
                <w:sz w:val="24"/>
                <w:szCs w:val="24"/>
                <w:highlight w:val="none"/>
                <w:u w:val="none" w:color="auto"/>
                <w:lang w:val="en-US" w:eastAsia="zh-CN"/>
              </w:rPr>
              <w:t>1、</w:t>
            </w:r>
            <w:r>
              <w:rPr>
                <w:rFonts w:hint="eastAsia" w:ascii="Times New Roman" w:hAnsi="Times New Roman" w:cs="Times New Roman"/>
                <w:color w:val="auto"/>
                <w:sz w:val="24"/>
                <w:szCs w:val="24"/>
                <w:highlight w:val="none"/>
                <w:u w:val="none" w:color="auto"/>
              </w:rPr>
              <w:t>认真执行“三同时”制度、排污许可证管理条例，确保各项环保措施落到实处；</w:t>
            </w:r>
          </w:p>
          <w:p w14:paraId="7F74CEA4">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jc w:val="both"/>
              <w:textAlignment w:val="auto"/>
              <w:rPr>
                <w:rFonts w:hint="eastAsia" w:ascii="Times New Roman" w:hAnsi="Times New Roman" w:cs="Times New Roman"/>
                <w:color w:val="auto"/>
                <w:sz w:val="24"/>
                <w:szCs w:val="24"/>
                <w:highlight w:val="none"/>
                <w:u w:val="none" w:color="auto"/>
              </w:rPr>
            </w:pPr>
            <w:r>
              <w:rPr>
                <w:rFonts w:hint="eastAsia" w:ascii="Times New Roman" w:hAnsi="Times New Roman" w:cs="Times New Roman"/>
                <w:color w:val="auto"/>
                <w:sz w:val="24"/>
                <w:szCs w:val="24"/>
                <w:highlight w:val="none"/>
                <w:u w:val="none" w:color="auto"/>
                <w:lang w:val="en-US" w:eastAsia="zh-CN"/>
              </w:rPr>
              <w:t>2、</w:t>
            </w:r>
            <w:r>
              <w:rPr>
                <w:rFonts w:hint="eastAsia" w:ascii="Times New Roman" w:hAnsi="Times New Roman" w:cs="Times New Roman"/>
                <w:color w:val="auto"/>
                <w:sz w:val="24"/>
                <w:szCs w:val="24"/>
                <w:highlight w:val="none"/>
                <w:u w:val="none" w:color="auto"/>
              </w:rPr>
              <w:t>厂区设备合理布置，同时加强产噪设备的降噪措施，减轻噪声对外界影响；</w:t>
            </w:r>
          </w:p>
          <w:p w14:paraId="58AE38BC">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leftChars="0" w:right="0" w:firstLine="0" w:firstLineChars="0"/>
              <w:jc w:val="both"/>
              <w:textAlignment w:val="auto"/>
              <w:rPr>
                <w:rFonts w:hint="eastAsia" w:ascii="Times New Roman" w:hAnsi="Times New Roman" w:cs="Times New Roman"/>
                <w:color w:val="auto"/>
                <w:sz w:val="24"/>
                <w:szCs w:val="24"/>
                <w:highlight w:val="none"/>
                <w:u w:val="none" w:color="auto"/>
              </w:rPr>
            </w:pPr>
            <w:r>
              <w:rPr>
                <w:rFonts w:hint="eastAsia" w:ascii="Times New Roman" w:hAnsi="Times New Roman" w:cs="Times New Roman"/>
                <w:color w:val="auto"/>
                <w:kern w:val="2"/>
                <w:sz w:val="24"/>
                <w:szCs w:val="24"/>
                <w:lang w:val="en-US" w:eastAsia="zh-CN" w:bidi="ar-SA"/>
              </w:rPr>
              <w:t>3、</w:t>
            </w:r>
            <w:r>
              <w:rPr>
                <w:rFonts w:hint="eastAsia" w:ascii="Times New Roman" w:hAnsi="Times New Roman" w:cs="Times New Roman"/>
                <w:color w:val="auto"/>
                <w:sz w:val="24"/>
                <w:szCs w:val="24"/>
                <w:highlight w:val="none"/>
                <w:u w:val="none" w:color="auto"/>
              </w:rPr>
              <w:t>设备定期检查，发现问题应及时维修，确保各项污染物的达标排放；</w:t>
            </w:r>
          </w:p>
          <w:p w14:paraId="73235240">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leftChars="0" w:right="0" w:firstLine="0" w:firstLineChars="0"/>
              <w:jc w:val="both"/>
              <w:textAlignment w:val="auto"/>
              <w:rPr>
                <w:rFonts w:hint="eastAsia" w:ascii="Times New Roman" w:hAnsi="Times New Roman" w:cs="Times New Roman"/>
                <w:color w:val="auto"/>
                <w:sz w:val="24"/>
                <w:szCs w:val="24"/>
                <w:highlight w:val="none"/>
                <w:u w:val="none" w:color="auto"/>
              </w:rPr>
            </w:pPr>
            <w:r>
              <w:rPr>
                <w:rFonts w:hint="eastAsia" w:ascii="Times New Roman" w:hAnsi="Times New Roman" w:cs="Times New Roman"/>
                <w:color w:val="auto"/>
                <w:kern w:val="2"/>
                <w:sz w:val="24"/>
                <w:szCs w:val="24"/>
                <w:lang w:val="en-US" w:eastAsia="zh-CN" w:bidi="ar-SA"/>
              </w:rPr>
              <w:t>4</w:t>
            </w:r>
            <w:r>
              <w:rPr>
                <w:rFonts w:hint="eastAsia" w:ascii="Times New Roman" w:hAnsi="Times New Roman" w:cs="Times New Roman"/>
                <w:color w:val="auto"/>
                <w:sz w:val="24"/>
                <w:szCs w:val="24"/>
                <w:highlight w:val="none"/>
                <w:u w:val="none" w:color="auto"/>
              </w:rPr>
              <w:t>、加强职工的劳动卫生，安全防护意识。工作时工人应佩戴口罩等防护工具，定期对职工进行体检，保护职工的身心健康；</w:t>
            </w:r>
          </w:p>
          <w:p w14:paraId="5D96E24D">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jc w:val="both"/>
              <w:textAlignment w:val="auto"/>
              <w:rPr>
                <w:rFonts w:hint="default" w:ascii="Times New Roman" w:hAnsi="Times New Roman" w:eastAsia="宋体" w:cs="Times New Roman"/>
                <w:color w:val="auto"/>
                <w:sz w:val="24"/>
                <w:szCs w:val="24"/>
                <w:highlight w:val="none"/>
                <w:u w:val="none" w:color="auto"/>
              </w:rPr>
            </w:pPr>
            <w:r>
              <w:rPr>
                <w:rFonts w:hint="eastAsia" w:ascii="Times New Roman" w:hAnsi="Times New Roman" w:cs="Times New Roman"/>
                <w:color w:val="auto"/>
                <w:sz w:val="24"/>
                <w:szCs w:val="24"/>
                <w:highlight w:val="none"/>
                <w:u w:val="none" w:color="auto"/>
                <w:lang w:val="en-US" w:eastAsia="zh-CN"/>
              </w:rPr>
              <w:t>5</w:t>
            </w:r>
            <w:r>
              <w:rPr>
                <w:rFonts w:hint="eastAsia" w:ascii="Times New Roman" w:hAnsi="Times New Roman" w:cs="Times New Roman"/>
                <w:color w:val="auto"/>
                <w:sz w:val="24"/>
                <w:szCs w:val="24"/>
                <w:highlight w:val="none"/>
                <w:u w:val="none" w:color="auto"/>
              </w:rPr>
              <w:t>、加强环保宣传教育工作，强化各项环境管理工作。自觉接受环保主管部门对公司环保工作的监督指导。</w:t>
            </w:r>
          </w:p>
        </w:tc>
      </w:tr>
    </w:tbl>
    <w:p w14:paraId="6A7AA5E5">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hint="eastAsia" w:ascii="Times New Roman" w:hAnsi="Times New Roman" w:eastAsia="黑体" w:cs="Times New Roman"/>
          <w:snapToGrid w:val="0"/>
          <w:color w:val="000000"/>
          <w:sz w:val="30"/>
          <w:szCs w:val="30"/>
          <w:highlight w:val="none"/>
          <w:u w:val="none" w:color="auto"/>
        </w:rPr>
      </w:pPr>
      <w:bookmarkStart w:id="42" w:name="_Toc15872"/>
      <w:bookmarkStart w:id="43" w:name="_Toc14879"/>
      <w:r>
        <w:rPr>
          <w:rFonts w:hint="eastAsia" w:ascii="Times New Roman" w:hAnsi="Times New Roman" w:eastAsia="黑体" w:cs="Times New Roman"/>
          <w:snapToGrid w:val="0"/>
          <w:color w:val="000000"/>
          <w:sz w:val="30"/>
          <w:szCs w:val="30"/>
          <w:highlight w:val="none"/>
          <w:u w:val="none" w:color="auto"/>
        </w:rPr>
        <w:br w:type="page"/>
      </w:r>
      <w:bookmarkStart w:id="44" w:name="_Toc8127"/>
      <w:bookmarkStart w:id="45" w:name="_Toc5947"/>
      <w:r>
        <w:rPr>
          <w:rFonts w:hint="eastAsia" w:ascii="Times New Roman" w:hAnsi="Times New Roman" w:eastAsia="黑体" w:cs="Times New Roman"/>
          <w:snapToGrid w:val="0"/>
          <w:color w:val="000000"/>
          <w:sz w:val="30"/>
          <w:szCs w:val="30"/>
          <w:highlight w:val="none"/>
          <w:u w:val="none" w:color="auto"/>
        </w:rPr>
        <w:t>六、结论</w:t>
      </w:r>
      <w:bookmarkEnd w:id="42"/>
      <w:bookmarkEnd w:id="43"/>
      <w:bookmarkEnd w:id="44"/>
      <w:bookmarkEnd w:id="45"/>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201EA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78" w:hRule="atLeast"/>
          <w:jc w:val="center"/>
        </w:trPr>
        <w:tc>
          <w:tcPr>
            <w:tcW w:w="8865" w:type="dxa"/>
            <w:noWrap w:val="0"/>
            <w:vAlign w:val="top"/>
          </w:tcPr>
          <w:p w14:paraId="45065C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2" w:firstLineChars="200"/>
              <w:jc w:val="both"/>
              <w:textAlignment w:val="auto"/>
              <w:rPr>
                <w:rFonts w:hint="default" w:ascii="Times New Roman" w:hAnsi="Times New Roman" w:eastAsia="宋体" w:cs="Times New Roman"/>
                <w:color w:val="000000"/>
                <w:highlight w:val="none"/>
                <w:u w:val="none" w:color="auto"/>
                <w:lang w:val="en-US" w:eastAsia="zh-CN"/>
              </w:rPr>
            </w:pPr>
            <w:r>
              <w:rPr>
                <w:rFonts w:hint="eastAsia" w:cs="Times New Roman"/>
                <w:b/>
                <w:bCs/>
                <w:color w:val="000000"/>
                <w:sz w:val="24"/>
                <w:szCs w:val="24"/>
                <w:highlight w:val="none"/>
                <w:u w:val="none" w:color="auto"/>
                <w:lang w:eastAsia="zh-CN"/>
              </w:rPr>
              <w:t>安阳双兴线材制品有</w:t>
            </w:r>
            <w:r>
              <w:rPr>
                <w:rFonts w:hint="eastAsia" w:ascii="Times New Roman" w:hAnsi="Times New Roman" w:eastAsia="宋体" w:cs="Times New Roman"/>
                <w:b/>
                <w:bCs/>
                <w:color w:val="000000"/>
                <w:sz w:val="24"/>
                <w:szCs w:val="24"/>
                <w:highlight w:val="none"/>
                <w:u w:val="none" w:color="auto"/>
                <w:lang w:eastAsia="zh-CN"/>
              </w:rPr>
              <w:t>限公司</w:t>
            </w:r>
            <w:r>
              <w:rPr>
                <w:rFonts w:hint="eastAsia" w:ascii="Times New Roman" w:hAnsi="Times New Roman" w:eastAsia="宋体" w:cs="Times New Roman"/>
                <w:b/>
                <w:bCs/>
                <w:color w:val="000000"/>
                <w:sz w:val="24"/>
                <w:szCs w:val="24"/>
                <w:highlight w:val="none"/>
                <w:u w:val="none" w:color="auto"/>
                <w:lang w:val="en-US" w:eastAsia="zh-CN"/>
              </w:rPr>
              <w:t>年产1500吨高性能弹簧钢丝扩建项目</w:t>
            </w:r>
            <w:r>
              <w:rPr>
                <w:rFonts w:hint="eastAsia" w:ascii="Times New Roman" w:hAnsi="Times New Roman" w:eastAsia="宋体" w:cs="Times New Roman"/>
                <w:b/>
                <w:bCs/>
                <w:color w:val="000000"/>
                <w:sz w:val="24"/>
                <w:szCs w:val="24"/>
                <w:highlight w:val="none"/>
                <w:u w:val="none" w:color="auto"/>
                <w:lang w:eastAsia="zh-CN"/>
              </w:rPr>
              <w:t>的建设符合当前国家产业政策和当地规划要求，项目选址可行。在采取评价提出的污染防治措施以及充分落实评价建议的基础上，项目产生的污染物实现达标排放，对周围环境影响较小，工程建设不涉及自然保护区、世界自然和文化遗产地、风景名胜区、森林公园等环境敏感区，不存在环境制约因素，从环境保护角度分析，工程建设是可行的。</w:t>
            </w:r>
          </w:p>
        </w:tc>
      </w:tr>
    </w:tbl>
    <w:p w14:paraId="23AFFDB5">
      <w:pPr>
        <w:adjustRightInd w:val="0"/>
        <w:snapToGrid w:val="0"/>
        <w:spacing w:line="360" w:lineRule="auto"/>
        <w:rPr>
          <w:rFonts w:hint="eastAsia" w:ascii="Times New Roman" w:hAnsi="Times New Roman" w:cs="Times New Roman"/>
          <w:b/>
          <w:color w:val="000000"/>
          <w:kern w:val="0"/>
          <w:sz w:val="28"/>
          <w:szCs w:val="28"/>
          <w:highlight w:val="none"/>
          <w:u w:val="none" w:color="auto"/>
        </w:rPr>
        <w:sectPr>
          <w:pgSz w:w="11907" w:h="16840"/>
          <w:pgMar w:top="1701" w:right="1531" w:bottom="2127"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4D4A3574">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textAlignment w:val="auto"/>
        <w:outlineLvl w:val="0"/>
        <w:rPr>
          <w:rFonts w:ascii="Times New Roman" w:hAnsi="Times New Roman" w:eastAsia="黑体" w:cs="Times New Roman"/>
          <w:snapToGrid w:val="0"/>
          <w:color w:val="000000"/>
          <w:sz w:val="32"/>
          <w:szCs w:val="32"/>
          <w:highlight w:val="none"/>
          <w:u w:val="none" w:color="auto"/>
        </w:rPr>
      </w:pPr>
      <w:bookmarkStart w:id="46" w:name="_Toc600"/>
      <w:bookmarkStart w:id="47" w:name="_Toc9649"/>
      <w:bookmarkStart w:id="48" w:name="_Toc11657"/>
      <w:r>
        <w:rPr>
          <w:rFonts w:hint="eastAsia" w:ascii="Times New Roman" w:hAnsi="Times New Roman" w:eastAsia="黑体" w:cs="Times New Roman"/>
          <w:snapToGrid w:val="0"/>
          <w:color w:val="000000"/>
          <w:sz w:val="32"/>
          <w:szCs w:val="32"/>
          <w:highlight w:val="none"/>
          <w:u w:val="none" w:color="auto"/>
        </w:rPr>
        <w:t>附表</w:t>
      </w:r>
      <w:bookmarkEnd w:id="46"/>
      <w:bookmarkEnd w:id="47"/>
      <w:bookmarkEnd w:id="48"/>
    </w:p>
    <w:p w14:paraId="706770E2">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eastAsia" w:ascii="Times New Roman" w:hAnsi="Times New Roman" w:eastAsia="方正小标宋_GBK" w:cs="Times New Roman"/>
          <w:snapToGrid w:val="0"/>
          <w:color w:val="000000"/>
          <w:sz w:val="38"/>
          <w:szCs w:val="38"/>
          <w:highlight w:val="none"/>
          <w:u w:val="none" w:color="auto"/>
        </w:rPr>
      </w:pPr>
      <w:bookmarkStart w:id="49" w:name="_Toc14121"/>
      <w:bookmarkStart w:id="50" w:name="_Toc5334"/>
      <w:bookmarkStart w:id="51" w:name="_Toc28248"/>
      <w:bookmarkStart w:id="52" w:name="_Toc27786"/>
      <w:r>
        <w:rPr>
          <w:rFonts w:hint="eastAsia" w:ascii="Times New Roman" w:hAnsi="Times New Roman" w:eastAsia="方正小标宋_GBK" w:cs="Times New Roman"/>
          <w:snapToGrid w:val="0"/>
          <w:color w:val="000000"/>
          <w:sz w:val="38"/>
          <w:szCs w:val="38"/>
          <w:highlight w:val="none"/>
          <w:u w:val="none" w:color="auto"/>
        </w:rPr>
        <w:t>建设项目污染物排放量汇总表</w:t>
      </w:r>
      <w:bookmarkEnd w:id="49"/>
      <w:bookmarkEnd w:id="50"/>
      <w:bookmarkEnd w:id="51"/>
      <w:bookmarkEnd w:id="52"/>
    </w:p>
    <w:tbl>
      <w:tblPr>
        <w:tblStyle w:val="27"/>
        <w:tblW w:w="145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1622"/>
        <w:gridCol w:w="1701"/>
        <w:gridCol w:w="1276"/>
        <w:gridCol w:w="1701"/>
        <w:gridCol w:w="1559"/>
        <w:gridCol w:w="1761"/>
        <w:gridCol w:w="1959"/>
        <w:gridCol w:w="1611"/>
      </w:tblGrid>
      <w:tr w14:paraId="267F40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383" w:type="dxa"/>
            <w:tcBorders>
              <w:tl2br w:val="single" w:color="auto" w:sz="4" w:space="0"/>
            </w:tcBorders>
            <w:noWrap w:val="0"/>
            <w:tcMar>
              <w:left w:w="28" w:type="dxa"/>
              <w:right w:w="28" w:type="dxa"/>
            </w:tcMar>
            <w:vAlign w:val="center"/>
          </w:tcPr>
          <w:p w14:paraId="62403664">
            <w:pPr>
              <w:pStyle w:val="54"/>
              <w:keepNext w:val="0"/>
              <w:keepLines w:val="0"/>
              <w:suppressLineNumbers w:val="0"/>
              <w:spacing w:before="0" w:beforeLines="0" w:beforeAutospacing="0" w:after="0" w:afterLines="0" w:afterAutospacing="0" w:line="240" w:lineRule="auto"/>
              <w:ind w:left="0" w:right="0"/>
              <w:jc w:val="right"/>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项目</w:t>
            </w:r>
          </w:p>
          <w:p w14:paraId="60CD31DA">
            <w:pPr>
              <w:pStyle w:val="54"/>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分类</w:t>
            </w:r>
          </w:p>
        </w:tc>
        <w:tc>
          <w:tcPr>
            <w:tcW w:w="1622" w:type="dxa"/>
            <w:noWrap w:val="0"/>
            <w:tcMar>
              <w:left w:w="28" w:type="dxa"/>
              <w:right w:w="28" w:type="dxa"/>
            </w:tcMar>
            <w:vAlign w:val="center"/>
          </w:tcPr>
          <w:p w14:paraId="5F393B09">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污染物名称</w:t>
            </w:r>
          </w:p>
        </w:tc>
        <w:tc>
          <w:tcPr>
            <w:tcW w:w="1701" w:type="dxa"/>
            <w:noWrap w:val="0"/>
            <w:tcMar>
              <w:left w:w="28" w:type="dxa"/>
              <w:right w:w="28" w:type="dxa"/>
            </w:tcMar>
            <w:vAlign w:val="center"/>
          </w:tcPr>
          <w:p w14:paraId="31326539">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现有工程</w:t>
            </w:r>
          </w:p>
          <w:p w14:paraId="2C57D6F6">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排放量（固体废物产生量）</w:t>
            </w:r>
            <w:r>
              <w:rPr>
                <w:rFonts w:hint="default" w:ascii="Times New Roman" w:hAnsi="Times New Roman" w:eastAsia="黑体" w:cs="Times New Roman"/>
                <w:snapToGrid w:val="0"/>
                <w:color w:val="000000"/>
                <w:spacing w:val="-6"/>
                <w:kern w:val="21"/>
                <w:szCs w:val="21"/>
                <w:highlight w:val="none"/>
                <w:u w:val="none" w:color="auto"/>
              </w:rPr>
              <w:fldChar w:fldCharType="begin"/>
            </w:r>
            <w:r>
              <w:rPr>
                <w:rFonts w:hint="default" w:ascii="Times New Roman" w:hAnsi="Times New Roman" w:eastAsia="黑体" w:cs="Times New Roman"/>
                <w:snapToGrid w:val="0"/>
                <w:color w:val="000000"/>
                <w:spacing w:val="-6"/>
                <w:kern w:val="21"/>
                <w:szCs w:val="21"/>
                <w:highlight w:val="none"/>
                <w:u w:val="none" w:color="auto"/>
              </w:rPr>
              <w:instrText xml:space="preserve"> = 1 \* GB3 \* MERGEFORMAT </w:instrText>
            </w:r>
            <w:r>
              <w:rPr>
                <w:rFonts w:hint="default" w:ascii="Times New Roman" w:hAnsi="Times New Roman" w:eastAsia="黑体" w:cs="Times New Roman"/>
                <w:snapToGrid w:val="0"/>
                <w:color w:val="000000"/>
                <w:spacing w:val="-6"/>
                <w:kern w:val="21"/>
                <w:szCs w:val="21"/>
                <w:highlight w:val="none"/>
                <w:u w:val="none" w:color="auto"/>
              </w:rPr>
              <w:fldChar w:fldCharType="separate"/>
            </w:r>
            <w:r>
              <w:rPr>
                <w:rFonts w:hint="default" w:ascii="Times New Roman" w:hAnsi="Times New Roman" w:eastAsia="黑体" w:cs="Times New Roman"/>
                <w:color w:val="000000"/>
                <w:kern w:val="2"/>
                <w:szCs w:val="21"/>
                <w:highlight w:val="none"/>
                <w:u w:val="none" w:color="auto"/>
              </w:rPr>
              <w:t>①</w:t>
            </w:r>
            <w:r>
              <w:rPr>
                <w:rFonts w:hint="default" w:ascii="Times New Roman" w:hAnsi="Times New Roman" w:eastAsia="黑体" w:cs="Times New Roman"/>
                <w:snapToGrid w:val="0"/>
                <w:color w:val="000000"/>
                <w:spacing w:val="-6"/>
                <w:kern w:val="21"/>
                <w:szCs w:val="21"/>
                <w:highlight w:val="none"/>
                <w:u w:val="none" w:color="auto"/>
              </w:rPr>
              <w:fldChar w:fldCharType="end"/>
            </w:r>
          </w:p>
        </w:tc>
        <w:tc>
          <w:tcPr>
            <w:tcW w:w="1276" w:type="dxa"/>
            <w:noWrap w:val="0"/>
            <w:tcMar>
              <w:left w:w="28" w:type="dxa"/>
              <w:right w:w="28" w:type="dxa"/>
            </w:tcMar>
            <w:vAlign w:val="center"/>
          </w:tcPr>
          <w:p w14:paraId="21C0F1CE">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现有工程</w:t>
            </w:r>
          </w:p>
          <w:p w14:paraId="18D54021">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许可排放量</w:t>
            </w:r>
          </w:p>
          <w:p w14:paraId="777CB7E6">
            <w:pPr>
              <w:pStyle w:val="54"/>
              <w:keepNext w:val="0"/>
              <w:keepLines w:val="0"/>
              <w:suppressLineNumbers w:val="0"/>
              <w:spacing w:before="0" w:beforeLines="0" w:beforeAutospacing="0" w:after="0" w:afterLines="0" w:afterAutospacing="0"/>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fldChar w:fldCharType="begin"/>
            </w:r>
            <w:r>
              <w:rPr>
                <w:rFonts w:hint="default" w:ascii="Times New Roman" w:hAnsi="Times New Roman" w:eastAsia="黑体" w:cs="Times New Roman"/>
                <w:snapToGrid w:val="0"/>
                <w:color w:val="000000"/>
                <w:spacing w:val="-6"/>
                <w:kern w:val="21"/>
                <w:szCs w:val="21"/>
                <w:highlight w:val="none"/>
                <w:u w:val="none" w:color="auto"/>
              </w:rPr>
              <w:instrText xml:space="preserve"> = 2 \* GB3 \* MERGEFORMAT </w:instrText>
            </w:r>
            <w:r>
              <w:rPr>
                <w:rFonts w:hint="default" w:ascii="Times New Roman" w:hAnsi="Times New Roman" w:eastAsia="黑体" w:cs="Times New Roman"/>
                <w:snapToGrid w:val="0"/>
                <w:color w:val="000000"/>
                <w:spacing w:val="-6"/>
                <w:kern w:val="21"/>
                <w:szCs w:val="21"/>
                <w:highlight w:val="none"/>
                <w:u w:val="none" w:color="auto"/>
              </w:rPr>
              <w:fldChar w:fldCharType="separate"/>
            </w:r>
            <w:r>
              <w:rPr>
                <w:rFonts w:hint="default" w:ascii="Times New Roman" w:hAnsi="Times New Roman" w:eastAsia="黑体" w:cs="Times New Roman"/>
                <w:snapToGrid w:val="0"/>
                <w:color w:val="000000"/>
                <w:spacing w:val="-6"/>
                <w:kern w:val="21"/>
                <w:szCs w:val="21"/>
                <w:highlight w:val="none"/>
                <w:u w:val="none" w:color="auto"/>
              </w:rPr>
              <w:t>②</w:t>
            </w:r>
            <w:r>
              <w:rPr>
                <w:rFonts w:hint="default" w:ascii="Times New Roman" w:hAnsi="Times New Roman" w:eastAsia="黑体" w:cs="Times New Roman"/>
                <w:snapToGrid w:val="0"/>
                <w:color w:val="000000"/>
                <w:spacing w:val="-6"/>
                <w:kern w:val="21"/>
                <w:szCs w:val="21"/>
                <w:highlight w:val="none"/>
                <w:u w:val="none" w:color="auto"/>
              </w:rPr>
              <w:fldChar w:fldCharType="end"/>
            </w:r>
          </w:p>
        </w:tc>
        <w:tc>
          <w:tcPr>
            <w:tcW w:w="1701" w:type="dxa"/>
            <w:noWrap w:val="0"/>
            <w:tcMar>
              <w:left w:w="28" w:type="dxa"/>
              <w:right w:w="28" w:type="dxa"/>
            </w:tcMar>
            <w:vAlign w:val="center"/>
          </w:tcPr>
          <w:p w14:paraId="5FBA46B1">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在建工程</w:t>
            </w:r>
          </w:p>
          <w:p w14:paraId="32BC6F27">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排放量（固体废物产生量）</w:t>
            </w:r>
            <w:r>
              <w:rPr>
                <w:rFonts w:hint="default" w:ascii="Times New Roman" w:hAnsi="Times New Roman" w:eastAsia="黑体" w:cs="Times New Roman"/>
                <w:snapToGrid w:val="0"/>
                <w:color w:val="000000"/>
                <w:spacing w:val="-6"/>
                <w:kern w:val="21"/>
                <w:szCs w:val="21"/>
                <w:highlight w:val="none"/>
                <w:u w:val="none" w:color="auto"/>
              </w:rPr>
              <w:fldChar w:fldCharType="begin"/>
            </w:r>
            <w:r>
              <w:rPr>
                <w:rFonts w:hint="default" w:ascii="Times New Roman" w:hAnsi="Times New Roman" w:eastAsia="黑体" w:cs="Times New Roman"/>
                <w:snapToGrid w:val="0"/>
                <w:color w:val="000000"/>
                <w:spacing w:val="-6"/>
                <w:kern w:val="21"/>
                <w:szCs w:val="21"/>
                <w:highlight w:val="none"/>
                <w:u w:val="none" w:color="auto"/>
              </w:rPr>
              <w:instrText xml:space="preserve"> = 3 \* GB3 \* MERGEFORMAT </w:instrText>
            </w:r>
            <w:r>
              <w:rPr>
                <w:rFonts w:hint="default" w:ascii="Times New Roman" w:hAnsi="Times New Roman" w:eastAsia="黑体" w:cs="Times New Roman"/>
                <w:snapToGrid w:val="0"/>
                <w:color w:val="000000"/>
                <w:spacing w:val="-6"/>
                <w:kern w:val="21"/>
                <w:szCs w:val="21"/>
                <w:highlight w:val="none"/>
                <w:u w:val="none" w:color="auto"/>
              </w:rPr>
              <w:fldChar w:fldCharType="separate"/>
            </w:r>
            <w:r>
              <w:rPr>
                <w:rFonts w:hint="default" w:ascii="Times New Roman" w:hAnsi="Times New Roman" w:eastAsia="黑体" w:cs="Times New Roman"/>
                <w:color w:val="000000"/>
                <w:kern w:val="2"/>
                <w:szCs w:val="21"/>
                <w:highlight w:val="none"/>
                <w:u w:val="none" w:color="auto"/>
              </w:rPr>
              <w:t>③</w:t>
            </w:r>
            <w:r>
              <w:rPr>
                <w:rFonts w:hint="default" w:ascii="Times New Roman" w:hAnsi="Times New Roman" w:eastAsia="黑体" w:cs="Times New Roman"/>
                <w:snapToGrid w:val="0"/>
                <w:color w:val="000000"/>
                <w:spacing w:val="-6"/>
                <w:kern w:val="21"/>
                <w:szCs w:val="21"/>
                <w:highlight w:val="none"/>
                <w:u w:val="none" w:color="auto"/>
              </w:rPr>
              <w:fldChar w:fldCharType="end"/>
            </w:r>
          </w:p>
        </w:tc>
        <w:tc>
          <w:tcPr>
            <w:tcW w:w="1559" w:type="dxa"/>
            <w:noWrap w:val="0"/>
            <w:tcMar>
              <w:left w:w="28" w:type="dxa"/>
              <w:right w:w="28" w:type="dxa"/>
            </w:tcMar>
            <w:vAlign w:val="center"/>
          </w:tcPr>
          <w:p w14:paraId="45005F40">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本项目</w:t>
            </w:r>
          </w:p>
          <w:p w14:paraId="4AB7032D">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排放量（固体废物产生量）</w:t>
            </w:r>
            <w:r>
              <w:rPr>
                <w:rFonts w:hint="default" w:ascii="Times New Roman" w:hAnsi="Times New Roman" w:eastAsia="黑体" w:cs="Times New Roman"/>
                <w:snapToGrid w:val="0"/>
                <w:color w:val="000000"/>
                <w:spacing w:val="-6"/>
                <w:kern w:val="21"/>
                <w:szCs w:val="21"/>
                <w:highlight w:val="none"/>
                <w:u w:val="none" w:color="auto"/>
              </w:rPr>
              <w:fldChar w:fldCharType="begin"/>
            </w:r>
            <w:r>
              <w:rPr>
                <w:rFonts w:hint="default" w:ascii="Times New Roman" w:hAnsi="Times New Roman" w:eastAsia="黑体" w:cs="Times New Roman"/>
                <w:snapToGrid w:val="0"/>
                <w:color w:val="000000"/>
                <w:spacing w:val="-6"/>
                <w:kern w:val="21"/>
                <w:szCs w:val="21"/>
                <w:highlight w:val="none"/>
                <w:u w:val="none" w:color="auto"/>
              </w:rPr>
              <w:instrText xml:space="preserve"> = 4 \* GB3 \* MERGEFORMAT </w:instrText>
            </w:r>
            <w:r>
              <w:rPr>
                <w:rFonts w:hint="default" w:ascii="Times New Roman" w:hAnsi="Times New Roman" w:eastAsia="黑体" w:cs="Times New Roman"/>
                <w:snapToGrid w:val="0"/>
                <w:color w:val="000000"/>
                <w:spacing w:val="-6"/>
                <w:kern w:val="21"/>
                <w:szCs w:val="21"/>
                <w:highlight w:val="none"/>
                <w:u w:val="none" w:color="auto"/>
              </w:rPr>
              <w:fldChar w:fldCharType="separate"/>
            </w:r>
            <w:r>
              <w:rPr>
                <w:rFonts w:hint="default" w:ascii="Times New Roman" w:hAnsi="Times New Roman" w:eastAsia="黑体" w:cs="Times New Roman"/>
                <w:color w:val="000000"/>
                <w:kern w:val="2"/>
                <w:szCs w:val="21"/>
                <w:highlight w:val="none"/>
                <w:u w:val="none" w:color="auto"/>
              </w:rPr>
              <w:t>④</w:t>
            </w:r>
            <w:r>
              <w:rPr>
                <w:rFonts w:hint="default" w:ascii="Times New Roman" w:hAnsi="Times New Roman" w:eastAsia="黑体" w:cs="Times New Roman"/>
                <w:snapToGrid w:val="0"/>
                <w:color w:val="000000"/>
                <w:spacing w:val="-6"/>
                <w:kern w:val="21"/>
                <w:szCs w:val="21"/>
                <w:highlight w:val="none"/>
                <w:u w:val="none" w:color="auto"/>
              </w:rPr>
              <w:fldChar w:fldCharType="end"/>
            </w:r>
          </w:p>
        </w:tc>
        <w:tc>
          <w:tcPr>
            <w:tcW w:w="1761" w:type="dxa"/>
            <w:noWrap w:val="0"/>
            <w:tcMar>
              <w:left w:w="28" w:type="dxa"/>
              <w:right w:w="28" w:type="dxa"/>
            </w:tcMar>
            <w:vAlign w:val="center"/>
          </w:tcPr>
          <w:p w14:paraId="111A2E96">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16"/>
                <w:kern w:val="21"/>
                <w:szCs w:val="21"/>
                <w:highlight w:val="none"/>
                <w:u w:val="none" w:color="auto"/>
              </w:rPr>
            </w:pPr>
            <w:r>
              <w:rPr>
                <w:rFonts w:hint="default" w:ascii="Times New Roman" w:hAnsi="Times New Roman" w:eastAsia="黑体" w:cs="Times New Roman"/>
                <w:snapToGrid w:val="0"/>
                <w:color w:val="000000"/>
                <w:spacing w:val="-16"/>
                <w:kern w:val="21"/>
                <w:szCs w:val="21"/>
                <w:highlight w:val="none"/>
                <w:u w:val="none" w:color="auto"/>
              </w:rPr>
              <w:t>以新带老削减量</w:t>
            </w:r>
          </w:p>
          <w:p w14:paraId="6BCB5FC2">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16"/>
                <w:kern w:val="21"/>
                <w:szCs w:val="21"/>
                <w:highlight w:val="none"/>
                <w:u w:val="none" w:color="auto"/>
              </w:rPr>
            </w:pPr>
            <w:r>
              <w:rPr>
                <w:rFonts w:hint="default" w:ascii="Times New Roman" w:hAnsi="Times New Roman" w:eastAsia="黑体" w:cs="Times New Roman"/>
                <w:snapToGrid w:val="0"/>
                <w:color w:val="000000"/>
                <w:spacing w:val="-16"/>
                <w:kern w:val="21"/>
                <w:szCs w:val="21"/>
                <w:highlight w:val="none"/>
                <w:u w:val="none" w:color="auto"/>
              </w:rPr>
              <w:t>（新建项目不填）</w:t>
            </w:r>
            <w:r>
              <w:rPr>
                <w:rFonts w:hint="default" w:ascii="Times New Roman" w:hAnsi="Times New Roman" w:eastAsia="黑体" w:cs="Times New Roman"/>
                <w:snapToGrid w:val="0"/>
                <w:color w:val="000000"/>
                <w:spacing w:val="-16"/>
                <w:kern w:val="21"/>
                <w:szCs w:val="21"/>
                <w:highlight w:val="none"/>
                <w:u w:val="none" w:color="auto"/>
              </w:rPr>
              <w:fldChar w:fldCharType="begin"/>
            </w:r>
            <w:r>
              <w:rPr>
                <w:rFonts w:hint="default" w:ascii="Times New Roman" w:hAnsi="Times New Roman" w:eastAsia="黑体" w:cs="Times New Roman"/>
                <w:snapToGrid w:val="0"/>
                <w:color w:val="000000"/>
                <w:spacing w:val="-16"/>
                <w:kern w:val="21"/>
                <w:szCs w:val="21"/>
                <w:highlight w:val="none"/>
                <w:u w:val="none" w:color="auto"/>
              </w:rPr>
              <w:instrText xml:space="preserve"> = 5 \* GB3 \* MERGEFORMAT </w:instrText>
            </w:r>
            <w:r>
              <w:rPr>
                <w:rFonts w:hint="default" w:ascii="Times New Roman" w:hAnsi="Times New Roman" w:eastAsia="黑体" w:cs="Times New Roman"/>
                <w:snapToGrid w:val="0"/>
                <w:color w:val="000000"/>
                <w:spacing w:val="-16"/>
                <w:kern w:val="21"/>
                <w:szCs w:val="21"/>
                <w:highlight w:val="none"/>
                <w:u w:val="none" w:color="auto"/>
              </w:rPr>
              <w:fldChar w:fldCharType="separate"/>
            </w:r>
            <w:r>
              <w:rPr>
                <w:rFonts w:hint="default" w:ascii="Times New Roman" w:hAnsi="Times New Roman" w:eastAsia="黑体" w:cs="Times New Roman"/>
                <w:color w:val="000000"/>
                <w:kern w:val="2"/>
                <w:szCs w:val="21"/>
                <w:highlight w:val="none"/>
                <w:u w:val="none" w:color="auto"/>
              </w:rPr>
              <w:t>⑤</w:t>
            </w:r>
            <w:r>
              <w:rPr>
                <w:rFonts w:hint="default" w:ascii="Times New Roman" w:hAnsi="Times New Roman" w:eastAsia="黑体" w:cs="Times New Roman"/>
                <w:snapToGrid w:val="0"/>
                <w:color w:val="000000"/>
                <w:spacing w:val="-16"/>
                <w:kern w:val="21"/>
                <w:szCs w:val="21"/>
                <w:highlight w:val="none"/>
                <w:u w:val="none" w:color="auto"/>
              </w:rPr>
              <w:fldChar w:fldCharType="end"/>
            </w:r>
          </w:p>
        </w:tc>
        <w:tc>
          <w:tcPr>
            <w:tcW w:w="1959" w:type="dxa"/>
            <w:noWrap w:val="0"/>
            <w:tcMar>
              <w:left w:w="28" w:type="dxa"/>
              <w:right w:w="28" w:type="dxa"/>
            </w:tcMar>
            <w:vAlign w:val="center"/>
          </w:tcPr>
          <w:p w14:paraId="5A7D187E">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16"/>
                <w:kern w:val="21"/>
                <w:szCs w:val="21"/>
                <w:highlight w:val="none"/>
                <w:u w:val="none" w:color="auto"/>
              </w:rPr>
            </w:pPr>
            <w:r>
              <w:rPr>
                <w:rFonts w:hint="default" w:ascii="Times New Roman" w:hAnsi="Times New Roman" w:eastAsia="黑体" w:cs="Times New Roman"/>
                <w:snapToGrid w:val="0"/>
                <w:color w:val="000000"/>
                <w:spacing w:val="-16"/>
                <w:kern w:val="21"/>
                <w:szCs w:val="21"/>
                <w:highlight w:val="none"/>
                <w:u w:val="none" w:color="auto"/>
              </w:rPr>
              <w:t>本项目建成后</w:t>
            </w:r>
          </w:p>
          <w:p w14:paraId="0E89A52D">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16"/>
                <w:kern w:val="21"/>
                <w:szCs w:val="21"/>
                <w:highlight w:val="none"/>
                <w:u w:val="none" w:color="auto"/>
              </w:rPr>
            </w:pPr>
            <w:r>
              <w:rPr>
                <w:rFonts w:hint="default" w:ascii="Times New Roman" w:hAnsi="Times New Roman" w:eastAsia="黑体" w:cs="Times New Roman"/>
                <w:snapToGrid w:val="0"/>
                <w:color w:val="000000"/>
                <w:spacing w:val="-16"/>
                <w:kern w:val="21"/>
                <w:szCs w:val="21"/>
                <w:highlight w:val="none"/>
                <w:u w:val="none" w:color="auto"/>
              </w:rPr>
              <w:t>全厂排放量（固体废物产生量）</w:t>
            </w:r>
            <w:r>
              <w:rPr>
                <w:rFonts w:hint="default" w:ascii="Times New Roman" w:hAnsi="Times New Roman" w:eastAsia="黑体" w:cs="Times New Roman"/>
                <w:snapToGrid w:val="0"/>
                <w:color w:val="000000"/>
                <w:spacing w:val="-16"/>
                <w:kern w:val="21"/>
                <w:szCs w:val="21"/>
                <w:highlight w:val="none"/>
                <w:u w:val="none" w:color="auto"/>
              </w:rPr>
              <w:fldChar w:fldCharType="begin"/>
            </w:r>
            <w:r>
              <w:rPr>
                <w:rFonts w:hint="default" w:ascii="Times New Roman" w:hAnsi="Times New Roman" w:eastAsia="黑体" w:cs="Times New Roman"/>
                <w:snapToGrid w:val="0"/>
                <w:color w:val="000000"/>
                <w:spacing w:val="-16"/>
                <w:kern w:val="21"/>
                <w:szCs w:val="21"/>
                <w:highlight w:val="none"/>
                <w:u w:val="none" w:color="auto"/>
              </w:rPr>
              <w:instrText xml:space="preserve"> = 6 \* GB3 \* MERGEFORMAT </w:instrText>
            </w:r>
            <w:r>
              <w:rPr>
                <w:rFonts w:hint="default" w:ascii="Times New Roman" w:hAnsi="Times New Roman" w:eastAsia="黑体" w:cs="Times New Roman"/>
                <w:snapToGrid w:val="0"/>
                <w:color w:val="000000"/>
                <w:spacing w:val="-16"/>
                <w:kern w:val="21"/>
                <w:szCs w:val="21"/>
                <w:highlight w:val="none"/>
                <w:u w:val="none" w:color="auto"/>
              </w:rPr>
              <w:fldChar w:fldCharType="separate"/>
            </w:r>
            <w:r>
              <w:rPr>
                <w:rFonts w:hint="default" w:ascii="Times New Roman" w:hAnsi="Times New Roman" w:eastAsia="黑体" w:cs="Times New Roman"/>
                <w:color w:val="000000"/>
                <w:kern w:val="2"/>
                <w:szCs w:val="21"/>
                <w:highlight w:val="none"/>
                <w:u w:val="none" w:color="auto"/>
              </w:rPr>
              <w:t>⑥</w:t>
            </w:r>
            <w:r>
              <w:rPr>
                <w:rFonts w:hint="default" w:ascii="Times New Roman" w:hAnsi="Times New Roman" w:eastAsia="黑体" w:cs="Times New Roman"/>
                <w:snapToGrid w:val="0"/>
                <w:color w:val="000000"/>
                <w:spacing w:val="-16"/>
                <w:kern w:val="21"/>
                <w:szCs w:val="21"/>
                <w:highlight w:val="none"/>
                <w:u w:val="none" w:color="auto"/>
              </w:rPr>
              <w:fldChar w:fldCharType="end"/>
            </w:r>
          </w:p>
        </w:tc>
        <w:tc>
          <w:tcPr>
            <w:tcW w:w="1611" w:type="dxa"/>
            <w:noWrap w:val="0"/>
            <w:tcMar>
              <w:left w:w="28" w:type="dxa"/>
              <w:right w:w="28" w:type="dxa"/>
            </w:tcMar>
            <w:vAlign w:val="center"/>
          </w:tcPr>
          <w:p w14:paraId="0B2E83E9">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t>变化量</w:t>
            </w:r>
          </w:p>
          <w:p w14:paraId="488CAF43">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snapToGrid w:val="0"/>
                <w:color w:val="000000"/>
                <w:spacing w:val="-6"/>
                <w:kern w:val="21"/>
                <w:szCs w:val="21"/>
                <w:highlight w:val="none"/>
                <w:u w:val="none" w:color="auto"/>
              </w:rPr>
            </w:pPr>
            <w:r>
              <w:rPr>
                <w:rFonts w:hint="default" w:ascii="Times New Roman" w:hAnsi="Times New Roman" w:eastAsia="黑体" w:cs="Times New Roman"/>
                <w:snapToGrid w:val="0"/>
                <w:color w:val="000000"/>
                <w:spacing w:val="-6"/>
                <w:kern w:val="21"/>
                <w:szCs w:val="21"/>
                <w:highlight w:val="none"/>
                <w:u w:val="none" w:color="auto"/>
              </w:rPr>
              <w:fldChar w:fldCharType="begin"/>
            </w:r>
            <w:r>
              <w:rPr>
                <w:rFonts w:hint="default" w:ascii="Times New Roman" w:hAnsi="Times New Roman" w:eastAsia="黑体" w:cs="Times New Roman"/>
                <w:snapToGrid w:val="0"/>
                <w:color w:val="000000"/>
                <w:spacing w:val="-6"/>
                <w:kern w:val="21"/>
                <w:szCs w:val="21"/>
                <w:highlight w:val="none"/>
                <w:u w:val="none" w:color="auto"/>
              </w:rPr>
              <w:instrText xml:space="preserve"> = 7 \* GB3 \* MERGEFORMAT </w:instrText>
            </w:r>
            <w:r>
              <w:rPr>
                <w:rFonts w:hint="default" w:ascii="Times New Roman" w:hAnsi="Times New Roman" w:eastAsia="黑体" w:cs="Times New Roman"/>
                <w:snapToGrid w:val="0"/>
                <w:color w:val="000000"/>
                <w:spacing w:val="-6"/>
                <w:kern w:val="21"/>
                <w:szCs w:val="21"/>
                <w:highlight w:val="none"/>
                <w:u w:val="none" w:color="auto"/>
              </w:rPr>
              <w:fldChar w:fldCharType="separate"/>
            </w:r>
            <w:r>
              <w:rPr>
                <w:rFonts w:hint="default" w:ascii="Times New Roman" w:hAnsi="Times New Roman" w:eastAsia="黑体" w:cs="Times New Roman"/>
                <w:color w:val="000000"/>
                <w:kern w:val="2"/>
                <w:szCs w:val="21"/>
                <w:highlight w:val="none"/>
                <w:u w:val="none" w:color="auto"/>
              </w:rPr>
              <w:t>⑦</w:t>
            </w:r>
            <w:r>
              <w:rPr>
                <w:rFonts w:hint="default" w:ascii="Times New Roman" w:hAnsi="Times New Roman" w:eastAsia="黑体" w:cs="Times New Roman"/>
                <w:snapToGrid w:val="0"/>
                <w:color w:val="000000"/>
                <w:spacing w:val="-6"/>
                <w:kern w:val="21"/>
                <w:szCs w:val="21"/>
                <w:highlight w:val="none"/>
                <w:u w:val="none" w:color="auto"/>
              </w:rPr>
              <w:fldChar w:fldCharType="end"/>
            </w:r>
          </w:p>
        </w:tc>
      </w:tr>
      <w:tr w14:paraId="7199D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restart"/>
            <w:noWrap w:val="0"/>
            <w:vAlign w:val="center"/>
          </w:tcPr>
          <w:p w14:paraId="2EEC6BFF">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snapToGrid w:val="0"/>
                <w:color w:val="000000"/>
                <w:kern w:val="21"/>
                <w:szCs w:val="21"/>
                <w:highlight w:val="none"/>
                <w:u w:val="none" w:color="auto"/>
              </w:rPr>
              <w:t>废气</w:t>
            </w:r>
          </w:p>
        </w:tc>
        <w:tc>
          <w:tcPr>
            <w:tcW w:w="1622" w:type="dxa"/>
            <w:noWrap w:val="0"/>
            <w:vAlign w:val="center"/>
          </w:tcPr>
          <w:p w14:paraId="6D858D09">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default" w:ascii="Times New Roman" w:hAnsi="Times New Roman" w:eastAsia="宋体" w:cs="Times New Roman"/>
                <w:color w:val="000000"/>
                <w:sz w:val="21"/>
                <w:szCs w:val="21"/>
                <w:highlight w:val="none"/>
                <w:u w:val="none" w:color="auto"/>
              </w:rPr>
              <w:t>颗粒物</w:t>
            </w:r>
          </w:p>
        </w:tc>
        <w:tc>
          <w:tcPr>
            <w:tcW w:w="1701" w:type="dxa"/>
            <w:noWrap w:val="0"/>
            <w:vAlign w:val="center"/>
          </w:tcPr>
          <w:p w14:paraId="613DAE27">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276" w:type="dxa"/>
            <w:noWrap w:val="0"/>
            <w:vAlign w:val="center"/>
          </w:tcPr>
          <w:p w14:paraId="7AE5FD9A">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701" w:type="dxa"/>
            <w:noWrap w:val="0"/>
            <w:vAlign w:val="center"/>
          </w:tcPr>
          <w:p w14:paraId="665BD50F">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559" w:type="dxa"/>
            <w:noWrap w:val="0"/>
            <w:vAlign w:val="center"/>
          </w:tcPr>
          <w:p w14:paraId="11D8943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761" w:type="dxa"/>
            <w:noWrap w:val="0"/>
            <w:vAlign w:val="center"/>
          </w:tcPr>
          <w:p w14:paraId="3C40138D">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959" w:type="dxa"/>
            <w:noWrap w:val="0"/>
            <w:vAlign w:val="center"/>
          </w:tcPr>
          <w:p w14:paraId="22C10242">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611" w:type="dxa"/>
            <w:noWrap w:val="0"/>
            <w:vAlign w:val="center"/>
          </w:tcPr>
          <w:p w14:paraId="19FCBCF3">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r>
      <w:tr w14:paraId="35983A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continue"/>
            <w:noWrap w:val="0"/>
            <w:vAlign w:val="center"/>
          </w:tcPr>
          <w:p w14:paraId="54804814">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p>
        </w:tc>
        <w:tc>
          <w:tcPr>
            <w:tcW w:w="1622" w:type="dxa"/>
            <w:noWrap w:val="0"/>
            <w:vAlign w:val="center"/>
          </w:tcPr>
          <w:p w14:paraId="13BDECB4">
            <w:pPr>
              <w:pStyle w:val="26"/>
              <w:keepNext w:val="0"/>
              <w:keepLines w:val="0"/>
              <w:suppressLineNumbers w:val="0"/>
              <w:spacing w:before="0" w:beforeAutospacing="0" w:after="0" w:afterAutospacing="0"/>
              <w:ind w:left="-105" w:leftChars="-50" w:right="-105" w:rightChars="-50" w:firstLine="0" w:firstLineChars="0"/>
              <w:jc w:val="center"/>
              <w:rPr>
                <w:rFonts w:hint="eastAsia" w:ascii="Times New Roman" w:hAnsi="Times New Roman" w:eastAsia="宋体" w:cs="Times New Roman"/>
                <w:color w:val="000000"/>
                <w:sz w:val="21"/>
                <w:szCs w:val="21"/>
                <w:highlight w:val="none"/>
                <w:u w:val="none" w:color="auto"/>
                <w:lang w:val="en-US" w:eastAsia="zh-CN"/>
              </w:rPr>
            </w:pPr>
            <w:r>
              <w:rPr>
                <w:rFonts w:hint="eastAsia" w:ascii="Times New Roman" w:hAnsi="Calibri" w:eastAsia="宋体" w:cs="Times New Roman"/>
                <w:color w:val="000000"/>
                <w:sz w:val="21"/>
                <w:szCs w:val="21"/>
                <w:highlight w:val="none"/>
                <w:lang w:val="en-US" w:eastAsia="zh-CN"/>
              </w:rPr>
              <w:t>SO</w:t>
            </w:r>
            <w:r>
              <w:rPr>
                <w:rFonts w:hint="eastAsia" w:ascii="Times New Roman" w:hAnsi="Calibri" w:eastAsia="宋体" w:cs="Times New Roman"/>
                <w:color w:val="000000"/>
                <w:sz w:val="21"/>
                <w:szCs w:val="21"/>
                <w:highlight w:val="none"/>
                <w:vertAlign w:val="subscript"/>
                <w:lang w:val="en-US" w:eastAsia="zh-CN"/>
              </w:rPr>
              <w:t>2</w:t>
            </w:r>
          </w:p>
        </w:tc>
        <w:tc>
          <w:tcPr>
            <w:tcW w:w="1701" w:type="dxa"/>
            <w:noWrap w:val="0"/>
            <w:vAlign w:val="center"/>
          </w:tcPr>
          <w:p w14:paraId="3D4D9B5B">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276" w:type="dxa"/>
            <w:noWrap w:val="0"/>
            <w:vAlign w:val="center"/>
          </w:tcPr>
          <w:p w14:paraId="72F4EDBD">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701" w:type="dxa"/>
            <w:noWrap w:val="0"/>
            <w:vAlign w:val="center"/>
          </w:tcPr>
          <w:p w14:paraId="4A68D964">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559" w:type="dxa"/>
            <w:noWrap w:val="0"/>
            <w:vAlign w:val="center"/>
          </w:tcPr>
          <w:p w14:paraId="2ECDE95C">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761" w:type="dxa"/>
            <w:noWrap w:val="0"/>
            <w:vAlign w:val="center"/>
          </w:tcPr>
          <w:p w14:paraId="6CE6132D">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959" w:type="dxa"/>
            <w:noWrap w:val="0"/>
            <w:vAlign w:val="center"/>
          </w:tcPr>
          <w:p w14:paraId="6811349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611" w:type="dxa"/>
            <w:noWrap w:val="0"/>
            <w:vAlign w:val="center"/>
          </w:tcPr>
          <w:p w14:paraId="454A1E03">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r>
      <w:tr w14:paraId="0E568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continue"/>
            <w:noWrap w:val="0"/>
            <w:vAlign w:val="center"/>
          </w:tcPr>
          <w:p w14:paraId="2E29F444">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p>
        </w:tc>
        <w:tc>
          <w:tcPr>
            <w:tcW w:w="1622" w:type="dxa"/>
            <w:noWrap w:val="0"/>
            <w:vAlign w:val="center"/>
          </w:tcPr>
          <w:p w14:paraId="241A6C4B">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 w:val="21"/>
                <w:szCs w:val="21"/>
                <w:highlight w:val="none"/>
                <w:u w:val="none" w:color="auto"/>
              </w:rPr>
            </w:pPr>
            <w:r>
              <w:rPr>
                <w:rFonts w:hint="default" w:ascii="Times New Roman" w:hAnsi="Times New Roman" w:eastAsia="宋体" w:cs="Times New Roman"/>
                <w:color w:val="000000"/>
                <w:sz w:val="21"/>
                <w:szCs w:val="21"/>
                <w:highlight w:val="none"/>
                <w:u w:val="none" w:color="auto"/>
              </w:rPr>
              <w:t>NOx</w:t>
            </w:r>
          </w:p>
        </w:tc>
        <w:tc>
          <w:tcPr>
            <w:tcW w:w="1701" w:type="dxa"/>
            <w:noWrap w:val="0"/>
            <w:vAlign w:val="center"/>
          </w:tcPr>
          <w:p w14:paraId="79306195">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276" w:type="dxa"/>
            <w:noWrap w:val="0"/>
            <w:vAlign w:val="center"/>
          </w:tcPr>
          <w:p w14:paraId="7A4DDEB0">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701" w:type="dxa"/>
            <w:noWrap w:val="0"/>
            <w:vAlign w:val="center"/>
          </w:tcPr>
          <w:p w14:paraId="2DCA19EB">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559" w:type="dxa"/>
            <w:noWrap w:val="0"/>
            <w:vAlign w:val="center"/>
          </w:tcPr>
          <w:p w14:paraId="2DDA860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761" w:type="dxa"/>
            <w:noWrap w:val="0"/>
            <w:vAlign w:val="center"/>
          </w:tcPr>
          <w:p w14:paraId="3198293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959" w:type="dxa"/>
            <w:noWrap w:val="0"/>
            <w:vAlign w:val="center"/>
          </w:tcPr>
          <w:p w14:paraId="74309F8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611" w:type="dxa"/>
            <w:noWrap w:val="0"/>
            <w:vAlign w:val="center"/>
          </w:tcPr>
          <w:p w14:paraId="79C6D119">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r>
      <w:tr w14:paraId="05E188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restart"/>
            <w:noWrap w:val="0"/>
            <w:vAlign w:val="center"/>
          </w:tcPr>
          <w:p w14:paraId="3AE10472">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snapToGrid w:val="0"/>
                <w:color w:val="000000"/>
                <w:kern w:val="21"/>
                <w:szCs w:val="21"/>
                <w:highlight w:val="none"/>
                <w:u w:val="none" w:color="auto"/>
              </w:rPr>
              <w:t>废水</w:t>
            </w:r>
          </w:p>
        </w:tc>
        <w:tc>
          <w:tcPr>
            <w:tcW w:w="1622" w:type="dxa"/>
            <w:noWrap w:val="0"/>
            <w:vAlign w:val="center"/>
          </w:tcPr>
          <w:p w14:paraId="7B39F7F0">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eastAsia" w:ascii="Times New Roman" w:hAnsi="Times New Roman" w:eastAsia="宋体" w:cs="Times New Roman"/>
                <w:color w:val="000000"/>
                <w:szCs w:val="21"/>
                <w:highlight w:val="none"/>
                <w:u w:val="none" w:color="auto"/>
                <w:lang w:val="en-US" w:eastAsia="zh-CN"/>
              </w:rPr>
              <w:t>COD</w:t>
            </w:r>
          </w:p>
        </w:tc>
        <w:tc>
          <w:tcPr>
            <w:tcW w:w="1701" w:type="dxa"/>
            <w:noWrap w:val="0"/>
            <w:vAlign w:val="center"/>
          </w:tcPr>
          <w:p w14:paraId="1D28D94C">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cs="Times New Roman"/>
                <w:color w:val="000000"/>
                <w:kern w:val="2"/>
                <w:sz w:val="21"/>
                <w:szCs w:val="21"/>
                <w:highlight w:val="none"/>
                <w:u w:val="none" w:color="auto"/>
                <w:lang w:val="en-US" w:eastAsia="zh-CN" w:bidi="ar-SA"/>
              </w:rPr>
              <w:t>0.008t/a</w:t>
            </w:r>
          </w:p>
        </w:tc>
        <w:tc>
          <w:tcPr>
            <w:tcW w:w="1276" w:type="dxa"/>
            <w:noWrap w:val="0"/>
            <w:vAlign w:val="center"/>
          </w:tcPr>
          <w:p w14:paraId="205F7633">
            <w:pPr>
              <w:pStyle w:val="26"/>
              <w:keepNext w:val="0"/>
              <w:keepLines w:val="0"/>
              <w:suppressLineNumbers w:val="0"/>
              <w:spacing w:before="0" w:beforeAutospacing="0" w:after="0" w:afterAutospacing="0"/>
              <w:ind w:left="-105" w:leftChars="-50" w:right="-105" w:rightChars="-50" w:firstLine="0" w:firstLineChars="0"/>
              <w:jc w:val="center"/>
              <w:rPr>
                <w:rFonts w:hint="eastAsia" w:ascii="Times New Roman" w:hAnsi="Times New Roman" w:cs="Times New Roman"/>
                <w:color w:val="000000"/>
                <w:kern w:val="2"/>
                <w:sz w:val="21"/>
                <w:szCs w:val="21"/>
                <w:highlight w:val="none"/>
                <w:u w:val="none" w:color="auto"/>
                <w:lang w:val="en-US" w:eastAsia="zh-CN" w:bidi="ar-SA"/>
              </w:rPr>
            </w:pPr>
            <w:r>
              <w:rPr>
                <w:rFonts w:hint="eastAsia" w:cs="Times New Roman"/>
                <w:color w:val="000000"/>
                <w:kern w:val="2"/>
                <w:sz w:val="21"/>
                <w:szCs w:val="21"/>
                <w:highlight w:val="none"/>
                <w:u w:val="none" w:color="auto"/>
                <w:lang w:val="en-US" w:eastAsia="zh-CN" w:bidi="ar-SA"/>
              </w:rPr>
              <w:t>0.008t/a</w:t>
            </w:r>
          </w:p>
        </w:tc>
        <w:tc>
          <w:tcPr>
            <w:tcW w:w="1701" w:type="dxa"/>
            <w:noWrap w:val="0"/>
            <w:vAlign w:val="center"/>
          </w:tcPr>
          <w:p w14:paraId="43F93B76">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kern w:val="2"/>
                <w:sz w:val="21"/>
                <w:szCs w:val="21"/>
                <w:highlight w:val="none"/>
                <w:u w:val="none" w:color="auto"/>
                <w:lang w:val="en-US" w:eastAsia="zh-CN" w:bidi="ar-SA"/>
              </w:rPr>
            </w:pPr>
            <w:r>
              <w:rPr>
                <w:rFonts w:hint="eastAsia" w:ascii="Times New Roman" w:hAnsi="Times New Roman" w:eastAsia="宋体" w:cs="Times New Roman"/>
                <w:color w:val="000000"/>
                <w:kern w:val="2"/>
                <w:sz w:val="21"/>
                <w:szCs w:val="21"/>
                <w:highlight w:val="none"/>
                <w:u w:val="none" w:color="auto"/>
                <w:lang w:val="en-US" w:eastAsia="zh-CN" w:bidi="ar-SA"/>
              </w:rPr>
              <w:t>/</w:t>
            </w:r>
          </w:p>
        </w:tc>
        <w:tc>
          <w:tcPr>
            <w:tcW w:w="1559" w:type="dxa"/>
            <w:noWrap w:val="0"/>
            <w:vAlign w:val="center"/>
          </w:tcPr>
          <w:p w14:paraId="55DE4434">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highlight w:val="none"/>
                <w:lang w:val="en-US" w:eastAsia="zh-CN"/>
              </w:rPr>
              <w:t>0t/a</w:t>
            </w:r>
          </w:p>
        </w:tc>
        <w:tc>
          <w:tcPr>
            <w:tcW w:w="1761" w:type="dxa"/>
            <w:noWrap w:val="0"/>
            <w:vAlign w:val="center"/>
          </w:tcPr>
          <w:p w14:paraId="727FBF47">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napToGrid w:val="0"/>
                <w:color w:val="000000"/>
                <w:kern w:val="21"/>
                <w:sz w:val="21"/>
                <w:szCs w:val="21"/>
                <w:highlight w:val="none"/>
                <w:u w:val="none" w:color="auto"/>
                <w:lang w:val="en-US" w:eastAsia="zh-CN" w:bidi="ar-SA"/>
              </w:rPr>
            </w:pPr>
            <w:r>
              <w:rPr>
                <w:rFonts w:hint="default" w:ascii="Times New Roman" w:hAnsi="Times New Roman" w:eastAsia="宋体" w:cs="Times New Roman"/>
                <w:b w:val="0"/>
                <w:bCs w:val="0"/>
                <w:color w:val="000000"/>
                <w:highlight w:val="none"/>
              </w:rPr>
              <w:t>/</w:t>
            </w:r>
          </w:p>
        </w:tc>
        <w:tc>
          <w:tcPr>
            <w:tcW w:w="1959" w:type="dxa"/>
            <w:noWrap w:val="0"/>
            <w:vAlign w:val="center"/>
          </w:tcPr>
          <w:p w14:paraId="33F45668">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cs="Times New Roman"/>
                <w:color w:val="000000"/>
                <w:kern w:val="2"/>
                <w:sz w:val="21"/>
                <w:szCs w:val="21"/>
                <w:highlight w:val="none"/>
                <w:u w:val="none" w:color="auto"/>
                <w:lang w:val="en-US" w:eastAsia="zh-CN" w:bidi="ar-SA"/>
              </w:rPr>
              <w:t>0.008t/a</w:t>
            </w:r>
          </w:p>
        </w:tc>
        <w:tc>
          <w:tcPr>
            <w:tcW w:w="1611" w:type="dxa"/>
            <w:noWrap w:val="0"/>
            <w:vAlign w:val="center"/>
          </w:tcPr>
          <w:p w14:paraId="4D16E7C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ascii="Times New Roman" w:hAnsi="Times New Roman" w:eastAsia="宋体" w:cs="Times New Roman"/>
                <w:color w:val="000000"/>
                <w:highlight w:val="none"/>
                <w:lang w:val="en-US" w:eastAsia="zh-CN"/>
              </w:rPr>
              <w:t>0t/a</w:t>
            </w:r>
          </w:p>
        </w:tc>
      </w:tr>
      <w:tr w14:paraId="21EF54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continue"/>
            <w:noWrap w:val="0"/>
            <w:vAlign w:val="center"/>
          </w:tcPr>
          <w:p w14:paraId="3A2B848E">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p>
        </w:tc>
        <w:tc>
          <w:tcPr>
            <w:tcW w:w="1622" w:type="dxa"/>
            <w:noWrap w:val="0"/>
            <w:vAlign w:val="center"/>
          </w:tcPr>
          <w:p w14:paraId="59EA2828">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default" w:ascii="Times New Roman" w:hAnsi="Times New Roman" w:eastAsia="宋体" w:cs="Times New Roman"/>
                <w:snapToGrid w:val="0"/>
                <w:color w:val="000000"/>
                <w:kern w:val="21"/>
                <w:szCs w:val="21"/>
                <w:highlight w:val="none"/>
                <w:u w:val="none" w:color="auto"/>
                <w:lang w:val="en-US" w:eastAsia="zh-CN"/>
              </w:rPr>
              <w:t>NH</w:t>
            </w:r>
            <w:r>
              <w:rPr>
                <w:rFonts w:hint="default" w:ascii="Times New Roman" w:hAnsi="Times New Roman" w:eastAsia="宋体" w:cs="Times New Roman"/>
                <w:snapToGrid w:val="0"/>
                <w:color w:val="000000"/>
                <w:kern w:val="21"/>
                <w:szCs w:val="21"/>
                <w:highlight w:val="none"/>
                <w:u w:val="none" w:color="auto"/>
                <w:vertAlign w:val="subscript"/>
                <w:lang w:val="en-US" w:eastAsia="zh-CN"/>
              </w:rPr>
              <w:t>3</w:t>
            </w:r>
            <w:r>
              <w:rPr>
                <w:rFonts w:hint="default" w:ascii="Times New Roman" w:hAnsi="Times New Roman" w:eastAsia="宋体" w:cs="Times New Roman"/>
                <w:snapToGrid w:val="0"/>
                <w:color w:val="000000"/>
                <w:kern w:val="21"/>
                <w:szCs w:val="21"/>
                <w:highlight w:val="none"/>
                <w:u w:val="none" w:color="auto"/>
                <w:lang w:val="en-US" w:eastAsia="zh-CN"/>
              </w:rPr>
              <w:t>-N</w:t>
            </w:r>
          </w:p>
        </w:tc>
        <w:tc>
          <w:tcPr>
            <w:tcW w:w="1701" w:type="dxa"/>
            <w:noWrap w:val="0"/>
            <w:vAlign w:val="center"/>
          </w:tcPr>
          <w:p w14:paraId="1A9BA56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snapToGrid w:val="0"/>
                <w:color w:val="000000"/>
                <w:kern w:val="21"/>
                <w:szCs w:val="21"/>
                <w:highlight w:val="none"/>
                <w:u w:val="none" w:color="auto"/>
                <w:lang w:val="en-US" w:eastAsia="zh-CN"/>
              </w:rPr>
              <w:t>0.0008</w:t>
            </w:r>
            <w:r>
              <w:rPr>
                <w:rFonts w:hint="eastAsia" w:cs="Times New Roman"/>
                <w:color w:val="000000"/>
                <w:kern w:val="2"/>
                <w:sz w:val="21"/>
                <w:szCs w:val="21"/>
                <w:highlight w:val="none"/>
                <w:u w:val="none" w:color="auto"/>
                <w:lang w:val="en-US" w:eastAsia="zh-CN" w:bidi="ar-SA"/>
              </w:rPr>
              <w:t>/a</w:t>
            </w:r>
          </w:p>
        </w:tc>
        <w:tc>
          <w:tcPr>
            <w:tcW w:w="1276" w:type="dxa"/>
            <w:noWrap w:val="0"/>
            <w:vAlign w:val="center"/>
          </w:tcPr>
          <w:p w14:paraId="417715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000000"/>
                <w:kern w:val="21"/>
                <w:szCs w:val="21"/>
                <w:highlight w:val="none"/>
                <w:u w:val="none" w:color="auto"/>
              </w:rPr>
            </w:pPr>
            <w:r>
              <w:rPr>
                <w:rFonts w:hint="eastAsia" w:cs="Times New Roman"/>
                <w:snapToGrid w:val="0"/>
                <w:color w:val="000000"/>
                <w:kern w:val="21"/>
                <w:szCs w:val="21"/>
                <w:highlight w:val="none"/>
                <w:u w:val="none" w:color="auto"/>
                <w:lang w:val="en-US" w:eastAsia="zh-CN"/>
              </w:rPr>
              <w:t>0.0008</w:t>
            </w:r>
            <w:r>
              <w:rPr>
                <w:rFonts w:hint="eastAsia" w:cs="Times New Roman"/>
                <w:color w:val="000000"/>
                <w:kern w:val="2"/>
                <w:sz w:val="21"/>
                <w:szCs w:val="21"/>
                <w:highlight w:val="none"/>
                <w:u w:val="none" w:color="auto"/>
                <w:lang w:val="en-US" w:eastAsia="zh-CN" w:bidi="ar-SA"/>
              </w:rPr>
              <w:t>/a</w:t>
            </w:r>
          </w:p>
        </w:tc>
        <w:tc>
          <w:tcPr>
            <w:tcW w:w="1701" w:type="dxa"/>
            <w:noWrap w:val="0"/>
            <w:vAlign w:val="center"/>
          </w:tcPr>
          <w:p w14:paraId="4E11041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ascii="Times New Roman" w:hAnsi="Times New Roman" w:eastAsia="宋体" w:cs="Times New Roman"/>
                <w:snapToGrid w:val="0"/>
                <w:color w:val="000000"/>
                <w:kern w:val="21"/>
                <w:szCs w:val="21"/>
                <w:highlight w:val="none"/>
                <w:u w:val="none" w:color="auto"/>
                <w:lang w:val="en-US" w:eastAsia="zh-CN"/>
              </w:rPr>
              <w:t>/</w:t>
            </w:r>
          </w:p>
        </w:tc>
        <w:tc>
          <w:tcPr>
            <w:tcW w:w="1559" w:type="dxa"/>
            <w:noWrap w:val="0"/>
            <w:vAlign w:val="center"/>
          </w:tcPr>
          <w:p w14:paraId="055FCF7E">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b w:val="0"/>
                <w:bCs w:val="0"/>
                <w:snapToGrid w:val="0"/>
                <w:color w:val="000000"/>
                <w:kern w:val="21"/>
                <w:szCs w:val="21"/>
                <w:highlight w:val="none"/>
                <w:u w:val="none" w:color="auto"/>
                <w:lang w:val="en-US"/>
              </w:rPr>
            </w:pPr>
            <w:r>
              <w:rPr>
                <w:rFonts w:hint="eastAsia" w:ascii="Times New Roman" w:hAnsi="Times New Roman" w:eastAsia="宋体" w:cs="Times New Roman"/>
                <w:color w:val="000000"/>
                <w:highlight w:val="none"/>
                <w:lang w:val="en-US" w:eastAsia="zh-CN"/>
              </w:rPr>
              <w:t>0t/a</w:t>
            </w:r>
          </w:p>
        </w:tc>
        <w:tc>
          <w:tcPr>
            <w:tcW w:w="1761" w:type="dxa"/>
            <w:noWrap w:val="0"/>
            <w:vAlign w:val="center"/>
          </w:tcPr>
          <w:p w14:paraId="3722F280">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napToGrid w:val="0"/>
                <w:color w:val="000000"/>
                <w:kern w:val="21"/>
                <w:szCs w:val="21"/>
                <w:highlight w:val="none"/>
                <w:u w:val="none" w:color="auto"/>
              </w:rPr>
            </w:pPr>
            <w:r>
              <w:rPr>
                <w:rFonts w:hint="default" w:ascii="Times New Roman" w:hAnsi="Times New Roman" w:eastAsia="宋体" w:cs="Times New Roman"/>
                <w:b w:val="0"/>
                <w:bCs w:val="0"/>
                <w:color w:val="000000"/>
                <w:highlight w:val="none"/>
              </w:rPr>
              <w:t>/</w:t>
            </w:r>
          </w:p>
        </w:tc>
        <w:tc>
          <w:tcPr>
            <w:tcW w:w="1959" w:type="dxa"/>
            <w:noWrap w:val="0"/>
            <w:vAlign w:val="center"/>
          </w:tcPr>
          <w:p w14:paraId="16475C6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000000"/>
                <w:kern w:val="21"/>
                <w:szCs w:val="21"/>
                <w:highlight w:val="none"/>
                <w:u w:val="none" w:color="auto"/>
              </w:rPr>
            </w:pPr>
            <w:r>
              <w:rPr>
                <w:rFonts w:hint="eastAsia" w:cs="Times New Roman"/>
                <w:snapToGrid w:val="0"/>
                <w:color w:val="000000"/>
                <w:kern w:val="21"/>
                <w:szCs w:val="21"/>
                <w:highlight w:val="none"/>
                <w:u w:val="none" w:color="auto"/>
                <w:lang w:val="en-US" w:eastAsia="zh-CN"/>
              </w:rPr>
              <w:t>0.0008</w:t>
            </w:r>
            <w:r>
              <w:rPr>
                <w:rFonts w:hint="eastAsia" w:cs="Times New Roman"/>
                <w:color w:val="000000"/>
                <w:kern w:val="2"/>
                <w:sz w:val="21"/>
                <w:szCs w:val="21"/>
                <w:highlight w:val="none"/>
                <w:u w:val="none" w:color="auto"/>
                <w:lang w:val="en-US" w:eastAsia="zh-CN" w:bidi="ar-SA"/>
              </w:rPr>
              <w:t>/a</w:t>
            </w:r>
          </w:p>
        </w:tc>
        <w:tc>
          <w:tcPr>
            <w:tcW w:w="1611" w:type="dxa"/>
            <w:noWrap w:val="0"/>
            <w:vAlign w:val="center"/>
          </w:tcPr>
          <w:p w14:paraId="1F0BFEDE">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rPr>
            </w:pPr>
            <w:r>
              <w:rPr>
                <w:rFonts w:hint="eastAsia" w:ascii="Times New Roman" w:hAnsi="Times New Roman" w:eastAsia="宋体" w:cs="Times New Roman"/>
                <w:color w:val="000000"/>
                <w:highlight w:val="none"/>
                <w:lang w:val="en-US" w:eastAsia="zh-CN"/>
              </w:rPr>
              <w:t>0t/a</w:t>
            </w:r>
          </w:p>
        </w:tc>
      </w:tr>
      <w:tr w14:paraId="38D9A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restart"/>
            <w:noWrap w:val="0"/>
            <w:vAlign w:val="center"/>
          </w:tcPr>
          <w:p w14:paraId="18334CBB">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snapToGrid w:val="0"/>
                <w:color w:val="000000"/>
                <w:kern w:val="21"/>
                <w:szCs w:val="21"/>
                <w:highlight w:val="none"/>
                <w:u w:val="none" w:color="auto"/>
              </w:rPr>
              <w:t>一般工业</w:t>
            </w:r>
          </w:p>
          <w:p w14:paraId="185F9325">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snapToGrid w:val="0"/>
                <w:color w:val="000000"/>
                <w:kern w:val="21"/>
                <w:szCs w:val="21"/>
                <w:highlight w:val="none"/>
                <w:u w:val="none" w:color="auto"/>
              </w:rPr>
              <w:t>固体废物</w:t>
            </w:r>
          </w:p>
        </w:tc>
        <w:tc>
          <w:tcPr>
            <w:tcW w:w="1622" w:type="dxa"/>
            <w:noWrap w:val="0"/>
            <w:vAlign w:val="center"/>
          </w:tcPr>
          <w:p w14:paraId="169AD74D">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cs="Times New Roman"/>
                <w:snapToGrid w:val="0"/>
                <w:color w:val="000000"/>
                <w:kern w:val="21"/>
                <w:sz w:val="21"/>
                <w:szCs w:val="21"/>
                <w:highlight w:val="none"/>
                <w:u w:val="none" w:color="auto"/>
                <w:lang w:val="en-US" w:eastAsia="zh-CN" w:bidi="ar-SA"/>
              </w:rPr>
              <w:t>不合格原料</w:t>
            </w:r>
          </w:p>
        </w:tc>
        <w:tc>
          <w:tcPr>
            <w:tcW w:w="1701" w:type="dxa"/>
            <w:noWrap w:val="0"/>
            <w:vAlign w:val="center"/>
          </w:tcPr>
          <w:p w14:paraId="21B447D2">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snapToGrid w:val="0"/>
                <w:color w:val="000000"/>
                <w:kern w:val="21"/>
                <w:szCs w:val="21"/>
                <w:highlight w:val="none"/>
                <w:u w:val="none" w:color="auto"/>
                <w:lang w:val="en-US" w:eastAsia="zh-CN"/>
              </w:rPr>
              <w:t>16.882</w:t>
            </w:r>
            <w:r>
              <w:rPr>
                <w:rFonts w:hint="eastAsia" w:ascii="Times New Roman" w:hAnsi="Times New Roman" w:eastAsia="宋体" w:cs="Times New Roman"/>
                <w:snapToGrid w:val="0"/>
                <w:color w:val="000000"/>
                <w:kern w:val="21"/>
                <w:szCs w:val="21"/>
                <w:highlight w:val="none"/>
                <w:u w:val="none" w:color="auto"/>
                <w:lang w:val="en-US" w:eastAsia="zh-CN"/>
              </w:rPr>
              <w:t>t/a</w:t>
            </w:r>
          </w:p>
        </w:tc>
        <w:tc>
          <w:tcPr>
            <w:tcW w:w="1276" w:type="dxa"/>
            <w:noWrap w:val="0"/>
            <w:vAlign w:val="center"/>
          </w:tcPr>
          <w:p w14:paraId="69ED448A">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snapToGrid w:val="0"/>
                <w:color w:val="000000"/>
                <w:kern w:val="21"/>
                <w:szCs w:val="21"/>
                <w:highlight w:val="none"/>
                <w:u w:val="none" w:color="auto"/>
                <w:lang w:val="en-US" w:eastAsia="zh-CN"/>
              </w:rPr>
              <w:t>16.882</w:t>
            </w:r>
            <w:r>
              <w:rPr>
                <w:rFonts w:hint="eastAsia" w:ascii="Times New Roman" w:hAnsi="Times New Roman" w:eastAsia="宋体" w:cs="Times New Roman"/>
                <w:snapToGrid w:val="0"/>
                <w:color w:val="000000"/>
                <w:kern w:val="21"/>
                <w:szCs w:val="21"/>
                <w:highlight w:val="none"/>
                <w:u w:val="none" w:color="auto"/>
                <w:lang w:val="en-US" w:eastAsia="zh-CN"/>
              </w:rPr>
              <w:t>t/a</w:t>
            </w:r>
          </w:p>
        </w:tc>
        <w:tc>
          <w:tcPr>
            <w:tcW w:w="1701" w:type="dxa"/>
            <w:noWrap w:val="0"/>
            <w:vAlign w:val="center"/>
          </w:tcPr>
          <w:p w14:paraId="18CA89CF">
            <w:pPr>
              <w:pStyle w:val="54"/>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w:t>
            </w:r>
          </w:p>
        </w:tc>
        <w:tc>
          <w:tcPr>
            <w:tcW w:w="1559" w:type="dxa"/>
            <w:noWrap w:val="0"/>
            <w:vAlign w:val="center"/>
          </w:tcPr>
          <w:p w14:paraId="626B04C2">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highlight w:val="none"/>
                <w:lang w:val="en-US" w:eastAsia="zh-CN"/>
              </w:rPr>
            </w:pPr>
            <w:r>
              <w:rPr>
                <w:rFonts w:hint="eastAsia" w:cs="Times New Roman"/>
                <w:color w:val="000000"/>
                <w:highlight w:val="none"/>
                <w:lang w:val="en-US" w:eastAsia="zh-CN"/>
              </w:rPr>
              <w:t>1.582t/a</w:t>
            </w:r>
          </w:p>
        </w:tc>
        <w:tc>
          <w:tcPr>
            <w:tcW w:w="1761" w:type="dxa"/>
            <w:noWrap w:val="0"/>
            <w:vAlign w:val="center"/>
          </w:tcPr>
          <w:p w14:paraId="050D7314">
            <w:pPr>
              <w:pStyle w:val="26"/>
              <w:keepNext w:val="0"/>
              <w:keepLines w:val="0"/>
              <w:suppressLineNumbers w:val="0"/>
              <w:spacing w:before="0" w:beforeAutospacing="0" w:after="0" w:afterAutospacing="0"/>
              <w:ind w:left="-105" w:leftChars="-50" w:right="-105" w:rightChars="-50" w:firstLine="0" w:firstLineChars="0"/>
              <w:jc w:val="center"/>
              <w:rPr>
                <w:rFonts w:hint="eastAsia"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w:t>
            </w:r>
          </w:p>
        </w:tc>
        <w:tc>
          <w:tcPr>
            <w:tcW w:w="1959" w:type="dxa"/>
            <w:noWrap w:val="0"/>
            <w:vAlign w:val="center"/>
          </w:tcPr>
          <w:p w14:paraId="25C009B5">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highlight w:val="none"/>
              </w:rPr>
            </w:pPr>
            <w:r>
              <w:rPr>
                <w:rFonts w:hint="eastAsia" w:cs="Times New Roman"/>
                <w:color w:val="000000"/>
                <w:highlight w:val="none"/>
                <w:lang w:val="en-US" w:eastAsia="zh-CN"/>
              </w:rPr>
              <w:t>18.464</w:t>
            </w:r>
            <w:r>
              <w:rPr>
                <w:rFonts w:hint="default" w:ascii="Times New Roman" w:hAnsi="Times New Roman" w:eastAsia="宋体" w:cs="Times New Roman"/>
                <w:color w:val="000000"/>
                <w:highlight w:val="none"/>
              </w:rPr>
              <w:t>t/a</w:t>
            </w:r>
          </w:p>
        </w:tc>
        <w:tc>
          <w:tcPr>
            <w:tcW w:w="1611" w:type="dxa"/>
            <w:noWrap w:val="0"/>
            <w:vAlign w:val="center"/>
          </w:tcPr>
          <w:p w14:paraId="20EEF40C">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highlight w:val="none"/>
                <w:lang w:val="en-US" w:eastAsia="zh-CN"/>
              </w:rPr>
            </w:pPr>
            <w:r>
              <w:rPr>
                <w:rFonts w:hint="eastAsia" w:cs="Times New Roman"/>
                <w:snapToGrid w:val="0"/>
                <w:color w:val="000000"/>
                <w:kern w:val="21"/>
                <w:szCs w:val="21"/>
                <w:highlight w:val="none"/>
                <w:u w:val="none" w:color="auto"/>
                <w:lang w:val="en-US" w:eastAsia="zh-CN"/>
              </w:rPr>
              <w:t>+1.582</w:t>
            </w:r>
            <w:r>
              <w:rPr>
                <w:rFonts w:hint="eastAsia" w:ascii="Times New Roman" w:hAnsi="Times New Roman" w:eastAsia="宋体" w:cs="Times New Roman"/>
                <w:snapToGrid w:val="0"/>
                <w:color w:val="000000"/>
                <w:kern w:val="21"/>
                <w:szCs w:val="21"/>
                <w:highlight w:val="none"/>
                <w:u w:val="none" w:color="auto"/>
                <w:lang w:val="en-US" w:eastAsia="zh-CN"/>
              </w:rPr>
              <w:t>t/a</w:t>
            </w:r>
          </w:p>
        </w:tc>
      </w:tr>
      <w:tr w14:paraId="391485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continue"/>
            <w:noWrap w:val="0"/>
            <w:vAlign w:val="center"/>
          </w:tcPr>
          <w:p w14:paraId="4800784C">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p>
        </w:tc>
        <w:tc>
          <w:tcPr>
            <w:tcW w:w="1622" w:type="dxa"/>
            <w:noWrap w:val="0"/>
            <w:vAlign w:val="center"/>
          </w:tcPr>
          <w:p w14:paraId="60BA70F9">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snapToGrid w:val="0"/>
                <w:color w:val="000000"/>
                <w:kern w:val="21"/>
                <w:sz w:val="21"/>
                <w:szCs w:val="21"/>
                <w:highlight w:val="none"/>
                <w:u w:val="none" w:color="auto"/>
                <w:lang w:val="en-US" w:eastAsia="zh-CN" w:bidi="ar-SA"/>
              </w:rPr>
              <w:t>不合格产品</w:t>
            </w:r>
          </w:p>
        </w:tc>
        <w:tc>
          <w:tcPr>
            <w:tcW w:w="1701" w:type="dxa"/>
            <w:noWrap w:val="0"/>
            <w:vAlign w:val="center"/>
          </w:tcPr>
          <w:p w14:paraId="3E60882D">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snapToGrid w:val="0"/>
                <w:color w:val="000000"/>
                <w:kern w:val="21"/>
                <w:szCs w:val="21"/>
                <w:highlight w:val="none"/>
                <w:u w:val="none" w:color="auto"/>
                <w:lang w:val="en-US" w:eastAsia="zh-CN"/>
              </w:rPr>
              <w:t>32.876</w:t>
            </w:r>
            <w:r>
              <w:rPr>
                <w:rFonts w:hint="eastAsia" w:ascii="Times New Roman" w:hAnsi="Times New Roman" w:eastAsia="宋体" w:cs="Times New Roman"/>
                <w:snapToGrid w:val="0"/>
                <w:color w:val="000000"/>
                <w:kern w:val="21"/>
                <w:szCs w:val="21"/>
                <w:highlight w:val="none"/>
                <w:u w:val="none" w:color="auto"/>
                <w:lang w:val="en-US" w:eastAsia="zh-CN"/>
              </w:rPr>
              <w:t>t/a</w:t>
            </w:r>
          </w:p>
        </w:tc>
        <w:tc>
          <w:tcPr>
            <w:tcW w:w="1276" w:type="dxa"/>
            <w:noWrap w:val="0"/>
            <w:vAlign w:val="center"/>
          </w:tcPr>
          <w:p w14:paraId="2B35FDB8">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snapToGrid w:val="0"/>
                <w:color w:val="000000"/>
                <w:kern w:val="21"/>
                <w:szCs w:val="21"/>
                <w:highlight w:val="none"/>
                <w:u w:val="none" w:color="auto"/>
                <w:lang w:val="en-US" w:eastAsia="zh-CN"/>
              </w:rPr>
              <w:t>32.876</w:t>
            </w:r>
            <w:r>
              <w:rPr>
                <w:rFonts w:hint="eastAsia" w:ascii="Times New Roman" w:hAnsi="Times New Roman" w:eastAsia="宋体" w:cs="Times New Roman"/>
                <w:snapToGrid w:val="0"/>
                <w:color w:val="000000"/>
                <w:kern w:val="21"/>
                <w:szCs w:val="21"/>
                <w:highlight w:val="none"/>
                <w:u w:val="none" w:color="auto"/>
                <w:lang w:val="en-US" w:eastAsia="zh-CN"/>
              </w:rPr>
              <w:t>t/a</w:t>
            </w:r>
          </w:p>
        </w:tc>
        <w:tc>
          <w:tcPr>
            <w:tcW w:w="1701" w:type="dxa"/>
            <w:noWrap w:val="0"/>
            <w:vAlign w:val="center"/>
          </w:tcPr>
          <w:p w14:paraId="20BB472A">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ascii="Times New Roman" w:cs="Times New Roman"/>
                <w:snapToGrid w:val="0"/>
                <w:color w:val="000000"/>
                <w:kern w:val="21"/>
                <w:szCs w:val="21"/>
                <w:highlight w:val="none"/>
                <w:u w:val="none" w:color="auto"/>
                <w:lang w:val="en-US" w:eastAsia="zh-CN"/>
              </w:rPr>
              <w:t>/</w:t>
            </w:r>
          </w:p>
        </w:tc>
        <w:tc>
          <w:tcPr>
            <w:tcW w:w="1559" w:type="dxa"/>
            <w:noWrap w:val="0"/>
            <w:vAlign w:val="center"/>
          </w:tcPr>
          <w:p w14:paraId="73642379">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color w:val="000000"/>
                <w:highlight w:val="none"/>
                <w:lang w:val="en-US" w:eastAsia="zh-CN"/>
              </w:rPr>
              <w:t>3.081t</w:t>
            </w:r>
            <w:r>
              <w:rPr>
                <w:rFonts w:hint="eastAsia" w:ascii="Times New Roman" w:hAnsi="Times New Roman" w:eastAsia="宋体" w:cs="Times New Roman"/>
                <w:snapToGrid w:val="0"/>
                <w:color w:val="000000"/>
                <w:kern w:val="21"/>
                <w:szCs w:val="21"/>
                <w:highlight w:val="none"/>
                <w:u w:val="none" w:color="auto"/>
                <w:lang w:val="en-US" w:eastAsia="zh-CN"/>
              </w:rPr>
              <w:t>/a</w:t>
            </w:r>
          </w:p>
        </w:tc>
        <w:tc>
          <w:tcPr>
            <w:tcW w:w="1761" w:type="dxa"/>
            <w:noWrap w:val="0"/>
            <w:vAlign w:val="center"/>
          </w:tcPr>
          <w:p w14:paraId="677D159D">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default" w:ascii="Times New Roman" w:hAnsi="Times New Roman" w:eastAsia="宋体" w:cs="Times New Roman"/>
                <w:color w:val="000000"/>
                <w:highlight w:val="none"/>
              </w:rPr>
              <w:t>/</w:t>
            </w:r>
          </w:p>
        </w:tc>
        <w:tc>
          <w:tcPr>
            <w:tcW w:w="1959" w:type="dxa"/>
            <w:noWrap w:val="0"/>
            <w:vAlign w:val="center"/>
          </w:tcPr>
          <w:p w14:paraId="531FD7CD">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color w:val="000000"/>
                <w:highlight w:val="none"/>
                <w:lang w:val="en-US" w:eastAsia="zh-CN"/>
              </w:rPr>
              <w:t>35.957</w:t>
            </w:r>
            <w:r>
              <w:rPr>
                <w:rFonts w:hint="default" w:ascii="Times New Roman" w:hAnsi="Times New Roman" w:eastAsia="宋体" w:cs="Times New Roman"/>
                <w:color w:val="000000"/>
                <w:highlight w:val="none"/>
              </w:rPr>
              <w:t>t/a</w:t>
            </w:r>
          </w:p>
        </w:tc>
        <w:tc>
          <w:tcPr>
            <w:tcW w:w="1611" w:type="dxa"/>
            <w:noWrap w:val="0"/>
            <w:vAlign w:val="center"/>
          </w:tcPr>
          <w:p w14:paraId="7487BF02">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 w:val="21"/>
                <w:szCs w:val="21"/>
                <w:highlight w:val="none"/>
                <w:u w:val="none" w:color="auto"/>
                <w:lang w:val="en-US" w:eastAsia="zh-CN" w:bidi="ar-SA"/>
              </w:rPr>
            </w:pPr>
            <w:r>
              <w:rPr>
                <w:rFonts w:hint="eastAsia" w:cs="Times New Roman"/>
                <w:snapToGrid w:val="0"/>
                <w:color w:val="000000"/>
                <w:kern w:val="21"/>
                <w:szCs w:val="21"/>
                <w:highlight w:val="none"/>
                <w:u w:val="none" w:color="auto"/>
                <w:lang w:val="en-US" w:eastAsia="zh-CN"/>
              </w:rPr>
              <w:t>+3.081</w:t>
            </w:r>
            <w:r>
              <w:rPr>
                <w:rFonts w:hint="eastAsia" w:ascii="Times New Roman" w:hAnsi="Times New Roman" w:eastAsia="宋体" w:cs="Times New Roman"/>
                <w:snapToGrid w:val="0"/>
                <w:color w:val="000000"/>
                <w:kern w:val="21"/>
                <w:szCs w:val="21"/>
                <w:highlight w:val="none"/>
                <w:u w:val="none" w:color="auto"/>
                <w:lang w:val="en-US" w:eastAsia="zh-CN"/>
              </w:rPr>
              <w:t>t/a</w:t>
            </w:r>
          </w:p>
        </w:tc>
      </w:tr>
      <w:tr w14:paraId="38D373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83" w:type="dxa"/>
            <w:vMerge w:val="continue"/>
            <w:noWrap w:val="0"/>
            <w:vAlign w:val="center"/>
          </w:tcPr>
          <w:p w14:paraId="0C0EE28B">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p>
        </w:tc>
        <w:tc>
          <w:tcPr>
            <w:tcW w:w="1622" w:type="dxa"/>
            <w:noWrap w:val="0"/>
            <w:vAlign w:val="center"/>
          </w:tcPr>
          <w:p w14:paraId="3DAA50EF">
            <w:pPr>
              <w:pStyle w:val="26"/>
              <w:keepNext w:val="0"/>
              <w:keepLines w:val="0"/>
              <w:suppressLineNumbers w:val="0"/>
              <w:spacing w:before="0" w:beforeAutospacing="0" w:after="0" w:afterAutospacing="0"/>
              <w:ind w:left="-105" w:leftChars="-50" w:right="-105" w:rightChars="-50" w:firstLine="0" w:firstLineChars="0"/>
              <w:jc w:val="center"/>
              <w:rPr>
                <w:rFonts w:hint="eastAsia" w:ascii="Times New Roman" w:hAnsi="Times New Roman" w:eastAsia="宋体" w:cs="Times New Roman"/>
                <w:snapToGrid w:val="0"/>
                <w:color w:val="000000"/>
                <w:kern w:val="21"/>
                <w:szCs w:val="21"/>
                <w:highlight w:val="none"/>
                <w:u w:val="none" w:color="auto"/>
                <w:lang w:eastAsia="zh-CN"/>
              </w:rPr>
            </w:pPr>
            <w:r>
              <w:rPr>
                <w:rFonts w:hint="eastAsia" w:cs="Times New Roman"/>
                <w:snapToGrid w:val="0"/>
                <w:color w:val="000000"/>
                <w:kern w:val="21"/>
                <w:szCs w:val="21"/>
                <w:highlight w:val="none"/>
                <w:u w:val="none" w:color="auto"/>
                <w:lang w:eastAsia="zh-CN"/>
              </w:rPr>
              <w:t>边角料</w:t>
            </w:r>
          </w:p>
        </w:tc>
        <w:tc>
          <w:tcPr>
            <w:tcW w:w="1701" w:type="dxa"/>
            <w:noWrap w:val="0"/>
            <w:vAlign w:val="center"/>
          </w:tcPr>
          <w:p w14:paraId="46533477">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highlight w:val="none"/>
                <w:lang w:val="en-US" w:eastAsia="zh-CN"/>
              </w:rPr>
            </w:pPr>
            <w:r>
              <w:rPr>
                <w:rFonts w:hint="eastAsia" w:cs="Times New Roman"/>
                <w:color w:val="000000"/>
                <w:highlight w:val="none"/>
                <w:lang w:val="en-US" w:eastAsia="zh-CN"/>
              </w:rPr>
              <w:t>0</w:t>
            </w:r>
          </w:p>
        </w:tc>
        <w:tc>
          <w:tcPr>
            <w:tcW w:w="1276" w:type="dxa"/>
            <w:noWrap w:val="0"/>
            <w:vAlign w:val="center"/>
          </w:tcPr>
          <w:p w14:paraId="75DA47AB">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color w:val="000000"/>
                <w:highlight w:val="none"/>
                <w:lang w:val="en-US" w:eastAsia="zh-CN"/>
              </w:rPr>
              <w:t>0</w:t>
            </w:r>
          </w:p>
        </w:tc>
        <w:tc>
          <w:tcPr>
            <w:tcW w:w="1701" w:type="dxa"/>
            <w:noWrap w:val="0"/>
            <w:vAlign w:val="center"/>
          </w:tcPr>
          <w:p w14:paraId="5C8B5833">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ascii="Times New Roman" w:cs="Times New Roman"/>
                <w:snapToGrid w:val="0"/>
                <w:color w:val="000000"/>
                <w:kern w:val="21"/>
                <w:szCs w:val="21"/>
                <w:highlight w:val="none"/>
                <w:u w:val="none" w:color="auto"/>
                <w:lang w:val="en-US" w:eastAsia="zh-CN"/>
              </w:rPr>
              <w:t>/</w:t>
            </w:r>
          </w:p>
        </w:tc>
        <w:tc>
          <w:tcPr>
            <w:tcW w:w="1559" w:type="dxa"/>
            <w:noWrap w:val="0"/>
            <w:vAlign w:val="center"/>
          </w:tcPr>
          <w:p w14:paraId="202E7413">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eastAsia" w:cs="Times New Roman"/>
                <w:color w:val="000000"/>
                <w:szCs w:val="21"/>
                <w:highlight w:val="none"/>
                <w:u w:val="none" w:color="auto"/>
                <w:lang w:val="en-US" w:eastAsia="zh-CN"/>
              </w:rPr>
              <w:t>1.5</w:t>
            </w:r>
            <w:r>
              <w:rPr>
                <w:rFonts w:hint="eastAsia" w:ascii="Times New Roman" w:hAnsi="Times New Roman" w:eastAsia="宋体" w:cs="Times New Roman"/>
                <w:color w:val="000000"/>
                <w:szCs w:val="21"/>
                <w:highlight w:val="none"/>
                <w:u w:val="none" w:color="auto"/>
                <w:lang w:val="en-US" w:eastAsia="zh-CN"/>
              </w:rPr>
              <w:t>t/a</w:t>
            </w:r>
          </w:p>
        </w:tc>
        <w:tc>
          <w:tcPr>
            <w:tcW w:w="1761" w:type="dxa"/>
            <w:noWrap w:val="0"/>
            <w:vAlign w:val="center"/>
          </w:tcPr>
          <w:p w14:paraId="4BBFB4C7">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highlight w:val="none"/>
                <w:lang w:val="en-US" w:eastAsia="zh-CN"/>
              </w:rPr>
            </w:pPr>
            <w:r>
              <w:rPr>
                <w:rFonts w:hint="eastAsia" w:ascii="Times New Roman" w:hAnsi="Times New Roman" w:eastAsia="宋体" w:cs="Times New Roman"/>
                <w:color w:val="000000"/>
                <w:highlight w:val="none"/>
                <w:lang w:val="en-US" w:eastAsia="zh-CN"/>
              </w:rPr>
              <w:t>/</w:t>
            </w:r>
          </w:p>
        </w:tc>
        <w:tc>
          <w:tcPr>
            <w:tcW w:w="1959" w:type="dxa"/>
            <w:noWrap w:val="0"/>
            <w:vAlign w:val="center"/>
          </w:tcPr>
          <w:p w14:paraId="60AFEDBC">
            <w:pPr>
              <w:pStyle w:val="26"/>
              <w:keepNext w:val="0"/>
              <w:keepLines w:val="0"/>
              <w:suppressLineNumbers w:val="0"/>
              <w:spacing w:before="0" w:beforeAutospacing="0" w:after="0" w:afterAutospacing="0"/>
              <w:ind w:left="-105" w:leftChars="-50" w:right="-105" w:rightChars="-50" w:firstLine="0" w:firstLineChars="0"/>
              <w:jc w:val="center"/>
              <w:rPr>
                <w:rFonts w:hint="default"/>
                <w:lang w:val="en-US" w:eastAsia="zh-CN"/>
              </w:rPr>
            </w:pPr>
            <w:r>
              <w:rPr>
                <w:rFonts w:hint="eastAsia" w:cs="Times New Roman"/>
                <w:color w:val="000000"/>
                <w:szCs w:val="21"/>
                <w:highlight w:val="none"/>
                <w:u w:val="none" w:color="auto"/>
                <w:lang w:val="en-US" w:eastAsia="zh-CN"/>
              </w:rPr>
              <w:t>1.5t/a</w:t>
            </w:r>
          </w:p>
        </w:tc>
        <w:tc>
          <w:tcPr>
            <w:tcW w:w="1611" w:type="dxa"/>
            <w:noWrap w:val="0"/>
            <w:vAlign w:val="center"/>
          </w:tcPr>
          <w:p w14:paraId="04627D6D">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eastAsia" w:cs="Times New Roman"/>
                <w:color w:val="000000"/>
                <w:highlight w:val="none"/>
                <w:lang w:val="en-US" w:eastAsia="zh-CN"/>
              </w:rPr>
              <w:t>+</w:t>
            </w:r>
            <w:r>
              <w:rPr>
                <w:rFonts w:hint="eastAsia" w:cs="Times New Roman"/>
                <w:color w:val="000000"/>
                <w:szCs w:val="21"/>
                <w:highlight w:val="none"/>
                <w:u w:val="none" w:color="auto"/>
                <w:lang w:val="en-US" w:eastAsia="zh-CN"/>
              </w:rPr>
              <w:t>1.5t/a</w:t>
            </w:r>
          </w:p>
        </w:tc>
      </w:tr>
      <w:tr w14:paraId="1996E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continue"/>
            <w:noWrap w:val="0"/>
            <w:vAlign w:val="center"/>
          </w:tcPr>
          <w:p w14:paraId="113ACE3A">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p>
        </w:tc>
        <w:tc>
          <w:tcPr>
            <w:tcW w:w="1622" w:type="dxa"/>
            <w:noWrap w:val="0"/>
            <w:vAlign w:val="center"/>
          </w:tcPr>
          <w:p w14:paraId="2F6A1F58">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eastAsia="zh-CN"/>
              </w:rPr>
            </w:pPr>
            <w:r>
              <w:rPr>
                <w:rFonts w:hint="default" w:ascii="Times New Roman" w:hAnsi="Times New Roman" w:eastAsia="宋体" w:cs="Times New Roman"/>
                <w:snapToGrid w:val="0"/>
                <w:color w:val="000000"/>
                <w:kern w:val="21"/>
                <w:szCs w:val="21"/>
                <w:highlight w:val="none"/>
                <w:u w:val="none" w:color="auto"/>
                <w:lang w:eastAsia="zh-CN"/>
              </w:rPr>
              <w:t>废</w:t>
            </w:r>
            <w:r>
              <w:rPr>
                <w:rFonts w:hint="eastAsia" w:cs="Times New Roman"/>
                <w:snapToGrid w:val="0"/>
                <w:color w:val="000000"/>
                <w:kern w:val="21"/>
                <w:szCs w:val="21"/>
                <w:highlight w:val="none"/>
                <w:u w:val="none" w:color="auto"/>
                <w:lang w:eastAsia="zh-CN"/>
              </w:rPr>
              <w:t>包装带</w:t>
            </w:r>
          </w:p>
        </w:tc>
        <w:tc>
          <w:tcPr>
            <w:tcW w:w="1701" w:type="dxa"/>
            <w:noWrap w:val="0"/>
            <w:vAlign w:val="center"/>
          </w:tcPr>
          <w:p w14:paraId="4B0C8855">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highlight w:val="none"/>
                <w:lang w:val="en-US" w:eastAsia="zh-CN"/>
              </w:rPr>
            </w:pPr>
            <w:r>
              <w:rPr>
                <w:rFonts w:hint="eastAsia" w:cs="Times New Roman"/>
                <w:color w:val="000000"/>
                <w:highlight w:val="none"/>
                <w:lang w:val="en-US" w:eastAsia="zh-CN"/>
              </w:rPr>
              <w:t>0.26</w:t>
            </w:r>
            <w:r>
              <w:rPr>
                <w:rFonts w:hint="eastAsia" w:ascii="Times New Roman" w:hAnsi="Times New Roman" w:eastAsia="宋体" w:cs="Times New Roman"/>
                <w:color w:val="000000"/>
                <w:highlight w:val="none"/>
                <w:lang w:val="en-US" w:eastAsia="zh-CN"/>
              </w:rPr>
              <w:t>t/a</w:t>
            </w:r>
          </w:p>
        </w:tc>
        <w:tc>
          <w:tcPr>
            <w:tcW w:w="1276" w:type="dxa"/>
            <w:noWrap w:val="0"/>
            <w:vAlign w:val="center"/>
          </w:tcPr>
          <w:p w14:paraId="107CCACE">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cs="Times New Roman"/>
                <w:color w:val="000000"/>
                <w:highlight w:val="none"/>
                <w:lang w:val="en-US" w:eastAsia="zh-CN"/>
              </w:rPr>
              <w:t>0.26</w:t>
            </w:r>
            <w:r>
              <w:rPr>
                <w:rFonts w:hint="eastAsia" w:ascii="Times New Roman" w:hAnsi="Times New Roman" w:eastAsia="宋体" w:cs="Times New Roman"/>
                <w:color w:val="000000"/>
                <w:highlight w:val="none"/>
                <w:lang w:val="en-US" w:eastAsia="zh-CN"/>
              </w:rPr>
              <w:t>t/a</w:t>
            </w:r>
          </w:p>
        </w:tc>
        <w:tc>
          <w:tcPr>
            <w:tcW w:w="1701" w:type="dxa"/>
            <w:noWrap w:val="0"/>
            <w:vAlign w:val="center"/>
          </w:tcPr>
          <w:p w14:paraId="591BEE43">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lang w:val="en-US" w:eastAsia="zh-CN"/>
              </w:rPr>
            </w:pPr>
            <w:r>
              <w:rPr>
                <w:rFonts w:hint="eastAsia" w:ascii="Times New Roman" w:cs="Times New Roman"/>
                <w:snapToGrid w:val="0"/>
                <w:color w:val="000000"/>
                <w:kern w:val="21"/>
                <w:szCs w:val="21"/>
                <w:highlight w:val="none"/>
                <w:u w:val="none" w:color="auto"/>
                <w:lang w:val="en-US" w:eastAsia="zh-CN"/>
              </w:rPr>
              <w:t>/</w:t>
            </w:r>
          </w:p>
        </w:tc>
        <w:tc>
          <w:tcPr>
            <w:tcW w:w="1559" w:type="dxa"/>
            <w:noWrap w:val="0"/>
            <w:vAlign w:val="center"/>
          </w:tcPr>
          <w:p w14:paraId="21732FE4">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eastAsia" w:cs="Times New Roman"/>
                <w:color w:val="000000"/>
                <w:szCs w:val="21"/>
                <w:highlight w:val="none"/>
                <w:u w:val="none" w:color="auto"/>
                <w:lang w:val="en-US" w:eastAsia="zh-CN"/>
              </w:rPr>
              <w:t>0.025</w:t>
            </w:r>
            <w:r>
              <w:rPr>
                <w:rFonts w:hint="default" w:ascii="Times New Roman" w:hAnsi="Times New Roman" w:eastAsia="宋体" w:cs="Times New Roman"/>
                <w:color w:val="000000"/>
                <w:szCs w:val="21"/>
                <w:highlight w:val="none"/>
                <w:u w:val="none" w:color="auto"/>
                <w:lang w:val="en-US" w:eastAsia="zh-CN"/>
              </w:rPr>
              <w:t>t/a</w:t>
            </w:r>
          </w:p>
        </w:tc>
        <w:tc>
          <w:tcPr>
            <w:tcW w:w="1761" w:type="dxa"/>
            <w:noWrap w:val="0"/>
            <w:vAlign w:val="center"/>
          </w:tcPr>
          <w:p w14:paraId="3FF4EA68">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default" w:ascii="Times New Roman" w:hAnsi="Times New Roman" w:eastAsia="宋体" w:cs="Times New Roman"/>
                <w:color w:val="000000"/>
                <w:highlight w:val="none"/>
              </w:rPr>
              <w:t>/</w:t>
            </w:r>
          </w:p>
        </w:tc>
        <w:tc>
          <w:tcPr>
            <w:tcW w:w="1959" w:type="dxa"/>
            <w:noWrap w:val="0"/>
            <w:vAlign w:val="center"/>
          </w:tcPr>
          <w:p w14:paraId="4EC7A37F">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eastAsia" w:cs="Times New Roman"/>
                <w:color w:val="000000"/>
                <w:szCs w:val="21"/>
                <w:highlight w:val="none"/>
                <w:u w:val="none" w:color="auto"/>
                <w:lang w:val="en-US" w:eastAsia="zh-CN"/>
              </w:rPr>
              <w:t>0.285</w:t>
            </w:r>
            <w:r>
              <w:rPr>
                <w:rFonts w:hint="default" w:ascii="Times New Roman" w:hAnsi="Times New Roman" w:eastAsia="宋体" w:cs="Times New Roman"/>
                <w:color w:val="000000"/>
                <w:szCs w:val="21"/>
                <w:highlight w:val="none"/>
                <w:u w:val="none" w:color="auto"/>
                <w:lang w:val="en-US" w:eastAsia="zh-CN"/>
              </w:rPr>
              <w:t>t/a</w:t>
            </w:r>
          </w:p>
        </w:tc>
        <w:tc>
          <w:tcPr>
            <w:tcW w:w="1611" w:type="dxa"/>
            <w:noWrap w:val="0"/>
            <w:vAlign w:val="center"/>
          </w:tcPr>
          <w:p w14:paraId="15795FAD">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color w:val="000000"/>
                <w:szCs w:val="21"/>
                <w:highlight w:val="none"/>
                <w:u w:val="none" w:color="auto"/>
                <w:lang w:val="en-US" w:eastAsia="zh-CN"/>
              </w:rPr>
            </w:pPr>
            <w:r>
              <w:rPr>
                <w:rFonts w:hint="eastAsia" w:cs="Times New Roman"/>
                <w:color w:val="000000"/>
                <w:highlight w:val="none"/>
                <w:lang w:val="en-US" w:eastAsia="zh-CN"/>
              </w:rPr>
              <w:t>+0.26</w:t>
            </w:r>
            <w:r>
              <w:rPr>
                <w:rFonts w:hint="eastAsia" w:ascii="Times New Roman" w:hAnsi="Times New Roman" w:eastAsia="宋体" w:cs="Times New Roman"/>
                <w:color w:val="000000"/>
                <w:highlight w:val="none"/>
                <w:lang w:val="en-US" w:eastAsia="zh-CN"/>
              </w:rPr>
              <w:t>t/a</w:t>
            </w:r>
          </w:p>
        </w:tc>
      </w:tr>
      <w:tr w14:paraId="1F9638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vMerge w:val="continue"/>
            <w:noWrap w:val="0"/>
            <w:vAlign w:val="center"/>
          </w:tcPr>
          <w:p w14:paraId="56E23DF2">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p>
        </w:tc>
        <w:tc>
          <w:tcPr>
            <w:tcW w:w="1622" w:type="dxa"/>
            <w:noWrap w:val="0"/>
            <w:vAlign w:val="center"/>
          </w:tcPr>
          <w:p w14:paraId="4088FD62">
            <w:pPr>
              <w:pStyle w:val="26"/>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lang w:eastAsia="zh-CN"/>
              </w:rPr>
            </w:pPr>
            <w:r>
              <w:rPr>
                <w:rFonts w:hint="default" w:ascii="Times New Roman" w:hAnsi="Times New Roman" w:eastAsia="宋体" w:cs="Times New Roman"/>
                <w:snapToGrid w:val="0"/>
                <w:color w:val="000000"/>
                <w:kern w:val="21"/>
                <w:szCs w:val="21"/>
                <w:highlight w:val="none"/>
                <w:u w:val="none" w:color="auto"/>
                <w:lang w:val="en-US" w:eastAsia="zh-CN"/>
              </w:rPr>
              <w:t>冷却池与淬火池底泥</w:t>
            </w:r>
          </w:p>
        </w:tc>
        <w:tc>
          <w:tcPr>
            <w:tcW w:w="1701" w:type="dxa"/>
            <w:noWrap w:val="0"/>
            <w:vAlign w:val="center"/>
          </w:tcPr>
          <w:p w14:paraId="37C1C191">
            <w:pPr>
              <w:pStyle w:val="26"/>
              <w:keepNext w:val="0"/>
              <w:keepLines w:val="0"/>
              <w:suppressLineNumbers w:val="0"/>
              <w:spacing w:before="0" w:beforeAutospacing="0" w:after="0" w:afterAutospacing="0"/>
              <w:ind w:left="-105" w:leftChars="-50" w:right="-105" w:rightChars="-50" w:firstLine="0" w:firstLineChars="0"/>
              <w:jc w:val="center"/>
              <w:rPr>
                <w:rFonts w:hint="default" w:cs="Times New Roman"/>
                <w:color w:val="000000"/>
                <w:highlight w:val="none"/>
                <w:lang w:val="en-US" w:eastAsia="zh-CN"/>
              </w:rPr>
            </w:pPr>
            <w:r>
              <w:rPr>
                <w:rFonts w:hint="eastAsia" w:cs="Times New Roman"/>
                <w:color w:val="000000"/>
                <w:highlight w:val="none"/>
                <w:lang w:val="en-US" w:eastAsia="zh-CN"/>
              </w:rPr>
              <w:t>0.2t/a</w:t>
            </w:r>
          </w:p>
        </w:tc>
        <w:tc>
          <w:tcPr>
            <w:tcW w:w="1276" w:type="dxa"/>
            <w:noWrap w:val="0"/>
            <w:vAlign w:val="center"/>
          </w:tcPr>
          <w:p w14:paraId="0B90B7A4">
            <w:pPr>
              <w:pStyle w:val="26"/>
              <w:keepNext w:val="0"/>
              <w:keepLines w:val="0"/>
              <w:suppressLineNumbers w:val="0"/>
              <w:spacing w:before="0" w:beforeAutospacing="0" w:after="0" w:afterAutospacing="0"/>
              <w:ind w:left="-105" w:leftChars="-50" w:right="-105" w:rightChars="-50" w:firstLine="0" w:firstLineChars="0"/>
              <w:jc w:val="center"/>
              <w:rPr>
                <w:rFonts w:hint="eastAsia" w:cs="Times New Roman"/>
                <w:color w:val="000000"/>
                <w:highlight w:val="none"/>
                <w:lang w:val="en-US" w:eastAsia="zh-CN"/>
              </w:rPr>
            </w:pPr>
            <w:r>
              <w:rPr>
                <w:rFonts w:hint="eastAsia" w:cs="Times New Roman"/>
                <w:color w:val="000000"/>
                <w:highlight w:val="none"/>
                <w:lang w:val="en-US" w:eastAsia="zh-CN"/>
              </w:rPr>
              <w:t>0.2t/a</w:t>
            </w:r>
          </w:p>
        </w:tc>
        <w:tc>
          <w:tcPr>
            <w:tcW w:w="1701" w:type="dxa"/>
            <w:noWrap w:val="0"/>
            <w:vAlign w:val="center"/>
          </w:tcPr>
          <w:p w14:paraId="0547823A">
            <w:pPr>
              <w:pStyle w:val="54"/>
              <w:keepNext w:val="0"/>
              <w:keepLines w:val="0"/>
              <w:suppressLineNumbers w:val="0"/>
              <w:spacing w:before="0" w:beforeLines="0" w:beforeAutospacing="0" w:after="0" w:afterLines="0" w:afterAutospacing="0" w:line="240" w:lineRule="auto"/>
              <w:ind w:left="0" w:right="0"/>
              <w:rPr>
                <w:rFonts w:hint="default" w:ascii="Times New Roman" w:cs="Times New Roman"/>
                <w:snapToGrid w:val="0"/>
                <w:color w:val="000000"/>
                <w:kern w:val="21"/>
                <w:szCs w:val="21"/>
                <w:highlight w:val="none"/>
                <w:u w:val="none" w:color="auto"/>
                <w:lang w:val="en-US" w:eastAsia="zh-CN"/>
              </w:rPr>
            </w:pPr>
            <w:r>
              <w:rPr>
                <w:rFonts w:hint="eastAsia" w:ascii="Times New Roman" w:cs="Times New Roman"/>
                <w:snapToGrid w:val="0"/>
                <w:color w:val="000000"/>
                <w:kern w:val="21"/>
                <w:szCs w:val="21"/>
                <w:highlight w:val="none"/>
                <w:u w:val="none" w:color="auto"/>
                <w:lang w:val="en-US" w:eastAsia="zh-CN"/>
              </w:rPr>
              <w:t>/</w:t>
            </w:r>
          </w:p>
        </w:tc>
        <w:tc>
          <w:tcPr>
            <w:tcW w:w="1559" w:type="dxa"/>
            <w:noWrap w:val="0"/>
            <w:vAlign w:val="center"/>
          </w:tcPr>
          <w:p w14:paraId="5F77FBF1">
            <w:pPr>
              <w:pStyle w:val="26"/>
              <w:keepNext w:val="0"/>
              <w:keepLines w:val="0"/>
              <w:suppressLineNumbers w:val="0"/>
              <w:spacing w:before="0" w:beforeAutospacing="0" w:after="0" w:afterAutospacing="0"/>
              <w:ind w:left="-105" w:leftChars="-50" w:right="-105" w:rightChars="-50" w:firstLine="0" w:firstLineChars="0"/>
              <w:jc w:val="center"/>
              <w:rPr>
                <w:rFonts w:hint="default" w:cs="Times New Roman"/>
                <w:color w:val="000000"/>
                <w:szCs w:val="21"/>
                <w:highlight w:val="none"/>
                <w:u w:val="none" w:color="auto"/>
                <w:lang w:val="en-US" w:eastAsia="zh-CN"/>
              </w:rPr>
            </w:pPr>
            <w:r>
              <w:rPr>
                <w:rFonts w:hint="eastAsia" w:cs="Times New Roman"/>
                <w:color w:val="000000"/>
                <w:szCs w:val="21"/>
                <w:highlight w:val="none"/>
                <w:u w:val="none" w:color="auto"/>
                <w:lang w:val="en-US" w:eastAsia="zh-CN"/>
              </w:rPr>
              <w:t>0.02t/a</w:t>
            </w:r>
          </w:p>
        </w:tc>
        <w:tc>
          <w:tcPr>
            <w:tcW w:w="1761" w:type="dxa"/>
            <w:noWrap w:val="0"/>
            <w:vAlign w:val="center"/>
          </w:tcPr>
          <w:p w14:paraId="64107BD7">
            <w:pPr>
              <w:pStyle w:val="26"/>
              <w:keepNext w:val="0"/>
              <w:keepLines w:val="0"/>
              <w:suppressLineNumbers w:val="0"/>
              <w:spacing w:before="0" w:beforeAutospacing="0" w:after="0" w:afterAutospacing="0"/>
              <w:ind w:left="-105" w:leftChars="-50" w:right="-105" w:rightChars="-50" w:firstLine="0" w:firstLineChars="0"/>
              <w:jc w:val="center"/>
              <w:rPr>
                <w:rFonts w:hint="eastAsia" w:ascii="Times New Roman" w:hAnsi="Times New Roman" w:eastAsia="宋体" w:cs="Times New Roman"/>
                <w:color w:val="000000"/>
                <w:highlight w:val="none"/>
                <w:lang w:val="en-US" w:eastAsia="zh-CN"/>
              </w:rPr>
            </w:pPr>
            <w:r>
              <w:rPr>
                <w:rFonts w:hint="eastAsia" w:cs="Times New Roman"/>
                <w:color w:val="000000"/>
                <w:highlight w:val="none"/>
                <w:lang w:val="en-US" w:eastAsia="zh-CN"/>
              </w:rPr>
              <w:t>/</w:t>
            </w:r>
          </w:p>
        </w:tc>
        <w:tc>
          <w:tcPr>
            <w:tcW w:w="1959" w:type="dxa"/>
            <w:noWrap w:val="0"/>
            <w:vAlign w:val="center"/>
          </w:tcPr>
          <w:p w14:paraId="794FE033">
            <w:pPr>
              <w:pStyle w:val="26"/>
              <w:keepNext w:val="0"/>
              <w:keepLines w:val="0"/>
              <w:suppressLineNumbers w:val="0"/>
              <w:spacing w:before="0" w:beforeAutospacing="0" w:after="0" w:afterAutospacing="0"/>
              <w:ind w:left="-105" w:leftChars="-50" w:right="-105" w:rightChars="-50" w:firstLine="0" w:firstLineChars="0"/>
              <w:jc w:val="center"/>
              <w:rPr>
                <w:rFonts w:hint="default" w:cs="Times New Roman"/>
                <w:color w:val="000000"/>
                <w:szCs w:val="21"/>
                <w:highlight w:val="none"/>
                <w:u w:val="none" w:color="auto"/>
                <w:lang w:val="en-US" w:eastAsia="zh-CN"/>
              </w:rPr>
            </w:pPr>
            <w:r>
              <w:rPr>
                <w:rFonts w:hint="eastAsia" w:cs="Times New Roman"/>
                <w:color w:val="000000"/>
                <w:szCs w:val="21"/>
                <w:highlight w:val="none"/>
                <w:u w:val="none" w:color="auto"/>
                <w:lang w:val="en-US" w:eastAsia="zh-CN"/>
              </w:rPr>
              <w:t>0.22t/a</w:t>
            </w:r>
          </w:p>
        </w:tc>
        <w:tc>
          <w:tcPr>
            <w:tcW w:w="1611" w:type="dxa"/>
            <w:noWrap w:val="0"/>
            <w:vAlign w:val="center"/>
          </w:tcPr>
          <w:p w14:paraId="22B8800A">
            <w:pPr>
              <w:pStyle w:val="26"/>
              <w:keepNext w:val="0"/>
              <w:keepLines w:val="0"/>
              <w:suppressLineNumbers w:val="0"/>
              <w:spacing w:before="0" w:beforeAutospacing="0" w:after="0" w:afterAutospacing="0"/>
              <w:ind w:left="-105" w:leftChars="-50" w:right="-105" w:rightChars="-50" w:firstLine="0" w:firstLineChars="0"/>
              <w:jc w:val="center"/>
              <w:rPr>
                <w:rFonts w:hint="default" w:cs="Times New Roman"/>
                <w:color w:val="000000"/>
                <w:highlight w:val="none"/>
                <w:lang w:val="en-US" w:eastAsia="zh-CN"/>
              </w:rPr>
            </w:pPr>
            <w:r>
              <w:rPr>
                <w:rFonts w:hint="eastAsia" w:cs="Times New Roman"/>
                <w:color w:val="000000"/>
                <w:highlight w:val="none"/>
                <w:lang w:val="en-US" w:eastAsia="zh-CN"/>
              </w:rPr>
              <w:t>+0.02t/a</w:t>
            </w:r>
          </w:p>
        </w:tc>
      </w:tr>
      <w:tr w14:paraId="2BA82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3" w:type="dxa"/>
            <w:noWrap w:val="0"/>
            <w:vAlign w:val="center"/>
          </w:tcPr>
          <w:p w14:paraId="6106D6DD">
            <w:pPr>
              <w:pStyle w:val="54"/>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snapToGrid w:val="0"/>
                <w:color w:val="000000"/>
                <w:kern w:val="21"/>
                <w:szCs w:val="21"/>
                <w:highlight w:val="none"/>
                <w:u w:val="none" w:color="auto"/>
              </w:rPr>
              <w:t>危险废物</w:t>
            </w:r>
          </w:p>
        </w:tc>
        <w:tc>
          <w:tcPr>
            <w:tcW w:w="1622" w:type="dxa"/>
            <w:noWrap w:val="0"/>
            <w:vAlign w:val="center"/>
          </w:tcPr>
          <w:p w14:paraId="3D5FDD4C">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snapToGrid w:val="0"/>
                <w:color w:val="000000"/>
                <w:kern w:val="21"/>
                <w:szCs w:val="21"/>
                <w:highlight w:val="none"/>
                <w:u w:val="none" w:color="auto"/>
                <w:lang w:val="en-US" w:eastAsia="zh-CN"/>
              </w:rPr>
            </w:pPr>
            <w:r>
              <w:rPr>
                <w:rFonts w:hint="default" w:ascii="Times New Roman" w:hAnsi="Times New Roman" w:eastAsia="宋体" w:cs="Times New Roman"/>
                <w:snapToGrid w:val="0"/>
                <w:color w:val="000000"/>
                <w:kern w:val="21"/>
                <w:szCs w:val="21"/>
                <w:highlight w:val="none"/>
                <w:u w:val="none" w:color="auto"/>
                <w:lang w:val="en-US" w:eastAsia="zh-CN"/>
              </w:rPr>
              <w:t>/</w:t>
            </w:r>
          </w:p>
        </w:tc>
        <w:tc>
          <w:tcPr>
            <w:tcW w:w="1701" w:type="dxa"/>
            <w:noWrap w:val="0"/>
            <w:vAlign w:val="center"/>
          </w:tcPr>
          <w:p w14:paraId="52ECA8C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color w:val="000000"/>
                <w:highlight w:val="none"/>
              </w:rPr>
              <w:t>/</w:t>
            </w:r>
          </w:p>
        </w:tc>
        <w:tc>
          <w:tcPr>
            <w:tcW w:w="1276" w:type="dxa"/>
            <w:noWrap w:val="0"/>
            <w:vAlign w:val="center"/>
          </w:tcPr>
          <w:p w14:paraId="479947BE">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snapToGrid w:val="0"/>
                <w:color w:val="000000"/>
                <w:kern w:val="21"/>
                <w:szCs w:val="21"/>
                <w:highlight w:val="none"/>
                <w:u w:val="none" w:color="auto"/>
                <w:lang w:val="en-US" w:eastAsia="zh-CN"/>
              </w:rPr>
              <w:t>/</w:t>
            </w:r>
          </w:p>
        </w:tc>
        <w:tc>
          <w:tcPr>
            <w:tcW w:w="1701" w:type="dxa"/>
            <w:noWrap w:val="0"/>
            <w:vAlign w:val="center"/>
          </w:tcPr>
          <w:p w14:paraId="00704DF3">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snapToGrid w:val="0"/>
                <w:color w:val="000000"/>
                <w:kern w:val="21"/>
                <w:szCs w:val="21"/>
                <w:highlight w:val="none"/>
                <w:u w:val="none" w:color="auto"/>
                <w:lang w:val="en-US" w:eastAsia="zh-CN"/>
              </w:rPr>
              <w:t>/</w:t>
            </w:r>
          </w:p>
        </w:tc>
        <w:tc>
          <w:tcPr>
            <w:tcW w:w="1559" w:type="dxa"/>
            <w:noWrap w:val="0"/>
            <w:vAlign w:val="center"/>
          </w:tcPr>
          <w:p w14:paraId="551CABDB">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color w:val="000000"/>
                <w:highlight w:val="none"/>
              </w:rPr>
              <w:t>/</w:t>
            </w:r>
          </w:p>
        </w:tc>
        <w:tc>
          <w:tcPr>
            <w:tcW w:w="1761" w:type="dxa"/>
            <w:noWrap w:val="0"/>
            <w:vAlign w:val="center"/>
          </w:tcPr>
          <w:p w14:paraId="72EA73B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color w:val="000000"/>
                <w:highlight w:val="none"/>
              </w:rPr>
              <w:t>/</w:t>
            </w:r>
          </w:p>
        </w:tc>
        <w:tc>
          <w:tcPr>
            <w:tcW w:w="1959" w:type="dxa"/>
            <w:noWrap w:val="0"/>
            <w:vAlign w:val="center"/>
          </w:tcPr>
          <w:p w14:paraId="2BB1F5E5">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color w:val="000000"/>
                <w:highlight w:val="none"/>
              </w:rPr>
              <w:t>/</w:t>
            </w:r>
          </w:p>
        </w:tc>
        <w:tc>
          <w:tcPr>
            <w:tcW w:w="1611" w:type="dxa"/>
            <w:noWrap w:val="0"/>
            <w:vAlign w:val="center"/>
          </w:tcPr>
          <w:p w14:paraId="73FCDF4A">
            <w:pPr>
              <w:keepNext w:val="0"/>
              <w:keepLines w:val="0"/>
              <w:suppressLineNumbers w:val="0"/>
              <w:spacing w:before="0" w:beforeAutospacing="0" w:after="0" w:afterAutospacing="0"/>
              <w:ind w:left="-105" w:leftChars="-50" w:right="-105" w:rightChars="-50" w:firstLine="0" w:firstLineChars="0"/>
              <w:jc w:val="center"/>
              <w:rPr>
                <w:rFonts w:hint="default" w:ascii="Times New Roman" w:hAnsi="Times New Roman" w:eastAsia="宋体" w:cs="Times New Roman"/>
                <w:snapToGrid w:val="0"/>
                <w:color w:val="000000"/>
                <w:kern w:val="21"/>
                <w:szCs w:val="21"/>
                <w:highlight w:val="none"/>
                <w:u w:val="none" w:color="auto"/>
              </w:rPr>
            </w:pPr>
            <w:r>
              <w:rPr>
                <w:rFonts w:hint="default" w:ascii="Times New Roman" w:hAnsi="Times New Roman" w:eastAsia="宋体" w:cs="Times New Roman"/>
                <w:color w:val="000000"/>
                <w:highlight w:val="none"/>
              </w:rPr>
              <w:t>/</w:t>
            </w:r>
          </w:p>
        </w:tc>
      </w:tr>
    </w:tbl>
    <w:p w14:paraId="15429507">
      <w:pPr>
        <w:rPr>
          <w:rFonts w:hint="eastAsia" w:ascii="Times New Roman" w:hAnsi="Times New Roman" w:cs="Times New Roman"/>
          <w:snapToGrid w:val="0"/>
          <w:color w:val="000000"/>
          <w:spacing w:val="-6"/>
          <w:kern w:val="21"/>
          <w:szCs w:val="21"/>
          <w:highlight w:val="none"/>
          <w:u w:val="none" w:color="auto"/>
          <w:lang w:val="en-US" w:eastAsia="zh-CN"/>
        </w:rPr>
      </w:pPr>
      <w:r>
        <w:rPr>
          <w:rFonts w:ascii="Times New Roman" w:hAnsi="Times New Roman" w:cs="Times New Roman"/>
          <w:snapToGrid w:val="0"/>
          <w:color w:val="000000"/>
          <w:kern w:val="21"/>
          <w:szCs w:val="21"/>
          <w:highlight w:val="none"/>
          <w:u w:val="none" w:color="auto"/>
        </w:rPr>
        <w:t>注：</w:t>
      </w:r>
      <w:r>
        <w:rPr>
          <w:rFonts w:ascii="Times New Roman" w:hAnsi="Times New Roman" w:cs="Times New Roman"/>
          <w:snapToGrid w:val="0"/>
          <w:color w:val="000000"/>
          <w:spacing w:val="-16"/>
          <w:kern w:val="21"/>
          <w:szCs w:val="21"/>
          <w:highlight w:val="none"/>
          <w:u w:val="none" w:color="auto"/>
        </w:rPr>
        <w:fldChar w:fldCharType="begin"/>
      </w:r>
      <w:r>
        <w:rPr>
          <w:rFonts w:hAnsi="宋体"/>
          <w:snapToGrid w:val="0"/>
          <w:color w:val="000000"/>
          <w:spacing w:val="-16"/>
          <w:kern w:val="21"/>
          <w:szCs w:val="21"/>
          <w:highlight w:val="none"/>
          <w:u w:val="none" w:color="auto"/>
        </w:rPr>
        <w:instrText xml:space="preserve"> = 6 \* GB3 \* MERGEFORMAT </w:instrText>
      </w:r>
      <w:r>
        <w:rPr>
          <w:rFonts w:ascii="Times New Roman" w:hAnsi="Times New Roman" w:cs="Times New Roman"/>
          <w:snapToGrid w:val="0"/>
          <w:color w:val="000000"/>
          <w:spacing w:val="-1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⑥</w:t>
      </w:r>
      <w:r>
        <w:rPr>
          <w:rFonts w:ascii="Times New Roman" w:hAnsi="Times New Roman" w:cs="Times New Roman"/>
          <w:snapToGrid w:val="0"/>
          <w:color w:val="000000"/>
          <w:spacing w:val="-16"/>
          <w:kern w:val="21"/>
          <w:szCs w:val="21"/>
          <w:highlight w:val="none"/>
          <w:u w:val="none" w:color="auto"/>
        </w:rPr>
        <w:fldChar w:fldCharType="end"/>
      </w:r>
      <w:r>
        <w:rPr>
          <w:rFonts w:ascii="Times New Roman" w:hAnsi="Times New Roman" w:cs="Times New Roman"/>
          <w:snapToGrid w:val="0"/>
          <w:color w:val="000000"/>
          <w:spacing w:val="-16"/>
          <w:kern w:val="21"/>
          <w:szCs w:val="21"/>
          <w:highlight w:val="none"/>
          <w:u w:val="none" w:color="auto"/>
        </w:rPr>
        <w:t>=</w:t>
      </w:r>
      <w:r>
        <w:rPr>
          <w:rFonts w:ascii="Times New Roman" w:hAnsi="Times New Roman" w:cs="Times New Roman"/>
          <w:snapToGrid w:val="0"/>
          <w:color w:val="000000"/>
          <w:spacing w:val="-6"/>
          <w:kern w:val="21"/>
          <w:szCs w:val="21"/>
          <w:highlight w:val="none"/>
          <w:u w:val="none" w:color="auto"/>
        </w:rPr>
        <w:fldChar w:fldCharType="begin"/>
      </w:r>
      <w:r>
        <w:rPr>
          <w:rFonts w:hAnsi="宋体"/>
          <w:snapToGrid w:val="0"/>
          <w:color w:val="000000"/>
          <w:spacing w:val="-6"/>
          <w:kern w:val="21"/>
          <w:szCs w:val="21"/>
          <w:highlight w:val="none"/>
          <w:u w:val="none" w:color="auto"/>
        </w:rPr>
        <w:instrText xml:space="preserve"> = 1 \* GB3 \* MERGEFORMAT </w:instrText>
      </w:r>
      <w:r>
        <w:rPr>
          <w:rFonts w:ascii="Times New Roman" w:hAnsi="Times New Roman" w:cs="Times New Roman"/>
          <w:snapToGrid w:val="0"/>
          <w:color w:val="000000"/>
          <w:spacing w:val="-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①</w:t>
      </w:r>
      <w:r>
        <w:rPr>
          <w:rFonts w:ascii="Times New Roman" w:hAnsi="Times New Roman" w:cs="Times New Roman"/>
          <w:snapToGrid w:val="0"/>
          <w:color w:val="000000"/>
          <w:spacing w:val="-6"/>
          <w:kern w:val="21"/>
          <w:szCs w:val="21"/>
          <w:highlight w:val="none"/>
          <w:u w:val="none" w:color="auto"/>
        </w:rPr>
        <w:fldChar w:fldCharType="end"/>
      </w:r>
      <w:r>
        <w:rPr>
          <w:rFonts w:ascii="Times New Roman" w:hAnsi="Times New Roman" w:cs="Times New Roman"/>
          <w:snapToGrid w:val="0"/>
          <w:color w:val="000000"/>
          <w:spacing w:val="-6"/>
          <w:kern w:val="21"/>
          <w:szCs w:val="21"/>
          <w:highlight w:val="none"/>
          <w:u w:val="none" w:color="auto"/>
        </w:rPr>
        <w:t>+</w:t>
      </w:r>
      <w:r>
        <w:rPr>
          <w:rFonts w:ascii="Times New Roman" w:hAnsi="Times New Roman" w:cs="Times New Roman"/>
          <w:snapToGrid w:val="0"/>
          <w:color w:val="000000"/>
          <w:spacing w:val="-6"/>
          <w:kern w:val="21"/>
          <w:szCs w:val="21"/>
          <w:highlight w:val="none"/>
          <w:u w:val="none" w:color="auto"/>
        </w:rPr>
        <w:fldChar w:fldCharType="begin"/>
      </w:r>
      <w:r>
        <w:rPr>
          <w:rFonts w:hAnsi="宋体"/>
          <w:snapToGrid w:val="0"/>
          <w:color w:val="000000"/>
          <w:spacing w:val="-6"/>
          <w:kern w:val="21"/>
          <w:szCs w:val="21"/>
          <w:highlight w:val="none"/>
          <w:u w:val="none" w:color="auto"/>
        </w:rPr>
        <w:instrText xml:space="preserve"> = 3 \* GB3 \* MERGEFORMAT </w:instrText>
      </w:r>
      <w:r>
        <w:rPr>
          <w:rFonts w:ascii="Times New Roman" w:hAnsi="Times New Roman" w:cs="Times New Roman"/>
          <w:snapToGrid w:val="0"/>
          <w:color w:val="000000"/>
          <w:spacing w:val="-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③</w:t>
      </w:r>
      <w:r>
        <w:rPr>
          <w:rFonts w:ascii="Times New Roman" w:hAnsi="Times New Roman" w:cs="Times New Roman"/>
          <w:snapToGrid w:val="0"/>
          <w:color w:val="000000"/>
          <w:spacing w:val="-6"/>
          <w:kern w:val="21"/>
          <w:szCs w:val="21"/>
          <w:highlight w:val="none"/>
          <w:u w:val="none" w:color="auto"/>
        </w:rPr>
        <w:fldChar w:fldCharType="end"/>
      </w:r>
      <w:r>
        <w:rPr>
          <w:rFonts w:ascii="Times New Roman" w:hAnsi="Times New Roman" w:cs="Times New Roman"/>
          <w:snapToGrid w:val="0"/>
          <w:color w:val="000000"/>
          <w:spacing w:val="-6"/>
          <w:kern w:val="21"/>
          <w:szCs w:val="21"/>
          <w:highlight w:val="none"/>
          <w:u w:val="none" w:color="auto"/>
        </w:rPr>
        <w:t>+</w:t>
      </w:r>
      <w:r>
        <w:rPr>
          <w:rFonts w:ascii="Times New Roman" w:hAnsi="Times New Roman" w:cs="Times New Roman"/>
          <w:snapToGrid w:val="0"/>
          <w:color w:val="000000"/>
          <w:spacing w:val="-6"/>
          <w:kern w:val="21"/>
          <w:szCs w:val="21"/>
          <w:highlight w:val="none"/>
          <w:u w:val="none" w:color="auto"/>
        </w:rPr>
        <w:fldChar w:fldCharType="begin"/>
      </w:r>
      <w:r>
        <w:rPr>
          <w:rFonts w:hAnsi="宋体"/>
          <w:snapToGrid w:val="0"/>
          <w:color w:val="000000"/>
          <w:spacing w:val="-6"/>
          <w:kern w:val="21"/>
          <w:szCs w:val="21"/>
          <w:highlight w:val="none"/>
          <w:u w:val="none" w:color="auto"/>
        </w:rPr>
        <w:instrText xml:space="preserve"> = 4 \* GB3 \* MERGEFORMAT </w:instrText>
      </w:r>
      <w:r>
        <w:rPr>
          <w:rFonts w:ascii="Times New Roman" w:hAnsi="Times New Roman" w:cs="Times New Roman"/>
          <w:snapToGrid w:val="0"/>
          <w:color w:val="000000"/>
          <w:spacing w:val="-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④</w:t>
      </w:r>
      <w:r>
        <w:rPr>
          <w:rFonts w:ascii="Times New Roman" w:hAnsi="Times New Roman" w:cs="Times New Roman"/>
          <w:snapToGrid w:val="0"/>
          <w:color w:val="000000"/>
          <w:spacing w:val="-6"/>
          <w:kern w:val="21"/>
          <w:szCs w:val="21"/>
          <w:highlight w:val="none"/>
          <w:u w:val="none" w:color="auto"/>
        </w:rPr>
        <w:fldChar w:fldCharType="end"/>
      </w:r>
      <w:r>
        <w:rPr>
          <w:rFonts w:ascii="Times New Roman" w:hAnsi="Times New Roman" w:cs="Times New Roman"/>
          <w:snapToGrid w:val="0"/>
          <w:color w:val="000000"/>
          <w:spacing w:val="-6"/>
          <w:kern w:val="21"/>
          <w:szCs w:val="21"/>
          <w:highlight w:val="none"/>
          <w:u w:val="none" w:color="auto"/>
        </w:rPr>
        <w:t>-</w:t>
      </w:r>
      <w:r>
        <w:rPr>
          <w:rFonts w:ascii="Times New Roman" w:hAnsi="Times New Roman" w:cs="Times New Roman"/>
          <w:snapToGrid w:val="0"/>
          <w:color w:val="000000"/>
          <w:spacing w:val="-16"/>
          <w:kern w:val="21"/>
          <w:szCs w:val="21"/>
          <w:highlight w:val="none"/>
          <w:u w:val="none" w:color="auto"/>
        </w:rPr>
        <w:fldChar w:fldCharType="begin"/>
      </w:r>
      <w:r>
        <w:rPr>
          <w:rFonts w:hAnsi="宋体"/>
          <w:snapToGrid w:val="0"/>
          <w:color w:val="000000"/>
          <w:spacing w:val="-16"/>
          <w:kern w:val="21"/>
          <w:szCs w:val="21"/>
          <w:highlight w:val="none"/>
          <w:u w:val="none" w:color="auto"/>
        </w:rPr>
        <w:instrText xml:space="preserve"> = 5 \* GB3 \* MERGEFORMAT </w:instrText>
      </w:r>
      <w:r>
        <w:rPr>
          <w:rFonts w:ascii="Times New Roman" w:hAnsi="Times New Roman" w:cs="Times New Roman"/>
          <w:snapToGrid w:val="0"/>
          <w:color w:val="000000"/>
          <w:spacing w:val="-1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⑤</w:t>
      </w:r>
      <w:r>
        <w:rPr>
          <w:rFonts w:ascii="Times New Roman" w:hAnsi="Times New Roman" w:cs="Times New Roman"/>
          <w:snapToGrid w:val="0"/>
          <w:color w:val="000000"/>
          <w:spacing w:val="-16"/>
          <w:kern w:val="21"/>
          <w:szCs w:val="21"/>
          <w:highlight w:val="none"/>
          <w:u w:val="none" w:color="auto"/>
        </w:rPr>
        <w:fldChar w:fldCharType="end"/>
      </w:r>
      <w:r>
        <w:rPr>
          <w:rFonts w:ascii="Times New Roman" w:hAnsi="Times New Roman" w:cs="Times New Roman"/>
          <w:snapToGrid w:val="0"/>
          <w:color w:val="000000"/>
          <w:spacing w:val="-16"/>
          <w:kern w:val="21"/>
          <w:szCs w:val="21"/>
          <w:highlight w:val="none"/>
          <w:u w:val="none" w:color="auto"/>
        </w:rPr>
        <w:t>；</w:t>
      </w:r>
      <w:r>
        <w:rPr>
          <w:rFonts w:ascii="Times New Roman" w:hAnsi="Times New Roman" w:cs="Times New Roman"/>
          <w:snapToGrid w:val="0"/>
          <w:color w:val="000000"/>
          <w:spacing w:val="-6"/>
          <w:kern w:val="21"/>
          <w:szCs w:val="21"/>
          <w:highlight w:val="none"/>
          <w:u w:val="none" w:color="auto"/>
        </w:rPr>
        <w:fldChar w:fldCharType="begin"/>
      </w:r>
      <w:r>
        <w:rPr>
          <w:rFonts w:hAnsi="宋体"/>
          <w:snapToGrid w:val="0"/>
          <w:color w:val="000000"/>
          <w:spacing w:val="-6"/>
          <w:kern w:val="21"/>
          <w:szCs w:val="21"/>
          <w:highlight w:val="none"/>
          <w:u w:val="none" w:color="auto"/>
        </w:rPr>
        <w:instrText xml:space="preserve"> = 7 \* GB3 \* MERGEFORMAT </w:instrText>
      </w:r>
      <w:r>
        <w:rPr>
          <w:rFonts w:ascii="Times New Roman" w:hAnsi="Times New Roman" w:cs="Times New Roman"/>
          <w:snapToGrid w:val="0"/>
          <w:color w:val="000000"/>
          <w:spacing w:val="-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⑦</w:t>
      </w:r>
      <w:r>
        <w:rPr>
          <w:rFonts w:ascii="Times New Roman" w:hAnsi="Times New Roman" w:cs="Times New Roman"/>
          <w:snapToGrid w:val="0"/>
          <w:color w:val="000000"/>
          <w:spacing w:val="-6"/>
          <w:kern w:val="21"/>
          <w:szCs w:val="21"/>
          <w:highlight w:val="none"/>
          <w:u w:val="none" w:color="auto"/>
        </w:rPr>
        <w:fldChar w:fldCharType="end"/>
      </w:r>
      <w:r>
        <w:rPr>
          <w:rFonts w:ascii="Times New Roman" w:hAnsi="Times New Roman" w:cs="Times New Roman"/>
          <w:snapToGrid w:val="0"/>
          <w:color w:val="000000"/>
          <w:spacing w:val="-6"/>
          <w:kern w:val="21"/>
          <w:szCs w:val="21"/>
          <w:highlight w:val="none"/>
          <w:u w:val="none" w:color="auto"/>
        </w:rPr>
        <w:t>=</w:t>
      </w:r>
      <w:r>
        <w:rPr>
          <w:rFonts w:ascii="Times New Roman" w:hAnsi="Times New Roman" w:cs="Times New Roman"/>
          <w:snapToGrid w:val="0"/>
          <w:color w:val="000000"/>
          <w:spacing w:val="-16"/>
          <w:kern w:val="21"/>
          <w:szCs w:val="21"/>
          <w:highlight w:val="none"/>
          <w:u w:val="none" w:color="auto"/>
        </w:rPr>
        <w:fldChar w:fldCharType="begin"/>
      </w:r>
      <w:r>
        <w:rPr>
          <w:rFonts w:hAnsi="宋体"/>
          <w:snapToGrid w:val="0"/>
          <w:color w:val="000000"/>
          <w:spacing w:val="-16"/>
          <w:kern w:val="21"/>
          <w:szCs w:val="21"/>
          <w:highlight w:val="none"/>
          <w:u w:val="none" w:color="auto"/>
        </w:rPr>
        <w:instrText xml:space="preserve"> = 6 \* GB3 \* MERGEFORMAT </w:instrText>
      </w:r>
      <w:r>
        <w:rPr>
          <w:rFonts w:ascii="Times New Roman" w:hAnsi="Times New Roman" w:cs="Times New Roman"/>
          <w:snapToGrid w:val="0"/>
          <w:color w:val="000000"/>
          <w:spacing w:val="-1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⑥</w:t>
      </w:r>
      <w:r>
        <w:rPr>
          <w:rFonts w:ascii="Times New Roman" w:hAnsi="Times New Roman" w:cs="Times New Roman"/>
          <w:snapToGrid w:val="0"/>
          <w:color w:val="000000"/>
          <w:spacing w:val="-16"/>
          <w:kern w:val="21"/>
          <w:szCs w:val="21"/>
          <w:highlight w:val="none"/>
          <w:u w:val="none" w:color="auto"/>
        </w:rPr>
        <w:fldChar w:fldCharType="end"/>
      </w:r>
      <w:r>
        <w:rPr>
          <w:rFonts w:ascii="Times New Roman" w:hAnsi="Times New Roman" w:cs="Times New Roman"/>
          <w:snapToGrid w:val="0"/>
          <w:color w:val="000000"/>
          <w:spacing w:val="-16"/>
          <w:kern w:val="21"/>
          <w:szCs w:val="21"/>
          <w:highlight w:val="none"/>
          <w:u w:val="none" w:color="auto"/>
        </w:rPr>
        <w:t>-</w:t>
      </w:r>
      <w:r>
        <w:rPr>
          <w:rFonts w:ascii="Times New Roman" w:hAnsi="Times New Roman" w:cs="Times New Roman"/>
          <w:snapToGrid w:val="0"/>
          <w:color w:val="000000"/>
          <w:spacing w:val="-6"/>
          <w:kern w:val="21"/>
          <w:szCs w:val="21"/>
          <w:highlight w:val="none"/>
          <w:u w:val="none" w:color="auto"/>
        </w:rPr>
        <w:fldChar w:fldCharType="begin"/>
      </w:r>
      <w:r>
        <w:rPr>
          <w:rFonts w:hAnsi="宋体"/>
          <w:snapToGrid w:val="0"/>
          <w:color w:val="000000"/>
          <w:spacing w:val="-6"/>
          <w:kern w:val="21"/>
          <w:szCs w:val="21"/>
          <w:highlight w:val="none"/>
          <w:u w:val="none" w:color="auto"/>
        </w:rPr>
        <w:instrText xml:space="preserve"> = 1 \* GB3 \* MERGEFORMAT </w:instrText>
      </w:r>
      <w:r>
        <w:rPr>
          <w:rFonts w:ascii="Times New Roman" w:hAnsi="Times New Roman" w:cs="Times New Roman"/>
          <w:snapToGrid w:val="0"/>
          <w:color w:val="000000"/>
          <w:spacing w:val="-6"/>
          <w:kern w:val="21"/>
          <w:szCs w:val="21"/>
          <w:highlight w:val="none"/>
          <w:u w:val="none" w:color="auto"/>
        </w:rPr>
        <w:fldChar w:fldCharType="separate"/>
      </w:r>
      <w:r>
        <w:rPr>
          <w:rFonts w:hint="eastAsia" w:ascii="Times New Roman" w:hAnsi="Times New Roman" w:cs="Times New Roman"/>
          <w:color w:val="000000"/>
          <w:szCs w:val="21"/>
          <w:highlight w:val="none"/>
          <w:u w:val="none" w:color="auto"/>
        </w:rPr>
        <w:t>①</w:t>
      </w:r>
      <w:r>
        <w:rPr>
          <w:rFonts w:ascii="Times New Roman" w:hAnsi="Times New Roman" w:cs="Times New Roman"/>
          <w:snapToGrid w:val="0"/>
          <w:color w:val="000000"/>
          <w:spacing w:val="-6"/>
          <w:kern w:val="21"/>
          <w:szCs w:val="21"/>
          <w:highlight w:val="none"/>
          <w:u w:val="none" w:color="auto"/>
        </w:rPr>
        <w:fldChar w:fldCharType="end"/>
      </w:r>
    </w:p>
    <w:sectPr>
      <w:footerReference r:id="rId5" w:type="default"/>
      <w:pgSz w:w="16838" w:h="11906" w:orient="landscape"/>
      <w:pgMar w:top="1800" w:right="96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auto"/>
    <w:pitch w:val="default"/>
    <w:sig w:usb0="00000000" w:usb1="00000000" w:usb2="00000000" w:usb3="00000000" w:csb0="80000000"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DAE98">
    <w:pPr>
      <w:pStyle w:val="17"/>
      <w:ind w:right="360" w:firstLine="360"/>
      <w:jc w:val="center"/>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5B1DB">
    <w:pPr>
      <w:pStyle w:val="17"/>
      <w:ind w:right="360" w:firstLine="360"/>
      <w:jc w:val="center"/>
      <w:rPr>
        <w:rFonts w:ascii="Times New Roman" w:hAnsi="Times New Roman" w:cs="Times New Roman"/>
        <w:sz w:val="21"/>
        <w:szCs w:val="21"/>
      </w:rPr>
    </w:pPr>
    <w:r>
      <w:rPr>
        <w:sz w:val="21"/>
        <w:szCs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3F064C">
                          <w:pPr>
                            <w:pStyle w:val="1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MVP1MwBAACe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3iJixvKHHc4sgvP75ffv6+/PpG&#10;ltXrVdaoD1Bj6n3A5DS89QPmz35AZ6Y+qGjzF0kRjKPC56vCckhE5Efr1XpdYUhgbL4gPnt4HiKk&#10;d9Jbko2GRhxhUZafPkAaU+eUXM35O21MGaNxfzkQM3tY7n3sMVtp2A8Tob1vz8inx+k31OGyU2Le&#10;OxQ3L8psxNnYz8YxRH3oyiblehDeHBM2UXrLFUbYqTCOrbCbVizvxeN7yXr4rb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wxU/UzAEAAJ4DAAAOAAAAAAAAAAEAIAAAAB4BAABkcnMvZTJv&#10;RG9jLnhtbFBLBQYAAAAABgAGAFkBAABcBQAAAAA=&#10;">
              <v:fill on="f" focussize="0,0"/>
              <v:stroke on="f"/>
              <v:imagedata o:title=""/>
              <o:lock v:ext="edit" aspectratio="f"/>
              <v:textbox inset="0mm,0mm,0mm,0mm" style="mso-fit-shape-to-text:t;">
                <w:txbxContent>
                  <w:p w14:paraId="143F064C">
                    <w:pPr>
                      <w:pStyle w:val="1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- 1 -</w:t>
                    </w:r>
                    <w:r>
                      <w:rPr>
                        <w:sz w:val="24"/>
                        <w:szCs w:val="2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F3C4C">
    <w:pPr>
      <w:pStyle w:val="17"/>
      <w:ind w:right="360" w:firstLine="360"/>
      <w:jc w:val="center"/>
      <w:rPr>
        <w:rFonts w:ascii="Times New Roman" w:hAnsi="Times New Roman"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E96B75">
                          <w:pPr>
                            <w:pStyle w:val="17"/>
                            <w:rPr>
                              <w:rStyle w:val="31"/>
                              <w:rFonts w:ascii="Times New Roman" w:hAnsi="Times New Roman" w:cs="Times New Roman"/>
                              <w:sz w:val="28"/>
                              <w:szCs w:val="28"/>
                            </w:rPr>
                          </w:pPr>
                          <w:r>
                            <w:rPr>
                              <w:rStyle w:val="31"/>
                              <w:rFonts w:ascii="Times New Roman" w:hAnsi="Times New Roman" w:cs="Times New Roman"/>
                              <w:sz w:val="28"/>
                              <w:szCs w:val="28"/>
                            </w:rPr>
                            <w:fldChar w:fldCharType="begin"/>
                          </w:r>
                          <w:r>
                            <w:rPr>
                              <w:rStyle w:val="31"/>
                              <w:rFonts w:ascii="Times New Roman" w:hAnsi="Times New Roman" w:cs="Times New Roman"/>
                              <w:sz w:val="28"/>
                              <w:szCs w:val="28"/>
                            </w:rPr>
                            <w:instrText xml:space="preserve"> PAGE  \* MERGEFORMAT </w:instrText>
                          </w:r>
                          <w:r>
                            <w:rPr>
                              <w:rStyle w:val="31"/>
                              <w:rFonts w:ascii="Times New Roman" w:hAnsi="Times New Roman" w:cs="Times New Roman"/>
                              <w:sz w:val="28"/>
                              <w:szCs w:val="28"/>
                            </w:rPr>
                            <w:fldChar w:fldCharType="separate"/>
                          </w:r>
                          <w:r>
                            <w:rPr>
                              <w:rStyle w:val="31"/>
                              <w:rFonts w:ascii="Times New Roman" w:hAnsi="Times New Roman" w:cs="Times New Roman"/>
                              <w:sz w:val="28"/>
                              <w:szCs w:val="28"/>
                            </w:rPr>
                            <w:t>- 60 -</w:t>
                          </w:r>
                          <w:r>
                            <w:rPr>
                              <w:rStyle w:val="31"/>
                              <w:rFonts w:ascii="Times New Roman" w:hAnsi="Times New Roman" w:cs="Times New Roman"/>
                              <w:sz w:val="28"/>
                              <w:szCs w:val="28"/>
                            </w:rP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hJ62TzAEAAJ4DAAAOAAAAAAAAAAEAIAAAAB4BAABkcnMvZTJv&#10;RG9jLnhtbFBLBQYAAAAABgAGAFkBAABcBQAAAAA=&#10;">
              <v:fill on="f" focussize="0,0"/>
              <v:stroke on="f"/>
              <v:imagedata o:title=""/>
              <o:lock v:ext="edit" aspectratio="f"/>
              <v:textbox inset="0mm,0mm,0mm,0mm" style="mso-fit-shape-to-text:t;">
                <w:txbxContent>
                  <w:p w14:paraId="62E96B75">
                    <w:pPr>
                      <w:pStyle w:val="17"/>
                      <w:rPr>
                        <w:rStyle w:val="31"/>
                        <w:rFonts w:ascii="Times New Roman" w:hAnsi="Times New Roman" w:cs="Times New Roman"/>
                        <w:sz w:val="28"/>
                        <w:szCs w:val="28"/>
                      </w:rPr>
                    </w:pPr>
                    <w:r>
                      <w:rPr>
                        <w:rStyle w:val="31"/>
                        <w:rFonts w:ascii="Times New Roman" w:hAnsi="Times New Roman" w:cs="Times New Roman"/>
                        <w:sz w:val="28"/>
                        <w:szCs w:val="28"/>
                      </w:rPr>
                      <w:fldChar w:fldCharType="begin"/>
                    </w:r>
                    <w:r>
                      <w:rPr>
                        <w:rStyle w:val="31"/>
                        <w:rFonts w:ascii="Times New Roman" w:hAnsi="Times New Roman" w:cs="Times New Roman"/>
                        <w:sz w:val="28"/>
                        <w:szCs w:val="28"/>
                      </w:rPr>
                      <w:instrText xml:space="preserve"> PAGE  \* MERGEFORMAT </w:instrText>
                    </w:r>
                    <w:r>
                      <w:rPr>
                        <w:rStyle w:val="31"/>
                        <w:rFonts w:ascii="Times New Roman" w:hAnsi="Times New Roman" w:cs="Times New Roman"/>
                        <w:sz w:val="28"/>
                        <w:szCs w:val="28"/>
                      </w:rPr>
                      <w:fldChar w:fldCharType="separate"/>
                    </w:r>
                    <w:r>
                      <w:rPr>
                        <w:rStyle w:val="31"/>
                        <w:rFonts w:ascii="Times New Roman" w:hAnsi="Times New Roman" w:cs="Times New Roman"/>
                        <w:sz w:val="28"/>
                        <w:szCs w:val="28"/>
                      </w:rPr>
                      <w:t>- 60 -</w:t>
                    </w:r>
                    <w:r>
                      <w:rPr>
                        <w:rStyle w:val="31"/>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36298"/>
    <w:multiLevelType w:val="singleLevel"/>
    <w:tmpl w:val="B2036298"/>
    <w:lvl w:ilvl="0" w:tentative="0">
      <w:start w:val="1"/>
      <w:numFmt w:val="decimal"/>
      <w:lvlText w:val="%1."/>
      <w:lvlJc w:val="left"/>
      <w:pPr>
        <w:tabs>
          <w:tab w:val="left" w:pos="312"/>
        </w:tabs>
      </w:pPr>
    </w:lvl>
  </w:abstractNum>
  <w:abstractNum w:abstractNumId="1">
    <w:nsid w:val="CC10731F"/>
    <w:multiLevelType w:val="singleLevel"/>
    <w:tmpl w:val="CC10731F"/>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2">
    <w:nsid w:val="E50241E9"/>
    <w:multiLevelType w:val="singleLevel"/>
    <w:tmpl w:val="E50241E9"/>
    <w:lvl w:ilvl="0" w:tentative="0">
      <w:start w:val="7"/>
      <w:numFmt w:val="decimal"/>
      <w:lvlText w:val="%1."/>
      <w:lvlJc w:val="left"/>
      <w:pPr>
        <w:tabs>
          <w:tab w:val="left" w:pos="312"/>
        </w:tabs>
      </w:pPr>
    </w:lvl>
  </w:abstractNum>
  <w:abstractNum w:abstractNumId="3">
    <w:nsid w:val="00000010"/>
    <w:multiLevelType w:val="multilevel"/>
    <w:tmpl w:val="00000010"/>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pStyle w:val="4"/>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2ZDk2Mjk2MGNjOGRhYjQyOTM2MGE5N2VjYzhiNTUifQ=="/>
  </w:docVars>
  <w:rsids>
    <w:rsidRoot w:val="5D3A78E2"/>
    <w:rsid w:val="000060B3"/>
    <w:rsid w:val="000370C7"/>
    <w:rsid w:val="0004364B"/>
    <w:rsid w:val="00061B1F"/>
    <w:rsid w:val="000733C4"/>
    <w:rsid w:val="00074783"/>
    <w:rsid w:val="0008070B"/>
    <w:rsid w:val="000810AC"/>
    <w:rsid w:val="00081A02"/>
    <w:rsid w:val="00082231"/>
    <w:rsid w:val="00092D38"/>
    <w:rsid w:val="0009377B"/>
    <w:rsid w:val="00093DD3"/>
    <w:rsid w:val="0009420E"/>
    <w:rsid w:val="000979D3"/>
    <w:rsid w:val="000A20C9"/>
    <w:rsid w:val="000B058F"/>
    <w:rsid w:val="000B4467"/>
    <w:rsid w:val="000B4DB9"/>
    <w:rsid w:val="000C09AC"/>
    <w:rsid w:val="000C2D80"/>
    <w:rsid w:val="000C767F"/>
    <w:rsid w:val="000D5A44"/>
    <w:rsid w:val="000E3ED2"/>
    <w:rsid w:val="000E7E26"/>
    <w:rsid w:val="00102517"/>
    <w:rsid w:val="00131F42"/>
    <w:rsid w:val="001357F1"/>
    <w:rsid w:val="00140FA8"/>
    <w:rsid w:val="00142BF4"/>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1135"/>
    <w:rsid w:val="001C69B3"/>
    <w:rsid w:val="001D2B32"/>
    <w:rsid w:val="001D5595"/>
    <w:rsid w:val="001D7874"/>
    <w:rsid w:val="001D7F22"/>
    <w:rsid w:val="001F0F17"/>
    <w:rsid w:val="001F25C3"/>
    <w:rsid w:val="001F3347"/>
    <w:rsid w:val="001F69E4"/>
    <w:rsid w:val="00204266"/>
    <w:rsid w:val="002125B4"/>
    <w:rsid w:val="002155B8"/>
    <w:rsid w:val="00224839"/>
    <w:rsid w:val="002249B2"/>
    <w:rsid w:val="00226574"/>
    <w:rsid w:val="002278EC"/>
    <w:rsid w:val="002279D0"/>
    <w:rsid w:val="0023280E"/>
    <w:rsid w:val="00233158"/>
    <w:rsid w:val="002377D1"/>
    <w:rsid w:val="002506BC"/>
    <w:rsid w:val="00254345"/>
    <w:rsid w:val="00264557"/>
    <w:rsid w:val="002648AD"/>
    <w:rsid w:val="002805AB"/>
    <w:rsid w:val="00284204"/>
    <w:rsid w:val="00291773"/>
    <w:rsid w:val="002A168C"/>
    <w:rsid w:val="002A3DC7"/>
    <w:rsid w:val="002B49E2"/>
    <w:rsid w:val="002B7B00"/>
    <w:rsid w:val="002B7C44"/>
    <w:rsid w:val="002C2B17"/>
    <w:rsid w:val="002D0942"/>
    <w:rsid w:val="002D3DD0"/>
    <w:rsid w:val="002E1F3A"/>
    <w:rsid w:val="002E298A"/>
    <w:rsid w:val="002F25C7"/>
    <w:rsid w:val="00301978"/>
    <w:rsid w:val="00302DE9"/>
    <w:rsid w:val="0030332C"/>
    <w:rsid w:val="003051C2"/>
    <w:rsid w:val="00312296"/>
    <w:rsid w:val="00314F0E"/>
    <w:rsid w:val="00314F6C"/>
    <w:rsid w:val="00321D8E"/>
    <w:rsid w:val="00325928"/>
    <w:rsid w:val="00326BD6"/>
    <w:rsid w:val="003274B9"/>
    <w:rsid w:val="00330611"/>
    <w:rsid w:val="00332863"/>
    <w:rsid w:val="00333D00"/>
    <w:rsid w:val="0033684D"/>
    <w:rsid w:val="00337B42"/>
    <w:rsid w:val="00341B42"/>
    <w:rsid w:val="0034348F"/>
    <w:rsid w:val="00356653"/>
    <w:rsid w:val="0035743F"/>
    <w:rsid w:val="00357BE2"/>
    <w:rsid w:val="0036170C"/>
    <w:rsid w:val="00366E0F"/>
    <w:rsid w:val="00381A72"/>
    <w:rsid w:val="00384676"/>
    <w:rsid w:val="00390857"/>
    <w:rsid w:val="00394891"/>
    <w:rsid w:val="003A4BF3"/>
    <w:rsid w:val="003B420D"/>
    <w:rsid w:val="003C6C16"/>
    <w:rsid w:val="003D794D"/>
    <w:rsid w:val="003E3058"/>
    <w:rsid w:val="003E76A9"/>
    <w:rsid w:val="003F0809"/>
    <w:rsid w:val="003F4140"/>
    <w:rsid w:val="003F4F9D"/>
    <w:rsid w:val="003F52CC"/>
    <w:rsid w:val="003F6A8C"/>
    <w:rsid w:val="003F755C"/>
    <w:rsid w:val="00406F01"/>
    <w:rsid w:val="00416D50"/>
    <w:rsid w:val="00416FD5"/>
    <w:rsid w:val="00417772"/>
    <w:rsid w:val="00420E6A"/>
    <w:rsid w:val="004223A2"/>
    <w:rsid w:val="00425A9E"/>
    <w:rsid w:val="00426D6B"/>
    <w:rsid w:val="00431E6C"/>
    <w:rsid w:val="00433CE7"/>
    <w:rsid w:val="00452738"/>
    <w:rsid w:val="00456091"/>
    <w:rsid w:val="00466321"/>
    <w:rsid w:val="00470E65"/>
    <w:rsid w:val="00484B9B"/>
    <w:rsid w:val="004855F6"/>
    <w:rsid w:val="0048661E"/>
    <w:rsid w:val="00494670"/>
    <w:rsid w:val="004A3823"/>
    <w:rsid w:val="004A3CC2"/>
    <w:rsid w:val="004C2F44"/>
    <w:rsid w:val="004C5468"/>
    <w:rsid w:val="004E6946"/>
    <w:rsid w:val="004F1AD8"/>
    <w:rsid w:val="005039CB"/>
    <w:rsid w:val="0050558F"/>
    <w:rsid w:val="00506286"/>
    <w:rsid w:val="005102EA"/>
    <w:rsid w:val="00510813"/>
    <w:rsid w:val="00511990"/>
    <w:rsid w:val="00511DE0"/>
    <w:rsid w:val="00514870"/>
    <w:rsid w:val="00514B9B"/>
    <w:rsid w:val="00517F02"/>
    <w:rsid w:val="00524303"/>
    <w:rsid w:val="005258A2"/>
    <w:rsid w:val="005401AE"/>
    <w:rsid w:val="00542E07"/>
    <w:rsid w:val="00545424"/>
    <w:rsid w:val="005511F3"/>
    <w:rsid w:val="00554A7B"/>
    <w:rsid w:val="0055572C"/>
    <w:rsid w:val="00555CAC"/>
    <w:rsid w:val="0056106A"/>
    <w:rsid w:val="00564281"/>
    <w:rsid w:val="005720AE"/>
    <w:rsid w:val="00587A22"/>
    <w:rsid w:val="00594D77"/>
    <w:rsid w:val="005969E4"/>
    <w:rsid w:val="005A06B7"/>
    <w:rsid w:val="005A1759"/>
    <w:rsid w:val="005A4804"/>
    <w:rsid w:val="005A68A7"/>
    <w:rsid w:val="005C10F4"/>
    <w:rsid w:val="005D2854"/>
    <w:rsid w:val="005D36AB"/>
    <w:rsid w:val="00600D1D"/>
    <w:rsid w:val="00617CC3"/>
    <w:rsid w:val="00620FCE"/>
    <w:rsid w:val="0062267D"/>
    <w:rsid w:val="006377A6"/>
    <w:rsid w:val="00637A3D"/>
    <w:rsid w:val="006411EF"/>
    <w:rsid w:val="006748B8"/>
    <w:rsid w:val="00675C80"/>
    <w:rsid w:val="006775C3"/>
    <w:rsid w:val="0069290A"/>
    <w:rsid w:val="0069775A"/>
    <w:rsid w:val="00697813"/>
    <w:rsid w:val="006A3EE8"/>
    <w:rsid w:val="006A690A"/>
    <w:rsid w:val="006A72BF"/>
    <w:rsid w:val="006B03F2"/>
    <w:rsid w:val="006B37DC"/>
    <w:rsid w:val="006B4F68"/>
    <w:rsid w:val="006B6D1F"/>
    <w:rsid w:val="006C0592"/>
    <w:rsid w:val="006C272E"/>
    <w:rsid w:val="006C5479"/>
    <w:rsid w:val="006D13B5"/>
    <w:rsid w:val="006E12FF"/>
    <w:rsid w:val="006E607E"/>
    <w:rsid w:val="006F0365"/>
    <w:rsid w:val="00706C5D"/>
    <w:rsid w:val="007151B6"/>
    <w:rsid w:val="007305C7"/>
    <w:rsid w:val="00732922"/>
    <w:rsid w:val="0075162E"/>
    <w:rsid w:val="00754034"/>
    <w:rsid w:val="00756556"/>
    <w:rsid w:val="007618C4"/>
    <w:rsid w:val="00767980"/>
    <w:rsid w:val="00770B19"/>
    <w:rsid w:val="0077463F"/>
    <w:rsid w:val="007836EA"/>
    <w:rsid w:val="00784CDA"/>
    <w:rsid w:val="007906C4"/>
    <w:rsid w:val="007940EA"/>
    <w:rsid w:val="007941F2"/>
    <w:rsid w:val="007967E8"/>
    <w:rsid w:val="007A2170"/>
    <w:rsid w:val="007A22BF"/>
    <w:rsid w:val="007A3323"/>
    <w:rsid w:val="007B0CC2"/>
    <w:rsid w:val="007B72B8"/>
    <w:rsid w:val="007B7A58"/>
    <w:rsid w:val="007C21B5"/>
    <w:rsid w:val="007C6B51"/>
    <w:rsid w:val="007D40C3"/>
    <w:rsid w:val="007D596A"/>
    <w:rsid w:val="007E03C2"/>
    <w:rsid w:val="007E4BD2"/>
    <w:rsid w:val="00801393"/>
    <w:rsid w:val="00802F88"/>
    <w:rsid w:val="00803DA5"/>
    <w:rsid w:val="0081293E"/>
    <w:rsid w:val="00815465"/>
    <w:rsid w:val="00816E06"/>
    <w:rsid w:val="00817E9A"/>
    <w:rsid w:val="008306BD"/>
    <w:rsid w:val="00831A80"/>
    <w:rsid w:val="00833743"/>
    <w:rsid w:val="00833AF3"/>
    <w:rsid w:val="008340A4"/>
    <w:rsid w:val="008456C9"/>
    <w:rsid w:val="00857035"/>
    <w:rsid w:val="0087135F"/>
    <w:rsid w:val="00872D94"/>
    <w:rsid w:val="00880364"/>
    <w:rsid w:val="00891592"/>
    <w:rsid w:val="00891E9E"/>
    <w:rsid w:val="008A2F68"/>
    <w:rsid w:val="008A74CB"/>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08BE"/>
    <w:rsid w:val="00916AB6"/>
    <w:rsid w:val="0091736D"/>
    <w:rsid w:val="0091739E"/>
    <w:rsid w:val="0093037A"/>
    <w:rsid w:val="009304D3"/>
    <w:rsid w:val="00941210"/>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9E52E1"/>
    <w:rsid w:val="00A04F1B"/>
    <w:rsid w:val="00A0501B"/>
    <w:rsid w:val="00A14947"/>
    <w:rsid w:val="00A32A83"/>
    <w:rsid w:val="00A368DB"/>
    <w:rsid w:val="00A423AA"/>
    <w:rsid w:val="00A53EC6"/>
    <w:rsid w:val="00A55C0F"/>
    <w:rsid w:val="00A6008C"/>
    <w:rsid w:val="00A80082"/>
    <w:rsid w:val="00A8713F"/>
    <w:rsid w:val="00A90BA1"/>
    <w:rsid w:val="00A96864"/>
    <w:rsid w:val="00A97A9A"/>
    <w:rsid w:val="00AA0671"/>
    <w:rsid w:val="00AA2531"/>
    <w:rsid w:val="00AB1E09"/>
    <w:rsid w:val="00AB5330"/>
    <w:rsid w:val="00AB5DDB"/>
    <w:rsid w:val="00AB7747"/>
    <w:rsid w:val="00AC14CE"/>
    <w:rsid w:val="00AC2A56"/>
    <w:rsid w:val="00AD055E"/>
    <w:rsid w:val="00AD47A7"/>
    <w:rsid w:val="00AF0CBF"/>
    <w:rsid w:val="00AF257F"/>
    <w:rsid w:val="00AF33CF"/>
    <w:rsid w:val="00AF4D50"/>
    <w:rsid w:val="00AF6179"/>
    <w:rsid w:val="00B044ED"/>
    <w:rsid w:val="00B0507A"/>
    <w:rsid w:val="00B053FB"/>
    <w:rsid w:val="00B1295A"/>
    <w:rsid w:val="00B20A45"/>
    <w:rsid w:val="00B22C5C"/>
    <w:rsid w:val="00B24F30"/>
    <w:rsid w:val="00B31ABF"/>
    <w:rsid w:val="00B33BE3"/>
    <w:rsid w:val="00B53B5D"/>
    <w:rsid w:val="00B56EF5"/>
    <w:rsid w:val="00B6055E"/>
    <w:rsid w:val="00B6317D"/>
    <w:rsid w:val="00B7723F"/>
    <w:rsid w:val="00B80534"/>
    <w:rsid w:val="00B8433C"/>
    <w:rsid w:val="00B87491"/>
    <w:rsid w:val="00BA2466"/>
    <w:rsid w:val="00BA29E9"/>
    <w:rsid w:val="00BA7142"/>
    <w:rsid w:val="00BB237C"/>
    <w:rsid w:val="00BB41A3"/>
    <w:rsid w:val="00BC32DC"/>
    <w:rsid w:val="00BC35B6"/>
    <w:rsid w:val="00BD1B51"/>
    <w:rsid w:val="00BD4596"/>
    <w:rsid w:val="00BD6964"/>
    <w:rsid w:val="00BE1405"/>
    <w:rsid w:val="00BE312D"/>
    <w:rsid w:val="00BE37EE"/>
    <w:rsid w:val="00BF1C20"/>
    <w:rsid w:val="00C04F89"/>
    <w:rsid w:val="00C10578"/>
    <w:rsid w:val="00C10FDF"/>
    <w:rsid w:val="00C135BC"/>
    <w:rsid w:val="00C1577A"/>
    <w:rsid w:val="00C15C95"/>
    <w:rsid w:val="00C2596A"/>
    <w:rsid w:val="00C27537"/>
    <w:rsid w:val="00C328FE"/>
    <w:rsid w:val="00C33507"/>
    <w:rsid w:val="00C41E30"/>
    <w:rsid w:val="00C4214F"/>
    <w:rsid w:val="00C4409D"/>
    <w:rsid w:val="00C44E72"/>
    <w:rsid w:val="00C45A06"/>
    <w:rsid w:val="00C47664"/>
    <w:rsid w:val="00C47E5B"/>
    <w:rsid w:val="00C61E4B"/>
    <w:rsid w:val="00C64BFF"/>
    <w:rsid w:val="00C704E9"/>
    <w:rsid w:val="00C763C9"/>
    <w:rsid w:val="00C80057"/>
    <w:rsid w:val="00C82232"/>
    <w:rsid w:val="00C82913"/>
    <w:rsid w:val="00C941EC"/>
    <w:rsid w:val="00C972B1"/>
    <w:rsid w:val="00C9741F"/>
    <w:rsid w:val="00CA2089"/>
    <w:rsid w:val="00CA2CCE"/>
    <w:rsid w:val="00CA43FD"/>
    <w:rsid w:val="00CA7EF8"/>
    <w:rsid w:val="00CB0E2A"/>
    <w:rsid w:val="00CC489B"/>
    <w:rsid w:val="00CD2BCD"/>
    <w:rsid w:val="00CD3A4C"/>
    <w:rsid w:val="00CE10E9"/>
    <w:rsid w:val="00CE2910"/>
    <w:rsid w:val="00CE5393"/>
    <w:rsid w:val="00CF36BE"/>
    <w:rsid w:val="00CF6000"/>
    <w:rsid w:val="00D003F3"/>
    <w:rsid w:val="00D0364F"/>
    <w:rsid w:val="00D04762"/>
    <w:rsid w:val="00D06834"/>
    <w:rsid w:val="00D227E7"/>
    <w:rsid w:val="00D308ED"/>
    <w:rsid w:val="00D36D86"/>
    <w:rsid w:val="00D428AA"/>
    <w:rsid w:val="00D50A34"/>
    <w:rsid w:val="00D53EFA"/>
    <w:rsid w:val="00D54B93"/>
    <w:rsid w:val="00D54DFC"/>
    <w:rsid w:val="00D6406A"/>
    <w:rsid w:val="00D807F5"/>
    <w:rsid w:val="00D91EDB"/>
    <w:rsid w:val="00D94A7C"/>
    <w:rsid w:val="00D95896"/>
    <w:rsid w:val="00DB2983"/>
    <w:rsid w:val="00DC1257"/>
    <w:rsid w:val="00DC3DC0"/>
    <w:rsid w:val="00DC5B2B"/>
    <w:rsid w:val="00DD318D"/>
    <w:rsid w:val="00DE47E5"/>
    <w:rsid w:val="00DE5743"/>
    <w:rsid w:val="00DF2E12"/>
    <w:rsid w:val="00DF514A"/>
    <w:rsid w:val="00DF6690"/>
    <w:rsid w:val="00DF6804"/>
    <w:rsid w:val="00E0358D"/>
    <w:rsid w:val="00E04323"/>
    <w:rsid w:val="00E070A2"/>
    <w:rsid w:val="00E1492A"/>
    <w:rsid w:val="00E2656A"/>
    <w:rsid w:val="00E412D0"/>
    <w:rsid w:val="00E56322"/>
    <w:rsid w:val="00E60982"/>
    <w:rsid w:val="00E62C62"/>
    <w:rsid w:val="00E654C1"/>
    <w:rsid w:val="00E65D97"/>
    <w:rsid w:val="00E72A5A"/>
    <w:rsid w:val="00E73354"/>
    <w:rsid w:val="00E8484C"/>
    <w:rsid w:val="00E9242D"/>
    <w:rsid w:val="00E97487"/>
    <w:rsid w:val="00EB0902"/>
    <w:rsid w:val="00EB427E"/>
    <w:rsid w:val="00EB5255"/>
    <w:rsid w:val="00EB5C47"/>
    <w:rsid w:val="00EC7BBA"/>
    <w:rsid w:val="00ED0639"/>
    <w:rsid w:val="00EE36CD"/>
    <w:rsid w:val="00EE437C"/>
    <w:rsid w:val="00EF18B8"/>
    <w:rsid w:val="00EF4755"/>
    <w:rsid w:val="00EF7135"/>
    <w:rsid w:val="00F027DB"/>
    <w:rsid w:val="00F05D82"/>
    <w:rsid w:val="00F14A7A"/>
    <w:rsid w:val="00F22985"/>
    <w:rsid w:val="00F3383E"/>
    <w:rsid w:val="00F40345"/>
    <w:rsid w:val="00F465A7"/>
    <w:rsid w:val="00F50B7C"/>
    <w:rsid w:val="00F550E6"/>
    <w:rsid w:val="00F60000"/>
    <w:rsid w:val="00F619E2"/>
    <w:rsid w:val="00F74345"/>
    <w:rsid w:val="00F80A0A"/>
    <w:rsid w:val="00F82B19"/>
    <w:rsid w:val="00F84B80"/>
    <w:rsid w:val="00F9212D"/>
    <w:rsid w:val="00F965DA"/>
    <w:rsid w:val="00FA406A"/>
    <w:rsid w:val="00FB503A"/>
    <w:rsid w:val="00FB516C"/>
    <w:rsid w:val="00FC2616"/>
    <w:rsid w:val="00FD0236"/>
    <w:rsid w:val="00FD18F4"/>
    <w:rsid w:val="00FD54DB"/>
    <w:rsid w:val="00FD6091"/>
    <w:rsid w:val="00FD619F"/>
    <w:rsid w:val="00FD7048"/>
    <w:rsid w:val="00FE554F"/>
    <w:rsid w:val="00FF30D6"/>
    <w:rsid w:val="01001453"/>
    <w:rsid w:val="01007074"/>
    <w:rsid w:val="01020F7E"/>
    <w:rsid w:val="010351AA"/>
    <w:rsid w:val="010E60BD"/>
    <w:rsid w:val="011151FD"/>
    <w:rsid w:val="011229BB"/>
    <w:rsid w:val="01125644"/>
    <w:rsid w:val="011C331C"/>
    <w:rsid w:val="01290F7E"/>
    <w:rsid w:val="01293268"/>
    <w:rsid w:val="012C0C46"/>
    <w:rsid w:val="012C43DF"/>
    <w:rsid w:val="012F7257"/>
    <w:rsid w:val="01326108"/>
    <w:rsid w:val="01333CFA"/>
    <w:rsid w:val="01355357"/>
    <w:rsid w:val="0138310E"/>
    <w:rsid w:val="01393612"/>
    <w:rsid w:val="013A72FC"/>
    <w:rsid w:val="013D13DC"/>
    <w:rsid w:val="01426932"/>
    <w:rsid w:val="014A0919"/>
    <w:rsid w:val="014E6B05"/>
    <w:rsid w:val="015C2B0C"/>
    <w:rsid w:val="015D1E09"/>
    <w:rsid w:val="015F6A4C"/>
    <w:rsid w:val="01602CF5"/>
    <w:rsid w:val="01605E92"/>
    <w:rsid w:val="01613B08"/>
    <w:rsid w:val="01653BA4"/>
    <w:rsid w:val="016855A8"/>
    <w:rsid w:val="016B0233"/>
    <w:rsid w:val="01703E3E"/>
    <w:rsid w:val="01710365"/>
    <w:rsid w:val="017302EB"/>
    <w:rsid w:val="01747C66"/>
    <w:rsid w:val="0177340B"/>
    <w:rsid w:val="017817BE"/>
    <w:rsid w:val="01785F1D"/>
    <w:rsid w:val="017C35AB"/>
    <w:rsid w:val="017C35F7"/>
    <w:rsid w:val="017F7B8D"/>
    <w:rsid w:val="01820BCE"/>
    <w:rsid w:val="018260BA"/>
    <w:rsid w:val="01835764"/>
    <w:rsid w:val="01842914"/>
    <w:rsid w:val="01933380"/>
    <w:rsid w:val="01974B1D"/>
    <w:rsid w:val="019B71D5"/>
    <w:rsid w:val="019D1FD0"/>
    <w:rsid w:val="01A2794D"/>
    <w:rsid w:val="01A76591"/>
    <w:rsid w:val="01A93FA3"/>
    <w:rsid w:val="01AC25CE"/>
    <w:rsid w:val="01B02AB6"/>
    <w:rsid w:val="01B163EB"/>
    <w:rsid w:val="01B5282E"/>
    <w:rsid w:val="01BB1198"/>
    <w:rsid w:val="01C57297"/>
    <w:rsid w:val="01C60260"/>
    <w:rsid w:val="01CB08CC"/>
    <w:rsid w:val="01CE3A0A"/>
    <w:rsid w:val="01D47E8F"/>
    <w:rsid w:val="01D75C42"/>
    <w:rsid w:val="01D8357C"/>
    <w:rsid w:val="01D9500E"/>
    <w:rsid w:val="01DA1257"/>
    <w:rsid w:val="01DC6E12"/>
    <w:rsid w:val="01E72B67"/>
    <w:rsid w:val="01ED522A"/>
    <w:rsid w:val="01F04380"/>
    <w:rsid w:val="01F740F9"/>
    <w:rsid w:val="01FD0394"/>
    <w:rsid w:val="01FD65AD"/>
    <w:rsid w:val="020236B3"/>
    <w:rsid w:val="020327D4"/>
    <w:rsid w:val="02071DD7"/>
    <w:rsid w:val="020A4756"/>
    <w:rsid w:val="02103725"/>
    <w:rsid w:val="02104022"/>
    <w:rsid w:val="021067F9"/>
    <w:rsid w:val="02160830"/>
    <w:rsid w:val="021A27AB"/>
    <w:rsid w:val="021B46C7"/>
    <w:rsid w:val="021D2C27"/>
    <w:rsid w:val="021E6622"/>
    <w:rsid w:val="021F6F50"/>
    <w:rsid w:val="02243E16"/>
    <w:rsid w:val="02245191"/>
    <w:rsid w:val="02264D1D"/>
    <w:rsid w:val="02343A16"/>
    <w:rsid w:val="023575E5"/>
    <w:rsid w:val="023760F0"/>
    <w:rsid w:val="02381126"/>
    <w:rsid w:val="023A582E"/>
    <w:rsid w:val="023A66D8"/>
    <w:rsid w:val="023D5D2D"/>
    <w:rsid w:val="0255355D"/>
    <w:rsid w:val="025949BF"/>
    <w:rsid w:val="02616281"/>
    <w:rsid w:val="026645B1"/>
    <w:rsid w:val="02697903"/>
    <w:rsid w:val="026F572F"/>
    <w:rsid w:val="02726849"/>
    <w:rsid w:val="02765EE7"/>
    <w:rsid w:val="02767541"/>
    <w:rsid w:val="027736CD"/>
    <w:rsid w:val="028458B4"/>
    <w:rsid w:val="02894366"/>
    <w:rsid w:val="02932CDD"/>
    <w:rsid w:val="02966761"/>
    <w:rsid w:val="02976738"/>
    <w:rsid w:val="029F45FA"/>
    <w:rsid w:val="02A04428"/>
    <w:rsid w:val="02B10D14"/>
    <w:rsid w:val="02B52DA5"/>
    <w:rsid w:val="02B82243"/>
    <w:rsid w:val="02B945B8"/>
    <w:rsid w:val="02BD7BD1"/>
    <w:rsid w:val="02BF58A7"/>
    <w:rsid w:val="02C04250"/>
    <w:rsid w:val="02C116E3"/>
    <w:rsid w:val="02C555A5"/>
    <w:rsid w:val="02C57507"/>
    <w:rsid w:val="02C77EC2"/>
    <w:rsid w:val="02CD5A77"/>
    <w:rsid w:val="02D64A8D"/>
    <w:rsid w:val="02D7069C"/>
    <w:rsid w:val="02D9161B"/>
    <w:rsid w:val="02D94CA1"/>
    <w:rsid w:val="02DC7F06"/>
    <w:rsid w:val="02E016EA"/>
    <w:rsid w:val="02E53F85"/>
    <w:rsid w:val="02E80E0D"/>
    <w:rsid w:val="02E913E1"/>
    <w:rsid w:val="02ED7B44"/>
    <w:rsid w:val="02F26FBD"/>
    <w:rsid w:val="02F56D74"/>
    <w:rsid w:val="02F67A3E"/>
    <w:rsid w:val="02F96569"/>
    <w:rsid w:val="02FC2294"/>
    <w:rsid w:val="03004262"/>
    <w:rsid w:val="030671D3"/>
    <w:rsid w:val="030B0D64"/>
    <w:rsid w:val="030D1255"/>
    <w:rsid w:val="030D6847"/>
    <w:rsid w:val="031661D3"/>
    <w:rsid w:val="031952F8"/>
    <w:rsid w:val="03206C13"/>
    <w:rsid w:val="03231305"/>
    <w:rsid w:val="032425E2"/>
    <w:rsid w:val="03245BEB"/>
    <w:rsid w:val="032B66E0"/>
    <w:rsid w:val="032E1CA4"/>
    <w:rsid w:val="032F3AE6"/>
    <w:rsid w:val="032F4ED0"/>
    <w:rsid w:val="033628E4"/>
    <w:rsid w:val="03362E92"/>
    <w:rsid w:val="033B4B77"/>
    <w:rsid w:val="033E1B4C"/>
    <w:rsid w:val="03407271"/>
    <w:rsid w:val="034A0CD2"/>
    <w:rsid w:val="034A6B48"/>
    <w:rsid w:val="03504FCF"/>
    <w:rsid w:val="03554905"/>
    <w:rsid w:val="03555A65"/>
    <w:rsid w:val="035A7965"/>
    <w:rsid w:val="035D6846"/>
    <w:rsid w:val="035E214B"/>
    <w:rsid w:val="035E4179"/>
    <w:rsid w:val="03643E22"/>
    <w:rsid w:val="036E55F2"/>
    <w:rsid w:val="03707D1F"/>
    <w:rsid w:val="037425B3"/>
    <w:rsid w:val="03777190"/>
    <w:rsid w:val="03806112"/>
    <w:rsid w:val="03897D81"/>
    <w:rsid w:val="038C4DC5"/>
    <w:rsid w:val="0397443C"/>
    <w:rsid w:val="03975AE5"/>
    <w:rsid w:val="03980549"/>
    <w:rsid w:val="0399335C"/>
    <w:rsid w:val="039E6607"/>
    <w:rsid w:val="03A22C05"/>
    <w:rsid w:val="03A40000"/>
    <w:rsid w:val="03A62679"/>
    <w:rsid w:val="03A73BA2"/>
    <w:rsid w:val="03AD0F9F"/>
    <w:rsid w:val="03B66672"/>
    <w:rsid w:val="03BB22CC"/>
    <w:rsid w:val="03BB7E0D"/>
    <w:rsid w:val="03BC0010"/>
    <w:rsid w:val="03BF0092"/>
    <w:rsid w:val="03CE5350"/>
    <w:rsid w:val="03D170EC"/>
    <w:rsid w:val="03D35490"/>
    <w:rsid w:val="03D77E79"/>
    <w:rsid w:val="03DA76FC"/>
    <w:rsid w:val="03DD313E"/>
    <w:rsid w:val="03DD3826"/>
    <w:rsid w:val="03DD4353"/>
    <w:rsid w:val="03DE7E1D"/>
    <w:rsid w:val="03E0050C"/>
    <w:rsid w:val="03E76E74"/>
    <w:rsid w:val="03EA7B21"/>
    <w:rsid w:val="03EC461B"/>
    <w:rsid w:val="03EF3BCD"/>
    <w:rsid w:val="04081FCC"/>
    <w:rsid w:val="040A6358"/>
    <w:rsid w:val="040B46AC"/>
    <w:rsid w:val="040E6340"/>
    <w:rsid w:val="04130DCE"/>
    <w:rsid w:val="04140A3C"/>
    <w:rsid w:val="041577A9"/>
    <w:rsid w:val="041811F1"/>
    <w:rsid w:val="04194A08"/>
    <w:rsid w:val="041C19A9"/>
    <w:rsid w:val="041F7C1A"/>
    <w:rsid w:val="04223B99"/>
    <w:rsid w:val="042273BB"/>
    <w:rsid w:val="04267339"/>
    <w:rsid w:val="04271429"/>
    <w:rsid w:val="042839DF"/>
    <w:rsid w:val="04293AE9"/>
    <w:rsid w:val="042D106A"/>
    <w:rsid w:val="043A35D9"/>
    <w:rsid w:val="04445485"/>
    <w:rsid w:val="0447663E"/>
    <w:rsid w:val="044A09D9"/>
    <w:rsid w:val="044E71A3"/>
    <w:rsid w:val="044F726E"/>
    <w:rsid w:val="04502E5A"/>
    <w:rsid w:val="04530E7A"/>
    <w:rsid w:val="04531C2B"/>
    <w:rsid w:val="0458751A"/>
    <w:rsid w:val="045B44BE"/>
    <w:rsid w:val="045C4BB9"/>
    <w:rsid w:val="046864FD"/>
    <w:rsid w:val="04687D47"/>
    <w:rsid w:val="046A42DB"/>
    <w:rsid w:val="046B19E4"/>
    <w:rsid w:val="046F1386"/>
    <w:rsid w:val="047563BF"/>
    <w:rsid w:val="04790E0F"/>
    <w:rsid w:val="047E3EBA"/>
    <w:rsid w:val="04813762"/>
    <w:rsid w:val="048270E9"/>
    <w:rsid w:val="04850430"/>
    <w:rsid w:val="04857B3E"/>
    <w:rsid w:val="04865F45"/>
    <w:rsid w:val="048964E2"/>
    <w:rsid w:val="049113E6"/>
    <w:rsid w:val="04992F0C"/>
    <w:rsid w:val="04A10342"/>
    <w:rsid w:val="04A43709"/>
    <w:rsid w:val="04A74454"/>
    <w:rsid w:val="04AB7E4D"/>
    <w:rsid w:val="04AF4869"/>
    <w:rsid w:val="04B31230"/>
    <w:rsid w:val="04B545D5"/>
    <w:rsid w:val="04B61857"/>
    <w:rsid w:val="04B631D8"/>
    <w:rsid w:val="04B716C8"/>
    <w:rsid w:val="04B7363F"/>
    <w:rsid w:val="04BE06F5"/>
    <w:rsid w:val="04C000A0"/>
    <w:rsid w:val="04C34A61"/>
    <w:rsid w:val="04C414D9"/>
    <w:rsid w:val="04C64615"/>
    <w:rsid w:val="04C81F6F"/>
    <w:rsid w:val="04C9057A"/>
    <w:rsid w:val="04CA2D04"/>
    <w:rsid w:val="04CE0315"/>
    <w:rsid w:val="04CE2CE4"/>
    <w:rsid w:val="04D06F5A"/>
    <w:rsid w:val="04D14869"/>
    <w:rsid w:val="04D20C17"/>
    <w:rsid w:val="04D33E01"/>
    <w:rsid w:val="04D507AA"/>
    <w:rsid w:val="04D56E5D"/>
    <w:rsid w:val="04D707BA"/>
    <w:rsid w:val="04DB08B3"/>
    <w:rsid w:val="04E33CE5"/>
    <w:rsid w:val="04EF6F73"/>
    <w:rsid w:val="04F04743"/>
    <w:rsid w:val="04F209FC"/>
    <w:rsid w:val="04F9741B"/>
    <w:rsid w:val="04FA057E"/>
    <w:rsid w:val="050014CC"/>
    <w:rsid w:val="05057874"/>
    <w:rsid w:val="05095BDB"/>
    <w:rsid w:val="050C2987"/>
    <w:rsid w:val="050C2C6B"/>
    <w:rsid w:val="050D0218"/>
    <w:rsid w:val="050D282F"/>
    <w:rsid w:val="050E5540"/>
    <w:rsid w:val="050E59E0"/>
    <w:rsid w:val="0512026B"/>
    <w:rsid w:val="05136113"/>
    <w:rsid w:val="051379D8"/>
    <w:rsid w:val="051565CA"/>
    <w:rsid w:val="05162DDE"/>
    <w:rsid w:val="051B6FA3"/>
    <w:rsid w:val="051C0E42"/>
    <w:rsid w:val="05211FF2"/>
    <w:rsid w:val="052A0EE7"/>
    <w:rsid w:val="053362D9"/>
    <w:rsid w:val="05382678"/>
    <w:rsid w:val="0539022B"/>
    <w:rsid w:val="053905BF"/>
    <w:rsid w:val="053C6EF8"/>
    <w:rsid w:val="053F7A83"/>
    <w:rsid w:val="05445D94"/>
    <w:rsid w:val="054519A8"/>
    <w:rsid w:val="05467D5B"/>
    <w:rsid w:val="05512545"/>
    <w:rsid w:val="0557052D"/>
    <w:rsid w:val="055B63DD"/>
    <w:rsid w:val="0560480F"/>
    <w:rsid w:val="05626C54"/>
    <w:rsid w:val="0564371A"/>
    <w:rsid w:val="056460FA"/>
    <w:rsid w:val="05650D04"/>
    <w:rsid w:val="056A1862"/>
    <w:rsid w:val="056F5F19"/>
    <w:rsid w:val="057228FE"/>
    <w:rsid w:val="05743505"/>
    <w:rsid w:val="0578687F"/>
    <w:rsid w:val="057D686C"/>
    <w:rsid w:val="05832D5D"/>
    <w:rsid w:val="05843347"/>
    <w:rsid w:val="058755D4"/>
    <w:rsid w:val="058A117F"/>
    <w:rsid w:val="058B2CB5"/>
    <w:rsid w:val="058C5EE8"/>
    <w:rsid w:val="05902948"/>
    <w:rsid w:val="059B79A2"/>
    <w:rsid w:val="05A01219"/>
    <w:rsid w:val="05A82C81"/>
    <w:rsid w:val="05AC4AF0"/>
    <w:rsid w:val="05AF2204"/>
    <w:rsid w:val="05B3307A"/>
    <w:rsid w:val="05B93019"/>
    <w:rsid w:val="05BA5F94"/>
    <w:rsid w:val="05BC1E14"/>
    <w:rsid w:val="05CE3863"/>
    <w:rsid w:val="05D161FB"/>
    <w:rsid w:val="05D90BCF"/>
    <w:rsid w:val="05DC7978"/>
    <w:rsid w:val="05EA6693"/>
    <w:rsid w:val="05EB5739"/>
    <w:rsid w:val="05EB5799"/>
    <w:rsid w:val="05F83EAE"/>
    <w:rsid w:val="05FF2357"/>
    <w:rsid w:val="05FF54DF"/>
    <w:rsid w:val="06026530"/>
    <w:rsid w:val="0607059C"/>
    <w:rsid w:val="06086A50"/>
    <w:rsid w:val="060914B4"/>
    <w:rsid w:val="0613493F"/>
    <w:rsid w:val="06153157"/>
    <w:rsid w:val="061A64F7"/>
    <w:rsid w:val="061C3231"/>
    <w:rsid w:val="061C56B3"/>
    <w:rsid w:val="06224324"/>
    <w:rsid w:val="06237101"/>
    <w:rsid w:val="062409DE"/>
    <w:rsid w:val="0627745C"/>
    <w:rsid w:val="06290C82"/>
    <w:rsid w:val="06296348"/>
    <w:rsid w:val="062971BC"/>
    <w:rsid w:val="062D0D39"/>
    <w:rsid w:val="062E51AF"/>
    <w:rsid w:val="0633684D"/>
    <w:rsid w:val="063B58AD"/>
    <w:rsid w:val="063B6A26"/>
    <w:rsid w:val="063E7D85"/>
    <w:rsid w:val="064F2451"/>
    <w:rsid w:val="065071AD"/>
    <w:rsid w:val="06541ABA"/>
    <w:rsid w:val="065668FB"/>
    <w:rsid w:val="065B6959"/>
    <w:rsid w:val="066256D4"/>
    <w:rsid w:val="06664642"/>
    <w:rsid w:val="06671113"/>
    <w:rsid w:val="066838F1"/>
    <w:rsid w:val="066E3DD3"/>
    <w:rsid w:val="06761730"/>
    <w:rsid w:val="06781B35"/>
    <w:rsid w:val="067A208E"/>
    <w:rsid w:val="0683513D"/>
    <w:rsid w:val="06856D4F"/>
    <w:rsid w:val="069468A4"/>
    <w:rsid w:val="06954850"/>
    <w:rsid w:val="0697277C"/>
    <w:rsid w:val="069E081F"/>
    <w:rsid w:val="06A144E8"/>
    <w:rsid w:val="06BC6F53"/>
    <w:rsid w:val="06CF585E"/>
    <w:rsid w:val="06D17F91"/>
    <w:rsid w:val="06D25D4A"/>
    <w:rsid w:val="06D3544F"/>
    <w:rsid w:val="06D51397"/>
    <w:rsid w:val="06E163E4"/>
    <w:rsid w:val="06E527EC"/>
    <w:rsid w:val="06E62503"/>
    <w:rsid w:val="06F225B7"/>
    <w:rsid w:val="070230AB"/>
    <w:rsid w:val="0705299A"/>
    <w:rsid w:val="07077CC8"/>
    <w:rsid w:val="070C693F"/>
    <w:rsid w:val="07110641"/>
    <w:rsid w:val="07136626"/>
    <w:rsid w:val="07146C0F"/>
    <w:rsid w:val="071920C1"/>
    <w:rsid w:val="071B6F24"/>
    <w:rsid w:val="071D1C1B"/>
    <w:rsid w:val="07214E72"/>
    <w:rsid w:val="072525CB"/>
    <w:rsid w:val="07293586"/>
    <w:rsid w:val="07295285"/>
    <w:rsid w:val="072A111D"/>
    <w:rsid w:val="072C2403"/>
    <w:rsid w:val="072E6526"/>
    <w:rsid w:val="073055CD"/>
    <w:rsid w:val="0731458C"/>
    <w:rsid w:val="073E7B83"/>
    <w:rsid w:val="07464924"/>
    <w:rsid w:val="074778FA"/>
    <w:rsid w:val="07477DA2"/>
    <w:rsid w:val="07495BFB"/>
    <w:rsid w:val="075D38ED"/>
    <w:rsid w:val="07636392"/>
    <w:rsid w:val="076D5CA3"/>
    <w:rsid w:val="0771066E"/>
    <w:rsid w:val="07710B9F"/>
    <w:rsid w:val="077466AA"/>
    <w:rsid w:val="077618C3"/>
    <w:rsid w:val="077676C6"/>
    <w:rsid w:val="07770C56"/>
    <w:rsid w:val="077827F0"/>
    <w:rsid w:val="077C01FE"/>
    <w:rsid w:val="077F2C65"/>
    <w:rsid w:val="078170FA"/>
    <w:rsid w:val="07835317"/>
    <w:rsid w:val="07894251"/>
    <w:rsid w:val="078C0EEA"/>
    <w:rsid w:val="078C22C9"/>
    <w:rsid w:val="078F50B3"/>
    <w:rsid w:val="079052BE"/>
    <w:rsid w:val="07927288"/>
    <w:rsid w:val="079450D9"/>
    <w:rsid w:val="0795064C"/>
    <w:rsid w:val="07983134"/>
    <w:rsid w:val="079923C4"/>
    <w:rsid w:val="079A524B"/>
    <w:rsid w:val="079C6162"/>
    <w:rsid w:val="079E2DA6"/>
    <w:rsid w:val="07A27CD5"/>
    <w:rsid w:val="07A5585A"/>
    <w:rsid w:val="07B560A2"/>
    <w:rsid w:val="07C0278C"/>
    <w:rsid w:val="07C2112C"/>
    <w:rsid w:val="07C30751"/>
    <w:rsid w:val="07C658AD"/>
    <w:rsid w:val="07CC2B88"/>
    <w:rsid w:val="07CD1E12"/>
    <w:rsid w:val="07CE641D"/>
    <w:rsid w:val="07CF38B6"/>
    <w:rsid w:val="07D231C0"/>
    <w:rsid w:val="07D40952"/>
    <w:rsid w:val="07D56D89"/>
    <w:rsid w:val="07D731CF"/>
    <w:rsid w:val="07DC324B"/>
    <w:rsid w:val="07DE2C5B"/>
    <w:rsid w:val="07DE6B5C"/>
    <w:rsid w:val="07DF29AF"/>
    <w:rsid w:val="07E21FBD"/>
    <w:rsid w:val="07E72D72"/>
    <w:rsid w:val="07EA0F85"/>
    <w:rsid w:val="07EF34E8"/>
    <w:rsid w:val="07F02591"/>
    <w:rsid w:val="07F24528"/>
    <w:rsid w:val="07F2485B"/>
    <w:rsid w:val="07F77752"/>
    <w:rsid w:val="07FD73CD"/>
    <w:rsid w:val="08007558"/>
    <w:rsid w:val="08097C77"/>
    <w:rsid w:val="080B1FDA"/>
    <w:rsid w:val="080C5618"/>
    <w:rsid w:val="080E1772"/>
    <w:rsid w:val="08105143"/>
    <w:rsid w:val="0818443E"/>
    <w:rsid w:val="081A5521"/>
    <w:rsid w:val="081B102B"/>
    <w:rsid w:val="081B54CF"/>
    <w:rsid w:val="081C6D89"/>
    <w:rsid w:val="0822461D"/>
    <w:rsid w:val="08227A35"/>
    <w:rsid w:val="082302BD"/>
    <w:rsid w:val="082365B1"/>
    <w:rsid w:val="0826661D"/>
    <w:rsid w:val="08267BCD"/>
    <w:rsid w:val="08297A7B"/>
    <w:rsid w:val="082E2984"/>
    <w:rsid w:val="082F21A1"/>
    <w:rsid w:val="08307C54"/>
    <w:rsid w:val="08312614"/>
    <w:rsid w:val="08385EE2"/>
    <w:rsid w:val="0840092E"/>
    <w:rsid w:val="084E6DA3"/>
    <w:rsid w:val="084F5179"/>
    <w:rsid w:val="085A4EAD"/>
    <w:rsid w:val="08604229"/>
    <w:rsid w:val="086737E6"/>
    <w:rsid w:val="086C24A3"/>
    <w:rsid w:val="086D7051"/>
    <w:rsid w:val="087107FD"/>
    <w:rsid w:val="088017D6"/>
    <w:rsid w:val="08814967"/>
    <w:rsid w:val="08834AC2"/>
    <w:rsid w:val="08844763"/>
    <w:rsid w:val="08864E82"/>
    <w:rsid w:val="08872B64"/>
    <w:rsid w:val="0892751E"/>
    <w:rsid w:val="08975607"/>
    <w:rsid w:val="089A732D"/>
    <w:rsid w:val="089B58E2"/>
    <w:rsid w:val="089E49B8"/>
    <w:rsid w:val="08A60B90"/>
    <w:rsid w:val="08AA3249"/>
    <w:rsid w:val="08AA4DDD"/>
    <w:rsid w:val="08AB231A"/>
    <w:rsid w:val="08AC6127"/>
    <w:rsid w:val="08AD5D53"/>
    <w:rsid w:val="08B06BBC"/>
    <w:rsid w:val="08B57A49"/>
    <w:rsid w:val="08BB598E"/>
    <w:rsid w:val="08BD7FCB"/>
    <w:rsid w:val="08BE112C"/>
    <w:rsid w:val="08C16076"/>
    <w:rsid w:val="08C248FC"/>
    <w:rsid w:val="08C70C28"/>
    <w:rsid w:val="08C71AFE"/>
    <w:rsid w:val="08CA13D9"/>
    <w:rsid w:val="08CC2897"/>
    <w:rsid w:val="08D0028D"/>
    <w:rsid w:val="08D247CE"/>
    <w:rsid w:val="08D5567E"/>
    <w:rsid w:val="08DD5D42"/>
    <w:rsid w:val="08E21B49"/>
    <w:rsid w:val="08E502C7"/>
    <w:rsid w:val="08EF6E37"/>
    <w:rsid w:val="08F458B8"/>
    <w:rsid w:val="08F533AD"/>
    <w:rsid w:val="08F9196F"/>
    <w:rsid w:val="08F9507E"/>
    <w:rsid w:val="08FD4C21"/>
    <w:rsid w:val="08FD649D"/>
    <w:rsid w:val="08FE7BBD"/>
    <w:rsid w:val="090079DE"/>
    <w:rsid w:val="09041810"/>
    <w:rsid w:val="09061CDB"/>
    <w:rsid w:val="09076B1E"/>
    <w:rsid w:val="090913BB"/>
    <w:rsid w:val="090D3998"/>
    <w:rsid w:val="090F4009"/>
    <w:rsid w:val="09130CFC"/>
    <w:rsid w:val="09132E4A"/>
    <w:rsid w:val="091761B3"/>
    <w:rsid w:val="09192997"/>
    <w:rsid w:val="091D46CF"/>
    <w:rsid w:val="092217DD"/>
    <w:rsid w:val="09254804"/>
    <w:rsid w:val="09254E87"/>
    <w:rsid w:val="09274B02"/>
    <w:rsid w:val="092C1016"/>
    <w:rsid w:val="093417F5"/>
    <w:rsid w:val="09342A10"/>
    <w:rsid w:val="09346CAA"/>
    <w:rsid w:val="093A7294"/>
    <w:rsid w:val="093B4043"/>
    <w:rsid w:val="093B43E1"/>
    <w:rsid w:val="09446107"/>
    <w:rsid w:val="09451871"/>
    <w:rsid w:val="094F2FD5"/>
    <w:rsid w:val="09517DC2"/>
    <w:rsid w:val="095A4994"/>
    <w:rsid w:val="095A5852"/>
    <w:rsid w:val="095F3096"/>
    <w:rsid w:val="0965167B"/>
    <w:rsid w:val="096F094D"/>
    <w:rsid w:val="09774987"/>
    <w:rsid w:val="097B0B5F"/>
    <w:rsid w:val="097C2B36"/>
    <w:rsid w:val="097F2D20"/>
    <w:rsid w:val="09867782"/>
    <w:rsid w:val="09877762"/>
    <w:rsid w:val="098C4749"/>
    <w:rsid w:val="098E47A8"/>
    <w:rsid w:val="099A02E5"/>
    <w:rsid w:val="099E5A65"/>
    <w:rsid w:val="099E7A57"/>
    <w:rsid w:val="09A020DA"/>
    <w:rsid w:val="09A9434E"/>
    <w:rsid w:val="09AE7545"/>
    <w:rsid w:val="09B27074"/>
    <w:rsid w:val="09B33ECC"/>
    <w:rsid w:val="09B34A0D"/>
    <w:rsid w:val="09B54234"/>
    <w:rsid w:val="09C03F7D"/>
    <w:rsid w:val="09C40732"/>
    <w:rsid w:val="09C47161"/>
    <w:rsid w:val="09CA0B2B"/>
    <w:rsid w:val="09CB4CD3"/>
    <w:rsid w:val="09CD1031"/>
    <w:rsid w:val="09D500CD"/>
    <w:rsid w:val="09DC2D78"/>
    <w:rsid w:val="09E21CB9"/>
    <w:rsid w:val="09E704CB"/>
    <w:rsid w:val="09ED5560"/>
    <w:rsid w:val="09F242A1"/>
    <w:rsid w:val="09F86BF7"/>
    <w:rsid w:val="09FB4AC4"/>
    <w:rsid w:val="0A0029C5"/>
    <w:rsid w:val="0A072B7A"/>
    <w:rsid w:val="0A110058"/>
    <w:rsid w:val="0A1505BE"/>
    <w:rsid w:val="0A166DA8"/>
    <w:rsid w:val="0A1A3AF5"/>
    <w:rsid w:val="0A1B56FD"/>
    <w:rsid w:val="0A1E3055"/>
    <w:rsid w:val="0A263993"/>
    <w:rsid w:val="0A2C2830"/>
    <w:rsid w:val="0A2D3AC2"/>
    <w:rsid w:val="0A2D5D07"/>
    <w:rsid w:val="0A310BE4"/>
    <w:rsid w:val="0A36670A"/>
    <w:rsid w:val="0A3A61CF"/>
    <w:rsid w:val="0A3E4A35"/>
    <w:rsid w:val="0A404AFB"/>
    <w:rsid w:val="0A583E9D"/>
    <w:rsid w:val="0A5C2218"/>
    <w:rsid w:val="0A642252"/>
    <w:rsid w:val="0A67452F"/>
    <w:rsid w:val="0A6A1088"/>
    <w:rsid w:val="0A6A6383"/>
    <w:rsid w:val="0A6D08F7"/>
    <w:rsid w:val="0A744843"/>
    <w:rsid w:val="0A7517A1"/>
    <w:rsid w:val="0A751DFA"/>
    <w:rsid w:val="0A7569D9"/>
    <w:rsid w:val="0A783C98"/>
    <w:rsid w:val="0A7B102D"/>
    <w:rsid w:val="0A7B3097"/>
    <w:rsid w:val="0A7B5D8D"/>
    <w:rsid w:val="0A7B69BA"/>
    <w:rsid w:val="0A7D13F7"/>
    <w:rsid w:val="0A7D421F"/>
    <w:rsid w:val="0A7F1313"/>
    <w:rsid w:val="0A7F4877"/>
    <w:rsid w:val="0A80090D"/>
    <w:rsid w:val="0A83579E"/>
    <w:rsid w:val="0A844473"/>
    <w:rsid w:val="0A850016"/>
    <w:rsid w:val="0A882F38"/>
    <w:rsid w:val="0A8A1694"/>
    <w:rsid w:val="0A8D3D36"/>
    <w:rsid w:val="0A8D6BE4"/>
    <w:rsid w:val="0A937917"/>
    <w:rsid w:val="0A984F20"/>
    <w:rsid w:val="0A9C5B5D"/>
    <w:rsid w:val="0AA2709B"/>
    <w:rsid w:val="0AA5348F"/>
    <w:rsid w:val="0AA65439"/>
    <w:rsid w:val="0AA755DF"/>
    <w:rsid w:val="0AAD14F0"/>
    <w:rsid w:val="0AB12C11"/>
    <w:rsid w:val="0AB72891"/>
    <w:rsid w:val="0AB811C6"/>
    <w:rsid w:val="0ABA4D24"/>
    <w:rsid w:val="0AC32AFC"/>
    <w:rsid w:val="0AC534F8"/>
    <w:rsid w:val="0AC9366C"/>
    <w:rsid w:val="0ACD1633"/>
    <w:rsid w:val="0AD1392C"/>
    <w:rsid w:val="0AD4185F"/>
    <w:rsid w:val="0AD5164A"/>
    <w:rsid w:val="0ADC183B"/>
    <w:rsid w:val="0ADE33E5"/>
    <w:rsid w:val="0ADF6D37"/>
    <w:rsid w:val="0AE34473"/>
    <w:rsid w:val="0AE563E7"/>
    <w:rsid w:val="0AE77BA5"/>
    <w:rsid w:val="0AEC4F01"/>
    <w:rsid w:val="0AF2426B"/>
    <w:rsid w:val="0AF7278D"/>
    <w:rsid w:val="0B055585"/>
    <w:rsid w:val="0B0B0791"/>
    <w:rsid w:val="0B0B6EEC"/>
    <w:rsid w:val="0B0D62E4"/>
    <w:rsid w:val="0B120D44"/>
    <w:rsid w:val="0B121DCB"/>
    <w:rsid w:val="0B143B8D"/>
    <w:rsid w:val="0B181284"/>
    <w:rsid w:val="0B197B61"/>
    <w:rsid w:val="0B1E348A"/>
    <w:rsid w:val="0B1F1451"/>
    <w:rsid w:val="0B2133A4"/>
    <w:rsid w:val="0B253C2A"/>
    <w:rsid w:val="0B277EE5"/>
    <w:rsid w:val="0B29566E"/>
    <w:rsid w:val="0B431DF1"/>
    <w:rsid w:val="0B4A4D8E"/>
    <w:rsid w:val="0B4B4BF5"/>
    <w:rsid w:val="0B541CEC"/>
    <w:rsid w:val="0B564527"/>
    <w:rsid w:val="0B573F86"/>
    <w:rsid w:val="0B624CBE"/>
    <w:rsid w:val="0B6303AF"/>
    <w:rsid w:val="0B640CAC"/>
    <w:rsid w:val="0B64147D"/>
    <w:rsid w:val="0B680800"/>
    <w:rsid w:val="0B6937F0"/>
    <w:rsid w:val="0B6A07BD"/>
    <w:rsid w:val="0B6A7F8A"/>
    <w:rsid w:val="0B6C62F2"/>
    <w:rsid w:val="0B73243E"/>
    <w:rsid w:val="0B833996"/>
    <w:rsid w:val="0B996A7F"/>
    <w:rsid w:val="0B9D75DA"/>
    <w:rsid w:val="0B9F35C2"/>
    <w:rsid w:val="0BA21FF5"/>
    <w:rsid w:val="0BA42B37"/>
    <w:rsid w:val="0BA56A3C"/>
    <w:rsid w:val="0BA67346"/>
    <w:rsid w:val="0BAE25D9"/>
    <w:rsid w:val="0BB17901"/>
    <w:rsid w:val="0BB4058B"/>
    <w:rsid w:val="0BB40D72"/>
    <w:rsid w:val="0BBA2471"/>
    <w:rsid w:val="0BBB283E"/>
    <w:rsid w:val="0BCA7245"/>
    <w:rsid w:val="0BCD34BC"/>
    <w:rsid w:val="0BD10871"/>
    <w:rsid w:val="0BD27BF6"/>
    <w:rsid w:val="0BD84CE6"/>
    <w:rsid w:val="0BD91067"/>
    <w:rsid w:val="0BD97C3F"/>
    <w:rsid w:val="0BE45BD8"/>
    <w:rsid w:val="0BE74194"/>
    <w:rsid w:val="0BF064FB"/>
    <w:rsid w:val="0BF90E66"/>
    <w:rsid w:val="0C032B3D"/>
    <w:rsid w:val="0C040AAC"/>
    <w:rsid w:val="0C0B10D0"/>
    <w:rsid w:val="0C1101E2"/>
    <w:rsid w:val="0C120D71"/>
    <w:rsid w:val="0C140663"/>
    <w:rsid w:val="0C156AE9"/>
    <w:rsid w:val="0C1709B7"/>
    <w:rsid w:val="0C187200"/>
    <w:rsid w:val="0C1F778E"/>
    <w:rsid w:val="0C2001B2"/>
    <w:rsid w:val="0C206F65"/>
    <w:rsid w:val="0C2138F0"/>
    <w:rsid w:val="0C23086D"/>
    <w:rsid w:val="0C25063B"/>
    <w:rsid w:val="0C2A4289"/>
    <w:rsid w:val="0C2C7628"/>
    <w:rsid w:val="0C2D23A4"/>
    <w:rsid w:val="0C2F3CF7"/>
    <w:rsid w:val="0C2F5EE2"/>
    <w:rsid w:val="0C332B76"/>
    <w:rsid w:val="0C3776C2"/>
    <w:rsid w:val="0C3B3C7D"/>
    <w:rsid w:val="0C3C13BF"/>
    <w:rsid w:val="0C3F52C1"/>
    <w:rsid w:val="0C4005C2"/>
    <w:rsid w:val="0C444D9F"/>
    <w:rsid w:val="0C47029C"/>
    <w:rsid w:val="0C5F1EE7"/>
    <w:rsid w:val="0C6E6B01"/>
    <w:rsid w:val="0C70114B"/>
    <w:rsid w:val="0C752CF5"/>
    <w:rsid w:val="0C7536DB"/>
    <w:rsid w:val="0C773161"/>
    <w:rsid w:val="0C7C1E6D"/>
    <w:rsid w:val="0C800FD8"/>
    <w:rsid w:val="0C870FC2"/>
    <w:rsid w:val="0C871385"/>
    <w:rsid w:val="0C8818A1"/>
    <w:rsid w:val="0C8913FF"/>
    <w:rsid w:val="0C896200"/>
    <w:rsid w:val="0C8F24C3"/>
    <w:rsid w:val="0C917B0E"/>
    <w:rsid w:val="0C952F95"/>
    <w:rsid w:val="0C963304"/>
    <w:rsid w:val="0C9764D9"/>
    <w:rsid w:val="0C9C76DF"/>
    <w:rsid w:val="0C9E222B"/>
    <w:rsid w:val="0C9E447E"/>
    <w:rsid w:val="0CA23AAB"/>
    <w:rsid w:val="0CA55973"/>
    <w:rsid w:val="0CA76FD7"/>
    <w:rsid w:val="0CAB2EAE"/>
    <w:rsid w:val="0CAF3536"/>
    <w:rsid w:val="0CB068AA"/>
    <w:rsid w:val="0CB37644"/>
    <w:rsid w:val="0CB56AC2"/>
    <w:rsid w:val="0CB93B5C"/>
    <w:rsid w:val="0CBD2CFA"/>
    <w:rsid w:val="0CBD6AC0"/>
    <w:rsid w:val="0CBE3352"/>
    <w:rsid w:val="0CBF4696"/>
    <w:rsid w:val="0CC0213C"/>
    <w:rsid w:val="0CC05462"/>
    <w:rsid w:val="0CC35066"/>
    <w:rsid w:val="0CCB56A8"/>
    <w:rsid w:val="0CD50441"/>
    <w:rsid w:val="0CD523C5"/>
    <w:rsid w:val="0CD54CE1"/>
    <w:rsid w:val="0CEA14EE"/>
    <w:rsid w:val="0CEA24E9"/>
    <w:rsid w:val="0CEB07E0"/>
    <w:rsid w:val="0CF02CF1"/>
    <w:rsid w:val="0CF12AB2"/>
    <w:rsid w:val="0CF541A8"/>
    <w:rsid w:val="0CF701FF"/>
    <w:rsid w:val="0CFE360D"/>
    <w:rsid w:val="0CFF53BF"/>
    <w:rsid w:val="0D010AEF"/>
    <w:rsid w:val="0D012BC2"/>
    <w:rsid w:val="0D021F77"/>
    <w:rsid w:val="0D081151"/>
    <w:rsid w:val="0D0F5A09"/>
    <w:rsid w:val="0D1108DC"/>
    <w:rsid w:val="0D1A32D4"/>
    <w:rsid w:val="0D223403"/>
    <w:rsid w:val="0D3C1A0F"/>
    <w:rsid w:val="0D3D1C71"/>
    <w:rsid w:val="0D4D6A15"/>
    <w:rsid w:val="0D4F5181"/>
    <w:rsid w:val="0D5615EE"/>
    <w:rsid w:val="0D5A11D7"/>
    <w:rsid w:val="0D5B7347"/>
    <w:rsid w:val="0D5D1EED"/>
    <w:rsid w:val="0D621C7D"/>
    <w:rsid w:val="0D652CA5"/>
    <w:rsid w:val="0D662FBC"/>
    <w:rsid w:val="0D6B362A"/>
    <w:rsid w:val="0D6D2270"/>
    <w:rsid w:val="0D6D58C5"/>
    <w:rsid w:val="0D7077E6"/>
    <w:rsid w:val="0D741C1C"/>
    <w:rsid w:val="0D791D5E"/>
    <w:rsid w:val="0D794FCA"/>
    <w:rsid w:val="0D7C0CA4"/>
    <w:rsid w:val="0D7E202C"/>
    <w:rsid w:val="0D802664"/>
    <w:rsid w:val="0D8456DC"/>
    <w:rsid w:val="0D902CD4"/>
    <w:rsid w:val="0D924D85"/>
    <w:rsid w:val="0D95532C"/>
    <w:rsid w:val="0D9B051A"/>
    <w:rsid w:val="0DA1373D"/>
    <w:rsid w:val="0DA27DE2"/>
    <w:rsid w:val="0DA30F0C"/>
    <w:rsid w:val="0DAD29B9"/>
    <w:rsid w:val="0DB10BCC"/>
    <w:rsid w:val="0DB62D28"/>
    <w:rsid w:val="0DB8556E"/>
    <w:rsid w:val="0DBE5700"/>
    <w:rsid w:val="0DC05A7F"/>
    <w:rsid w:val="0DC94B01"/>
    <w:rsid w:val="0DCD2428"/>
    <w:rsid w:val="0DCE61DA"/>
    <w:rsid w:val="0DD214EF"/>
    <w:rsid w:val="0DD333F7"/>
    <w:rsid w:val="0DDA3736"/>
    <w:rsid w:val="0DDA4FAB"/>
    <w:rsid w:val="0DDB5B46"/>
    <w:rsid w:val="0DE11D32"/>
    <w:rsid w:val="0DE501A0"/>
    <w:rsid w:val="0DEB2580"/>
    <w:rsid w:val="0DF419CC"/>
    <w:rsid w:val="0DF63C5F"/>
    <w:rsid w:val="0DF7021A"/>
    <w:rsid w:val="0DF81DB7"/>
    <w:rsid w:val="0DFD11A3"/>
    <w:rsid w:val="0DFF6D32"/>
    <w:rsid w:val="0E071F79"/>
    <w:rsid w:val="0E0A0880"/>
    <w:rsid w:val="0E0E4015"/>
    <w:rsid w:val="0E196AEA"/>
    <w:rsid w:val="0E1F1149"/>
    <w:rsid w:val="0E237F4A"/>
    <w:rsid w:val="0E2F41CD"/>
    <w:rsid w:val="0E3438FB"/>
    <w:rsid w:val="0E385D1C"/>
    <w:rsid w:val="0E393017"/>
    <w:rsid w:val="0E49304F"/>
    <w:rsid w:val="0E4A15C4"/>
    <w:rsid w:val="0E4C16FE"/>
    <w:rsid w:val="0E5057A7"/>
    <w:rsid w:val="0E5135DB"/>
    <w:rsid w:val="0E553AE3"/>
    <w:rsid w:val="0E55518C"/>
    <w:rsid w:val="0E581740"/>
    <w:rsid w:val="0E5A250C"/>
    <w:rsid w:val="0E5A789B"/>
    <w:rsid w:val="0E664FCA"/>
    <w:rsid w:val="0E673E86"/>
    <w:rsid w:val="0E680D42"/>
    <w:rsid w:val="0E721BC1"/>
    <w:rsid w:val="0E73034D"/>
    <w:rsid w:val="0E794AC0"/>
    <w:rsid w:val="0E7D48E5"/>
    <w:rsid w:val="0E7E4A5C"/>
    <w:rsid w:val="0E8124AC"/>
    <w:rsid w:val="0E824C67"/>
    <w:rsid w:val="0E8333C1"/>
    <w:rsid w:val="0E8548DB"/>
    <w:rsid w:val="0E8A22DC"/>
    <w:rsid w:val="0E8D40B0"/>
    <w:rsid w:val="0E8D51B3"/>
    <w:rsid w:val="0E905A89"/>
    <w:rsid w:val="0E9710E1"/>
    <w:rsid w:val="0E996FF2"/>
    <w:rsid w:val="0EA2300E"/>
    <w:rsid w:val="0EA314FC"/>
    <w:rsid w:val="0EA97A9C"/>
    <w:rsid w:val="0EAA54E5"/>
    <w:rsid w:val="0EAD294C"/>
    <w:rsid w:val="0EAF2FD0"/>
    <w:rsid w:val="0EB00768"/>
    <w:rsid w:val="0EB21FBD"/>
    <w:rsid w:val="0EB35244"/>
    <w:rsid w:val="0EB7386A"/>
    <w:rsid w:val="0EB74FC5"/>
    <w:rsid w:val="0EBC34D0"/>
    <w:rsid w:val="0EBC5660"/>
    <w:rsid w:val="0EBC64DF"/>
    <w:rsid w:val="0EC036F3"/>
    <w:rsid w:val="0EC67AE3"/>
    <w:rsid w:val="0EC774FF"/>
    <w:rsid w:val="0ECC37A5"/>
    <w:rsid w:val="0EE2581A"/>
    <w:rsid w:val="0EE52938"/>
    <w:rsid w:val="0EED5288"/>
    <w:rsid w:val="0EEE6499"/>
    <w:rsid w:val="0EF1243D"/>
    <w:rsid w:val="0EF5564F"/>
    <w:rsid w:val="0EFA2D39"/>
    <w:rsid w:val="0EFC2DC5"/>
    <w:rsid w:val="0EFD592E"/>
    <w:rsid w:val="0F007DA9"/>
    <w:rsid w:val="0F0100E0"/>
    <w:rsid w:val="0F026301"/>
    <w:rsid w:val="0F0471D1"/>
    <w:rsid w:val="0F052A35"/>
    <w:rsid w:val="0F077C6A"/>
    <w:rsid w:val="0F0A61EF"/>
    <w:rsid w:val="0F115CB6"/>
    <w:rsid w:val="0F133E2B"/>
    <w:rsid w:val="0F13775A"/>
    <w:rsid w:val="0F170D79"/>
    <w:rsid w:val="0F2220CE"/>
    <w:rsid w:val="0F29227F"/>
    <w:rsid w:val="0F307EB7"/>
    <w:rsid w:val="0F336EFE"/>
    <w:rsid w:val="0F38275C"/>
    <w:rsid w:val="0F3D3F7D"/>
    <w:rsid w:val="0F3E3FC1"/>
    <w:rsid w:val="0F49283A"/>
    <w:rsid w:val="0F494B44"/>
    <w:rsid w:val="0F49747A"/>
    <w:rsid w:val="0F4C4963"/>
    <w:rsid w:val="0F50523C"/>
    <w:rsid w:val="0F5C0A36"/>
    <w:rsid w:val="0F5F45FE"/>
    <w:rsid w:val="0F611EC7"/>
    <w:rsid w:val="0F621F60"/>
    <w:rsid w:val="0F7A0392"/>
    <w:rsid w:val="0F7E0C70"/>
    <w:rsid w:val="0F7E5348"/>
    <w:rsid w:val="0F8030C5"/>
    <w:rsid w:val="0F82175F"/>
    <w:rsid w:val="0F831D67"/>
    <w:rsid w:val="0F847C52"/>
    <w:rsid w:val="0F853414"/>
    <w:rsid w:val="0F890958"/>
    <w:rsid w:val="0F8A6A98"/>
    <w:rsid w:val="0F907921"/>
    <w:rsid w:val="0F922B03"/>
    <w:rsid w:val="0F92753F"/>
    <w:rsid w:val="0F930041"/>
    <w:rsid w:val="0F993380"/>
    <w:rsid w:val="0F9A112B"/>
    <w:rsid w:val="0FA47522"/>
    <w:rsid w:val="0FA52012"/>
    <w:rsid w:val="0FA638D0"/>
    <w:rsid w:val="0FA66DB6"/>
    <w:rsid w:val="0FAE4E7B"/>
    <w:rsid w:val="0FAF3901"/>
    <w:rsid w:val="0FC36167"/>
    <w:rsid w:val="0FD3484D"/>
    <w:rsid w:val="0FD50241"/>
    <w:rsid w:val="0FDD72F9"/>
    <w:rsid w:val="0FDF5034"/>
    <w:rsid w:val="0FE27523"/>
    <w:rsid w:val="0FE942FC"/>
    <w:rsid w:val="0FEA6500"/>
    <w:rsid w:val="0FED061A"/>
    <w:rsid w:val="0FEE0E1B"/>
    <w:rsid w:val="0FF3047E"/>
    <w:rsid w:val="0FF32B6C"/>
    <w:rsid w:val="0FF35944"/>
    <w:rsid w:val="0FF6233F"/>
    <w:rsid w:val="0FF96BCE"/>
    <w:rsid w:val="0FFD01E8"/>
    <w:rsid w:val="100352AC"/>
    <w:rsid w:val="1003618C"/>
    <w:rsid w:val="10077681"/>
    <w:rsid w:val="1009020A"/>
    <w:rsid w:val="100A20D9"/>
    <w:rsid w:val="1010139E"/>
    <w:rsid w:val="1015182D"/>
    <w:rsid w:val="10152804"/>
    <w:rsid w:val="1015624C"/>
    <w:rsid w:val="10165931"/>
    <w:rsid w:val="10167D23"/>
    <w:rsid w:val="10172A7E"/>
    <w:rsid w:val="10173011"/>
    <w:rsid w:val="101747CE"/>
    <w:rsid w:val="10181A57"/>
    <w:rsid w:val="101B52FC"/>
    <w:rsid w:val="10272B81"/>
    <w:rsid w:val="102742DB"/>
    <w:rsid w:val="10275FB7"/>
    <w:rsid w:val="102932C2"/>
    <w:rsid w:val="102B0B6B"/>
    <w:rsid w:val="102F3BAB"/>
    <w:rsid w:val="103532AC"/>
    <w:rsid w:val="103758CC"/>
    <w:rsid w:val="103F1C94"/>
    <w:rsid w:val="104179FD"/>
    <w:rsid w:val="10417A9D"/>
    <w:rsid w:val="10426561"/>
    <w:rsid w:val="104853FA"/>
    <w:rsid w:val="10491C16"/>
    <w:rsid w:val="1051375D"/>
    <w:rsid w:val="10540F2A"/>
    <w:rsid w:val="105972D6"/>
    <w:rsid w:val="105D4AEB"/>
    <w:rsid w:val="10641E27"/>
    <w:rsid w:val="1069332D"/>
    <w:rsid w:val="106D2F64"/>
    <w:rsid w:val="10746E26"/>
    <w:rsid w:val="107615B0"/>
    <w:rsid w:val="10806817"/>
    <w:rsid w:val="10806CC9"/>
    <w:rsid w:val="1085137F"/>
    <w:rsid w:val="108856CC"/>
    <w:rsid w:val="10892099"/>
    <w:rsid w:val="10894088"/>
    <w:rsid w:val="108B6945"/>
    <w:rsid w:val="109535B1"/>
    <w:rsid w:val="10967CBA"/>
    <w:rsid w:val="10983FE2"/>
    <w:rsid w:val="10A10500"/>
    <w:rsid w:val="10A468B2"/>
    <w:rsid w:val="10A51690"/>
    <w:rsid w:val="10AE4F2E"/>
    <w:rsid w:val="10AF6112"/>
    <w:rsid w:val="10B44C51"/>
    <w:rsid w:val="10B63710"/>
    <w:rsid w:val="10B75245"/>
    <w:rsid w:val="10B80A99"/>
    <w:rsid w:val="10BA4D48"/>
    <w:rsid w:val="10BD2C25"/>
    <w:rsid w:val="10BE2E9B"/>
    <w:rsid w:val="10BE4C49"/>
    <w:rsid w:val="10C07770"/>
    <w:rsid w:val="10C55AAA"/>
    <w:rsid w:val="10C879A2"/>
    <w:rsid w:val="10C91B02"/>
    <w:rsid w:val="10CA629E"/>
    <w:rsid w:val="10CE73AF"/>
    <w:rsid w:val="10D752AA"/>
    <w:rsid w:val="10D8319E"/>
    <w:rsid w:val="10D95F27"/>
    <w:rsid w:val="10DC0EB4"/>
    <w:rsid w:val="10E11E5C"/>
    <w:rsid w:val="10E21898"/>
    <w:rsid w:val="10E21EE9"/>
    <w:rsid w:val="10E52EDF"/>
    <w:rsid w:val="10E85CAA"/>
    <w:rsid w:val="10E865E7"/>
    <w:rsid w:val="10E9667C"/>
    <w:rsid w:val="10EB1290"/>
    <w:rsid w:val="10F10820"/>
    <w:rsid w:val="10F22B45"/>
    <w:rsid w:val="11015DBF"/>
    <w:rsid w:val="11043B22"/>
    <w:rsid w:val="1106599F"/>
    <w:rsid w:val="11075144"/>
    <w:rsid w:val="110956CE"/>
    <w:rsid w:val="110D1438"/>
    <w:rsid w:val="11116BE1"/>
    <w:rsid w:val="11194AD8"/>
    <w:rsid w:val="111C2F7A"/>
    <w:rsid w:val="111D66D2"/>
    <w:rsid w:val="11205583"/>
    <w:rsid w:val="112453F4"/>
    <w:rsid w:val="1126433F"/>
    <w:rsid w:val="112E0021"/>
    <w:rsid w:val="112F417F"/>
    <w:rsid w:val="112F4593"/>
    <w:rsid w:val="113015F5"/>
    <w:rsid w:val="11306135"/>
    <w:rsid w:val="11336B16"/>
    <w:rsid w:val="113413B0"/>
    <w:rsid w:val="113A24F9"/>
    <w:rsid w:val="113A2671"/>
    <w:rsid w:val="11415615"/>
    <w:rsid w:val="114E4780"/>
    <w:rsid w:val="11537D86"/>
    <w:rsid w:val="115B0EF9"/>
    <w:rsid w:val="115F57A0"/>
    <w:rsid w:val="116021F2"/>
    <w:rsid w:val="116220CE"/>
    <w:rsid w:val="11665CA1"/>
    <w:rsid w:val="116D4292"/>
    <w:rsid w:val="116D49B7"/>
    <w:rsid w:val="11704AB0"/>
    <w:rsid w:val="11713F9B"/>
    <w:rsid w:val="11716160"/>
    <w:rsid w:val="11732FEF"/>
    <w:rsid w:val="11752C0E"/>
    <w:rsid w:val="117619C8"/>
    <w:rsid w:val="11783186"/>
    <w:rsid w:val="117D307F"/>
    <w:rsid w:val="117D732C"/>
    <w:rsid w:val="118111DD"/>
    <w:rsid w:val="1182423C"/>
    <w:rsid w:val="118A107E"/>
    <w:rsid w:val="119552CC"/>
    <w:rsid w:val="1198120E"/>
    <w:rsid w:val="119C0F9A"/>
    <w:rsid w:val="11A41E98"/>
    <w:rsid w:val="11BA0485"/>
    <w:rsid w:val="11BD0D49"/>
    <w:rsid w:val="11BF511D"/>
    <w:rsid w:val="11BF5276"/>
    <w:rsid w:val="11C049F1"/>
    <w:rsid w:val="11CA6E33"/>
    <w:rsid w:val="11CE1838"/>
    <w:rsid w:val="11D40C5F"/>
    <w:rsid w:val="11D63D13"/>
    <w:rsid w:val="11DA353D"/>
    <w:rsid w:val="11E146B7"/>
    <w:rsid w:val="11F14184"/>
    <w:rsid w:val="11F4144A"/>
    <w:rsid w:val="11F52B69"/>
    <w:rsid w:val="11F70DB3"/>
    <w:rsid w:val="12080A4B"/>
    <w:rsid w:val="120C3289"/>
    <w:rsid w:val="120D40A4"/>
    <w:rsid w:val="12102D67"/>
    <w:rsid w:val="12166D84"/>
    <w:rsid w:val="121901CD"/>
    <w:rsid w:val="121C60CC"/>
    <w:rsid w:val="121E0A31"/>
    <w:rsid w:val="122B2598"/>
    <w:rsid w:val="122B4561"/>
    <w:rsid w:val="122C6D9F"/>
    <w:rsid w:val="122D7B66"/>
    <w:rsid w:val="122E4E54"/>
    <w:rsid w:val="123553DF"/>
    <w:rsid w:val="123B1012"/>
    <w:rsid w:val="12423983"/>
    <w:rsid w:val="124409DA"/>
    <w:rsid w:val="124555DC"/>
    <w:rsid w:val="124565B8"/>
    <w:rsid w:val="124C1163"/>
    <w:rsid w:val="124E6B0D"/>
    <w:rsid w:val="124F47C0"/>
    <w:rsid w:val="124F61BD"/>
    <w:rsid w:val="12502D13"/>
    <w:rsid w:val="125844B9"/>
    <w:rsid w:val="125859E4"/>
    <w:rsid w:val="12615C50"/>
    <w:rsid w:val="126161D4"/>
    <w:rsid w:val="12657A57"/>
    <w:rsid w:val="126D0D10"/>
    <w:rsid w:val="126D4B79"/>
    <w:rsid w:val="126F1F1A"/>
    <w:rsid w:val="127203E1"/>
    <w:rsid w:val="1279233F"/>
    <w:rsid w:val="127D0F1A"/>
    <w:rsid w:val="127D26D5"/>
    <w:rsid w:val="127D7927"/>
    <w:rsid w:val="127E0B34"/>
    <w:rsid w:val="12812187"/>
    <w:rsid w:val="128401CD"/>
    <w:rsid w:val="128B3C8C"/>
    <w:rsid w:val="128E3663"/>
    <w:rsid w:val="12932F98"/>
    <w:rsid w:val="12A11FE8"/>
    <w:rsid w:val="12A27A04"/>
    <w:rsid w:val="12AA36D7"/>
    <w:rsid w:val="12B7161D"/>
    <w:rsid w:val="12B85523"/>
    <w:rsid w:val="12C624DB"/>
    <w:rsid w:val="12C82B5E"/>
    <w:rsid w:val="12C95CD3"/>
    <w:rsid w:val="12D43D72"/>
    <w:rsid w:val="12D47F8E"/>
    <w:rsid w:val="12D5237B"/>
    <w:rsid w:val="12D91708"/>
    <w:rsid w:val="12DA672A"/>
    <w:rsid w:val="12DF5603"/>
    <w:rsid w:val="12E17426"/>
    <w:rsid w:val="12E36D9D"/>
    <w:rsid w:val="12E61557"/>
    <w:rsid w:val="12E74A2C"/>
    <w:rsid w:val="12E777B7"/>
    <w:rsid w:val="12E80675"/>
    <w:rsid w:val="12F02EEC"/>
    <w:rsid w:val="12F060FB"/>
    <w:rsid w:val="12F82058"/>
    <w:rsid w:val="12FC6304"/>
    <w:rsid w:val="12FE3F7D"/>
    <w:rsid w:val="130A73D1"/>
    <w:rsid w:val="131206D1"/>
    <w:rsid w:val="13142DF6"/>
    <w:rsid w:val="13191D25"/>
    <w:rsid w:val="13202B48"/>
    <w:rsid w:val="13203CAB"/>
    <w:rsid w:val="13214E15"/>
    <w:rsid w:val="132210E1"/>
    <w:rsid w:val="132215DA"/>
    <w:rsid w:val="13247C51"/>
    <w:rsid w:val="132D0E84"/>
    <w:rsid w:val="13315BA7"/>
    <w:rsid w:val="1332167E"/>
    <w:rsid w:val="13336692"/>
    <w:rsid w:val="133F6E84"/>
    <w:rsid w:val="13405E12"/>
    <w:rsid w:val="13427CB8"/>
    <w:rsid w:val="13497394"/>
    <w:rsid w:val="134A0DF3"/>
    <w:rsid w:val="134F4E68"/>
    <w:rsid w:val="13532D28"/>
    <w:rsid w:val="13545D39"/>
    <w:rsid w:val="13580A0A"/>
    <w:rsid w:val="135C2719"/>
    <w:rsid w:val="13675896"/>
    <w:rsid w:val="136B5EEF"/>
    <w:rsid w:val="136C7635"/>
    <w:rsid w:val="13721B97"/>
    <w:rsid w:val="13733CA0"/>
    <w:rsid w:val="13741F3D"/>
    <w:rsid w:val="137B1D71"/>
    <w:rsid w:val="13832AB8"/>
    <w:rsid w:val="13840E20"/>
    <w:rsid w:val="13891793"/>
    <w:rsid w:val="138C76C2"/>
    <w:rsid w:val="138F58DC"/>
    <w:rsid w:val="13951726"/>
    <w:rsid w:val="139545CA"/>
    <w:rsid w:val="13986661"/>
    <w:rsid w:val="13991B0A"/>
    <w:rsid w:val="139935A5"/>
    <w:rsid w:val="13A943A8"/>
    <w:rsid w:val="13AD1260"/>
    <w:rsid w:val="13AF0046"/>
    <w:rsid w:val="13AF5403"/>
    <w:rsid w:val="13B2043E"/>
    <w:rsid w:val="13B44224"/>
    <w:rsid w:val="13B66123"/>
    <w:rsid w:val="13BA5B9C"/>
    <w:rsid w:val="13BD38DE"/>
    <w:rsid w:val="13CE0277"/>
    <w:rsid w:val="13D272EB"/>
    <w:rsid w:val="13DA6A25"/>
    <w:rsid w:val="13E2094E"/>
    <w:rsid w:val="13E21B4B"/>
    <w:rsid w:val="13E63442"/>
    <w:rsid w:val="13E7530A"/>
    <w:rsid w:val="13E94168"/>
    <w:rsid w:val="13EC0A9D"/>
    <w:rsid w:val="13EC3148"/>
    <w:rsid w:val="13ED1F8C"/>
    <w:rsid w:val="13F215EE"/>
    <w:rsid w:val="13F54E26"/>
    <w:rsid w:val="13F70703"/>
    <w:rsid w:val="13F71B66"/>
    <w:rsid w:val="13FF7457"/>
    <w:rsid w:val="14001A54"/>
    <w:rsid w:val="1402007A"/>
    <w:rsid w:val="14020802"/>
    <w:rsid w:val="140227A1"/>
    <w:rsid w:val="14032AD4"/>
    <w:rsid w:val="1405498D"/>
    <w:rsid w:val="140A55A3"/>
    <w:rsid w:val="14116C3D"/>
    <w:rsid w:val="141A4E45"/>
    <w:rsid w:val="14272037"/>
    <w:rsid w:val="14294AB9"/>
    <w:rsid w:val="14304648"/>
    <w:rsid w:val="1431128E"/>
    <w:rsid w:val="14315051"/>
    <w:rsid w:val="143215E3"/>
    <w:rsid w:val="1435404D"/>
    <w:rsid w:val="14361E5B"/>
    <w:rsid w:val="14377C5B"/>
    <w:rsid w:val="14396509"/>
    <w:rsid w:val="143C3C19"/>
    <w:rsid w:val="143C4F79"/>
    <w:rsid w:val="143E59ED"/>
    <w:rsid w:val="143F1CA1"/>
    <w:rsid w:val="14432FD3"/>
    <w:rsid w:val="14475D95"/>
    <w:rsid w:val="144C3194"/>
    <w:rsid w:val="144D1713"/>
    <w:rsid w:val="14557EC3"/>
    <w:rsid w:val="1464295C"/>
    <w:rsid w:val="14684ECE"/>
    <w:rsid w:val="14715AFB"/>
    <w:rsid w:val="147177C2"/>
    <w:rsid w:val="14722268"/>
    <w:rsid w:val="147A532B"/>
    <w:rsid w:val="147C7497"/>
    <w:rsid w:val="147D4ED2"/>
    <w:rsid w:val="147F3139"/>
    <w:rsid w:val="14861F22"/>
    <w:rsid w:val="14861FA5"/>
    <w:rsid w:val="149019C4"/>
    <w:rsid w:val="14903528"/>
    <w:rsid w:val="1491680C"/>
    <w:rsid w:val="1494640B"/>
    <w:rsid w:val="149C5065"/>
    <w:rsid w:val="149E215A"/>
    <w:rsid w:val="14A0596F"/>
    <w:rsid w:val="14A068F2"/>
    <w:rsid w:val="14A12D27"/>
    <w:rsid w:val="14A511BD"/>
    <w:rsid w:val="14A669F4"/>
    <w:rsid w:val="14AB0618"/>
    <w:rsid w:val="14AB3976"/>
    <w:rsid w:val="14AD765F"/>
    <w:rsid w:val="14AE5F03"/>
    <w:rsid w:val="14AF58C5"/>
    <w:rsid w:val="14B44351"/>
    <w:rsid w:val="14BD1885"/>
    <w:rsid w:val="14C42808"/>
    <w:rsid w:val="14C5142F"/>
    <w:rsid w:val="14C75267"/>
    <w:rsid w:val="14CA714C"/>
    <w:rsid w:val="14CB6BB1"/>
    <w:rsid w:val="14D02AB8"/>
    <w:rsid w:val="14D52BC7"/>
    <w:rsid w:val="14D534D7"/>
    <w:rsid w:val="14D57AE5"/>
    <w:rsid w:val="14DA42DD"/>
    <w:rsid w:val="14DD2C3C"/>
    <w:rsid w:val="14DE3B0C"/>
    <w:rsid w:val="14E304A3"/>
    <w:rsid w:val="14E41E7F"/>
    <w:rsid w:val="14E629C1"/>
    <w:rsid w:val="14E87695"/>
    <w:rsid w:val="14EA0703"/>
    <w:rsid w:val="14EA79AE"/>
    <w:rsid w:val="14EC131D"/>
    <w:rsid w:val="14EF5C3D"/>
    <w:rsid w:val="14F41582"/>
    <w:rsid w:val="14F712AE"/>
    <w:rsid w:val="14F77117"/>
    <w:rsid w:val="14F96024"/>
    <w:rsid w:val="14FF1D78"/>
    <w:rsid w:val="15017C48"/>
    <w:rsid w:val="1502517A"/>
    <w:rsid w:val="150B3A51"/>
    <w:rsid w:val="150C5F80"/>
    <w:rsid w:val="15107A3E"/>
    <w:rsid w:val="1512351B"/>
    <w:rsid w:val="151532F7"/>
    <w:rsid w:val="151A266A"/>
    <w:rsid w:val="152213A3"/>
    <w:rsid w:val="15245A44"/>
    <w:rsid w:val="1525798D"/>
    <w:rsid w:val="152C0890"/>
    <w:rsid w:val="152D239E"/>
    <w:rsid w:val="1530461D"/>
    <w:rsid w:val="153318CD"/>
    <w:rsid w:val="153749D5"/>
    <w:rsid w:val="15384AA4"/>
    <w:rsid w:val="153B5377"/>
    <w:rsid w:val="153C5EB5"/>
    <w:rsid w:val="153F3C55"/>
    <w:rsid w:val="1541581F"/>
    <w:rsid w:val="15464F5B"/>
    <w:rsid w:val="154A36E0"/>
    <w:rsid w:val="155674F5"/>
    <w:rsid w:val="15567E5A"/>
    <w:rsid w:val="155C2A70"/>
    <w:rsid w:val="15610CBE"/>
    <w:rsid w:val="156528BC"/>
    <w:rsid w:val="156726D2"/>
    <w:rsid w:val="1569153E"/>
    <w:rsid w:val="156D391B"/>
    <w:rsid w:val="1573668A"/>
    <w:rsid w:val="157619BB"/>
    <w:rsid w:val="157D52A1"/>
    <w:rsid w:val="158436C0"/>
    <w:rsid w:val="158A3C94"/>
    <w:rsid w:val="158D7C75"/>
    <w:rsid w:val="158E72E0"/>
    <w:rsid w:val="15930E63"/>
    <w:rsid w:val="15935335"/>
    <w:rsid w:val="159A77FE"/>
    <w:rsid w:val="15A6770E"/>
    <w:rsid w:val="15A87348"/>
    <w:rsid w:val="15AA68F1"/>
    <w:rsid w:val="15AB5588"/>
    <w:rsid w:val="15AC33CD"/>
    <w:rsid w:val="15B125B0"/>
    <w:rsid w:val="15B4237E"/>
    <w:rsid w:val="15B46FF5"/>
    <w:rsid w:val="15BB209F"/>
    <w:rsid w:val="15BE57A2"/>
    <w:rsid w:val="15BF2E27"/>
    <w:rsid w:val="15BF3A91"/>
    <w:rsid w:val="15CE0541"/>
    <w:rsid w:val="15CE2CA9"/>
    <w:rsid w:val="15CF0D65"/>
    <w:rsid w:val="15D00D93"/>
    <w:rsid w:val="15D13125"/>
    <w:rsid w:val="15D3006E"/>
    <w:rsid w:val="15D602D3"/>
    <w:rsid w:val="15D649A0"/>
    <w:rsid w:val="15D729C3"/>
    <w:rsid w:val="15DB58A2"/>
    <w:rsid w:val="15DC4AA3"/>
    <w:rsid w:val="15DD59AC"/>
    <w:rsid w:val="15DD7B3A"/>
    <w:rsid w:val="15E046F3"/>
    <w:rsid w:val="15E356B6"/>
    <w:rsid w:val="15E92769"/>
    <w:rsid w:val="15F35395"/>
    <w:rsid w:val="15F80BFE"/>
    <w:rsid w:val="15FE06C2"/>
    <w:rsid w:val="15FE539A"/>
    <w:rsid w:val="1600759D"/>
    <w:rsid w:val="1602131F"/>
    <w:rsid w:val="160306BA"/>
    <w:rsid w:val="16087BA0"/>
    <w:rsid w:val="16087E1D"/>
    <w:rsid w:val="16096502"/>
    <w:rsid w:val="16100C8E"/>
    <w:rsid w:val="161E3A28"/>
    <w:rsid w:val="161E4E7D"/>
    <w:rsid w:val="16311BD4"/>
    <w:rsid w:val="16314110"/>
    <w:rsid w:val="16395536"/>
    <w:rsid w:val="163B28C8"/>
    <w:rsid w:val="163B4383"/>
    <w:rsid w:val="163D4193"/>
    <w:rsid w:val="16416043"/>
    <w:rsid w:val="164300EF"/>
    <w:rsid w:val="164A0544"/>
    <w:rsid w:val="164E081E"/>
    <w:rsid w:val="16500876"/>
    <w:rsid w:val="16550A84"/>
    <w:rsid w:val="16567A48"/>
    <w:rsid w:val="16642424"/>
    <w:rsid w:val="16656D1C"/>
    <w:rsid w:val="166A16A8"/>
    <w:rsid w:val="166C6B31"/>
    <w:rsid w:val="167A4E0A"/>
    <w:rsid w:val="167E46B4"/>
    <w:rsid w:val="16812A7F"/>
    <w:rsid w:val="16841721"/>
    <w:rsid w:val="16852353"/>
    <w:rsid w:val="16862830"/>
    <w:rsid w:val="16893F4C"/>
    <w:rsid w:val="168B174A"/>
    <w:rsid w:val="168D0DE7"/>
    <w:rsid w:val="169052DA"/>
    <w:rsid w:val="169176E8"/>
    <w:rsid w:val="16936ABD"/>
    <w:rsid w:val="16942828"/>
    <w:rsid w:val="169978D2"/>
    <w:rsid w:val="169C5212"/>
    <w:rsid w:val="169E5397"/>
    <w:rsid w:val="169F29AC"/>
    <w:rsid w:val="16A91EF8"/>
    <w:rsid w:val="16A96548"/>
    <w:rsid w:val="16A96C01"/>
    <w:rsid w:val="16B35032"/>
    <w:rsid w:val="16B417A1"/>
    <w:rsid w:val="16B439F9"/>
    <w:rsid w:val="16B9263E"/>
    <w:rsid w:val="16BA6034"/>
    <w:rsid w:val="16BF2A85"/>
    <w:rsid w:val="16CC6A54"/>
    <w:rsid w:val="16D01291"/>
    <w:rsid w:val="16D158D1"/>
    <w:rsid w:val="16D275AA"/>
    <w:rsid w:val="16D659DE"/>
    <w:rsid w:val="16DD6734"/>
    <w:rsid w:val="16DE51C9"/>
    <w:rsid w:val="16E21E7E"/>
    <w:rsid w:val="16E7036B"/>
    <w:rsid w:val="16EB2510"/>
    <w:rsid w:val="16EB42BE"/>
    <w:rsid w:val="16EB51FE"/>
    <w:rsid w:val="16ED1907"/>
    <w:rsid w:val="16EE257D"/>
    <w:rsid w:val="16F120B2"/>
    <w:rsid w:val="16FD7B76"/>
    <w:rsid w:val="16FF12C9"/>
    <w:rsid w:val="17001914"/>
    <w:rsid w:val="17020A9A"/>
    <w:rsid w:val="17022D6D"/>
    <w:rsid w:val="17082D2D"/>
    <w:rsid w:val="170C7476"/>
    <w:rsid w:val="171023D0"/>
    <w:rsid w:val="171420E6"/>
    <w:rsid w:val="17160524"/>
    <w:rsid w:val="171D596D"/>
    <w:rsid w:val="171F434D"/>
    <w:rsid w:val="1723614E"/>
    <w:rsid w:val="17295EC8"/>
    <w:rsid w:val="172F3A8E"/>
    <w:rsid w:val="172F6A85"/>
    <w:rsid w:val="17323F30"/>
    <w:rsid w:val="17347898"/>
    <w:rsid w:val="17356104"/>
    <w:rsid w:val="17367C2F"/>
    <w:rsid w:val="173C7B24"/>
    <w:rsid w:val="17447D33"/>
    <w:rsid w:val="17453108"/>
    <w:rsid w:val="174C1902"/>
    <w:rsid w:val="1752385C"/>
    <w:rsid w:val="175A78F0"/>
    <w:rsid w:val="175E2CE2"/>
    <w:rsid w:val="1765476E"/>
    <w:rsid w:val="176B5457"/>
    <w:rsid w:val="17701D14"/>
    <w:rsid w:val="1773110D"/>
    <w:rsid w:val="17735226"/>
    <w:rsid w:val="177479C6"/>
    <w:rsid w:val="17793EB0"/>
    <w:rsid w:val="17796271"/>
    <w:rsid w:val="177E15A5"/>
    <w:rsid w:val="17813A97"/>
    <w:rsid w:val="17834DCE"/>
    <w:rsid w:val="1789535B"/>
    <w:rsid w:val="178A0D54"/>
    <w:rsid w:val="178A1A6B"/>
    <w:rsid w:val="1795017A"/>
    <w:rsid w:val="17990A5E"/>
    <w:rsid w:val="179E697F"/>
    <w:rsid w:val="17A070C0"/>
    <w:rsid w:val="17A70BC2"/>
    <w:rsid w:val="17AC6144"/>
    <w:rsid w:val="17B741F7"/>
    <w:rsid w:val="17B851C8"/>
    <w:rsid w:val="17BC2658"/>
    <w:rsid w:val="17BC6B12"/>
    <w:rsid w:val="17BD6B49"/>
    <w:rsid w:val="17BE79CC"/>
    <w:rsid w:val="17BF03DB"/>
    <w:rsid w:val="17C07534"/>
    <w:rsid w:val="17C36EDE"/>
    <w:rsid w:val="17C60EBB"/>
    <w:rsid w:val="17C61B70"/>
    <w:rsid w:val="17C94E8E"/>
    <w:rsid w:val="17D15F2D"/>
    <w:rsid w:val="17D24217"/>
    <w:rsid w:val="17D60F14"/>
    <w:rsid w:val="17D75FA6"/>
    <w:rsid w:val="17E3631F"/>
    <w:rsid w:val="17E93029"/>
    <w:rsid w:val="17EC6540"/>
    <w:rsid w:val="17F14BBE"/>
    <w:rsid w:val="17F80DE6"/>
    <w:rsid w:val="17FA4261"/>
    <w:rsid w:val="18023FB5"/>
    <w:rsid w:val="18043A95"/>
    <w:rsid w:val="180A3206"/>
    <w:rsid w:val="180A4C18"/>
    <w:rsid w:val="180F2F17"/>
    <w:rsid w:val="18133634"/>
    <w:rsid w:val="18197FA7"/>
    <w:rsid w:val="181A35AF"/>
    <w:rsid w:val="181B5077"/>
    <w:rsid w:val="181E2472"/>
    <w:rsid w:val="182124DA"/>
    <w:rsid w:val="18230784"/>
    <w:rsid w:val="18247B6A"/>
    <w:rsid w:val="18262303"/>
    <w:rsid w:val="18273037"/>
    <w:rsid w:val="18273A1C"/>
    <w:rsid w:val="18274028"/>
    <w:rsid w:val="18362FDA"/>
    <w:rsid w:val="183841D9"/>
    <w:rsid w:val="183A006F"/>
    <w:rsid w:val="183A540D"/>
    <w:rsid w:val="183C0818"/>
    <w:rsid w:val="183C669F"/>
    <w:rsid w:val="183F285D"/>
    <w:rsid w:val="18441ED8"/>
    <w:rsid w:val="184423D6"/>
    <w:rsid w:val="18452800"/>
    <w:rsid w:val="184A2EAB"/>
    <w:rsid w:val="184A33D3"/>
    <w:rsid w:val="18511197"/>
    <w:rsid w:val="18533EE6"/>
    <w:rsid w:val="1856568D"/>
    <w:rsid w:val="18581E27"/>
    <w:rsid w:val="185908D1"/>
    <w:rsid w:val="185C2F1C"/>
    <w:rsid w:val="185D5D46"/>
    <w:rsid w:val="18627AA0"/>
    <w:rsid w:val="18725411"/>
    <w:rsid w:val="1872691C"/>
    <w:rsid w:val="18760EF5"/>
    <w:rsid w:val="18784F53"/>
    <w:rsid w:val="18790D2D"/>
    <w:rsid w:val="187D27BA"/>
    <w:rsid w:val="187D6790"/>
    <w:rsid w:val="188322BC"/>
    <w:rsid w:val="18842C1C"/>
    <w:rsid w:val="188858AB"/>
    <w:rsid w:val="188C2EC8"/>
    <w:rsid w:val="188D354F"/>
    <w:rsid w:val="18911BD7"/>
    <w:rsid w:val="18995E33"/>
    <w:rsid w:val="189F624C"/>
    <w:rsid w:val="18A40D70"/>
    <w:rsid w:val="18A706B9"/>
    <w:rsid w:val="18A82220"/>
    <w:rsid w:val="18AA23BD"/>
    <w:rsid w:val="18B40155"/>
    <w:rsid w:val="18B66EC1"/>
    <w:rsid w:val="18BF32F5"/>
    <w:rsid w:val="18C049A8"/>
    <w:rsid w:val="18C13531"/>
    <w:rsid w:val="18C161E4"/>
    <w:rsid w:val="18C77649"/>
    <w:rsid w:val="18C77859"/>
    <w:rsid w:val="18CA332F"/>
    <w:rsid w:val="18CD5D69"/>
    <w:rsid w:val="18D26A16"/>
    <w:rsid w:val="18D42A00"/>
    <w:rsid w:val="18D574CE"/>
    <w:rsid w:val="18D917A2"/>
    <w:rsid w:val="18DD2EEB"/>
    <w:rsid w:val="18DE09AD"/>
    <w:rsid w:val="18E04D40"/>
    <w:rsid w:val="18E62F8B"/>
    <w:rsid w:val="18EC72E7"/>
    <w:rsid w:val="18EF7648"/>
    <w:rsid w:val="18F83B41"/>
    <w:rsid w:val="18FE5FA7"/>
    <w:rsid w:val="18FF23E1"/>
    <w:rsid w:val="190267DC"/>
    <w:rsid w:val="190425F8"/>
    <w:rsid w:val="19044FF6"/>
    <w:rsid w:val="19057770"/>
    <w:rsid w:val="190C139E"/>
    <w:rsid w:val="19172EE7"/>
    <w:rsid w:val="191A7C8B"/>
    <w:rsid w:val="19201776"/>
    <w:rsid w:val="19207F3B"/>
    <w:rsid w:val="192A2B4B"/>
    <w:rsid w:val="192B05E0"/>
    <w:rsid w:val="19383E78"/>
    <w:rsid w:val="19481476"/>
    <w:rsid w:val="194B621B"/>
    <w:rsid w:val="194D3CE3"/>
    <w:rsid w:val="194E5311"/>
    <w:rsid w:val="194F2A63"/>
    <w:rsid w:val="194F4FD8"/>
    <w:rsid w:val="1950412C"/>
    <w:rsid w:val="19512710"/>
    <w:rsid w:val="19533D19"/>
    <w:rsid w:val="195557C9"/>
    <w:rsid w:val="19566B71"/>
    <w:rsid w:val="195E6BA4"/>
    <w:rsid w:val="196A0002"/>
    <w:rsid w:val="196D5EEB"/>
    <w:rsid w:val="196D775C"/>
    <w:rsid w:val="19776302"/>
    <w:rsid w:val="19803705"/>
    <w:rsid w:val="19821146"/>
    <w:rsid w:val="198A5FFF"/>
    <w:rsid w:val="198B7773"/>
    <w:rsid w:val="198C75B8"/>
    <w:rsid w:val="19903742"/>
    <w:rsid w:val="1991777E"/>
    <w:rsid w:val="19936AC7"/>
    <w:rsid w:val="199A2A23"/>
    <w:rsid w:val="199A6F07"/>
    <w:rsid w:val="199C39A6"/>
    <w:rsid w:val="19A362F1"/>
    <w:rsid w:val="19A418C5"/>
    <w:rsid w:val="19A62F57"/>
    <w:rsid w:val="19A83533"/>
    <w:rsid w:val="19B07FD4"/>
    <w:rsid w:val="19B151CC"/>
    <w:rsid w:val="19B541E1"/>
    <w:rsid w:val="19B70033"/>
    <w:rsid w:val="19BB112C"/>
    <w:rsid w:val="19BC51AF"/>
    <w:rsid w:val="19BE070A"/>
    <w:rsid w:val="19D67CE4"/>
    <w:rsid w:val="19D92AF4"/>
    <w:rsid w:val="19DB6B8D"/>
    <w:rsid w:val="19E34917"/>
    <w:rsid w:val="19E4403B"/>
    <w:rsid w:val="19E82B87"/>
    <w:rsid w:val="19ED443E"/>
    <w:rsid w:val="19EE083D"/>
    <w:rsid w:val="19F10711"/>
    <w:rsid w:val="19FB6F0E"/>
    <w:rsid w:val="1A0059B3"/>
    <w:rsid w:val="1A031316"/>
    <w:rsid w:val="1A074B97"/>
    <w:rsid w:val="1A0D171C"/>
    <w:rsid w:val="1A151A34"/>
    <w:rsid w:val="1A172F8D"/>
    <w:rsid w:val="1A1B2E90"/>
    <w:rsid w:val="1A1C66C0"/>
    <w:rsid w:val="1A237D4D"/>
    <w:rsid w:val="1A28200C"/>
    <w:rsid w:val="1A2900F7"/>
    <w:rsid w:val="1A2B30C8"/>
    <w:rsid w:val="1A2C3A27"/>
    <w:rsid w:val="1A2F7220"/>
    <w:rsid w:val="1A35179A"/>
    <w:rsid w:val="1A352ACA"/>
    <w:rsid w:val="1A364C38"/>
    <w:rsid w:val="1A3715C9"/>
    <w:rsid w:val="1A3F240B"/>
    <w:rsid w:val="1A42393B"/>
    <w:rsid w:val="1A4630ED"/>
    <w:rsid w:val="1A4726CB"/>
    <w:rsid w:val="1A4C6A3E"/>
    <w:rsid w:val="1A4F2834"/>
    <w:rsid w:val="1A5328A8"/>
    <w:rsid w:val="1A58670F"/>
    <w:rsid w:val="1A5A3B88"/>
    <w:rsid w:val="1A633DE4"/>
    <w:rsid w:val="1A646862"/>
    <w:rsid w:val="1A653C72"/>
    <w:rsid w:val="1A6C1E22"/>
    <w:rsid w:val="1A6C6CE9"/>
    <w:rsid w:val="1A6D0F2F"/>
    <w:rsid w:val="1A736FE8"/>
    <w:rsid w:val="1A77708F"/>
    <w:rsid w:val="1A786430"/>
    <w:rsid w:val="1A811BD3"/>
    <w:rsid w:val="1A8926C6"/>
    <w:rsid w:val="1A8A640F"/>
    <w:rsid w:val="1A8D59CC"/>
    <w:rsid w:val="1A925F7D"/>
    <w:rsid w:val="1A9809D6"/>
    <w:rsid w:val="1A99730D"/>
    <w:rsid w:val="1A9A2D49"/>
    <w:rsid w:val="1A9E0255"/>
    <w:rsid w:val="1A9E4854"/>
    <w:rsid w:val="1AA16761"/>
    <w:rsid w:val="1AA16FED"/>
    <w:rsid w:val="1AA2195D"/>
    <w:rsid w:val="1AAD45DE"/>
    <w:rsid w:val="1AAD64DA"/>
    <w:rsid w:val="1AAE4425"/>
    <w:rsid w:val="1AB258D3"/>
    <w:rsid w:val="1AB64BE3"/>
    <w:rsid w:val="1AB74AA0"/>
    <w:rsid w:val="1AB90674"/>
    <w:rsid w:val="1AB97C7E"/>
    <w:rsid w:val="1ABC2947"/>
    <w:rsid w:val="1AC0454D"/>
    <w:rsid w:val="1AC15A62"/>
    <w:rsid w:val="1AC35C7E"/>
    <w:rsid w:val="1AC90401"/>
    <w:rsid w:val="1ACA54C4"/>
    <w:rsid w:val="1ACA6DE4"/>
    <w:rsid w:val="1ACA7FC5"/>
    <w:rsid w:val="1AD179A7"/>
    <w:rsid w:val="1AD57732"/>
    <w:rsid w:val="1ADE4866"/>
    <w:rsid w:val="1AE54329"/>
    <w:rsid w:val="1AEB0ADA"/>
    <w:rsid w:val="1AF916A0"/>
    <w:rsid w:val="1AFE6DA3"/>
    <w:rsid w:val="1B046F80"/>
    <w:rsid w:val="1B075926"/>
    <w:rsid w:val="1B0C019F"/>
    <w:rsid w:val="1B135C20"/>
    <w:rsid w:val="1B1902AE"/>
    <w:rsid w:val="1B19624E"/>
    <w:rsid w:val="1B2674C4"/>
    <w:rsid w:val="1B267FBB"/>
    <w:rsid w:val="1B2A36E1"/>
    <w:rsid w:val="1B2C029F"/>
    <w:rsid w:val="1B2C1CC5"/>
    <w:rsid w:val="1B321011"/>
    <w:rsid w:val="1B3267B5"/>
    <w:rsid w:val="1B345BF9"/>
    <w:rsid w:val="1B3E5D6B"/>
    <w:rsid w:val="1B3F06C4"/>
    <w:rsid w:val="1B3F2DA8"/>
    <w:rsid w:val="1B40161D"/>
    <w:rsid w:val="1B441859"/>
    <w:rsid w:val="1B4810BF"/>
    <w:rsid w:val="1B4A4EB4"/>
    <w:rsid w:val="1B4D6C7B"/>
    <w:rsid w:val="1B4F4856"/>
    <w:rsid w:val="1B514CA0"/>
    <w:rsid w:val="1B5B12DF"/>
    <w:rsid w:val="1B603A40"/>
    <w:rsid w:val="1B612DA1"/>
    <w:rsid w:val="1B635F73"/>
    <w:rsid w:val="1B6606B1"/>
    <w:rsid w:val="1B663717"/>
    <w:rsid w:val="1B69085E"/>
    <w:rsid w:val="1B694FF8"/>
    <w:rsid w:val="1B773972"/>
    <w:rsid w:val="1B78378D"/>
    <w:rsid w:val="1B7D1DFE"/>
    <w:rsid w:val="1B7F0F1D"/>
    <w:rsid w:val="1B8A424D"/>
    <w:rsid w:val="1B8B1B80"/>
    <w:rsid w:val="1B8C27A9"/>
    <w:rsid w:val="1B8D492C"/>
    <w:rsid w:val="1B93155C"/>
    <w:rsid w:val="1B9647CC"/>
    <w:rsid w:val="1BA11AF1"/>
    <w:rsid w:val="1BA14D49"/>
    <w:rsid w:val="1BA31784"/>
    <w:rsid w:val="1BA766F0"/>
    <w:rsid w:val="1BB20366"/>
    <w:rsid w:val="1BBF7B63"/>
    <w:rsid w:val="1BC20B21"/>
    <w:rsid w:val="1BC40349"/>
    <w:rsid w:val="1BC7416A"/>
    <w:rsid w:val="1BD67071"/>
    <w:rsid w:val="1BD85C0A"/>
    <w:rsid w:val="1BE35D9C"/>
    <w:rsid w:val="1BEF008B"/>
    <w:rsid w:val="1BF22C8B"/>
    <w:rsid w:val="1BF94BA0"/>
    <w:rsid w:val="1BFA7993"/>
    <w:rsid w:val="1BFC7B33"/>
    <w:rsid w:val="1C066BA1"/>
    <w:rsid w:val="1C0675A8"/>
    <w:rsid w:val="1C0717E3"/>
    <w:rsid w:val="1C071F33"/>
    <w:rsid w:val="1C086F3E"/>
    <w:rsid w:val="1C0938B6"/>
    <w:rsid w:val="1C096407"/>
    <w:rsid w:val="1C0F5C17"/>
    <w:rsid w:val="1C1925B7"/>
    <w:rsid w:val="1C1A4D5B"/>
    <w:rsid w:val="1C1D675D"/>
    <w:rsid w:val="1C1F6133"/>
    <w:rsid w:val="1C202884"/>
    <w:rsid w:val="1C222BE9"/>
    <w:rsid w:val="1C234F0C"/>
    <w:rsid w:val="1C243CA1"/>
    <w:rsid w:val="1C27223D"/>
    <w:rsid w:val="1C3066A2"/>
    <w:rsid w:val="1C31611F"/>
    <w:rsid w:val="1C32726F"/>
    <w:rsid w:val="1C36474E"/>
    <w:rsid w:val="1C395D51"/>
    <w:rsid w:val="1C4927E8"/>
    <w:rsid w:val="1C4966C4"/>
    <w:rsid w:val="1C584479"/>
    <w:rsid w:val="1C5E7925"/>
    <w:rsid w:val="1C67332C"/>
    <w:rsid w:val="1C69600E"/>
    <w:rsid w:val="1C6B25D8"/>
    <w:rsid w:val="1C8241C0"/>
    <w:rsid w:val="1C83375A"/>
    <w:rsid w:val="1C94675C"/>
    <w:rsid w:val="1C957084"/>
    <w:rsid w:val="1C962F73"/>
    <w:rsid w:val="1C9D1E4F"/>
    <w:rsid w:val="1C9E6D22"/>
    <w:rsid w:val="1CA42524"/>
    <w:rsid w:val="1CA42D0A"/>
    <w:rsid w:val="1CAC730E"/>
    <w:rsid w:val="1CAD4F1B"/>
    <w:rsid w:val="1CB322FD"/>
    <w:rsid w:val="1CB62005"/>
    <w:rsid w:val="1CBE5E0D"/>
    <w:rsid w:val="1CBF28B8"/>
    <w:rsid w:val="1CBF5FD1"/>
    <w:rsid w:val="1CC47A8B"/>
    <w:rsid w:val="1CC9519D"/>
    <w:rsid w:val="1CD725EB"/>
    <w:rsid w:val="1CD84120"/>
    <w:rsid w:val="1CDA0D23"/>
    <w:rsid w:val="1CDE3C00"/>
    <w:rsid w:val="1CE642BA"/>
    <w:rsid w:val="1CE7138E"/>
    <w:rsid w:val="1CE76704"/>
    <w:rsid w:val="1CE8070F"/>
    <w:rsid w:val="1CEE7CD4"/>
    <w:rsid w:val="1CF61543"/>
    <w:rsid w:val="1CFD070F"/>
    <w:rsid w:val="1CFF4EE7"/>
    <w:rsid w:val="1D075C04"/>
    <w:rsid w:val="1D0D61AB"/>
    <w:rsid w:val="1D0F2397"/>
    <w:rsid w:val="1D0F5653"/>
    <w:rsid w:val="1D0F6C10"/>
    <w:rsid w:val="1D1C00CF"/>
    <w:rsid w:val="1D2133FC"/>
    <w:rsid w:val="1D2216AC"/>
    <w:rsid w:val="1D256C6A"/>
    <w:rsid w:val="1D2615D4"/>
    <w:rsid w:val="1D2648E1"/>
    <w:rsid w:val="1D2C73C3"/>
    <w:rsid w:val="1D350001"/>
    <w:rsid w:val="1D353071"/>
    <w:rsid w:val="1D383C07"/>
    <w:rsid w:val="1D462CD4"/>
    <w:rsid w:val="1D4A193C"/>
    <w:rsid w:val="1D4F72F1"/>
    <w:rsid w:val="1D512BD4"/>
    <w:rsid w:val="1D51580B"/>
    <w:rsid w:val="1D530E35"/>
    <w:rsid w:val="1D55012C"/>
    <w:rsid w:val="1D560AEC"/>
    <w:rsid w:val="1D58409E"/>
    <w:rsid w:val="1D591C40"/>
    <w:rsid w:val="1D5F6196"/>
    <w:rsid w:val="1D6132A5"/>
    <w:rsid w:val="1D7248EE"/>
    <w:rsid w:val="1D75592D"/>
    <w:rsid w:val="1D762A63"/>
    <w:rsid w:val="1D81006A"/>
    <w:rsid w:val="1D81799D"/>
    <w:rsid w:val="1D82075A"/>
    <w:rsid w:val="1D8A6528"/>
    <w:rsid w:val="1D8D76FC"/>
    <w:rsid w:val="1D8E28F1"/>
    <w:rsid w:val="1D8E56D5"/>
    <w:rsid w:val="1D9027CF"/>
    <w:rsid w:val="1D953AAD"/>
    <w:rsid w:val="1DA97EDE"/>
    <w:rsid w:val="1DB51403"/>
    <w:rsid w:val="1DB527FD"/>
    <w:rsid w:val="1DB61D3F"/>
    <w:rsid w:val="1DB82A4B"/>
    <w:rsid w:val="1DB83A1E"/>
    <w:rsid w:val="1DCA313B"/>
    <w:rsid w:val="1DCD1E59"/>
    <w:rsid w:val="1DCF0496"/>
    <w:rsid w:val="1DD81C73"/>
    <w:rsid w:val="1DD874B5"/>
    <w:rsid w:val="1DD904A7"/>
    <w:rsid w:val="1DDA3B9E"/>
    <w:rsid w:val="1DDA755F"/>
    <w:rsid w:val="1DDC3B45"/>
    <w:rsid w:val="1DDD721A"/>
    <w:rsid w:val="1DDF06C3"/>
    <w:rsid w:val="1DE058CB"/>
    <w:rsid w:val="1DF223D6"/>
    <w:rsid w:val="1DF436FF"/>
    <w:rsid w:val="1DF468C2"/>
    <w:rsid w:val="1DF5285A"/>
    <w:rsid w:val="1DF659CF"/>
    <w:rsid w:val="1DFB5701"/>
    <w:rsid w:val="1E0C090B"/>
    <w:rsid w:val="1E132418"/>
    <w:rsid w:val="1E14234D"/>
    <w:rsid w:val="1E180702"/>
    <w:rsid w:val="1E193E07"/>
    <w:rsid w:val="1E1C7B99"/>
    <w:rsid w:val="1E200CF1"/>
    <w:rsid w:val="1E2307E2"/>
    <w:rsid w:val="1E28404A"/>
    <w:rsid w:val="1E2E2867"/>
    <w:rsid w:val="1E306699"/>
    <w:rsid w:val="1E312EFF"/>
    <w:rsid w:val="1E320855"/>
    <w:rsid w:val="1E347AAB"/>
    <w:rsid w:val="1E401F8D"/>
    <w:rsid w:val="1E4231EB"/>
    <w:rsid w:val="1E4303E5"/>
    <w:rsid w:val="1E4610B9"/>
    <w:rsid w:val="1E4D55D4"/>
    <w:rsid w:val="1E4E05F9"/>
    <w:rsid w:val="1E4E58FB"/>
    <w:rsid w:val="1E5601F1"/>
    <w:rsid w:val="1E5A7BCE"/>
    <w:rsid w:val="1E5E6461"/>
    <w:rsid w:val="1E604232"/>
    <w:rsid w:val="1E620E6B"/>
    <w:rsid w:val="1E623E6C"/>
    <w:rsid w:val="1E6469C6"/>
    <w:rsid w:val="1E673DEC"/>
    <w:rsid w:val="1E744964"/>
    <w:rsid w:val="1E777FA2"/>
    <w:rsid w:val="1E7828DC"/>
    <w:rsid w:val="1E7842D5"/>
    <w:rsid w:val="1E7A43DA"/>
    <w:rsid w:val="1E7A7219"/>
    <w:rsid w:val="1E7C6661"/>
    <w:rsid w:val="1E84782E"/>
    <w:rsid w:val="1E876D88"/>
    <w:rsid w:val="1E876DED"/>
    <w:rsid w:val="1E887FF1"/>
    <w:rsid w:val="1E8B5318"/>
    <w:rsid w:val="1E8C3D99"/>
    <w:rsid w:val="1E902B9E"/>
    <w:rsid w:val="1E937715"/>
    <w:rsid w:val="1E967206"/>
    <w:rsid w:val="1E981841"/>
    <w:rsid w:val="1E99529E"/>
    <w:rsid w:val="1EA1642A"/>
    <w:rsid w:val="1EA17634"/>
    <w:rsid w:val="1EAD6978"/>
    <w:rsid w:val="1EAF02C7"/>
    <w:rsid w:val="1EB27127"/>
    <w:rsid w:val="1EB33BF0"/>
    <w:rsid w:val="1EB702BD"/>
    <w:rsid w:val="1EB9110A"/>
    <w:rsid w:val="1EBA0879"/>
    <w:rsid w:val="1EBF379B"/>
    <w:rsid w:val="1EC165B1"/>
    <w:rsid w:val="1EC22A2B"/>
    <w:rsid w:val="1EC3020C"/>
    <w:rsid w:val="1ECE2E43"/>
    <w:rsid w:val="1ED23724"/>
    <w:rsid w:val="1EDF160B"/>
    <w:rsid w:val="1EE23B0F"/>
    <w:rsid w:val="1EE7180F"/>
    <w:rsid w:val="1EEA5598"/>
    <w:rsid w:val="1EEC17D9"/>
    <w:rsid w:val="1EF2641B"/>
    <w:rsid w:val="1EFA7C03"/>
    <w:rsid w:val="1EFC06A2"/>
    <w:rsid w:val="1F00206A"/>
    <w:rsid w:val="1F0D51FC"/>
    <w:rsid w:val="1F0F6954"/>
    <w:rsid w:val="1F126BB8"/>
    <w:rsid w:val="1F1506CD"/>
    <w:rsid w:val="1F184E12"/>
    <w:rsid w:val="1F1956CD"/>
    <w:rsid w:val="1F1D771A"/>
    <w:rsid w:val="1F1E49DF"/>
    <w:rsid w:val="1F1F30D8"/>
    <w:rsid w:val="1F262EC1"/>
    <w:rsid w:val="1F30765A"/>
    <w:rsid w:val="1F315AFB"/>
    <w:rsid w:val="1F370744"/>
    <w:rsid w:val="1F38281A"/>
    <w:rsid w:val="1F3E249A"/>
    <w:rsid w:val="1F426485"/>
    <w:rsid w:val="1F4C5D5B"/>
    <w:rsid w:val="1F505F2B"/>
    <w:rsid w:val="1F512F3E"/>
    <w:rsid w:val="1F517EE2"/>
    <w:rsid w:val="1F5229C7"/>
    <w:rsid w:val="1F5313C8"/>
    <w:rsid w:val="1F540FAB"/>
    <w:rsid w:val="1F556F35"/>
    <w:rsid w:val="1F565453"/>
    <w:rsid w:val="1F594980"/>
    <w:rsid w:val="1F611302"/>
    <w:rsid w:val="1F615A66"/>
    <w:rsid w:val="1F640009"/>
    <w:rsid w:val="1F645246"/>
    <w:rsid w:val="1F687D25"/>
    <w:rsid w:val="1F727B04"/>
    <w:rsid w:val="1F7304BB"/>
    <w:rsid w:val="1F746319"/>
    <w:rsid w:val="1F770BB3"/>
    <w:rsid w:val="1F7E769F"/>
    <w:rsid w:val="1F836C4F"/>
    <w:rsid w:val="1F8516B1"/>
    <w:rsid w:val="1F92029B"/>
    <w:rsid w:val="1F923675"/>
    <w:rsid w:val="1F933C9F"/>
    <w:rsid w:val="1F934FC5"/>
    <w:rsid w:val="1F974FE3"/>
    <w:rsid w:val="1F9B6022"/>
    <w:rsid w:val="1F9B73DE"/>
    <w:rsid w:val="1FA16DC4"/>
    <w:rsid w:val="1FA21C0B"/>
    <w:rsid w:val="1FA3619D"/>
    <w:rsid w:val="1FA4710F"/>
    <w:rsid w:val="1FAA5BF7"/>
    <w:rsid w:val="1FB01CA2"/>
    <w:rsid w:val="1FB060A5"/>
    <w:rsid w:val="1FB430C5"/>
    <w:rsid w:val="1FBE10DD"/>
    <w:rsid w:val="1FC20002"/>
    <w:rsid w:val="1FC31BCB"/>
    <w:rsid w:val="1FC41C68"/>
    <w:rsid w:val="1FC7678D"/>
    <w:rsid w:val="1FC8006E"/>
    <w:rsid w:val="1FC85AE5"/>
    <w:rsid w:val="1FCD6FEB"/>
    <w:rsid w:val="1FD23EF8"/>
    <w:rsid w:val="1FD3395F"/>
    <w:rsid w:val="1FD857B4"/>
    <w:rsid w:val="1FE41AD3"/>
    <w:rsid w:val="1FE475C8"/>
    <w:rsid w:val="1FE7539E"/>
    <w:rsid w:val="1FED54C3"/>
    <w:rsid w:val="1FEE231A"/>
    <w:rsid w:val="1FF42C6C"/>
    <w:rsid w:val="1FF65298"/>
    <w:rsid w:val="1FF71E45"/>
    <w:rsid w:val="1FF921C6"/>
    <w:rsid w:val="1FFC753C"/>
    <w:rsid w:val="2006606C"/>
    <w:rsid w:val="20095A7E"/>
    <w:rsid w:val="20105700"/>
    <w:rsid w:val="2011123A"/>
    <w:rsid w:val="20151FCA"/>
    <w:rsid w:val="20173BDA"/>
    <w:rsid w:val="2018626D"/>
    <w:rsid w:val="201D3A1F"/>
    <w:rsid w:val="201D5069"/>
    <w:rsid w:val="201D51C8"/>
    <w:rsid w:val="20273F2C"/>
    <w:rsid w:val="202F386A"/>
    <w:rsid w:val="202F509A"/>
    <w:rsid w:val="203C36E7"/>
    <w:rsid w:val="203F18D5"/>
    <w:rsid w:val="20430829"/>
    <w:rsid w:val="20436B98"/>
    <w:rsid w:val="20495299"/>
    <w:rsid w:val="204F3B10"/>
    <w:rsid w:val="20504307"/>
    <w:rsid w:val="205328EB"/>
    <w:rsid w:val="20546113"/>
    <w:rsid w:val="205965C5"/>
    <w:rsid w:val="205A0FCC"/>
    <w:rsid w:val="205B28AF"/>
    <w:rsid w:val="205C23E1"/>
    <w:rsid w:val="205F39FD"/>
    <w:rsid w:val="2063748E"/>
    <w:rsid w:val="206404C2"/>
    <w:rsid w:val="20670E5A"/>
    <w:rsid w:val="20671BE0"/>
    <w:rsid w:val="206F601C"/>
    <w:rsid w:val="20723EEA"/>
    <w:rsid w:val="207338E2"/>
    <w:rsid w:val="207921DC"/>
    <w:rsid w:val="208069F6"/>
    <w:rsid w:val="208337BA"/>
    <w:rsid w:val="20872E0B"/>
    <w:rsid w:val="208D1903"/>
    <w:rsid w:val="208E574D"/>
    <w:rsid w:val="208F3F28"/>
    <w:rsid w:val="208F6112"/>
    <w:rsid w:val="20901472"/>
    <w:rsid w:val="209476CA"/>
    <w:rsid w:val="20963CB8"/>
    <w:rsid w:val="20981570"/>
    <w:rsid w:val="209A1A43"/>
    <w:rsid w:val="20A06587"/>
    <w:rsid w:val="20A35C0A"/>
    <w:rsid w:val="20A81A1B"/>
    <w:rsid w:val="20AC35B3"/>
    <w:rsid w:val="20B074C5"/>
    <w:rsid w:val="20B07FB6"/>
    <w:rsid w:val="20B646FB"/>
    <w:rsid w:val="20B65088"/>
    <w:rsid w:val="20B73D25"/>
    <w:rsid w:val="20BB11A5"/>
    <w:rsid w:val="20C14985"/>
    <w:rsid w:val="20C252A4"/>
    <w:rsid w:val="20C469E1"/>
    <w:rsid w:val="20C53B06"/>
    <w:rsid w:val="20C653E0"/>
    <w:rsid w:val="20C91B14"/>
    <w:rsid w:val="20CB4FB8"/>
    <w:rsid w:val="20D54DDD"/>
    <w:rsid w:val="20DB67D7"/>
    <w:rsid w:val="20DE0238"/>
    <w:rsid w:val="20E60901"/>
    <w:rsid w:val="20E81144"/>
    <w:rsid w:val="20E93F65"/>
    <w:rsid w:val="20F43741"/>
    <w:rsid w:val="20F52909"/>
    <w:rsid w:val="20F74C80"/>
    <w:rsid w:val="20F81BE7"/>
    <w:rsid w:val="20FB0398"/>
    <w:rsid w:val="20FF15DE"/>
    <w:rsid w:val="21046BBB"/>
    <w:rsid w:val="210508B5"/>
    <w:rsid w:val="2108123D"/>
    <w:rsid w:val="21086688"/>
    <w:rsid w:val="2112175D"/>
    <w:rsid w:val="21171278"/>
    <w:rsid w:val="211912FC"/>
    <w:rsid w:val="21201474"/>
    <w:rsid w:val="212066F6"/>
    <w:rsid w:val="212479B4"/>
    <w:rsid w:val="2125044D"/>
    <w:rsid w:val="212F7F40"/>
    <w:rsid w:val="21301C27"/>
    <w:rsid w:val="213B74B1"/>
    <w:rsid w:val="213E101C"/>
    <w:rsid w:val="21474DD9"/>
    <w:rsid w:val="214B4B84"/>
    <w:rsid w:val="214F086A"/>
    <w:rsid w:val="214F493C"/>
    <w:rsid w:val="21552241"/>
    <w:rsid w:val="215606D2"/>
    <w:rsid w:val="21577338"/>
    <w:rsid w:val="215809CA"/>
    <w:rsid w:val="215A1913"/>
    <w:rsid w:val="215A2310"/>
    <w:rsid w:val="215A651E"/>
    <w:rsid w:val="21602984"/>
    <w:rsid w:val="21782FA4"/>
    <w:rsid w:val="2179460B"/>
    <w:rsid w:val="21796ABE"/>
    <w:rsid w:val="217B3979"/>
    <w:rsid w:val="217C0935"/>
    <w:rsid w:val="217E3BCA"/>
    <w:rsid w:val="217F6677"/>
    <w:rsid w:val="21835344"/>
    <w:rsid w:val="21837D9E"/>
    <w:rsid w:val="21857483"/>
    <w:rsid w:val="21875B03"/>
    <w:rsid w:val="218765D5"/>
    <w:rsid w:val="218D075D"/>
    <w:rsid w:val="218F536D"/>
    <w:rsid w:val="219114FD"/>
    <w:rsid w:val="219263AA"/>
    <w:rsid w:val="21985824"/>
    <w:rsid w:val="219A2003"/>
    <w:rsid w:val="219E7A25"/>
    <w:rsid w:val="219F24E4"/>
    <w:rsid w:val="21A6429E"/>
    <w:rsid w:val="21A86A4B"/>
    <w:rsid w:val="21AB7649"/>
    <w:rsid w:val="21AF5D2D"/>
    <w:rsid w:val="21B6622A"/>
    <w:rsid w:val="21BA5437"/>
    <w:rsid w:val="21BC231E"/>
    <w:rsid w:val="21C31F27"/>
    <w:rsid w:val="21C61612"/>
    <w:rsid w:val="21CC4CA2"/>
    <w:rsid w:val="21CF4F08"/>
    <w:rsid w:val="21D145FC"/>
    <w:rsid w:val="21D454B2"/>
    <w:rsid w:val="21D5511C"/>
    <w:rsid w:val="21D80D68"/>
    <w:rsid w:val="21DD6EFA"/>
    <w:rsid w:val="21DE318A"/>
    <w:rsid w:val="21E207C7"/>
    <w:rsid w:val="21E21C0F"/>
    <w:rsid w:val="21E27B4B"/>
    <w:rsid w:val="21E44CA1"/>
    <w:rsid w:val="21E909CF"/>
    <w:rsid w:val="21E9376B"/>
    <w:rsid w:val="21EE2E8B"/>
    <w:rsid w:val="21EF5B80"/>
    <w:rsid w:val="21F63541"/>
    <w:rsid w:val="21FA5848"/>
    <w:rsid w:val="21FC31FD"/>
    <w:rsid w:val="21FE0DC5"/>
    <w:rsid w:val="21FE669E"/>
    <w:rsid w:val="220B2344"/>
    <w:rsid w:val="22101984"/>
    <w:rsid w:val="2210304F"/>
    <w:rsid w:val="22154DF4"/>
    <w:rsid w:val="22177988"/>
    <w:rsid w:val="221B5197"/>
    <w:rsid w:val="221E379A"/>
    <w:rsid w:val="221F599E"/>
    <w:rsid w:val="22212EEC"/>
    <w:rsid w:val="2223026B"/>
    <w:rsid w:val="22243CC0"/>
    <w:rsid w:val="222538A9"/>
    <w:rsid w:val="222849D1"/>
    <w:rsid w:val="222F0998"/>
    <w:rsid w:val="222F59A7"/>
    <w:rsid w:val="222F6963"/>
    <w:rsid w:val="223239CF"/>
    <w:rsid w:val="22384A9C"/>
    <w:rsid w:val="223C6F88"/>
    <w:rsid w:val="224156DA"/>
    <w:rsid w:val="224444B4"/>
    <w:rsid w:val="22476150"/>
    <w:rsid w:val="224B1323"/>
    <w:rsid w:val="22512A44"/>
    <w:rsid w:val="22516834"/>
    <w:rsid w:val="22576990"/>
    <w:rsid w:val="225A40B2"/>
    <w:rsid w:val="226C7E8C"/>
    <w:rsid w:val="226D350B"/>
    <w:rsid w:val="226F0AEC"/>
    <w:rsid w:val="226F10B2"/>
    <w:rsid w:val="22737F8A"/>
    <w:rsid w:val="227527C6"/>
    <w:rsid w:val="22771D5C"/>
    <w:rsid w:val="227A0B69"/>
    <w:rsid w:val="227E2521"/>
    <w:rsid w:val="227F3B95"/>
    <w:rsid w:val="228108AD"/>
    <w:rsid w:val="22824AEB"/>
    <w:rsid w:val="228550A0"/>
    <w:rsid w:val="228654DA"/>
    <w:rsid w:val="22896E34"/>
    <w:rsid w:val="22902F86"/>
    <w:rsid w:val="22934188"/>
    <w:rsid w:val="22952210"/>
    <w:rsid w:val="229D32AC"/>
    <w:rsid w:val="229D44F6"/>
    <w:rsid w:val="22A16705"/>
    <w:rsid w:val="22A92B11"/>
    <w:rsid w:val="22B00B6E"/>
    <w:rsid w:val="22B74169"/>
    <w:rsid w:val="22BB79EC"/>
    <w:rsid w:val="22BD5DDA"/>
    <w:rsid w:val="22C1048C"/>
    <w:rsid w:val="22C72CB5"/>
    <w:rsid w:val="22CB0BD9"/>
    <w:rsid w:val="22CF3CA1"/>
    <w:rsid w:val="22DC0EB2"/>
    <w:rsid w:val="22DC2B7B"/>
    <w:rsid w:val="22E03276"/>
    <w:rsid w:val="22E2764F"/>
    <w:rsid w:val="22E52450"/>
    <w:rsid w:val="22E90356"/>
    <w:rsid w:val="22E946D9"/>
    <w:rsid w:val="22EE7610"/>
    <w:rsid w:val="22EF24F8"/>
    <w:rsid w:val="22F42A06"/>
    <w:rsid w:val="22F47480"/>
    <w:rsid w:val="22FC2F29"/>
    <w:rsid w:val="23020EA4"/>
    <w:rsid w:val="2305495A"/>
    <w:rsid w:val="230734A3"/>
    <w:rsid w:val="230A0DBC"/>
    <w:rsid w:val="230C0974"/>
    <w:rsid w:val="230C5CE8"/>
    <w:rsid w:val="23185E95"/>
    <w:rsid w:val="231A4521"/>
    <w:rsid w:val="231B1696"/>
    <w:rsid w:val="231B215B"/>
    <w:rsid w:val="232A63B5"/>
    <w:rsid w:val="232C692E"/>
    <w:rsid w:val="232F11C1"/>
    <w:rsid w:val="233E34C7"/>
    <w:rsid w:val="233E45B4"/>
    <w:rsid w:val="234171BE"/>
    <w:rsid w:val="23460BDA"/>
    <w:rsid w:val="23480812"/>
    <w:rsid w:val="23490C11"/>
    <w:rsid w:val="235045CB"/>
    <w:rsid w:val="23512C57"/>
    <w:rsid w:val="23527AEC"/>
    <w:rsid w:val="23532A7F"/>
    <w:rsid w:val="23541150"/>
    <w:rsid w:val="235466FA"/>
    <w:rsid w:val="23643AE4"/>
    <w:rsid w:val="23645B24"/>
    <w:rsid w:val="236A4E13"/>
    <w:rsid w:val="236C7BED"/>
    <w:rsid w:val="236D04D8"/>
    <w:rsid w:val="236D4A2D"/>
    <w:rsid w:val="236E03E2"/>
    <w:rsid w:val="236F30DD"/>
    <w:rsid w:val="237851BF"/>
    <w:rsid w:val="23785674"/>
    <w:rsid w:val="23796C52"/>
    <w:rsid w:val="237B2424"/>
    <w:rsid w:val="237E5DCD"/>
    <w:rsid w:val="23801494"/>
    <w:rsid w:val="23801EC8"/>
    <w:rsid w:val="238253C8"/>
    <w:rsid w:val="2384332C"/>
    <w:rsid w:val="23852C95"/>
    <w:rsid w:val="2387551E"/>
    <w:rsid w:val="23982B0D"/>
    <w:rsid w:val="23A27116"/>
    <w:rsid w:val="23A45F21"/>
    <w:rsid w:val="23A50169"/>
    <w:rsid w:val="23AC1AB9"/>
    <w:rsid w:val="23AD6E1A"/>
    <w:rsid w:val="23AD707C"/>
    <w:rsid w:val="23AE0B4E"/>
    <w:rsid w:val="23AE3AB5"/>
    <w:rsid w:val="23AF490C"/>
    <w:rsid w:val="23B347DB"/>
    <w:rsid w:val="23B37851"/>
    <w:rsid w:val="23B614C8"/>
    <w:rsid w:val="23B83ECB"/>
    <w:rsid w:val="23B90C76"/>
    <w:rsid w:val="23C33C0F"/>
    <w:rsid w:val="23C549FA"/>
    <w:rsid w:val="23C860B3"/>
    <w:rsid w:val="23C90B1B"/>
    <w:rsid w:val="23CE155A"/>
    <w:rsid w:val="23D30ED7"/>
    <w:rsid w:val="23D702A8"/>
    <w:rsid w:val="23D92CFE"/>
    <w:rsid w:val="23DE1C48"/>
    <w:rsid w:val="23DF51AB"/>
    <w:rsid w:val="23E25A7D"/>
    <w:rsid w:val="23E55C9E"/>
    <w:rsid w:val="23EA427B"/>
    <w:rsid w:val="23EE1E56"/>
    <w:rsid w:val="23EF5AC7"/>
    <w:rsid w:val="23F20565"/>
    <w:rsid w:val="23F21382"/>
    <w:rsid w:val="23F25014"/>
    <w:rsid w:val="23F45039"/>
    <w:rsid w:val="23F734E7"/>
    <w:rsid w:val="23F80A26"/>
    <w:rsid w:val="23FB3A5D"/>
    <w:rsid w:val="23FD769A"/>
    <w:rsid w:val="24010AF3"/>
    <w:rsid w:val="240210CD"/>
    <w:rsid w:val="24046890"/>
    <w:rsid w:val="240C1FC0"/>
    <w:rsid w:val="240D3BD9"/>
    <w:rsid w:val="240F779E"/>
    <w:rsid w:val="24123604"/>
    <w:rsid w:val="24174945"/>
    <w:rsid w:val="241C2E9B"/>
    <w:rsid w:val="241E0696"/>
    <w:rsid w:val="242124AA"/>
    <w:rsid w:val="24253AE6"/>
    <w:rsid w:val="24276CE5"/>
    <w:rsid w:val="24292606"/>
    <w:rsid w:val="242B77EE"/>
    <w:rsid w:val="24377480"/>
    <w:rsid w:val="243F6903"/>
    <w:rsid w:val="24405213"/>
    <w:rsid w:val="244269BE"/>
    <w:rsid w:val="24430544"/>
    <w:rsid w:val="2443106B"/>
    <w:rsid w:val="2447192C"/>
    <w:rsid w:val="244C5AC1"/>
    <w:rsid w:val="24510242"/>
    <w:rsid w:val="24525BA6"/>
    <w:rsid w:val="24545B99"/>
    <w:rsid w:val="24583F64"/>
    <w:rsid w:val="2458450E"/>
    <w:rsid w:val="245856D2"/>
    <w:rsid w:val="245C0A04"/>
    <w:rsid w:val="246121BA"/>
    <w:rsid w:val="24617314"/>
    <w:rsid w:val="246735E5"/>
    <w:rsid w:val="246969CA"/>
    <w:rsid w:val="246E61CE"/>
    <w:rsid w:val="24724C7B"/>
    <w:rsid w:val="24764426"/>
    <w:rsid w:val="24797546"/>
    <w:rsid w:val="247D5C28"/>
    <w:rsid w:val="248D1610"/>
    <w:rsid w:val="249323C5"/>
    <w:rsid w:val="2495147E"/>
    <w:rsid w:val="249848EA"/>
    <w:rsid w:val="249B21A7"/>
    <w:rsid w:val="249D2DA0"/>
    <w:rsid w:val="24A17E70"/>
    <w:rsid w:val="24AA6E25"/>
    <w:rsid w:val="24B0329C"/>
    <w:rsid w:val="24B16A3B"/>
    <w:rsid w:val="24B252EA"/>
    <w:rsid w:val="24B47725"/>
    <w:rsid w:val="24B71C84"/>
    <w:rsid w:val="24B83076"/>
    <w:rsid w:val="24BB2061"/>
    <w:rsid w:val="24BF09F7"/>
    <w:rsid w:val="24BF4278"/>
    <w:rsid w:val="24DD1651"/>
    <w:rsid w:val="24E60A46"/>
    <w:rsid w:val="24E74A90"/>
    <w:rsid w:val="24F46A34"/>
    <w:rsid w:val="24F83DB3"/>
    <w:rsid w:val="25005B60"/>
    <w:rsid w:val="25007ECD"/>
    <w:rsid w:val="25021151"/>
    <w:rsid w:val="250301EC"/>
    <w:rsid w:val="25040BC4"/>
    <w:rsid w:val="25042C58"/>
    <w:rsid w:val="250637FC"/>
    <w:rsid w:val="25071163"/>
    <w:rsid w:val="250B0729"/>
    <w:rsid w:val="250B5CA6"/>
    <w:rsid w:val="250F476D"/>
    <w:rsid w:val="25154E6D"/>
    <w:rsid w:val="251834B6"/>
    <w:rsid w:val="251F618C"/>
    <w:rsid w:val="252A53C4"/>
    <w:rsid w:val="252D1144"/>
    <w:rsid w:val="252D53FE"/>
    <w:rsid w:val="25305D98"/>
    <w:rsid w:val="253262A0"/>
    <w:rsid w:val="25347DC2"/>
    <w:rsid w:val="253858B0"/>
    <w:rsid w:val="25391FA2"/>
    <w:rsid w:val="253946AA"/>
    <w:rsid w:val="253C5428"/>
    <w:rsid w:val="2542326A"/>
    <w:rsid w:val="254C2F3C"/>
    <w:rsid w:val="2552703D"/>
    <w:rsid w:val="255816D1"/>
    <w:rsid w:val="255B07B1"/>
    <w:rsid w:val="255B3080"/>
    <w:rsid w:val="255D58E8"/>
    <w:rsid w:val="25622BE8"/>
    <w:rsid w:val="25631D42"/>
    <w:rsid w:val="25637307"/>
    <w:rsid w:val="25691C69"/>
    <w:rsid w:val="25732027"/>
    <w:rsid w:val="257A69FA"/>
    <w:rsid w:val="257F6E4A"/>
    <w:rsid w:val="25806959"/>
    <w:rsid w:val="258160E4"/>
    <w:rsid w:val="25834145"/>
    <w:rsid w:val="25854053"/>
    <w:rsid w:val="258A2C43"/>
    <w:rsid w:val="258B2931"/>
    <w:rsid w:val="258C567F"/>
    <w:rsid w:val="258E608C"/>
    <w:rsid w:val="258F1E0B"/>
    <w:rsid w:val="259311A9"/>
    <w:rsid w:val="259C65C2"/>
    <w:rsid w:val="25A04CE7"/>
    <w:rsid w:val="25A663F8"/>
    <w:rsid w:val="25A905E5"/>
    <w:rsid w:val="25AF1C2C"/>
    <w:rsid w:val="25B06DFF"/>
    <w:rsid w:val="25B64D15"/>
    <w:rsid w:val="25B72A47"/>
    <w:rsid w:val="25BC087E"/>
    <w:rsid w:val="25BD166E"/>
    <w:rsid w:val="25C10710"/>
    <w:rsid w:val="25C21B9F"/>
    <w:rsid w:val="25C8015E"/>
    <w:rsid w:val="25CB1092"/>
    <w:rsid w:val="25CE33B1"/>
    <w:rsid w:val="25CE6A4A"/>
    <w:rsid w:val="25D02FFD"/>
    <w:rsid w:val="25D5208D"/>
    <w:rsid w:val="25D5579D"/>
    <w:rsid w:val="25DA19A0"/>
    <w:rsid w:val="25E01B2A"/>
    <w:rsid w:val="25E31245"/>
    <w:rsid w:val="25E629B8"/>
    <w:rsid w:val="25E87512"/>
    <w:rsid w:val="25EC2D81"/>
    <w:rsid w:val="25EE24C2"/>
    <w:rsid w:val="25F4768F"/>
    <w:rsid w:val="25F836B7"/>
    <w:rsid w:val="25FD7B6A"/>
    <w:rsid w:val="260231F5"/>
    <w:rsid w:val="26054BBA"/>
    <w:rsid w:val="260801ED"/>
    <w:rsid w:val="260B2D04"/>
    <w:rsid w:val="26105AEF"/>
    <w:rsid w:val="2614179E"/>
    <w:rsid w:val="26161CEE"/>
    <w:rsid w:val="26167C2F"/>
    <w:rsid w:val="261B78AB"/>
    <w:rsid w:val="26230F36"/>
    <w:rsid w:val="263015A3"/>
    <w:rsid w:val="263432A9"/>
    <w:rsid w:val="26346875"/>
    <w:rsid w:val="263672AB"/>
    <w:rsid w:val="26382C86"/>
    <w:rsid w:val="26397104"/>
    <w:rsid w:val="263C6E96"/>
    <w:rsid w:val="26413497"/>
    <w:rsid w:val="26451C3D"/>
    <w:rsid w:val="264F7D6F"/>
    <w:rsid w:val="26604E2D"/>
    <w:rsid w:val="26621A49"/>
    <w:rsid w:val="26625DA4"/>
    <w:rsid w:val="26650D63"/>
    <w:rsid w:val="26690462"/>
    <w:rsid w:val="266A14A9"/>
    <w:rsid w:val="266D2D66"/>
    <w:rsid w:val="266D3B0E"/>
    <w:rsid w:val="266D6A9E"/>
    <w:rsid w:val="267150DF"/>
    <w:rsid w:val="26752D43"/>
    <w:rsid w:val="267E7E2D"/>
    <w:rsid w:val="2681079B"/>
    <w:rsid w:val="268137E3"/>
    <w:rsid w:val="2688425F"/>
    <w:rsid w:val="26893016"/>
    <w:rsid w:val="268D77B0"/>
    <w:rsid w:val="268F4587"/>
    <w:rsid w:val="26A14C5A"/>
    <w:rsid w:val="26A44CA3"/>
    <w:rsid w:val="26A9340C"/>
    <w:rsid w:val="26AA6A64"/>
    <w:rsid w:val="26B3217A"/>
    <w:rsid w:val="26B57341"/>
    <w:rsid w:val="26B83AE5"/>
    <w:rsid w:val="26BC17D3"/>
    <w:rsid w:val="26C55F68"/>
    <w:rsid w:val="26CA7B17"/>
    <w:rsid w:val="26CB5556"/>
    <w:rsid w:val="26D23A93"/>
    <w:rsid w:val="26D267A7"/>
    <w:rsid w:val="26D67F4D"/>
    <w:rsid w:val="26D9287C"/>
    <w:rsid w:val="26DE24CB"/>
    <w:rsid w:val="26DE2C1A"/>
    <w:rsid w:val="26DE3255"/>
    <w:rsid w:val="26DF0CFB"/>
    <w:rsid w:val="26E03A00"/>
    <w:rsid w:val="26E50D03"/>
    <w:rsid w:val="26E66826"/>
    <w:rsid w:val="26E851CF"/>
    <w:rsid w:val="26E854CB"/>
    <w:rsid w:val="26F23C1D"/>
    <w:rsid w:val="26F326F1"/>
    <w:rsid w:val="26F9120A"/>
    <w:rsid w:val="26FB1446"/>
    <w:rsid w:val="26FE13AC"/>
    <w:rsid w:val="27040DDB"/>
    <w:rsid w:val="270B7A29"/>
    <w:rsid w:val="270F4E71"/>
    <w:rsid w:val="271726A4"/>
    <w:rsid w:val="2717362E"/>
    <w:rsid w:val="27181D87"/>
    <w:rsid w:val="271B48E5"/>
    <w:rsid w:val="27220408"/>
    <w:rsid w:val="27230E1F"/>
    <w:rsid w:val="272D1CDB"/>
    <w:rsid w:val="272D7B8F"/>
    <w:rsid w:val="273C5D80"/>
    <w:rsid w:val="273D0FA1"/>
    <w:rsid w:val="273D2B75"/>
    <w:rsid w:val="274135A1"/>
    <w:rsid w:val="27420C97"/>
    <w:rsid w:val="27506C5A"/>
    <w:rsid w:val="27530A46"/>
    <w:rsid w:val="27572859"/>
    <w:rsid w:val="27585DAD"/>
    <w:rsid w:val="27593515"/>
    <w:rsid w:val="275A1D28"/>
    <w:rsid w:val="27616EF4"/>
    <w:rsid w:val="276854B7"/>
    <w:rsid w:val="27694F1E"/>
    <w:rsid w:val="276C11CA"/>
    <w:rsid w:val="276C144B"/>
    <w:rsid w:val="277057A2"/>
    <w:rsid w:val="27723912"/>
    <w:rsid w:val="27732210"/>
    <w:rsid w:val="27736336"/>
    <w:rsid w:val="27761432"/>
    <w:rsid w:val="277D66D4"/>
    <w:rsid w:val="277E1A97"/>
    <w:rsid w:val="2780444F"/>
    <w:rsid w:val="27824B5B"/>
    <w:rsid w:val="27827BC6"/>
    <w:rsid w:val="27837A3C"/>
    <w:rsid w:val="27865002"/>
    <w:rsid w:val="2788568A"/>
    <w:rsid w:val="278B5528"/>
    <w:rsid w:val="278E4F1E"/>
    <w:rsid w:val="278F1560"/>
    <w:rsid w:val="27907352"/>
    <w:rsid w:val="279134C7"/>
    <w:rsid w:val="27946567"/>
    <w:rsid w:val="2795661D"/>
    <w:rsid w:val="279624D3"/>
    <w:rsid w:val="27992D27"/>
    <w:rsid w:val="27A31E28"/>
    <w:rsid w:val="27A775C1"/>
    <w:rsid w:val="27AA7815"/>
    <w:rsid w:val="27AB2EA1"/>
    <w:rsid w:val="27AE5415"/>
    <w:rsid w:val="27AF0DF6"/>
    <w:rsid w:val="27BD494A"/>
    <w:rsid w:val="27BF160E"/>
    <w:rsid w:val="27C0092D"/>
    <w:rsid w:val="27C4105E"/>
    <w:rsid w:val="27C51BD5"/>
    <w:rsid w:val="27CE0D7F"/>
    <w:rsid w:val="27D01156"/>
    <w:rsid w:val="27D42EBC"/>
    <w:rsid w:val="27D65B3B"/>
    <w:rsid w:val="27D75469"/>
    <w:rsid w:val="27D76A10"/>
    <w:rsid w:val="27D810F2"/>
    <w:rsid w:val="27DD1B00"/>
    <w:rsid w:val="27E16501"/>
    <w:rsid w:val="27E91A50"/>
    <w:rsid w:val="27F25A5E"/>
    <w:rsid w:val="27F63A3C"/>
    <w:rsid w:val="27FC2762"/>
    <w:rsid w:val="27FE088D"/>
    <w:rsid w:val="28043432"/>
    <w:rsid w:val="28047E5C"/>
    <w:rsid w:val="280A2931"/>
    <w:rsid w:val="280A5035"/>
    <w:rsid w:val="280B0ED2"/>
    <w:rsid w:val="28107540"/>
    <w:rsid w:val="28140B20"/>
    <w:rsid w:val="281944A5"/>
    <w:rsid w:val="281B4126"/>
    <w:rsid w:val="281F2669"/>
    <w:rsid w:val="28207166"/>
    <w:rsid w:val="28210B10"/>
    <w:rsid w:val="28237151"/>
    <w:rsid w:val="28252F78"/>
    <w:rsid w:val="2826784C"/>
    <w:rsid w:val="2828082C"/>
    <w:rsid w:val="28307D0D"/>
    <w:rsid w:val="28307F59"/>
    <w:rsid w:val="283614D4"/>
    <w:rsid w:val="28381C5A"/>
    <w:rsid w:val="283F1D91"/>
    <w:rsid w:val="28434EF7"/>
    <w:rsid w:val="284E6058"/>
    <w:rsid w:val="28532E33"/>
    <w:rsid w:val="28572142"/>
    <w:rsid w:val="285B23AE"/>
    <w:rsid w:val="285F4C19"/>
    <w:rsid w:val="28672D0C"/>
    <w:rsid w:val="28695421"/>
    <w:rsid w:val="2875583F"/>
    <w:rsid w:val="287A3941"/>
    <w:rsid w:val="287B56D9"/>
    <w:rsid w:val="287C00FF"/>
    <w:rsid w:val="287E6BF5"/>
    <w:rsid w:val="28831499"/>
    <w:rsid w:val="28863E38"/>
    <w:rsid w:val="28876AD1"/>
    <w:rsid w:val="288B3FA0"/>
    <w:rsid w:val="288D78CB"/>
    <w:rsid w:val="28977563"/>
    <w:rsid w:val="28997212"/>
    <w:rsid w:val="289F2CE4"/>
    <w:rsid w:val="28A10C81"/>
    <w:rsid w:val="28AB1B44"/>
    <w:rsid w:val="28B07116"/>
    <w:rsid w:val="28B32F5F"/>
    <w:rsid w:val="28BA53C8"/>
    <w:rsid w:val="28BB05DC"/>
    <w:rsid w:val="28BE5F64"/>
    <w:rsid w:val="28C53087"/>
    <w:rsid w:val="28C55521"/>
    <w:rsid w:val="28C81F86"/>
    <w:rsid w:val="28CA7D8E"/>
    <w:rsid w:val="28CD5ECC"/>
    <w:rsid w:val="28D3613F"/>
    <w:rsid w:val="28D95689"/>
    <w:rsid w:val="28D966A7"/>
    <w:rsid w:val="28DA3B47"/>
    <w:rsid w:val="28DA4DAA"/>
    <w:rsid w:val="28DC1D95"/>
    <w:rsid w:val="28DE4767"/>
    <w:rsid w:val="28DE4B5D"/>
    <w:rsid w:val="28DF2AB2"/>
    <w:rsid w:val="28E17DDC"/>
    <w:rsid w:val="28E254DE"/>
    <w:rsid w:val="28E92FA8"/>
    <w:rsid w:val="28EF2926"/>
    <w:rsid w:val="28EF4ED8"/>
    <w:rsid w:val="28F22D51"/>
    <w:rsid w:val="28F30703"/>
    <w:rsid w:val="28F55CAB"/>
    <w:rsid w:val="28F8033E"/>
    <w:rsid w:val="28F92AFA"/>
    <w:rsid w:val="28FA672E"/>
    <w:rsid w:val="28FB3D43"/>
    <w:rsid w:val="2909473A"/>
    <w:rsid w:val="290B7801"/>
    <w:rsid w:val="290C3020"/>
    <w:rsid w:val="290D27BA"/>
    <w:rsid w:val="290F095A"/>
    <w:rsid w:val="290F7142"/>
    <w:rsid w:val="29152AF5"/>
    <w:rsid w:val="291904D1"/>
    <w:rsid w:val="291A46B8"/>
    <w:rsid w:val="291B035A"/>
    <w:rsid w:val="291F642F"/>
    <w:rsid w:val="29206EB8"/>
    <w:rsid w:val="29217911"/>
    <w:rsid w:val="29254262"/>
    <w:rsid w:val="292C0FC5"/>
    <w:rsid w:val="293324BD"/>
    <w:rsid w:val="29362EE6"/>
    <w:rsid w:val="29370A2A"/>
    <w:rsid w:val="29371540"/>
    <w:rsid w:val="293758F5"/>
    <w:rsid w:val="29377E24"/>
    <w:rsid w:val="293B167B"/>
    <w:rsid w:val="293B7327"/>
    <w:rsid w:val="293C54D6"/>
    <w:rsid w:val="293C5B3B"/>
    <w:rsid w:val="293F098E"/>
    <w:rsid w:val="293F471F"/>
    <w:rsid w:val="29491A44"/>
    <w:rsid w:val="294A24F4"/>
    <w:rsid w:val="294B210B"/>
    <w:rsid w:val="2952034E"/>
    <w:rsid w:val="295249D2"/>
    <w:rsid w:val="29587F93"/>
    <w:rsid w:val="29595666"/>
    <w:rsid w:val="295A2334"/>
    <w:rsid w:val="295E5BB6"/>
    <w:rsid w:val="295E7DDA"/>
    <w:rsid w:val="29657338"/>
    <w:rsid w:val="29660DB2"/>
    <w:rsid w:val="29665AC3"/>
    <w:rsid w:val="29670414"/>
    <w:rsid w:val="296918FC"/>
    <w:rsid w:val="296A4766"/>
    <w:rsid w:val="296C067A"/>
    <w:rsid w:val="296E14B3"/>
    <w:rsid w:val="296E790B"/>
    <w:rsid w:val="297247CB"/>
    <w:rsid w:val="29747ABE"/>
    <w:rsid w:val="29756608"/>
    <w:rsid w:val="297960DD"/>
    <w:rsid w:val="29873105"/>
    <w:rsid w:val="29874881"/>
    <w:rsid w:val="29926D8C"/>
    <w:rsid w:val="299C671D"/>
    <w:rsid w:val="29A43AEF"/>
    <w:rsid w:val="29A83318"/>
    <w:rsid w:val="29B032D0"/>
    <w:rsid w:val="29B1379A"/>
    <w:rsid w:val="29B216D8"/>
    <w:rsid w:val="29C72969"/>
    <w:rsid w:val="29C94187"/>
    <w:rsid w:val="29CA511E"/>
    <w:rsid w:val="29CD3903"/>
    <w:rsid w:val="29D07A70"/>
    <w:rsid w:val="29D12F95"/>
    <w:rsid w:val="29D40764"/>
    <w:rsid w:val="29D55086"/>
    <w:rsid w:val="29D80486"/>
    <w:rsid w:val="29D94CDB"/>
    <w:rsid w:val="29E325E0"/>
    <w:rsid w:val="29E4193C"/>
    <w:rsid w:val="29EB4188"/>
    <w:rsid w:val="29EC0622"/>
    <w:rsid w:val="29EC57CA"/>
    <w:rsid w:val="29EF5AC5"/>
    <w:rsid w:val="29F378E8"/>
    <w:rsid w:val="29F65564"/>
    <w:rsid w:val="29F771F5"/>
    <w:rsid w:val="29FA20D6"/>
    <w:rsid w:val="29FB7994"/>
    <w:rsid w:val="29FD7393"/>
    <w:rsid w:val="29FF4707"/>
    <w:rsid w:val="2A0330DD"/>
    <w:rsid w:val="2A0526AA"/>
    <w:rsid w:val="2A0F52BC"/>
    <w:rsid w:val="2A1738F0"/>
    <w:rsid w:val="2A1B1731"/>
    <w:rsid w:val="2A1C5473"/>
    <w:rsid w:val="2A1F0C05"/>
    <w:rsid w:val="2A2A4243"/>
    <w:rsid w:val="2A2B21E4"/>
    <w:rsid w:val="2A2E7382"/>
    <w:rsid w:val="2A3012FE"/>
    <w:rsid w:val="2A3568F1"/>
    <w:rsid w:val="2A3A4676"/>
    <w:rsid w:val="2A3C220D"/>
    <w:rsid w:val="2A3C50B4"/>
    <w:rsid w:val="2A3C5105"/>
    <w:rsid w:val="2A4232E2"/>
    <w:rsid w:val="2A452503"/>
    <w:rsid w:val="2A490C4A"/>
    <w:rsid w:val="2A4A0E64"/>
    <w:rsid w:val="2A4D1AFF"/>
    <w:rsid w:val="2A4E4E38"/>
    <w:rsid w:val="2A5104EC"/>
    <w:rsid w:val="2A574B6A"/>
    <w:rsid w:val="2A6100AC"/>
    <w:rsid w:val="2A614137"/>
    <w:rsid w:val="2A62347E"/>
    <w:rsid w:val="2A63777A"/>
    <w:rsid w:val="2A670D2F"/>
    <w:rsid w:val="2A6B6801"/>
    <w:rsid w:val="2A6F79D2"/>
    <w:rsid w:val="2A7215F9"/>
    <w:rsid w:val="2A761FB7"/>
    <w:rsid w:val="2A77429D"/>
    <w:rsid w:val="2A7D5B17"/>
    <w:rsid w:val="2A7D788D"/>
    <w:rsid w:val="2A7E5762"/>
    <w:rsid w:val="2A817CEF"/>
    <w:rsid w:val="2A85437F"/>
    <w:rsid w:val="2A8563E2"/>
    <w:rsid w:val="2A951C87"/>
    <w:rsid w:val="2A9A007E"/>
    <w:rsid w:val="2A9D3143"/>
    <w:rsid w:val="2AA21179"/>
    <w:rsid w:val="2AA54B89"/>
    <w:rsid w:val="2AA81F2D"/>
    <w:rsid w:val="2AA869CC"/>
    <w:rsid w:val="2AAF1D7B"/>
    <w:rsid w:val="2AAF3072"/>
    <w:rsid w:val="2AB567F6"/>
    <w:rsid w:val="2AB56C65"/>
    <w:rsid w:val="2AB62484"/>
    <w:rsid w:val="2AC00D37"/>
    <w:rsid w:val="2AC03F94"/>
    <w:rsid w:val="2AC16BFE"/>
    <w:rsid w:val="2AC213CF"/>
    <w:rsid w:val="2AC33130"/>
    <w:rsid w:val="2AC37352"/>
    <w:rsid w:val="2AC46581"/>
    <w:rsid w:val="2AC62C21"/>
    <w:rsid w:val="2AC71E14"/>
    <w:rsid w:val="2ACB7338"/>
    <w:rsid w:val="2ACD5BC2"/>
    <w:rsid w:val="2ACE7142"/>
    <w:rsid w:val="2ACF5F79"/>
    <w:rsid w:val="2AD22EB0"/>
    <w:rsid w:val="2AD563FF"/>
    <w:rsid w:val="2AD70771"/>
    <w:rsid w:val="2AD817DC"/>
    <w:rsid w:val="2AD855BA"/>
    <w:rsid w:val="2ADE0C6E"/>
    <w:rsid w:val="2ADE49CA"/>
    <w:rsid w:val="2AE15F0A"/>
    <w:rsid w:val="2AE409AE"/>
    <w:rsid w:val="2AE95028"/>
    <w:rsid w:val="2AEF2559"/>
    <w:rsid w:val="2AEF51EF"/>
    <w:rsid w:val="2AF90877"/>
    <w:rsid w:val="2AFF7399"/>
    <w:rsid w:val="2B05051C"/>
    <w:rsid w:val="2B0818E1"/>
    <w:rsid w:val="2B090B18"/>
    <w:rsid w:val="2B0E0997"/>
    <w:rsid w:val="2B0F4F85"/>
    <w:rsid w:val="2B127C44"/>
    <w:rsid w:val="2B192F22"/>
    <w:rsid w:val="2B2845C3"/>
    <w:rsid w:val="2B2845C6"/>
    <w:rsid w:val="2B290453"/>
    <w:rsid w:val="2B2F1F60"/>
    <w:rsid w:val="2B317E81"/>
    <w:rsid w:val="2B330458"/>
    <w:rsid w:val="2B3478E4"/>
    <w:rsid w:val="2B3D1127"/>
    <w:rsid w:val="2B404ED7"/>
    <w:rsid w:val="2B4D26E2"/>
    <w:rsid w:val="2B512901"/>
    <w:rsid w:val="2B5336D5"/>
    <w:rsid w:val="2B5446D0"/>
    <w:rsid w:val="2B560E31"/>
    <w:rsid w:val="2B57111A"/>
    <w:rsid w:val="2B5D3721"/>
    <w:rsid w:val="2B5E2C6F"/>
    <w:rsid w:val="2B5E554F"/>
    <w:rsid w:val="2B5F029C"/>
    <w:rsid w:val="2B600714"/>
    <w:rsid w:val="2B610C20"/>
    <w:rsid w:val="2B661038"/>
    <w:rsid w:val="2B6D4D91"/>
    <w:rsid w:val="2B6E23C0"/>
    <w:rsid w:val="2B724B56"/>
    <w:rsid w:val="2B772FE0"/>
    <w:rsid w:val="2B7B7EA0"/>
    <w:rsid w:val="2B7D3C27"/>
    <w:rsid w:val="2B807D3A"/>
    <w:rsid w:val="2B810700"/>
    <w:rsid w:val="2B912CB1"/>
    <w:rsid w:val="2B93507A"/>
    <w:rsid w:val="2B9365F6"/>
    <w:rsid w:val="2B960637"/>
    <w:rsid w:val="2B9F0691"/>
    <w:rsid w:val="2BA05CA2"/>
    <w:rsid w:val="2BA229C9"/>
    <w:rsid w:val="2BA67307"/>
    <w:rsid w:val="2BA72A52"/>
    <w:rsid w:val="2BA82D26"/>
    <w:rsid w:val="2BA936A8"/>
    <w:rsid w:val="2BAA26B2"/>
    <w:rsid w:val="2BAD1A56"/>
    <w:rsid w:val="2BAE27EC"/>
    <w:rsid w:val="2BB1742D"/>
    <w:rsid w:val="2BB745CA"/>
    <w:rsid w:val="2BB772B6"/>
    <w:rsid w:val="2BBC33AA"/>
    <w:rsid w:val="2BC14EC5"/>
    <w:rsid w:val="2BCC4740"/>
    <w:rsid w:val="2BCC70B9"/>
    <w:rsid w:val="2BCD0285"/>
    <w:rsid w:val="2BD037C6"/>
    <w:rsid w:val="2BD1068D"/>
    <w:rsid w:val="2BDF2B2E"/>
    <w:rsid w:val="2BE5075C"/>
    <w:rsid w:val="2BE60862"/>
    <w:rsid w:val="2BE710F4"/>
    <w:rsid w:val="2BE912BD"/>
    <w:rsid w:val="2BEB15D4"/>
    <w:rsid w:val="2BF26963"/>
    <w:rsid w:val="2BF62996"/>
    <w:rsid w:val="2BF9320D"/>
    <w:rsid w:val="2C076BFB"/>
    <w:rsid w:val="2C13130A"/>
    <w:rsid w:val="2C182C3A"/>
    <w:rsid w:val="2C1A3224"/>
    <w:rsid w:val="2C1F4CDE"/>
    <w:rsid w:val="2C2D0B21"/>
    <w:rsid w:val="2C2D3BF8"/>
    <w:rsid w:val="2C2E02EA"/>
    <w:rsid w:val="2C315A5A"/>
    <w:rsid w:val="2C331A56"/>
    <w:rsid w:val="2C346CFB"/>
    <w:rsid w:val="2C39284C"/>
    <w:rsid w:val="2C3F2462"/>
    <w:rsid w:val="2C400D05"/>
    <w:rsid w:val="2C45718C"/>
    <w:rsid w:val="2C4B083B"/>
    <w:rsid w:val="2C4B1C25"/>
    <w:rsid w:val="2C4C32A2"/>
    <w:rsid w:val="2C5A1872"/>
    <w:rsid w:val="2C5F5A89"/>
    <w:rsid w:val="2C610F9B"/>
    <w:rsid w:val="2C616555"/>
    <w:rsid w:val="2C646A52"/>
    <w:rsid w:val="2C691548"/>
    <w:rsid w:val="2C6944BE"/>
    <w:rsid w:val="2C6F2D6F"/>
    <w:rsid w:val="2C765AA0"/>
    <w:rsid w:val="2C777237"/>
    <w:rsid w:val="2C7F39CF"/>
    <w:rsid w:val="2C811ED8"/>
    <w:rsid w:val="2C822E51"/>
    <w:rsid w:val="2C8417EC"/>
    <w:rsid w:val="2C861311"/>
    <w:rsid w:val="2C861C1B"/>
    <w:rsid w:val="2C8F6EF2"/>
    <w:rsid w:val="2C97236B"/>
    <w:rsid w:val="2C9C51FC"/>
    <w:rsid w:val="2C9E781D"/>
    <w:rsid w:val="2CA048D6"/>
    <w:rsid w:val="2CA17BFF"/>
    <w:rsid w:val="2CAA22EB"/>
    <w:rsid w:val="2CAA33C6"/>
    <w:rsid w:val="2CAB0A74"/>
    <w:rsid w:val="2CAB2A73"/>
    <w:rsid w:val="2CAB4E56"/>
    <w:rsid w:val="2CAC55B9"/>
    <w:rsid w:val="2CAF2FEE"/>
    <w:rsid w:val="2CB207C0"/>
    <w:rsid w:val="2CB53DAC"/>
    <w:rsid w:val="2CBF7905"/>
    <w:rsid w:val="2CC769DE"/>
    <w:rsid w:val="2CC91673"/>
    <w:rsid w:val="2CCB2770"/>
    <w:rsid w:val="2CD37291"/>
    <w:rsid w:val="2CE11578"/>
    <w:rsid w:val="2CE551EF"/>
    <w:rsid w:val="2CF3687F"/>
    <w:rsid w:val="2CF9471F"/>
    <w:rsid w:val="2CFA22BF"/>
    <w:rsid w:val="2CFB590C"/>
    <w:rsid w:val="2CFF0F07"/>
    <w:rsid w:val="2CFF6122"/>
    <w:rsid w:val="2D0C6825"/>
    <w:rsid w:val="2D0E0BC4"/>
    <w:rsid w:val="2D0E47FE"/>
    <w:rsid w:val="2D0F4D53"/>
    <w:rsid w:val="2D10645C"/>
    <w:rsid w:val="2D151F24"/>
    <w:rsid w:val="2D1616BB"/>
    <w:rsid w:val="2D1F2DE9"/>
    <w:rsid w:val="2D227C7D"/>
    <w:rsid w:val="2D236108"/>
    <w:rsid w:val="2D2638DF"/>
    <w:rsid w:val="2D27354C"/>
    <w:rsid w:val="2D2916EA"/>
    <w:rsid w:val="2D2A3199"/>
    <w:rsid w:val="2D2E1197"/>
    <w:rsid w:val="2D2E40F3"/>
    <w:rsid w:val="2D342023"/>
    <w:rsid w:val="2D353B3E"/>
    <w:rsid w:val="2D3B74F1"/>
    <w:rsid w:val="2D3C1FC2"/>
    <w:rsid w:val="2D3D60EA"/>
    <w:rsid w:val="2D3F0510"/>
    <w:rsid w:val="2D434FAC"/>
    <w:rsid w:val="2D4C38EC"/>
    <w:rsid w:val="2D5579D7"/>
    <w:rsid w:val="2D6203A8"/>
    <w:rsid w:val="2D6666A7"/>
    <w:rsid w:val="2D666CD7"/>
    <w:rsid w:val="2D673FFC"/>
    <w:rsid w:val="2D6F57F1"/>
    <w:rsid w:val="2D740DB5"/>
    <w:rsid w:val="2D750351"/>
    <w:rsid w:val="2D7553BC"/>
    <w:rsid w:val="2D767AB6"/>
    <w:rsid w:val="2D786798"/>
    <w:rsid w:val="2D7B23E8"/>
    <w:rsid w:val="2D7C065A"/>
    <w:rsid w:val="2D7C1CBC"/>
    <w:rsid w:val="2D7C213C"/>
    <w:rsid w:val="2D7E42F2"/>
    <w:rsid w:val="2D7E4464"/>
    <w:rsid w:val="2D802631"/>
    <w:rsid w:val="2D813CB7"/>
    <w:rsid w:val="2D8804C4"/>
    <w:rsid w:val="2D894351"/>
    <w:rsid w:val="2D8E19AD"/>
    <w:rsid w:val="2D921A3A"/>
    <w:rsid w:val="2D9262BD"/>
    <w:rsid w:val="2D926B33"/>
    <w:rsid w:val="2D937AC7"/>
    <w:rsid w:val="2D97222C"/>
    <w:rsid w:val="2D97597D"/>
    <w:rsid w:val="2D9E56F5"/>
    <w:rsid w:val="2DA039E6"/>
    <w:rsid w:val="2DA24854"/>
    <w:rsid w:val="2DA27975"/>
    <w:rsid w:val="2DA336ED"/>
    <w:rsid w:val="2DA72B0C"/>
    <w:rsid w:val="2DA86B57"/>
    <w:rsid w:val="2DA923C7"/>
    <w:rsid w:val="2DAA5310"/>
    <w:rsid w:val="2DAD7162"/>
    <w:rsid w:val="2DB05C84"/>
    <w:rsid w:val="2DB2448C"/>
    <w:rsid w:val="2DB45AF2"/>
    <w:rsid w:val="2DB63879"/>
    <w:rsid w:val="2DB7013A"/>
    <w:rsid w:val="2DB72CF5"/>
    <w:rsid w:val="2DB77E41"/>
    <w:rsid w:val="2DB977B6"/>
    <w:rsid w:val="2DBF42E1"/>
    <w:rsid w:val="2DC21053"/>
    <w:rsid w:val="2DC4578C"/>
    <w:rsid w:val="2DC66240"/>
    <w:rsid w:val="2DC93083"/>
    <w:rsid w:val="2DCF2A9F"/>
    <w:rsid w:val="2DD1202D"/>
    <w:rsid w:val="2DD140AC"/>
    <w:rsid w:val="2DD77871"/>
    <w:rsid w:val="2DE37E5E"/>
    <w:rsid w:val="2DE72115"/>
    <w:rsid w:val="2DE81D6F"/>
    <w:rsid w:val="2DE938A5"/>
    <w:rsid w:val="2DEB4853"/>
    <w:rsid w:val="2DF5304B"/>
    <w:rsid w:val="2E063075"/>
    <w:rsid w:val="2E0F27BF"/>
    <w:rsid w:val="2E19750B"/>
    <w:rsid w:val="2E1C3CC9"/>
    <w:rsid w:val="2E1F18DA"/>
    <w:rsid w:val="2E264EA3"/>
    <w:rsid w:val="2E2B7724"/>
    <w:rsid w:val="2E386EDB"/>
    <w:rsid w:val="2E39710A"/>
    <w:rsid w:val="2E3A280B"/>
    <w:rsid w:val="2E3D31FA"/>
    <w:rsid w:val="2E420FA9"/>
    <w:rsid w:val="2E4229D8"/>
    <w:rsid w:val="2E454AEF"/>
    <w:rsid w:val="2E4B53EB"/>
    <w:rsid w:val="2E4C512A"/>
    <w:rsid w:val="2E5550D6"/>
    <w:rsid w:val="2E576DF9"/>
    <w:rsid w:val="2E5861D3"/>
    <w:rsid w:val="2E5A7090"/>
    <w:rsid w:val="2E5D656B"/>
    <w:rsid w:val="2E654542"/>
    <w:rsid w:val="2E667F96"/>
    <w:rsid w:val="2E711A7A"/>
    <w:rsid w:val="2E723221"/>
    <w:rsid w:val="2E725363"/>
    <w:rsid w:val="2E764FBF"/>
    <w:rsid w:val="2E791503"/>
    <w:rsid w:val="2E7B621F"/>
    <w:rsid w:val="2E8226AB"/>
    <w:rsid w:val="2E873281"/>
    <w:rsid w:val="2E8A52BC"/>
    <w:rsid w:val="2E8F51B7"/>
    <w:rsid w:val="2E952F9D"/>
    <w:rsid w:val="2E980D78"/>
    <w:rsid w:val="2E9E7654"/>
    <w:rsid w:val="2EA608EC"/>
    <w:rsid w:val="2EB104DD"/>
    <w:rsid w:val="2EB47F01"/>
    <w:rsid w:val="2EB575A1"/>
    <w:rsid w:val="2EB813E6"/>
    <w:rsid w:val="2EB8596B"/>
    <w:rsid w:val="2EBB14B6"/>
    <w:rsid w:val="2EBD60EA"/>
    <w:rsid w:val="2EC14C10"/>
    <w:rsid w:val="2ECA2456"/>
    <w:rsid w:val="2ECC6A6C"/>
    <w:rsid w:val="2ECF000B"/>
    <w:rsid w:val="2ECF64B3"/>
    <w:rsid w:val="2ED03F7E"/>
    <w:rsid w:val="2ED53EBB"/>
    <w:rsid w:val="2ED90230"/>
    <w:rsid w:val="2ED95F8D"/>
    <w:rsid w:val="2EDC6118"/>
    <w:rsid w:val="2EDD2D2E"/>
    <w:rsid w:val="2EDF4706"/>
    <w:rsid w:val="2EE21E31"/>
    <w:rsid w:val="2EE2587F"/>
    <w:rsid w:val="2EE74A86"/>
    <w:rsid w:val="2EE76E58"/>
    <w:rsid w:val="2EED1D6F"/>
    <w:rsid w:val="2EF82DFE"/>
    <w:rsid w:val="2EFA1578"/>
    <w:rsid w:val="2EFA738A"/>
    <w:rsid w:val="2EFF3BA8"/>
    <w:rsid w:val="2EFF49C9"/>
    <w:rsid w:val="2F034491"/>
    <w:rsid w:val="2F081A5A"/>
    <w:rsid w:val="2F114DEF"/>
    <w:rsid w:val="2F145C1F"/>
    <w:rsid w:val="2F181218"/>
    <w:rsid w:val="2F1E5D1F"/>
    <w:rsid w:val="2F223EB3"/>
    <w:rsid w:val="2F2460E2"/>
    <w:rsid w:val="2F25621F"/>
    <w:rsid w:val="2F276E62"/>
    <w:rsid w:val="2F27729D"/>
    <w:rsid w:val="2F295720"/>
    <w:rsid w:val="2F2A4574"/>
    <w:rsid w:val="2F3565C7"/>
    <w:rsid w:val="2F375B45"/>
    <w:rsid w:val="2F37675B"/>
    <w:rsid w:val="2F3A198A"/>
    <w:rsid w:val="2F3B377B"/>
    <w:rsid w:val="2F427323"/>
    <w:rsid w:val="2F4B57DC"/>
    <w:rsid w:val="2F4C7257"/>
    <w:rsid w:val="2F5836D3"/>
    <w:rsid w:val="2F5C4EFC"/>
    <w:rsid w:val="2F5F6B3F"/>
    <w:rsid w:val="2F606235"/>
    <w:rsid w:val="2F633D84"/>
    <w:rsid w:val="2F675D69"/>
    <w:rsid w:val="2F6A05D7"/>
    <w:rsid w:val="2F6A2714"/>
    <w:rsid w:val="2F6D3DC0"/>
    <w:rsid w:val="2F701462"/>
    <w:rsid w:val="2F73157A"/>
    <w:rsid w:val="2F734A7B"/>
    <w:rsid w:val="2F7366B6"/>
    <w:rsid w:val="2F757ECC"/>
    <w:rsid w:val="2F760D8A"/>
    <w:rsid w:val="2F7610B9"/>
    <w:rsid w:val="2F772DCD"/>
    <w:rsid w:val="2F8A6913"/>
    <w:rsid w:val="2F8B367F"/>
    <w:rsid w:val="2F8E5DEB"/>
    <w:rsid w:val="2F8F3587"/>
    <w:rsid w:val="2F9002D4"/>
    <w:rsid w:val="2F903158"/>
    <w:rsid w:val="2F921025"/>
    <w:rsid w:val="2F9A6E0F"/>
    <w:rsid w:val="2FA43D0D"/>
    <w:rsid w:val="2FA50C94"/>
    <w:rsid w:val="2FA74316"/>
    <w:rsid w:val="2FAC380E"/>
    <w:rsid w:val="2FAD7BC4"/>
    <w:rsid w:val="2FAF0039"/>
    <w:rsid w:val="2FB00DD1"/>
    <w:rsid w:val="2FB41FBD"/>
    <w:rsid w:val="2FB5323B"/>
    <w:rsid w:val="2FBB252E"/>
    <w:rsid w:val="2FCA7672"/>
    <w:rsid w:val="2FCC6B63"/>
    <w:rsid w:val="2FD065E6"/>
    <w:rsid w:val="2FD302BA"/>
    <w:rsid w:val="2FD95B77"/>
    <w:rsid w:val="2FD96870"/>
    <w:rsid w:val="2FDD270B"/>
    <w:rsid w:val="2FDD6EAA"/>
    <w:rsid w:val="2FE363A7"/>
    <w:rsid w:val="2FF21ACF"/>
    <w:rsid w:val="2FF33C75"/>
    <w:rsid w:val="2FF410E3"/>
    <w:rsid w:val="2FF6417D"/>
    <w:rsid w:val="2FFC6989"/>
    <w:rsid w:val="3001615C"/>
    <w:rsid w:val="30020929"/>
    <w:rsid w:val="30027053"/>
    <w:rsid w:val="30060B23"/>
    <w:rsid w:val="300827E8"/>
    <w:rsid w:val="300B106B"/>
    <w:rsid w:val="300D6E6B"/>
    <w:rsid w:val="300E0B4D"/>
    <w:rsid w:val="301127C6"/>
    <w:rsid w:val="301337DB"/>
    <w:rsid w:val="301714BD"/>
    <w:rsid w:val="30235133"/>
    <w:rsid w:val="30246255"/>
    <w:rsid w:val="30264014"/>
    <w:rsid w:val="30287041"/>
    <w:rsid w:val="302F03BF"/>
    <w:rsid w:val="30321E91"/>
    <w:rsid w:val="30333493"/>
    <w:rsid w:val="303641B9"/>
    <w:rsid w:val="303A0253"/>
    <w:rsid w:val="303C32E3"/>
    <w:rsid w:val="30433304"/>
    <w:rsid w:val="30434506"/>
    <w:rsid w:val="304B3C86"/>
    <w:rsid w:val="304D2546"/>
    <w:rsid w:val="304E2A9F"/>
    <w:rsid w:val="304E6079"/>
    <w:rsid w:val="304F14EB"/>
    <w:rsid w:val="304F62B0"/>
    <w:rsid w:val="30580BC9"/>
    <w:rsid w:val="30590171"/>
    <w:rsid w:val="3059377E"/>
    <w:rsid w:val="305E506D"/>
    <w:rsid w:val="305F21FC"/>
    <w:rsid w:val="306910BF"/>
    <w:rsid w:val="306C4C9C"/>
    <w:rsid w:val="306C6290"/>
    <w:rsid w:val="306F1D88"/>
    <w:rsid w:val="307969BD"/>
    <w:rsid w:val="30796D30"/>
    <w:rsid w:val="307C2B3A"/>
    <w:rsid w:val="307C4FD2"/>
    <w:rsid w:val="307C67C3"/>
    <w:rsid w:val="307D6384"/>
    <w:rsid w:val="307F1E4E"/>
    <w:rsid w:val="30854CF6"/>
    <w:rsid w:val="30856BB3"/>
    <w:rsid w:val="308710A4"/>
    <w:rsid w:val="3089305D"/>
    <w:rsid w:val="308E3A90"/>
    <w:rsid w:val="308E5F8F"/>
    <w:rsid w:val="30953CDE"/>
    <w:rsid w:val="30967184"/>
    <w:rsid w:val="30986446"/>
    <w:rsid w:val="309C44B0"/>
    <w:rsid w:val="30A177C5"/>
    <w:rsid w:val="30A21165"/>
    <w:rsid w:val="30A424D1"/>
    <w:rsid w:val="30A7078E"/>
    <w:rsid w:val="30A74BA6"/>
    <w:rsid w:val="30A80EF1"/>
    <w:rsid w:val="30A812E5"/>
    <w:rsid w:val="30AE396E"/>
    <w:rsid w:val="30AF0C92"/>
    <w:rsid w:val="30C07B17"/>
    <w:rsid w:val="30C1402E"/>
    <w:rsid w:val="30C3032E"/>
    <w:rsid w:val="30C33D10"/>
    <w:rsid w:val="30CB38EE"/>
    <w:rsid w:val="30CB39F5"/>
    <w:rsid w:val="30CD2B04"/>
    <w:rsid w:val="30D41695"/>
    <w:rsid w:val="30D5010D"/>
    <w:rsid w:val="30D74B36"/>
    <w:rsid w:val="30D763B2"/>
    <w:rsid w:val="30D8188C"/>
    <w:rsid w:val="30D95F5F"/>
    <w:rsid w:val="30DB6CFA"/>
    <w:rsid w:val="30DC715C"/>
    <w:rsid w:val="30DD5290"/>
    <w:rsid w:val="30E62B1C"/>
    <w:rsid w:val="30EE152F"/>
    <w:rsid w:val="30EF1317"/>
    <w:rsid w:val="30F462C7"/>
    <w:rsid w:val="30F46883"/>
    <w:rsid w:val="30F9084A"/>
    <w:rsid w:val="30FC01F6"/>
    <w:rsid w:val="30FF459A"/>
    <w:rsid w:val="310062F2"/>
    <w:rsid w:val="31010BB5"/>
    <w:rsid w:val="31014212"/>
    <w:rsid w:val="310425A6"/>
    <w:rsid w:val="31104AA7"/>
    <w:rsid w:val="31125F8B"/>
    <w:rsid w:val="311E2ED7"/>
    <w:rsid w:val="31231CBF"/>
    <w:rsid w:val="3123380B"/>
    <w:rsid w:val="312560DD"/>
    <w:rsid w:val="312564F4"/>
    <w:rsid w:val="3133648B"/>
    <w:rsid w:val="31356FD4"/>
    <w:rsid w:val="313853CA"/>
    <w:rsid w:val="31424999"/>
    <w:rsid w:val="3144029A"/>
    <w:rsid w:val="31486496"/>
    <w:rsid w:val="3148661D"/>
    <w:rsid w:val="31522307"/>
    <w:rsid w:val="315619EE"/>
    <w:rsid w:val="31570266"/>
    <w:rsid w:val="315823CF"/>
    <w:rsid w:val="31587F45"/>
    <w:rsid w:val="315A40C3"/>
    <w:rsid w:val="315C449C"/>
    <w:rsid w:val="31627329"/>
    <w:rsid w:val="31734A61"/>
    <w:rsid w:val="31750666"/>
    <w:rsid w:val="317843CF"/>
    <w:rsid w:val="31796C3F"/>
    <w:rsid w:val="317B4C63"/>
    <w:rsid w:val="3180298E"/>
    <w:rsid w:val="318223BC"/>
    <w:rsid w:val="31837ABD"/>
    <w:rsid w:val="3188027A"/>
    <w:rsid w:val="318E000B"/>
    <w:rsid w:val="31935D8D"/>
    <w:rsid w:val="31943A79"/>
    <w:rsid w:val="319453B9"/>
    <w:rsid w:val="3198343E"/>
    <w:rsid w:val="319A2939"/>
    <w:rsid w:val="319D2426"/>
    <w:rsid w:val="31A8567D"/>
    <w:rsid w:val="31AF2560"/>
    <w:rsid w:val="31AF35B0"/>
    <w:rsid w:val="31B01BD5"/>
    <w:rsid w:val="31B41A25"/>
    <w:rsid w:val="31B82709"/>
    <w:rsid w:val="31BA44D2"/>
    <w:rsid w:val="31C95AD6"/>
    <w:rsid w:val="31CA6F05"/>
    <w:rsid w:val="31CC20E9"/>
    <w:rsid w:val="31CC630D"/>
    <w:rsid w:val="31D05482"/>
    <w:rsid w:val="31D46611"/>
    <w:rsid w:val="31D9592F"/>
    <w:rsid w:val="31DA3F1F"/>
    <w:rsid w:val="31DD159E"/>
    <w:rsid w:val="31E423D5"/>
    <w:rsid w:val="31E43F66"/>
    <w:rsid w:val="31EE7AE6"/>
    <w:rsid w:val="31F25B68"/>
    <w:rsid w:val="31FB1711"/>
    <w:rsid w:val="31FC1D3E"/>
    <w:rsid w:val="32033E6B"/>
    <w:rsid w:val="320851B0"/>
    <w:rsid w:val="320A076D"/>
    <w:rsid w:val="320C43EF"/>
    <w:rsid w:val="320D4FD5"/>
    <w:rsid w:val="32120D48"/>
    <w:rsid w:val="32136F65"/>
    <w:rsid w:val="321C1F1B"/>
    <w:rsid w:val="321C2A24"/>
    <w:rsid w:val="321D4363"/>
    <w:rsid w:val="321E7134"/>
    <w:rsid w:val="321F3FC8"/>
    <w:rsid w:val="321F44EF"/>
    <w:rsid w:val="32221203"/>
    <w:rsid w:val="32236659"/>
    <w:rsid w:val="322A6112"/>
    <w:rsid w:val="322D7EAE"/>
    <w:rsid w:val="322E51B6"/>
    <w:rsid w:val="322F1F88"/>
    <w:rsid w:val="323736E2"/>
    <w:rsid w:val="323856D0"/>
    <w:rsid w:val="323B1939"/>
    <w:rsid w:val="32400B34"/>
    <w:rsid w:val="324A1519"/>
    <w:rsid w:val="324E522C"/>
    <w:rsid w:val="32565786"/>
    <w:rsid w:val="325C2FBE"/>
    <w:rsid w:val="326022BA"/>
    <w:rsid w:val="3260639D"/>
    <w:rsid w:val="32610EDC"/>
    <w:rsid w:val="32625D9F"/>
    <w:rsid w:val="32645731"/>
    <w:rsid w:val="326C154C"/>
    <w:rsid w:val="326C1695"/>
    <w:rsid w:val="326E3275"/>
    <w:rsid w:val="326E4AA3"/>
    <w:rsid w:val="32723751"/>
    <w:rsid w:val="3276755E"/>
    <w:rsid w:val="327D17E9"/>
    <w:rsid w:val="327E0A2E"/>
    <w:rsid w:val="327E5485"/>
    <w:rsid w:val="328015D4"/>
    <w:rsid w:val="32806DF6"/>
    <w:rsid w:val="32892EB1"/>
    <w:rsid w:val="32895BAC"/>
    <w:rsid w:val="328C1BF5"/>
    <w:rsid w:val="328E51AD"/>
    <w:rsid w:val="328F2E0C"/>
    <w:rsid w:val="328F4E2B"/>
    <w:rsid w:val="32910002"/>
    <w:rsid w:val="3294077D"/>
    <w:rsid w:val="32940890"/>
    <w:rsid w:val="32950992"/>
    <w:rsid w:val="32951ACF"/>
    <w:rsid w:val="3296068C"/>
    <w:rsid w:val="32995352"/>
    <w:rsid w:val="329A168B"/>
    <w:rsid w:val="329E2D00"/>
    <w:rsid w:val="329E6876"/>
    <w:rsid w:val="32A55607"/>
    <w:rsid w:val="32AA16D6"/>
    <w:rsid w:val="32AC6BA0"/>
    <w:rsid w:val="32AE3E76"/>
    <w:rsid w:val="32AE63FF"/>
    <w:rsid w:val="32B03DDD"/>
    <w:rsid w:val="32B40BC8"/>
    <w:rsid w:val="32B5467D"/>
    <w:rsid w:val="32BB6F67"/>
    <w:rsid w:val="32BF7AC5"/>
    <w:rsid w:val="32C17A73"/>
    <w:rsid w:val="32C43D6A"/>
    <w:rsid w:val="32C713E0"/>
    <w:rsid w:val="32CE1BED"/>
    <w:rsid w:val="32D27DA0"/>
    <w:rsid w:val="32D849DE"/>
    <w:rsid w:val="32D963AA"/>
    <w:rsid w:val="32DD4AEB"/>
    <w:rsid w:val="32DE0FE4"/>
    <w:rsid w:val="32E97DF4"/>
    <w:rsid w:val="32F125AE"/>
    <w:rsid w:val="32F524F4"/>
    <w:rsid w:val="32F66E6B"/>
    <w:rsid w:val="32FF141D"/>
    <w:rsid w:val="330524E0"/>
    <w:rsid w:val="33057289"/>
    <w:rsid w:val="330628EF"/>
    <w:rsid w:val="33062A19"/>
    <w:rsid w:val="330863C1"/>
    <w:rsid w:val="330A0EED"/>
    <w:rsid w:val="330B177A"/>
    <w:rsid w:val="330D4096"/>
    <w:rsid w:val="331532D2"/>
    <w:rsid w:val="3317694E"/>
    <w:rsid w:val="331A61FF"/>
    <w:rsid w:val="331E170F"/>
    <w:rsid w:val="33242AB1"/>
    <w:rsid w:val="3328091C"/>
    <w:rsid w:val="332A12D8"/>
    <w:rsid w:val="332F0A44"/>
    <w:rsid w:val="333015F2"/>
    <w:rsid w:val="333C4F81"/>
    <w:rsid w:val="333E6941"/>
    <w:rsid w:val="33494A72"/>
    <w:rsid w:val="3349544B"/>
    <w:rsid w:val="334A159A"/>
    <w:rsid w:val="334B6320"/>
    <w:rsid w:val="334F5673"/>
    <w:rsid w:val="33594B70"/>
    <w:rsid w:val="335C6172"/>
    <w:rsid w:val="335F0F52"/>
    <w:rsid w:val="336608B3"/>
    <w:rsid w:val="336A58F7"/>
    <w:rsid w:val="336C6F08"/>
    <w:rsid w:val="336F7E08"/>
    <w:rsid w:val="33715562"/>
    <w:rsid w:val="337563DD"/>
    <w:rsid w:val="33774D33"/>
    <w:rsid w:val="337755E6"/>
    <w:rsid w:val="33810E4C"/>
    <w:rsid w:val="338673F1"/>
    <w:rsid w:val="338850C4"/>
    <w:rsid w:val="3389095C"/>
    <w:rsid w:val="338A42CA"/>
    <w:rsid w:val="33A20278"/>
    <w:rsid w:val="33AC6F0C"/>
    <w:rsid w:val="33AD4D84"/>
    <w:rsid w:val="33B26438"/>
    <w:rsid w:val="33B63D56"/>
    <w:rsid w:val="33B734CA"/>
    <w:rsid w:val="33BA1E20"/>
    <w:rsid w:val="33BA2649"/>
    <w:rsid w:val="33C615F7"/>
    <w:rsid w:val="33C754F6"/>
    <w:rsid w:val="33CC2E26"/>
    <w:rsid w:val="33CC6001"/>
    <w:rsid w:val="33D41076"/>
    <w:rsid w:val="33D934D4"/>
    <w:rsid w:val="33E1314C"/>
    <w:rsid w:val="33E2566D"/>
    <w:rsid w:val="33E53B57"/>
    <w:rsid w:val="33E6681B"/>
    <w:rsid w:val="33E800AC"/>
    <w:rsid w:val="33EB43CE"/>
    <w:rsid w:val="33F145BF"/>
    <w:rsid w:val="33F27111"/>
    <w:rsid w:val="33F61664"/>
    <w:rsid w:val="33F858B9"/>
    <w:rsid w:val="33F94FAB"/>
    <w:rsid w:val="33FA7678"/>
    <w:rsid w:val="33FB424B"/>
    <w:rsid w:val="33FE2F6A"/>
    <w:rsid w:val="33FE7F29"/>
    <w:rsid w:val="33FF2FCE"/>
    <w:rsid w:val="33FF3AC9"/>
    <w:rsid w:val="34025859"/>
    <w:rsid w:val="340631F3"/>
    <w:rsid w:val="340707B7"/>
    <w:rsid w:val="34073862"/>
    <w:rsid w:val="3408793A"/>
    <w:rsid w:val="34093D8D"/>
    <w:rsid w:val="340D6498"/>
    <w:rsid w:val="340E07E5"/>
    <w:rsid w:val="34111AAB"/>
    <w:rsid w:val="34113B46"/>
    <w:rsid w:val="341175CD"/>
    <w:rsid w:val="34123770"/>
    <w:rsid w:val="34212FE2"/>
    <w:rsid w:val="342336C1"/>
    <w:rsid w:val="34235BF7"/>
    <w:rsid w:val="34247D7B"/>
    <w:rsid w:val="34261B77"/>
    <w:rsid w:val="342A63CD"/>
    <w:rsid w:val="34364998"/>
    <w:rsid w:val="343A5162"/>
    <w:rsid w:val="343D0828"/>
    <w:rsid w:val="343E4AAC"/>
    <w:rsid w:val="344005B9"/>
    <w:rsid w:val="34421298"/>
    <w:rsid w:val="34474DD2"/>
    <w:rsid w:val="344B4813"/>
    <w:rsid w:val="344D4A82"/>
    <w:rsid w:val="345A1FA0"/>
    <w:rsid w:val="345D6A50"/>
    <w:rsid w:val="345E2F67"/>
    <w:rsid w:val="345F6638"/>
    <w:rsid w:val="346160EF"/>
    <w:rsid w:val="34644677"/>
    <w:rsid w:val="346E54AF"/>
    <w:rsid w:val="346F1AFD"/>
    <w:rsid w:val="347276AE"/>
    <w:rsid w:val="34740E9C"/>
    <w:rsid w:val="34743A1E"/>
    <w:rsid w:val="347C6F96"/>
    <w:rsid w:val="347F6AB4"/>
    <w:rsid w:val="3481453E"/>
    <w:rsid w:val="34833F31"/>
    <w:rsid w:val="348B41C3"/>
    <w:rsid w:val="348D53B2"/>
    <w:rsid w:val="34981987"/>
    <w:rsid w:val="34996FD6"/>
    <w:rsid w:val="349E01F9"/>
    <w:rsid w:val="34A140E4"/>
    <w:rsid w:val="34B4062E"/>
    <w:rsid w:val="34B65621"/>
    <w:rsid w:val="34B66EBC"/>
    <w:rsid w:val="34B963BA"/>
    <w:rsid w:val="34BE1ED2"/>
    <w:rsid w:val="34C370CD"/>
    <w:rsid w:val="34CE1E45"/>
    <w:rsid w:val="34CE3FBF"/>
    <w:rsid w:val="34CF02BB"/>
    <w:rsid w:val="34D27105"/>
    <w:rsid w:val="34D308EE"/>
    <w:rsid w:val="34D41D6D"/>
    <w:rsid w:val="34D45F78"/>
    <w:rsid w:val="34D72FC8"/>
    <w:rsid w:val="34D97489"/>
    <w:rsid w:val="34DD3B7F"/>
    <w:rsid w:val="34E46368"/>
    <w:rsid w:val="34E55CBD"/>
    <w:rsid w:val="34EE229C"/>
    <w:rsid w:val="34F130B2"/>
    <w:rsid w:val="34F733D0"/>
    <w:rsid w:val="34FC429C"/>
    <w:rsid w:val="34FD36E3"/>
    <w:rsid w:val="34FD58CE"/>
    <w:rsid w:val="34FF06C5"/>
    <w:rsid w:val="34FF6529"/>
    <w:rsid w:val="35011425"/>
    <w:rsid w:val="3504041B"/>
    <w:rsid w:val="35057CFC"/>
    <w:rsid w:val="35066A3B"/>
    <w:rsid w:val="35071E7F"/>
    <w:rsid w:val="350F160B"/>
    <w:rsid w:val="351007FB"/>
    <w:rsid w:val="351153E0"/>
    <w:rsid w:val="351B0F60"/>
    <w:rsid w:val="351D3AC4"/>
    <w:rsid w:val="351F7200"/>
    <w:rsid w:val="351F7D86"/>
    <w:rsid w:val="352932DB"/>
    <w:rsid w:val="35326619"/>
    <w:rsid w:val="3535316F"/>
    <w:rsid w:val="353716F5"/>
    <w:rsid w:val="353953D8"/>
    <w:rsid w:val="353B3288"/>
    <w:rsid w:val="353B7D23"/>
    <w:rsid w:val="353D2D0F"/>
    <w:rsid w:val="35414098"/>
    <w:rsid w:val="354858A5"/>
    <w:rsid w:val="354C11BB"/>
    <w:rsid w:val="354C674C"/>
    <w:rsid w:val="354E7792"/>
    <w:rsid w:val="35531BEF"/>
    <w:rsid w:val="35583DE5"/>
    <w:rsid w:val="3559524A"/>
    <w:rsid w:val="355965B1"/>
    <w:rsid w:val="355A30D0"/>
    <w:rsid w:val="355E35F8"/>
    <w:rsid w:val="355E7D53"/>
    <w:rsid w:val="35634647"/>
    <w:rsid w:val="35643762"/>
    <w:rsid w:val="35643C8A"/>
    <w:rsid w:val="356468B8"/>
    <w:rsid w:val="356627C2"/>
    <w:rsid w:val="356733EA"/>
    <w:rsid w:val="356F3ADF"/>
    <w:rsid w:val="357C6747"/>
    <w:rsid w:val="357D1EF6"/>
    <w:rsid w:val="358062DE"/>
    <w:rsid w:val="35846501"/>
    <w:rsid w:val="35847960"/>
    <w:rsid w:val="358C5FA8"/>
    <w:rsid w:val="358C6296"/>
    <w:rsid w:val="35942299"/>
    <w:rsid w:val="35946F5E"/>
    <w:rsid w:val="35983B46"/>
    <w:rsid w:val="35991A72"/>
    <w:rsid w:val="359C73A0"/>
    <w:rsid w:val="35A21365"/>
    <w:rsid w:val="35A304CF"/>
    <w:rsid w:val="35A42B9A"/>
    <w:rsid w:val="35A87AE4"/>
    <w:rsid w:val="35B3642F"/>
    <w:rsid w:val="35C15DF1"/>
    <w:rsid w:val="35C35E25"/>
    <w:rsid w:val="35C56EB2"/>
    <w:rsid w:val="35CE67F4"/>
    <w:rsid w:val="35CF107B"/>
    <w:rsid w:val="35D242F9"/>
    <w:rsid w:val="35D8382C"/>
    <w:rsid w:val="35DB3C8C"/>
    <w:rsid w:val="35DE40F6"/>
    <w:rsid w:val="35DE61DC"/>
    <w:rsid w:val="35DE68C6"/>
    <w:rsid w:val="35E071D7"/>
    <w:rsid w:val="35E558EC"/>
    <w:rsid w:val="35F47CBB"/>
    <w:rsid w:val="35F56D38"/>
    <w:rsid w:val="36011B3A"/>
    <w:rsid w:val="36030126"/>
    <w:rsid w:val="360419DB"/>
    <w:rsid w:val="360429F4"/>
    <w:rsid w:val="36047344"/>
    <w:rsid w:val="36050AA1"/>
    <w:rsid w:val="360645CF"/>
    <w:rsid w:val="36065737"/>
    <w:rsid w:val="36074A7F"/>
    <w:rsid w:val="360B244A"/>
    <w:rsid w:val="360D79B4"/>
    <w:rsid w:val="360F015B"/>
    <w:rsid w:val="360F6CE7"/>
    <w:rsid w:val="36105EE5"/>
    <w:rsid w:val="36143F9C"/>
    <w:rsid w:val="361B5B07"/>
    <w:rsid w:val="36211653"/>
    <w:rsid w:val="362831D7"/>
    <w:rsid w:val="36286AB0"/>
    <w:rsid w:val="3630238B"/>
    <w:rsid w:val="36341D82"/>
    <w:rsid w:val="36356B6B"/>
    <w:rsid w:val="3637717E"/>
    <w:rsid w:val="363812EF"/>
    <w:rsid w:val="3639699D"/>
    <w:rsid w:val="363A0863"/>
    <w:rsid w:val="36404A5C"/>
    <w:rsid w:val="364D0716"/>
    <w:rsid w:val="3654144F"/>
    <w:rsid w:val="365D2F9D"/>
    <w:rsid w:val="36622CC5"/>
    <w:rsid w:val="36624F4E"/>
    <w:rsid w:val="36626DC6"/>
    <w:rsid w:val="36630032"/>
    <w:rsid w:val="36634F01"/>
    <w:rsid w:val="36674CC9"/>
    <w:rsid w:val="36724E15"/>
    <w:rsid w:val="367274FC"/>
    <w:rsid w:val="3679290A"/>
    <w:rsid w:val="367B5887"/>
    <w:rsid w:val="368825D0"/>
    <w:rsid w:val="368C7E05"/>
    <w:rsid w:val="368D75CE"/>
    <w:rsid w:val="368E66F2"/>
    <w:rsid w:val="36923549"/>
    <w:rsid w:val="36936807"/>
    <w:rsid w:val="36936CEE"/>
    <w:rsid w:val="369A6F67"/>
    <w:rsid w:val="369F33E5"/>
    <w:rsid w:val="369F797B"/>
    <w:rsid w:val="36A155D4"/>
    <w:rsid w:val="36A53B14"/>
    <w:rsid w:val="36A74C31"/>
    <w:rsid w:val="36A75FFC"/>
    <w:rsid w:val="36B1437B"/>
    <w:rsid w:val="36B26D3E"/>
    <w:rsid w:val="36B35358"/>
    <w:rsid w:val="36B543B5"/>
    <w:rsid w:val="36B75FBF"/>
    <w:rsid w:val="36BD0C45"/>
    <w:rsid w:val="36BD5EA8"/>
    <w:rsid w:val="36C04C64"/>
    <w:rsid w:val="36C06352"/>
    <w:rsid w:val="36C67CB2"/>
    <w:rsid w:val="36CC00E0"/>
    <w:rsid w:val="36CC3990"/>
    <w:rsid w:val="36CE47BC"/>
    <w:rsid w:val="36D30CCF"/>
    <w:rsid w:val="36D4403A"/>
    <w:rsid w:val="36D714F4"/>
    <w:rsid w:val="36EA0DBC"/>
    <w:rsid w:val="36EE4C06"/>
    <w:rsid w:val="36F31241"/>
    <w:rsid w:val="36F57DC5"/>
    <w:rsid w:val="36FD0730"/>
    <w:rsid w:val="36FF79D9"/>
    <w:rsid w:val="37077089"/>
    <w:rsid w:val="37080769"/>
    <w:rsid w:val="370E5D00"/>
    <w:rsid w:val="371371EE"/>
    <w:rsid w:val="3717362F"/>
    <w:rsid w:val="371E5B1F"/>
    <w:rsid w:val="372155B4"/>
    <w:rsid w:val="37251885"/>
    <w:rsid w:val="37261E69"/>
    <w:rsid w:val="372C0A6C"/>
    <w:rsid w:val="372D335C"/>
    <w:rsid w:val="372E34D0"/>
    <w:rsid w:val="372F5AA1"/>
    <w:rsid w:val="3734779C"/>
    <w:rsid w:val="37355C95"/>
    <w:rsid w:val="373A267B"/>
    <w:rsid w:val="37425C86"/>
    <w:rsid w:val="3747338B"/>
    <w:rsid w:val="374746FA"/>
    <w:rsid w:val="374750E9"/>
    <w:rsid w:val="374A6BC6"/>
    <w:rsid w:val="374B4BD9"/>
    <w:rsid w:val="37560F0B"/>
    <w:rsid w:val="375819AC"/>
    <w:rsid w:val="375A1A24"/>
    <w:rsid w:val="375D58C2"/>
    <w:rsid w:val="375E072F"/>
    <w:rsid w:val="375F0242"/>
    <w:rsid w:val="37612421"/>
    <w:rsid w:val="37646AC5"/>
    <w:rsid w:val="37681BC3"/>
    <w:rsid w:val="376E04C5"/>
    <w:rsid w:val="37790373"/>
    <w:rsid w:val="377D3BAC"/>
    <w:rsid w:val="377D6D5D"/>
    <w:rsid w:val="3784632F"/>
    <w:rsid w:val="378A6A48"/>
    <w:rsid w:val="378E678D"/>
    <w:rsid w:val="37924E87"/>
    <w:rsid w:val="3794522C"/>
    <w:rsid w:val="379C738E"/>
    <w:rsid w:val="379F2A8A"/>
    <w:rsid w:val="37A3592A"/>
    <w:rsid w:val="37A6096D"/>
    <w:rsid w:val="37A91900"/>
    <w:rsid w:val="37AD46CA"/>
    <w:rsid w:val="37B2152A"/>
    <w:rsid w:val="37B55D56"/>
    <w:rsid w:val="37B80255"/>
    <w:rsid w:val="37BA1B82"/>
    <w:rsid w:val="37C31076"/>
    <w:rsid w:val="37C61D76"/>
    <w:rsid w:val="37C9569A"/>
    <w:rsid w:val="37D10957"/>
    <w:rsid w:val="37D8159C"/>
    <w:rsid w:val="37DB50EA"/>
    <w:rsid w:val="37E00298"/>
    <w:rsid w:val="37E14224"/>
    <w:rsid w:val="37E3582A"/>
    <w:rsid w:val="37E87A37"/>
    <w:rsid w:val="37E93C87"/>
    <w:rsid w:val="37EB4F24"/>
    <w:rsid w:val="37ED09D7"/>
    <w:rsid w:val="37F8451A"/>
    <w:rsid w:val="37F97160"/>
    <w:rsid w:val="37FC3F69"/>
    <w:rsid w:val="37FF3426"/>
    <w:rsid w:val="3801798E"/>
    <w:rsid w:val="38032966"/>
    <w:rsid w:val="380611DD"/>
    <w:rsid w:val="38080241"/>
    <w:rsid w:val="380954C3"/>
    <w:rsid w:val="380A6843"/>
    <w:rsid w:val="38111265"/>
    <w:rsid w:val="38123D2C"/>
    <w:rsid w:val="381257EB"/>
    <w:rsid w:val="38133173"/>
    <w:rsid w:val="38147828"/>
    <w:rsid w:val="381E3821"/>
    <w:rsid w:val="38202F23"/>
    <w:rsid w:val="38213B8C"/>
    <w:rsid w:val="38213F4A"/>
    <w:rsid w:val="38235B50"/>
    <w:rsid w:val="382471D8"/>
    <w:rsid w:val="382627CB"/>
    <w:rsid w:val="38266236"/>
    <w:rsid w:val="382A17F7"/>
    <w:rsid w:val="38300F97"/>
    <w:rsid w:val="383032CD"/>
    <w:rsid w:val="38344672"/>
    <w:rsid w:val="38371264"/>
    <w:rsid w:val="383C2391"/>
    <w:rsid w:val="383D6D9B"/>
    <w:rsid w:val="38433B03"/>
    <w:rsid w:val="3846585A"/>
    <w:rsid w:val="38491F6E"/>
    <w:rsid w:val="384951D1"/>
    <w:rsid w:val="384B3067"/>
    <w:rsid w:val="384C1801"/>
    <w:rsid w:val="384C382E"/>
    <w:rsid w:val="384D18EA"/>
    <w:rsid w:val="38560A6A"/>
    <w:rsid w:val="38611999"/>
    <w:rsid w:val="386143EE"/>
    <w:rsid w:val="38657EDA"/>
    <w:rsid w:val="386B0CAB"/>
    <w:rsid w:val="386D530D"/>
    <w:rsid w:val="386D5E32"/>
    <w:rsid w:val="386F1CE7"/>
    <w:rsid w:val="38700A63"/>
    <w:rsid w:val="38745E66"/>
    <w:rsid w:val="38753ADC"/>
    <w:rsid w:val="38786062"/>
    <w:rsid w:val="387A3267"/>
    <w:rsid w:val="387F5451"/>
    <w:rsid w:val="388406A9"/>
    <w:rsid w:val="38863DEE"/>
    <w:rsid w:val="388672B8"/>
    <w:rsid w:val="3888296E"/>
    <w:rsid w:val="38892AC1"/>
    <w:rsid w:val="388A0A91"/>
    <w:rsid w:val="388A37E7"/>
    <w:rsid w:val="388A7DF0"/>
    <w:rsid w:val="38915C5D"/>
    <w:rsid w:val="38964CEE"/>
    <w:rsid w:val="3897096C"/>
    <w:rsid w:val="389A7402"/>
    <w:rsid w:val="389F5C24"/>
    <w:rsid w:val="38A02E68"/>
    <w:rsid w:val="38A327F3"/>
    <w:rsid w:val="38A44C2B"/>
    <w:rsid w:val="38A76E8C"/>
    <w:rsid w:val="38B11E5D"/>
    <w:rsid w:val="38B302F9"/>
    <w:rsid w:val="38CD10D2"/>
    <w:rsid w:val="38CF4BCB"/>
    <w:rsid w:val="38D127AD"/>
    <w:rsid w:val="38D14466"/>
    <w:rsid w:val="38D2627E"/>
    <w:rsid w:val="38D555F4"/>
    <w:rsid w:val="38D63441"/>
    <w:rsid w:val="38DD2201"/>
    <w:rsid w:val="38E14FA6"/>
    <w:rsid w:val="38E41292"/>
    <w:rsid w:val="38EB6BC5"/>
    <w:rsid w:val="38ED53C8"/>
    <w:rsid w:val="38ED71DA"/>
    <w:rsid w:val="38F12CD3"/>
    <w:rsid w:val="38F3416D"/>
    <w:rsid w:val="38F87CC4"/>
    <w:rsid w:val="38F94775"/>
    <w:rsid w:val="38FE468D"/>
    <w:rsid w:val="3907725D"/>
    <w:rsid w:val="390A0D69"/>
    <w:rsid w:val="390A2A46"/>
    <w:rsid w:val="39112F79"/>
    <w:rsid w:val="3911609D"/>
    <w:rsid w:val="391235A3"/>
    <w:rsid w:val="39181E3D"/>
    <w:rsid w:val="391879B6"/>
    <w:rsid w:val="391A7D89"/>
    <w:rsid w:val="39272277"/>
    <w:rsid w:val="39286245"/>
    <w:rsid w:val="392971ED"/>
    <w:rsid w:val="392A6D59"/>
    <w:rsid w:val="392C5C74"/>
    <w:rsid w:val="392E030F"/>
    <w:rsid w:val="39325651"/>
    <w:rsid w:val="3938744D"/>
    <w:rsid w:val="393D383C"/>
    <w:rsid w:val="39443A51"/>
    <w:rsid w:val="394A1B6C"/>
    <w:rsid w:val="394B4C7E"/>
    <w:rsid w:val="39505E40"/>
    <w:rsid w:val="395F5D51"/>
    <w:rsid w:val="396819F7"/>
    <w:rsid w:val="39697143"/>
    <w:rsid w:val="396C64BC"/>
    <w:rsid w:val="3974061A"/>
    <w:rsid w:val="39747219"/>
    <w:rsid w:val="39757030"/>
    <w:rsid w:val="397724B4"/>
    <w:rsid w:val="39786EBA"/>
    <w:rsid w:val="39853E5C"/>
    <w:rsid w:val="39913494"/>
    <w:rsid w:val="39936B01"/>
    <w:rsid w:val="3994316F"/>
    <w:rsid w:val="3998363D"/>
    <w:rsid w:val="39987CA4"/>
    <w:rsid w:val="399A2F42"/>
    <w:rsid w:val="399B1B63"/>
    <w:rsid w:val="399E3C70"/>
    <w:rsid w:val="39A35D4D"/>
    <w:rsid w:val="39A67D79"/>
    <w:rsid w:val="39B12CEE"/>
    <w:rsid w:val="39B600F2"/>
    <w:rsid w:val="39B86C7B"/>
    <w:rsid w:val="39BD40A6"/>
    <w:rsid w:val="39BD55A4"/>
    <w:rsid w:val="39BF0DB6"/>
    <w:rsid w:val="39C44A1D"/>
    <w:rsid w:val="39D32C64"/>
    <w:rsid w:val="39DA2245"/>
    <w:rsid w:val="39F22889"/>
    <w:rsid w:val="39F533B0"/>
    <w:rsid w:val="39F840C6"/>
    <w:rsid w:val="39FD5F33"/>
    <w:rsid w:val="39FE0AB7"/>
    <w:rsid w:val="39FE6685"/>
    <w:rsid w:val="3A032761"/>
    <w:rsid w:val="3A0D2BBD"/>
    <w:rsid w:val="3A100540"/>
    <w:rsid w:val="3A143EC4"/>
    <w:rsid w:val="3A151EB3"/>
    <w:rsid w:val="3A184A43"/>
    <w:rsid w:val="3A217E73"/>
    <w:rsid w:val="3A235D4C"/>
    <w:rsid w:val="3A266299"/>
    <w:rsid w:val="3A274209"/>
    <w:rsid w:val="3A2D4A6A"/>
    <w:rsid w:val="3A3B1017"/>
    <w:rsid w:val="3A431A2D"/>
    <w:rsid w:val="3A477331"/>
    <w:rsid w:val="3A490DD8"/>
    <w:rsid w:val="3A4943E3"/>
    <w:rsid w:val="3A4A561C"/>
    <w:rsid w:val="3A511CE6"/>
    <w:rsid w:val="3A573C88"/>
    <w:rsid w:val="3A606E67"/>
    <w:rsid w:val="3A676D50"/>
    <w:rsid w:val="3A6A238A"/>
    <w:rsid w:val="3A6C305A"/>
    <w:rsid w:val="3A6C4FCF"/>
    <w:rsid w:val="3A7015E9"/>
    <w:rsid w:val="3A7461F5"/>
    <w:rsid w:val="3A766411"/>
    <w:rsid w:val="3A7B7B50"/>
    <w:rsid w:val="3A7C56F4"/>
    <w:rsid w:val="3A7C65E2"/>
    <w:rsid w:val="3A7D77A0"/>
    <w:rsid w:val="3A804554"/>
    <w:rsid w:val="3A810F82"/>
    <w:rsid w:val="3A8462F6"/>
    <w:rsid w:val="3A867C8E"/>
    <w:rsid w:val="3A872856"/>
    <w:rsid w:val="3A8873C5"/>
    <w:rsid w:val="3A8D0A6B"/>
    <w:rsid w:val="3A8D6A78"/>
    <w:rsid w:val="3A9944E4"/>
    <w:rsid w:val="3A9C0436"/>
    <w:rsid w:val="3A9F58C1"/>
    <w:rsid w:val="3AA06EC0"/>
    <w:rsid w:val="3AA84882"/>
    <w:rsid w:val="3AA85F85"/>
    <w:rsid w:val="3AAA0C4A"/>
    <w:rsid w:val="3AAA1721"/>
    <w:rsid w:val="3AB02FA5"/>
    <w:rsid w:val="3AB2398F"/>
    <w:rsid w:val="3AB259B6"/>
    <w:rsid w:val="3AB313DC"/>
    <w:rsid w:val="3AB32AF3"/>
    <w:rsid w:val="3AB759C6"/>
    <w:rsid w:val="3ABE5880"/>
    <w:rsid w:val="3AC632A7"/>
    <w:rsid w:val="3ACA1349"/>
    <w:rsid w:val="3ACE0B3D"/>
    <w:rsid w:val="3AD0528D"/>
    <w:rsid w:val="3AD43091"/>
    <w:rsid w:val="3AD8517B"/>
    <w:rsid w:val="3AE2095D"/>
    <w:rsid w:val="3AE26146"/>
    <w:rsid w:val="3AE34D2F"/>
    <w:rsid w:val="3AE35B09"/>
    <w:rsid w:val="3AEA56B6"/>
    <w:rsid w:val="3AEE3A3B"/>
    <w:rsid w:val="3AEF3621"/>
    <w:rsid w:val="3AF36FCC"/>
    <w:rsid w:val="3B0E2AEC"/>
    <w:rsid w:val="3B127E44"/>
    <w:rsid w:val="3B140A60"/>
    <w:rsid w:val="3B141795"/>
    <w:rsid w:val="3B175E98"/>
    <w:rsid w:val="3B194FEF"/>
    <w:rsid w:val="3B1A16A4"/>
    <w:rsid w:val="3B233B19"/>
    <w:rsid w:val="3B242FBB"/>
    <w:rsid w:val="3B2E6FE8"/>
    <w:rsid w:val="3B36022D"/>
    <w:rsid w:val="3B3763D1"/>
    <w:rsid w:val="3B3A35CA"/>
    <w:rsid w:val="3B406E27"/>
    <w:rsid w:val="3B422A59"/>
    <w:rsid w:val="3B447151"/>
    <w:rsid w:val="3B477D6F"/>
    <w:rsid w:val="3B48030C"/>
    <w:rsid w:val="3B483701"/>
    <w:rsid w:val="3B493622"/>
    <w:rsid w:val="3B4F570D"/>
    <w:rsid w:val="3B501CEF"/>
    <w:rsid w:val="3B52574D"/>
    <w:rsid w:val="3B56643C"/>
    <w:rsid w:val="3B5B1995"/>
    <w:rsid w:val="3B5B6CB6"/>
    <w:rsid w:val="3B5D7C17"/>
    <w:rsid w:val="3B6A5961"/>
    <w:rsid w:val="3B6C7143"/>
    <w:rsid w:val="3B6D005E"/>
    <w:rsid w:val="3B7A070E"/>
    <w:rsid w:val="3B7D1310"/>
    <w:rsid w:val="3B7F0378"/>
    <w:rsid w:val="3B7F52F2"/>
    <w:rsid w:val="3B8701AA"/>
    <w:rsid w:val="3B937165"/>
    <w:rsid w:val="3B950B19"/>
    <w:rsid w:val="3B980E8D"/>
    <w:rsid w:val="3B9A612F"/>
    <w:rsid w:val="3B9D4EC0"/>
    <w:rsid w:val="3B9E67B4"/>
    <w:rsid w:val="3BA01AFA"/>
    <w:rsid w:val="3BA275E3"/>
    <w:rsid w:val="3BAD7314"/>
    <w:rsid w:val="3BAE3989"/>
    <w:rsid w:val="3BB26101"/>
    <w:rsid w:val="3BB54D17"/>
    <w:rsid w:val="3BB55062"/>
    <w:rsid w:val="3BB6332E"/>
    <w:rsid w:val="3BC17DB9"/>
    <w:rsid w:val="3BC33EEE"/>
    <w:rsid w:val="3BC62009"/>
    <w:rsid w:val="3BC728F7"/>
    <w:rsid w:val="3BC767F9"/>
    <w:rsid w:val="3BC853FA"/>
    <w:rsid w:val="3BCA6BB9"/>
    <w:rsid w:val="3BCE4527"/>
    <w:rsid w:val="3BCF503E"/>
    <w:rsid w:val="3BD03B70"/>
    <w:rsid w:val="3BD063D4"/>
    <w:rsid w:val="3BD122E5"/>
    <w:rsid w:val="3BDE3650"/>
    <w:rsid w:val="3BE51974"/>
    <w:rsid w:val="3BE56F4B"/>
    <w:rsid w:val="3BF629A0"/>
    <w:rsid w:val="3BF90210"/>
    <w:rsid w:val="3BFE50C6"/>
    <w:rsid w:val="3BFE7254"/>
    <w:rsid w:val="3C026E1C"/>
    <w:rsid w:val="3C0B4937"/>
    <w:rsid w:val="3C0D16B7"/>
    <w:rsid w:val="3C0E3DDF"/>
    <w:rsid w:val="3C0F474F"/>
    <w:rsid w:val="3C111CFF"/>
    <w:rsid w:val="3C153534"/>
    <w:rsid w:val="3C161B14"/>
    <w:rsid w:val="3C183903"/>
    <w:rsid w:val="3C2035B9"/>
    <w:rsid w:val="3C20426F"/>
    <w:rsid w:val="3C217C0F"/>
    <w:rsid w:val="3C224A44"/>
    <w:rsid w:val="3C255FC0"/>
    <w:rsid w:val="3C27241F"/>
    <w:rsid w:val="3C2A0E94"/>
    <w:rsid w:val="3C2F6E1E"/>
    <w:rsid w:val="3C2F7DAF"/>
    <w:rsid w:val="3C3124C3"/>
    <w:rsid w:val="3C3243F0"/>
    <w:rsid w:val="3C363711"/>
    <w:rsid w:val="3C3C6AB3"/>
    <w:rsid w:val="3C4D4752"/>
    <w:rsid w:val="3C4F64BA"/>
    <w:rsid w:val="3C515223"/>
    <w:rsid w:val="3C5462DC"/>
    <w:rsid w:val="3C56198A"/>
    <w:rsid w:val="3C595623"/>
    <w:rsid w:val="3C5E1F22"/>
    <w:rsid w:val="3C6518C1"/>
    <w:rsid w:val="3C6606C7"/>
    <w:rsid w:val="3C676149"/>
    <w:rsid w:val="3C6824CF"/>
    <w:rsid w:val="3C77133C"/>
    <w:rsid w:val="3C780569"/>
    <w:rsid w:val="3C7A386B"/>
    <w:rsid w:val="3C7A73A9"/>
    <w:rsid w:val="3C7B316E"/>
    <w:rsid w:val="3C81553B"/>
    <w:rsid w:val="3C82557F"/>
    <w:rsid w:val="3C825C9E"/>
    <w:rsid w:val="3C8A1A8D"/>
    <w:rsid w:val="3C8C2681"/>
    <w:rsid w:val="3C8D7101"/>
    <w:rsid w:val="3C916BA2"/>
    <w:rsid w:val="3C9279C4"/>
    <w:rsid w:val="3C940551"/>
    <w:rsid w:val="3C95318F"/>
    <w:rsid w:val="3C9877F4"/>
    <w:rsid w:val="3C9B49BC"/>
    <w:rsid w:val="3C9E1A95"/>
    <w:rsid w:val="3CA13388"/>
    <w:rsid w:val="3CAF3CEF"/>
    <w:rsid w:val="3CB5413D"/>
    <w:rsid w:val="3CB76793"/>
    <w:rsid w:val="3CBE711D"/>
    <w:rsid w:val="3CC23CCB"/>
    <w:rsid w:val="3CC30E3B"/>
    <w:rsid w:val="3CC75E94"/>
    <w:rsid w:val="3CC94D1C"/>
    <w:rsid w:val="3CCA3DF7"/>
    <w:rsid w:val="3CCB089F"/>
    <w:rsid w:val="3CCB0A91"/>
    <w:rsid w:val="3CCD2CA6"/>
    <w:rsid w:val="3CCF1E09"/>
    <w:rsid w:val="3CD1412F"/>
    <w:rsid w:val="3CD277ED"/>
    <w:rsid w:val="3CD8461F"/>
    <w:rsid w:val="3CDA245A"/>
    <w:rsid w:val="3CDA6FFC"/>
    <w:rsid w:val="3CDA7FE3"/>
    <w:rsid w:val="3CDF57F9"/>
    <w:rsid w:val="3CE23AFA"/>
    <w:rsid w:val="3CF058EC"/>
    <w:rsid w:val="3CF815E2"/>
    <w:rsid w:val="3CF86953"/>
    <w:rsid w:val="3D07761A"/>
    <w:rsid w:val="3D105E16"/>
    <w:rsid w:val="3D13548F"/>
    <w:rsid w:val="3D1E06B7"/>
    <w:rsid w:val="3D1E1742"/>
    <w:rsid w:val="3D24315D"/>
    <w:rsid w:val="3D250B2E"/>
    <w:rsid w:val="3D256FC2"/>
    <w:rsid w:val="3D270462"/>
    <w:rsid w:val="3D284EE6"/>
    <w:rsid w:val="3D2F3298"/>
    <w:rsid w:val="3D314203"/>
    <w:rsid w:val="3D3345DC"/>
    <w:rsid w:val="3D347DC7"/>
    <w:rsid w:val="3D3807F5"/>
    <w:rsid w:val="3D441A00"/>
    <w:rsid w:val="3D4D46FE"/>
    <w:rsid w:val="3D4F43DE"/>
    <w:rsid w:val="3D50175D"/>
    <w:rsid w:val="3D532201"/>
    <w:rsid w:val="3D534D58"/>
    <w:rsid w:val="3D564474"/>
    <w:rsid w:val="3D5E3CA3"/>
    <w:rsid w:val="3D5E50AC"/>
    <w:rsid w:val="3D600CB3"/>
    <w:rsid w:val="3D6151DA"/>
    <w:rsid w:val="3D692455"/>
    <w:rsid w:val="3D6D2A8F"/>
    <w:rsid w:val="3D6D517E"/>
    <w:rsid w:val="3D711112"/>
    <w:rsid w:val="3D73314B"/>
    <w:rsid w:val="3D771C5D"/>
    <w:rsid w:val="3D772E9B"/>
    <w:rsid w:val="3D79747F"/>
    <w:rsid w:val="3D7E738B"/>
    <w:rsid w:val="3D7F32FE"/>
    <w:rsid w:val="3D807D88"/>
    <w:rsid w:val="3D821A97"/>
    <w:rsid w:val="3D877CD6"/>
    <w:rsid w:val="3D892677"/>
    <w:rsid w:val="3D8942A4"/>
    <w:rsid w:val="3D8A5798"/>
    <w:rsid w:val="3D8F24E5"/>
    <w:rsid w:val="3D916312"/>
    <w:rsid w:val="3D970DA4"/>
    <w:rsid w:val="3D972598"/>
    <w:rsid w:val="3D9B218B"/>
    <w:rsid w:val="3D9E2FAA"/>
    <w:rsid w:val="3DA93665"/>
    <w:rsid w:val="3DAA4BB3"/>
    <w:rsid w:val="3DAF62CA"/>
    <w:rsid w:val="3DB128B5"/>
    <w:rsid w:val="3DB345ED"/>
    <w:rsid w:val="3DB553BC"/>
    <w:rsid w:val="3DB86535"/>
    <w:rsid w:val="3DBA4867"/>
    <w:rsid w:val="3DBE5847"/>
    <w:rsid w:val="3DC3798E"/>
    <w:rsid w:val="3DCD4F5E"/>
    <w:rsid w:val="3DD27781"/>
    <w:rsid w:val="3DDF1417"/>
    <w:rsid w:val="3DE21F57"/>
    <w:rsid w:val="3DE620B5"/>
    <w:rsid w:val="3DEB2146"/>
    <w:rsid w:val="3DEB52F5"/>
    <w:rsid w:val="3DEE4511"/>
    <w:rsid w:val="3DF31030"/>
    <w:rsid w:val="3DF8713D"/>
    <w:rsid w:val="3DFB0FD6"/>
    <w:rsid w:val="3DFF75E7"/>
    <w:rsid w:val="3E065AD5"/>
    <w:rsid w:val="3E072A97"/>
    <w:rsid w:val="3E0922D7"/>
    <w:rsid w:val="3E0C2623"/>
    <w:rsid w:val="3E0E3B0C"/>
    <w:rsid w:val="3E105E2F"/>
    <w:rsid w:val="3E12353D"/>
    <w:rsid w:val="3E1621F9"/>
    <w:rsid w:val="3E181688"/>
    <w:rsid w:val="3E1D6B51"/>
    <w:rsid w:val="3E1E11CE"/>
    <w:rsid w:val="3E1E4C89"/>
    <w:rsid w:val="3E204E08"/>
    <w:rsid w:val="3E233F9F"/>
    <w:rsid w:val="3E2E10B8"/>
    <w:rsid w:val="3E2E1DEF"/>
    <w:rsid w:val="3E394A99"/>
    <w:rsid w:val="3E420D1E"/>
    <w:rsid w:val="3E474558"/>
    <w:rsid w:val="3E483849"/>
    <w:rsid w:val="3E5128E6"/>
    <w:rsid w:val="3E515E7D"/>
    <w:rsid w:val="3E5B0086"/>
    <w:rsid w:val="3E683699"/>
    <w:rsid w:val="3E6D165B"/>
    <w:rsid w:val="3E79276B"/>
    <w:rsid w:val="3E8201BD"/>
    <w:rsid w:val="3E8242B0"/>
    <w:rsid w:val="3E8B2210"/>
    <w:rsid w:val="3E8B7FB1"/>
    <w:rsid w:val="3E936AA9"/>
    <w:rsid w:val="3E971C1C"/>
    <w:rsid w:val="3EA32F0E"/>
    <w:rsid w:val="3EAE189A"/>
    <w:rsid w:val="3EAF0DB5"/>
    <w:rsid w:val="3EB3432F"/>
    <w:rsid w:val="3EB65D94"/>
    <w:rsid w:val="3EBE2135"/>
    <w:rsid w:val="3EBE5188"/>
    <w:rsid w:val="3EC04B48"/>
    <w:rsid w:val="3ECA5165"/>
    <w:rsid w:val="3ED83479"/>
    <w:rsid w:val="3ED962D5"/>
    <w:rsid w:val="3EDA0523"/>
    <w:rsid w:val="3EDA212A"/>
    <w:rsid w:val="3EDD64B7"/>
    <w:rsid w:val="3EDE6EF2"/>
    <w:rsid w:val="3EE00997"/>
    <w:rsid w:val="3EE07100"/>
    <w:rsid w:val="3EEB0A50"/>
    <w:rsid w:val="3EED2ADA"/>
    <w:rsid w:val="3EEE3A4E"/>
    <w:rsid w:val="3EF26D09"/>
    <w:rsid w:val="3EFB1470"/>
    <w:rsid w:val="3EFB4FAB"/>
    <w:rsid w:val="3EFC42BC"/>
    <w:rsid w:val="3EFC6A4A"/>
    <w:rsid w:val="3EFE0783"/>
    <w:rsid w:val="3F00051C"/>
    <w:rsid w:val="3F034335"/>
    <w:rsid w:val="3F0B3491"/>
    <w:rsid w:val="3F0D37E0"/>
    <w:rsid w:val="3F113F8B"/>
    <w:rsid w:val="3F116709"/>
    <w:rsid w:val="3F1B1B5A"/>
    <w:rsid w:val="3F1F2588"/>
    <w:rsid w:val="3F24414A"/>
    <w:rsid w:val="3F247894"/>
    <w:rsid w:val="3F2C5279"/>
    <w:rsid w:val="3F2C54E1"/>
    <w:rsid w:val="3F331A37"/>
    <w:rsid w:val="3F3526DA"/>
    <w:rsid w:val="3F36523D"/>
    <w:rsid w:val="3F386B7D"/>
    <w:rsid w:val="3F3A7289"/>
    <w:rsid w:val="3F4722B6"/>
    <w:rsid w:val="3F535B51"/>
    <w:rsid w:val="3F542A99"/>
    <w:rsid w:val="3F5B366B"/>
    <w:rsid w:val="3F603C8F"/>
    <w:rsid w:val="3F610A8E"/>
    <w:rsid w:val="3F634D12"/>
    <w:rsid w:val="3F6448D5"/>
    <w:rsid w:val="3F6A703A"/>
    <w:rsid w:val="3F6C5837"/>
    <w:rsid w:val="3F6D0ED2"/>
    <w:rsid w:val="3F760D24"/>
    <w:rsid w:val="3F771405"/>
    <w:rsid w:val="3F7B3860"/>
    <w:rsid w:val="3F7E1D64"/>
    <w:rsid w:val="3F802AC6"/>
    <w:rsid w:val="3F8119AC"/>
    <w:rsid w:val="3F850EA5"/>
    <w:rsid w:val="3F8E5FAB"/>
    <w:rsid w:val="3F8E7FFD"/>
    <w:rsid w:val="3F900BB3"/>
    <w:rsid w:val="3FA46A7A"/>
    <w:rsid w:val="3FA603A3"/>
    <w:rsid w:val="3FA64F08"/>
    <w:rsid w:val="3FA7305F"/>
    <w:rsid w:val="3FAE272A"/>
    <w:rsid w:val="3FAF75B1"/>
    <w:rsid w:val="3FB26127"/>
    <w:rsid w:val="3FBA07F7"/>
    <w:rsid w:val="3FBC5C24"/>
    <w:rsid w:val="3FBF43B6"/>
    <w:rsid w:val="3FC527F0"/>
    <w:rsid w:val="3FC9042B"/>
    <w:rsid w:val="3FCA24EC"/>
    <w:rsid w:val="3FCC0881"/>
    <w:rsid w:val="3FD12FF3"/>
    <w:rsid w:val="3FD24FA8"/>
    <w:rsid w:val="3FD301CC"/>
    <w:rsid w:val="3FE22D6D"/>
    <w:rsid w:val="3FE46D1E"/>
    <w:rsid w:val="3FE63983"/>
    <w:rsid w:val="3FE720F8"/>
    <w:rsid w:val="3FEF3A76"/>
    <w:rsid w:val="3FF2186B"/>
    <w:rsid w:val="3FF27A75"/>
    <w:rsid w:val="3FF93EEC"/>
    <w:rsid w:val="3FFE457C"/>
    <w:rsid w:val="40054FED"/>
    <w:rsid w:val="4007682E"/>
    <w:rsid w:val="4009310A"/>
    <w:rsid w:val="400F17B8"/>
    <w:rsid w:val="40100489"/>
    <w:rsid w:val="401C1D68"/>
    <w:rsid w:val="401D58AB"/>
    <w:rsid w:val="401E7948"/>
    <w:rsid w:val="40285C20"/>
    <w:rsid w:val="40294126"/>
    <w:rsid w:val="40306C03"/>
    <w:rsid w:val="403535D1"/>
    <w:rsid w:val="4037219F"/>
    <w:rsid w:val="403748D9"/>
    <w:rsid w:val="403C2542"/>
    <w:rsid w:val="403E10E2"/>
    <w:rsid w:val="403F4851"/>
    <w:rsid w:val="40416514"/>
    <w:rsid w:val="40450D53"/>
    <w:rsid w:val="40486CC1"/>
    <w:rsid w:val="40490124"/>
    <w:rsid w:val="404E17CF"/>
    <w:rsid w:val="4053301C"/>
    <w:rsid w:val="405368AD"/>
    <w:rsid w:val="40633253"/>
    <w:rsid w:val="406500D4"/>
    <w:rsid w:val="40667819"/>
    <w:rsid w:val="406C2F40"/>
    <w:rsid w:val="406E5709"/>
    <w:rsid w:val="40741D8D"/>
    <w:rsid w:val="40762258"/>
    <w:rsid w:val="40770675"/>
    <w:rsid w:val="407955F4"/>
    <w:rsid w:val="407A6407"/>
    <w:rsid w:val="407F58F4"/>
    <w:rsid w:val="408A63CA"/>
    <w:rsid w:val="408B6759"/>
    <w:rsid w:val="408E6C8A"/>
    <w:rsid w:val="40907B01"/>
    <w:rsid w:val="40965C41"/>
    <w:rsid w:val="4096769B"/>
    <w:rsid w:val="40972FB7"/>
    <w:rsid w:val="40986883"/>
    <w:rsid w:val="409C62CD"/>
    <w:rsid w:val="40A07CA0"/>
    <w:rsid w:val="40A14453"/>
    <w:rsid w:val="40A62919"/>
    <w:rsid w:val="40AD06B3"/>
    <w:rsid w:val="40AF2FF0"/>
    <w:rsid w:val="40B34029"/>
    <w:rsid w:val="40B833BE"/>
    <w:rsid w:val="40CB0B39"/>
    <w:rsid w:val="40CC1FDD"/>
    <w:rsid w:val="40CD6E43"/>
    <w:rsid w:val="40D53EEB"/>
    <w:rsid w:val="40DB29C6"/>
    <w:rsid w:val="40DE0F16"/>
    <w:rsid w:val="40E76083"/>
    <w:rsid w:val="40E76840"/>
    <w:rsid w:val="40EA25C9"/>
    <w:rsid w:val="40ED5D4B"/>
    <w:rsid w:val="40F039AC"/>
    <w:rsid w:val="40F51F31"/>
    <w:rsid w:val="40FC40FD"/>
    <w:rsid w:val="41020EA7"/>
    <w:rsid w:val="41050518"/>
    <w:rsid w:val="41072937"/>
    <w:rsid w:val="410A6A02"/>
    <w:rsid w:val="410B29DB"/>
    <w:rsid w:val="41166B66"/>
    <w:rsid w:val="411870E0"/>
    <w:rsid w:val="411A7EE7"/>
    <w:rsid w:val="411E335F"/>
    <w:rsid w:val="41207106"/>
    <w:rsid w:val="412268DE"/>
    <w:rsid w:val="41234521"/>
    <w:rsid w:val="4125115F"/>
    <w:rsid w:val="41287B9C"/>
    <w:rsid w:val="412D4DEC"/>
    <w:rsid w:val="41360A1E"/>
    <w:rsid w:val="41373AA9"/>
    <w:rsid w:val="413C6B92"/>
    <w:rsid w:val="413D741E"/>
    <w:rsid w:val="414363FA"/>
    <w:rsid w:val="41447D55"/>
    <w:rsid w:val="414B67AD"/>
    <w:rsid w:val="414D2AE7"/>
    <w:rsid w:val="414D32FE"/>
    <w:rsid w:val="41532E7B"/>
    <w:rsid w:val="415421F3"/>
    <w:rsid w:val="415A6EBB"/>
    <w:rsid w:val="415D7C3F"/>
    <w:rsid w:val="41677C31"/>
    <w:rsid w:val="416819DD"/>
    <w:rsid w:val="416C017F"/>
    <w:rsid w:val="4171201C"/>
    <w:rsid w:val="4173647D"/>
    <w:rsid w:val="41783339"/>
    <w:rsid w:val="41784249"/>
    <w:rsid w:val="417A0693"/>
    <w:rsid w:val="417A647F"/>
    <w:rsid w:val="418137E1"/>
    <w:rsid w:val="4191013E"/>
    <w:rsid w:val="419134DA"/>
    <w:rsid w:val="41932BA9"/>
    <w:rsid w:val="419378A9"/>
    <w:rsid w:val="41A24319"/>
    <w:rsid w:val="41A31E67"/>
    <w:rsid w:val="41A649BB"/>
    <w:rsid w:val="41A658AA"/>
    <w:rsid w:val="41AB401B"/>
    <w:rsid w:val="41AB5904"/>
    <w:rsid w:val="41AC2ECD"/>
    <w:rsid w:val="41B1676E"/>
    <w:rsid w:val="41B86AD1"/>
    <w:rsid w:val="41BB0BAE"/>
    <w:rsid w:val="41BB3861"/>
    <w:rsid w:val="41BE5CAE"/>
    <w:rsid w:val="41BF47E2"/>
    <w:rsid w:val="41C14969"/>
    <w:rsid w:val="41C41CE6"/>
    <w:rsid w:val="41C77E8E"/>
    <w:rsid w:val="41C97A72"/>
    <w:rsid w:val="41CA3C46"/>
    <w:rsid w:val="41CE08E1"/>
    <w:rsid w:val="41CF1D02"/>
    <w:rsid w:val="41CF5202"/>
    <w:rsid w:val="41D02EE9"/>
    <w:rsid w:val="41D05400"/>
    <w:rsid w:val="41DA63BD"/>
    <w:rsid w:val="41DD731B"/>
    <w:rsid w:val="41E274C9"/>
    <w:rsid w:val="41E469FE"/>
    <w:rsid w:val="41E80644"/>
    <w:rsid w:val="41EB22C2"/>
    <w:rsid w:val="41EC16DF"/>
    <w:rsid w:val="41EC4A26"/>
    <w:rsid w:val="41F47DDB"/>
    <w:rsid w:val="41FB13D4"/>
    <w:rsid w:val="4200280B"/>
    <w:rsid w:val="4200449D"/>
    <w:rsid w:val="42051E29"/>
    <w:rsid w:val="42075BA1"/>
    <w:rsid w:val="42091719"/>
    <w:rsid w:val="420C1F02"/>
    <w:rsid w:val="420C3D02"/>
    <w:rsid w:val="421431ED"/>
    <w:rsid w:val="42186A70"/>
    <w:rsid w:val="422555CA"/>
    <w:rsid w:val="42260A6F"/>
    <w:rsid w:val="422820EB"/>
    <w:rsid w:val="422D457B"/>
    <w:rsid w:val="422D58AA"/>
    <w:rsid w:val="4232562E"/>
    <w:rsid w:val="42371F35"/>
    <w:rsid w:val="423A3BCC"/>
    <w:rsid w:val="4241334D"/>
    <w:rsid w:val="42432C49"/>
    <w:rsid w:val="4244426C"/>
    <w:rsid w:val="42487EBC"/>
    <w:rsid w:val="424E57D2"/>
    <w:rsid w:val="42521512"/>
    <w:rsid w:val="42575B6F"/>
    <w:rsid w:val="425E239B"/>
    <w:rsid w:val="426122DD"/>
    <w:rsid w:val="426D5D01"/>
    <w:rsid w:val="4278244A"/>
    <w:rsid w:val="42850E36"/>
    <w:rsid w:val="42851D19"/>
    <w:rsid w:val="428617C1"/>
    <w:rsid w:val="428855DC"/>
    <w:rsid w:val="428932A8"/>
    <w:rsid w:val="428D6C40"/>
    <w:rsid w:val="428E52D5"/>
    <w:rsid w:val="429569E3"/>
    <w:rsid w:val="42957207"/>
    <w:rsid w:val="42997776"/>
    <w:rsid w:val="429E731A"/>
    <w:rsid w:val="42A0182E"/>
    <w:rsid w:val="42A20CE7"/>
    <w:rsid w:val="42AD26F9"/>
    <w:rsid w:val="42B26C49"/>
    <w:rsid w:val="42B5056E"/>
    <w:rsid w:val="42B63FD3"/>
    <w:rsid w:val="42B85F8C"/>
    <w:rsid w:val="42B873D8"/>
    <w:rsid w:val="42B9678D"/>
    <w:rsid w:val="42BF20A0"/>
    <w:rsid w:val="42C42BE0"/>
    <w:rsid w:val="42CA1B22"/>
    <w:rsid w:val="42CB1808"/>
    <w:rsid w:val="42CC6EFA"/>
    <w:rsid w:val="42D530EE"/>
    <w:rsid w:val="42D66F2B"/>
    <w:rsid w:val="42DA32B5"/>
    <w:rsid w:val="42DD7ACD"/>
    <w:rsid w:val="42E02F8E"/>
    <w:rsid w:val="42E329F2"/>
    <w:rsid w:val="42E34644"/>
    <w:rsid w:val="42E62CD9"/>
    <w:rsid w:val="42EA36A0"/>
    <w:rsid w:val="42F1320A"/>
    <w:rsid w:val="42F17986"/>
    <w:rsid w:val="42F425C9"/>
    <w:rsid w:val="42F8373B"/>
    <w:rsid w:val="42FE4E20"/>
    <w:rsid w:val="42FE6FA4"/>
    <w:rsid w:val="430E580E"/>
    <w:rsid w:val="430F6836"/>
    <w:rsid w:val="4311446C"/>
    <w:rsid w:val="43147A96"/>
    <w:rsid w:val="431D6265"/>
    <w:rsid w:val="43263635"/>
    <w:rsid w:val="43370A25"/>
    <w:rsid w:val="433A6FE6"/>
    <w:rsid w:val="43480868"/>
    <w:rsid w:val="434870FE"/>
    <w:rsid w:val="434A0CE9"/>
    <w:rsid w:val="434A6B38"/>
    <w:rsid w:val="434A7660"/>
    <w:rsid w:val="434C39D7"/>
    <w:rsid w:val="4350713C"/>
    <w:rsid w:val="435A154C"/>
    <w:rsid w:val="435B28C8"/>
    <w:rsid w:val="436653E0"/>
    <w:rsid w:val="436C6603"/>
    <w:rsid w:val="436E2A9E"/>
    <w:rsid w:val="436F6A88"/>
    <w:rsid w:val="437423B3"/>
    <w:rsid w:val="43784FA8"/>
    <w:rsid w:val="437A7793"/>
    <w:rsid w:val="437E5829"/>
    <w:rsid w:val="4380453C"/>
    <w:rsid w:val="43820556"/>
    <w:rsid w:val="43883A4F"/>
    <w:rsid w:val="438C0A54"/>
    <w:rsid w:val="438D3CFB"/>
    <w:rsid w:val="438D6B97"/>
    <w:rsid w:val="43945A13"/>
    <w:rsid w:val="439475DB"/>
    <w:rsid w:val="4396192D"/>
    <w:rsid w:val="4396299F"/>
    <w:rsid w:val="43967DD3"/>
    <w:rsid w:val="43973BDB"/>
    <w:rsid w:val="439B4F2B"/>
    <w:rsid w:val="439F5073"/>
    <w:rsid w:val="43B0225F"/>
    <w:rsid w:val="43B0722E"/>
    <w:rsid w:val="43B72815"/>
    <w:rsid w:val="43B843D9"/>
    <w:rsid w:val="43BB5DD1"/>
    <w:rsid w:val="43BD4828"/>
    <w:rsid w:val="43C32AA6"/>
    <w:rsid w:val="43C4431A"/>
    <w:rsid w:val="43C9668D"/>
    <w:rsid w:val="43CC6E35"/>
    <w:rsid w:val="43D0604E"/>
    <w:rsid w:val="43D178C3"/>
    <w:rsid w:val="43D74D73"/>
    <w:rsid w:val="43D87FA5"/>
    <w:rsid w:val="43DE5236"/>
    <w:rsid w:val="43E270E6"/>
    <w:rsid w:val="43EA6C20"/>
    <w:rsid w:val="43EF617B"/>
    <w:rsid w:val="43F55EA3"/>
    <w:rsid w:val="43F61AB2"/>
    <w:rsid w:val="43F66839"/>
    <w:rsid w:val="43F95800"/>
    <w:rsid w:val="43F97CE7"/>
    <w:rsid w:val="44020D16"/>
    <w:rsid w:val="44080A7B"/>
    <w:rsid w:val="44093BE6"/>
    <w:rsid w:val="44184E34"/>
    <w:rsid w:val="441E1628"/>
    <w:rsid w:val="44267698"/>
    <w:rsid w:val="442B3337"/>
    <w:rsid w:val="443B78AD"/>
    <w:rsid w:val="44427763"/>
    <w:rsid w:val="44456927"/>
    <w:rsid w:val="44477B79"/>
    <w:rsid w:val="444939E9"/>
    <w:rsid w:val="44507B71"/>
    <w:rsid w:val="44531FDD"/>
    <w:rsid w:val="445814E0"/>
    <w:rsid w:val="44594D5B"/>
    <w:rsid w:val="445B6DFF"/>
    <w:rsid w:val="445C0BC0"/>
    <w:rsid w:val="4461030D"/>
    <w:rsid w:val="446512B8"/>
    <w:rsid w:val="44683D2C"/>
    <w:rsid w:val="446E271A"/>
    <w:rsid w:val="446E2EA0"/>
    <w:rsid w:val="447748E9"/>
    <w:rsid w:val="447A4D50"/>
    <w:rsid w:val="447A64AB"/>
    <w:rsid w:val="447C2876"/>
    <w:rsid w:val="447F5EC2"/>
    <w:rsid w:val="44830047"/>
    <w:rsid w:val="44846BD1"/>
    <w:rsid w:val="44854738"/>
    <w:rsid w:val="44872A74"/>
    <w:rsid w:val="448B2AB9"/>
    <w:rsid w:val="448C5F4B"/>
    <w:rsid w:val="449042AB"/>
    <w:rsid w:val="4490628B"/>
    <w:rsid w:val="44946FB9"/>
    <w:rsid w:val="44947AEE"/>
    <w:rsid w:val="4497580A"/>
    <w:rsid w:val="4497586A"/>
    <w:rsid w:val="44994F12"/>
    <w:rsid w:val="44995A03"/>
    <w:rsid w:val="449E0CA5"/>
    <w:rsid w:val="44A1056D"/>
    <w:rsid w:val="44AA43A4"/>
    <w:rsid w:val="44AE0556"/>
    <w:rsid w:val="44AE316D"/>
    <w:rsid w:val="44B27A28"/>
    <w:rsid w:val="44B951CC"/>
    <w:rsid w:val="44BC39AD"/>
    <w:rsid w:val="44BC4399"/>
    <w:rsid w:val="44BE63F1"/>
    <w:rsid w:val="44BF3731"/>
    <w:rsid w:val="44C14496"/>
    <w:rsid w:val="44C22616"/>
    <w:rsid w:val="44C33761"/>
    <w:rsid w:val="44C35900"/>
    <w:rsid w:val="44C56B5A"/>
    <w:rsid w:val="44CD14E0"/>
    <w:rsid w:val="44D558EA"/>
    <w:rsid w:val="44DA31D6"/>
    <w:rsid w:val="44DB7639"/>
    <w:rsid w:val="44E00926"/>
    <w:rsid w:val="44E27E37"/>
    <w:rsid w:val="44EF040C"/>
    <w:rsid w:val="44F00AD4"/>
    <w:rsid w:val="44F00B6E"/>
    <w:rsid w:val="44F20B0B"/>
    <w:rsid w:val="44F66105"/>
    <w:rsid w:val="44FB6C0B"/>
    <w:rsid w:val="44FE0CB7"/>
    <w:rsid w:val="45017A8B"/>
    <w:rsid w:val="45060392"/>
    <w:rsid w:val="4509484F"/>
    <w:rsid w:val="45096C08"/>
    <w:rsid w:val="450B1358"/>
    <w:rsid w:val="450F2B43"/>
    <w:rsid w:val="4511013F"/>
    <w:rsid w:val="451119D0"/>
    <w:rsid w:val="45115D81"/>
    <w:rsid w:val="45124F88"/>
    <w:rsid w:val="45133949"/>
    <w:rsid w:val="451602B5"/>
    <w:rsid w:val="45165EA7"/>
    <w:rsid w:val="45177728"/>
    <w:rsid w:val="45286450"/>
    <w:rsid w:val="45287BBD"/>
    <w:rsid w:val="452A78E7"/>
    <w:rsid w:val="452E5F4C"/>
    <w:rsid w:val="452E6C67"/>
    <w:rsid w:val="453F5A8E"/>
    <w:rsid w:val="45402CA6"/>
    <w:rsid w:val="454424FD"/>
    <w:rsid w:val="454E6D8B"/>
    <w:rsid w:val="455042D0"/>
    <w:rsid w:val="4553751C"/>
    <w:rsid w:val="455412D5"/>
    <w:rsid w:val="45595171"/>
    <w:rsid w:val="455B61D1"/>
    <w:rsid w:val="45612018"/>
    <w:rsid w:val="45616080"/>
    <w:rsid w:val="45616AB6"/>
    <w:rsid w:val="45634757"/>
    <w:rsid w:val="45642F3D"/>
    <w:rsid w:val="456674E7"/>
    <w:rsid w:val="45693E22"/>
    <w:rsid w:val="456D3640"/>
    <w:rsid w:val="45765517"/>
    <w:rsid w:val="457F6C3D"/>
    <w:rsid w:val="45803AC9"/>
    <w:rsid w:val="45886D5E"/>
    <w:rsid w:val="458946E9"/>
    <w:rsid w:val="458F3769"/>
    <w:rsid w:val="4590191B"/>
    <w:rsid w:val="459308C3"/>
    <w:rsid w:val="45934B08"/>
    <w:rsid w:val="45935784"/>
    <w:rsid w:val="45985AFF"/>
    <w:rsid w:val="459976CC"/>
    <w:rsid w:val="459B04C9"/>
    <w:rsid w:val="459C08B2"/>
    <w:rsid w:val="459D1EA4"/>
    <w:rsid w:val="459D2853"/>
    <w:rsid w:val="459E681C"/>
    <w:rsid w:val="45A22B26"/>
    <w:rsid w:val="45A47C0E"/>
    <w:rsid w:val="45AC17CA"/>
    <w:rsid w:val="45AF695B"/>
    <w:rsid w:val="45B374A1"/>
    <w:rsid w:val="45B426E0"/>
    <w:rsid w:val="45B76C0B"/>
    <w:rsid w:val="45BD4033"/>
    <w:rsid w:val="45C04A8E"/>
    <w:rsid w:val="45C14DE1"/>
    <w:rsid w:val="45C35A91"/>
    <w:rsid w:val="45C83D21"/>
    <w:rsid w:val="45C87FB4"/>
    <w:rsid w:val="45CB4E88"/>
    <w:rsid w:val="45D12194"/>
    <w:rsid w:val="45D23967"/>
    <w:rsid w:val="45D246EE"/>
    <w:rsid w:val="45D33E85"/>
    <w:rsid w:val="45D5121A"/>
    <w:rsid w:val="45D6492B"/>
    <w:rsid w:val="45DD4A2B"/>
    <w:rsid w:val="45DE61D5"/>
    <w:rsid w:val="45DF3ABC"/>
    <w:rsid w:val="45E63896"/>
    <w:rsid w:val="45E71894"/>
    <w:rsid w:val="45EE7548"/>
    <w:rsid w:val="45F7056C"/>
    <w:rsid w:val="45F800A4"/>
    <w:rsid w:val="460361B6"/>
    <w:rsid w:val="46065D4C"/>
    <w:rsid w:val="4607702B"/>
    <w:rsid w:val="46081660"/>
    <w:rsid w:val="460B2036"/>
    <w:rsid w:val="460C533E"/>
    <w:rsid w:val="460D7404"/>
    <w:rsid w:val="461B46CF"/>
    <w:rsid w:val="461E1C37"/>
    <w:rsid w:val="46207231"/>
    <w:rsid w:val="46212E7F"/>
    <w:rsid w:val="46235C81"/>
    <w:rsid w:val="462406B6"/>
    <w:rsid w:val="462A4554"/>
    <w:rsid w:val="462C1209"/>
    <w:rsid w:val="462D5900"/>
    <w:rsid w:val="463351B6"/>
    <w:rsid w:val="46361686"/>
    <w:rsid w:val="463C3662"/>
    <w:rsid w:val="46401681"/>
    <w:rsid w:val="4642189D"/>
    <w:rsid w:val="46426D37"/>
    <w:rsid w:val="4643784A"/>
    <w:rsid w:val="464556F2"/>
    <w:rsid w:val="46493B00"/>
    <w:rsid w:val="464D48C5"/>
    <w:rsid w:val="465363EA"/>
    <w:rsid w:val="46577FD6"/>
    <w:rsid w:val="46583BC1"/>
    <w:rsid w:val="46592167"/>
    <w:rsid w:val="465F5E65"/>
    <w:rsid w:val="46633903"/>
    <w:rsid w:val="46633F8E"/>
    <w:rsid w:val="466535EE"/>
    <w:rsid w:val="46685560"/>
    <w:rsid w:val="466C31BC"/>
    <w:rsid w:val="466D2874"/>
    <w:rsid w:val="467270DE"/>
    <w:rsid w:val="46737ACE"/>
    <w:rsid w:val="467A1461"/>
    <w:rsid w:val="467C0B26"/>
    <w:rsid w:val="468032AF"/>
    <w:rsid w:val="46832EBF"/>
    <w:rsid w:val="46836BFF"/>
    <w:rsid w:val="46875AB3"/>
    <w:rsid w:val="46884747"/>
    <w:rsid w:val="4688501C"/>
    <w:rsid w:val="468952AB"/>
    <w:rsid w:val="468D74FB"/>
    <w:rsid w:val="46924AAE"/>
    <w:rsid w:val="46984726"/>
    <w:rsid w:val="469C06E0"/>
    <w:rsid w:val="469F71EA"/>
    <w:rsid w:val="46A52761"/>
    <w:rsid w:val="46AB4A00"/>
    <w:rsid w:val="46AC0FF8"/>
    <w:rsid w:val="46B1440F"/>
    <w:rsid w:val="46B41ED3"/>
    <w:rsid w:val="46BC583B"/>
    <w:rsid w:val="46BC594C"/>
    <w:rsid w:val="46CA59CA"/>
    <w:rsid w:val="46CA710D"/>
    <w:rsid w:val="46CC73B9"/>
    <w:rsid w:val="46D36999"/>
    <w:rsid w:val="46D83FB0"/>
    <w:rsid w:val="46D955A7"/>
    <w:rsid w:val="46DB4EE0"/>
    <w:rsid w:val="46E707B7"/>
    <w:rsid w:val="46E87842"/>
    <w:rsid w:val="46EA328C"/>
    <w:rsid w:val="46EF44E9"/>
    <w:rsid w:val="46F30E26"/>
    <w:rsid w:val="46F51735"/>
    <w:rsid w:val="470E7AC1"/>
    <w:rsid w:val="471054F8"/>
    <w:rsid w:val="47133957"/>
    <w:rsid w:val="47151410"/>
    <w:rsid w:val="47153A8D"/>
    <w:rsid w:val="47176D01"/>
    <w:rsid w:val="47236F92"/>
    <w:rsid w:val="47244E6A"/>
    <w:rsid w:val="47254152"/>
    <w:rsid w:val="472C5395"/>
    <w:rsid w:val="472D60AA"/>
    <w:rsid w:val="4730660F"/>
    <w:rsid w:val="47324DC8"/>
    <w:rsid w:val="473C185F"/>
    <w:rsid w:val="473C58A9"/>
    <w:rsid w:val="4742742A"/>
    <w:rsid w:val="47430331"/>
    <w:rsid w:val="47467031"/>
    <w:rsid w:val="47494EFD"/>
    <w:rsid w:val="475573AE"/>
    <w:rsid w:val="47573126"/>
    <w:rsid w:val="4758081B"/>
    <w:rsid w:val="475A66EF"/>
    <w:rsid w:val="475F02B5"/>
    <w:rsid w:val="47643A7F"/>
    <w:rsid w:val="47694C08"/>
    <w:rsid w:val="476A10AC"/>
    <w:rsid w:val="4771610C"/>
    <w:rsid w:val="47752D34"/>
    <w:rsid w:val="477A2C16"/>
    <w:rsid w:val="477B58C0"/>
    <w:rsid w:val="477C2250"/>
    <w:rsid w:val="477F030A"/>
    <w:rsid w:val="478A1381"/>
    <w:rsid w:val="478B5F18"/>
    <w:rsid w:val="478F585F"/>
    <w:rsid w:val="47942240"/>
    <w:rsid w:val="47984A0D"/>
    <w:rsid w:val="479A16F3"/>
    <w:rsid w:val="47A07E0C"/>
    <w:rsid w:val="47A25C50"/>
    <w:rsid w:val="47A63FDE"/>
    <w:rsid w:val="47A9365E"/>
    <w:rsid w:val="47AD19FE"/>
    <w:rsid w:val="47B42327"/>
    <w:rsid w:val="47BA5463"/>
    <w:rsid w:val="47BB21B4"/>
    <w:rsid w:val="47C56DB1"/>
    <w:rsid w:val="47C64BA0"/>
    <w:rsid w:val="47CA2B81"/>
    <w:rsid w:val="47CA38F1"/>
    <w:rsid w:val="47D0168A"/>
    <w:rsid w:val="47DA7037"/>
    <w:rsid w:val="47DD1396"/>
    <w:rsid w:val="47DF1B8C"/>
    <w:rsid w:val="47E02030"/>
    <w:rsid w:val="47E56F91"/>
    <w:rsid w:val="47E62E92"/>
    <w:rsid w:val="47E726FC"/>
    <w:rsid w:val="47E84A91"/>
    <w:rsid w:val="47EB0243"/>
    <w:rsid w:val="47EB4C8A"/>
    <w:rsid w:val="47EC0EBC"/>
    <w:rsid w:val="47ED0E0B"/>
    <w:rsid w:val="47ED2498"/>
    <w:rsid w:val="47EE4FF9"/>
    <w:rsid w:val="47F10C48"/>
    <w:rsid w:val="47F17F33"/>
    <w:rsid w:val="47F649B7"/>
    <w:rsid w:val="480148F9"/>
    <w:rsid w:val="480149E2"/>
    <w:rsid w:val="48071F0C"/>
    <w:rsid w:val="4807713C"/>
    <w:rsid w:val="480C229A"/>
    <w:rsid w:val="481122BA"/>
    <w:rsid w:val="481435FC"/>
    <w:rsid w:val="481E62BD"/>
    <w:rsid w:val="481E7ABB"/>
    <w:rsid w:val="482122FE"/>
    <w:rsid w:val="482254E2"/>
    <w:rsid w:val="48285FC9"/>
    <w:rsid w:val="48294E12"/>
    <w:rsid w:val="482F64BB"/>
    <w:rsid w:val="483037B4"/>
    <w:rsid w:val="48331FDD"/>
    <w:rsid w:val="48344525"/>
    <w:rsid w:val="483B65D4"/>
    <w:rsid w:val="4844445A"/>
    <w:rsid w:val="48484385"/>
    <w:rsid w:val="48486262"/>
    <w:rsid w:val="48491657"/>
    <w:rsid w:val="484E38BE"/>
    <w:rsid w:val="48547E21"/>
    <w:rsid w:val="485811E2"/>
    <w:rsid w:val="48592ECE"/>
    <w:rsid w:val="485D38F8"/>
    <w:rsid w:val="485E09BF"/>
    <w:rsid w:val="4862191A"/>
    <w:rsid w:val="48675D27"/>
    <w:rsid w:val="486B5A83"/>
    <w:rsid w:val="4870272E"/>
    <w:rsid w:val="4871646A"/>
    <w:rsid w:val="487575D9"/>
    <w:rsid w:val="487851BD"/>
    <w:rsid w:val="487E7AF7"/>
    <w:rsid w:val="4889641C"/>
    <w:rsid w:val="488C5052"/>
    <w:rsid w:val="488F0EBB"/>
    <w:rsid w:val="489329E2"/>
    <w:rsid w:val="48946D24"/>
    <w:rsid w:val="4896615A"/>
    <w:rsid w:val="48991BC7"/>
    <w:rsid w:val="48A0419D"/>
    <w:rsid w:val="48A44832"/>
    <w:rsid w:val="48A64D9E"/>
    <w:rsid w:val="48A86A0C"/>
    <w:rsid w:val="48AB749B"/>
    <w:rsid w:val="48AC23C7"/>
    <w:rsid w:val="48AC693A"/>
    <w:rsid w:val="48AE52E9"/>
    <w:rsid w:val="48B070DE"/>
    <w:rsid w:val="48B118AD"/>
    <w:rsid w:val="48B46E13"/>
    <w:rsid w:val="48B52477"/>
    <w:rsid w:val="48BE04D7"/>
    <w:rsid w:val="48BE5B48"/>
    <w:rsid w:val="48C1181D"/>
    <w:rsid w:val="48C431AF"/>
    <w:rsid w:val="48CE32F8"/>
    <w:rsid w:val="48D03470"/>
    <w:rsid w:val="48D12A65"/>
    <w:rsid w:val="48D722C2"/>
    <w:rsid w:val="48D948A4"/>
    <w:rsid w:val="48DA5E05"/>
    <w:rsid w:val="48DD26E0"/>
    <w:rsid w:val="48DD4E4E"/>
    <w:rsid w:val="48E06F53"/>
    <w:rsid w:val="48E23025"/>
    <w:rsid w:val="48E24DA2"/>
    <w:rsid w:val="48F1283B"/>
    <w:rsid w:val="48FD6181"/>
    <w:rsid w:val="48FF2765"/>
    <w:rsid w:val="48FF5045"/>
    <w:rsid w:val="490167D8"/>
    <w:rsid w:val="49053F93"/>
    <w:rsid w:val="49066980"/>
    <w:rsid w:val="490763FA"/>
    <w:rsid w:val="49092CB6"/>
    <w:rsid w:val="490E5C41"/>
    <w:rsid w:val="49123A92"/>
    <w:rsid w:val="491535A2"/>
    <w:rsid w:val="49163A1F"/>
    <w:rsid w:val="4918191A"/>
    <w:rsid w:val="49210164"/>
    <w:rsid w:val="49216BD6"/>
    <w:rsid w:val="49244698"/>
    <w:rsid w:val="49244A57"/>
    <w:rsid w:val="49270975"/>
    <w:rsid w:val="492C5DD2"/>
    <w:rsid w:val="492D1DEE"/>
    <w:rsid w:val="49306C8F"/>
    <w:rsid w:val="4933510A"/>
    <w:rsid w:val="493D676D"/>
    <w:rsid w:val="493F6303"/>
    <w:rsid w:val="494043C3"/>
    <w:rsid w:val="49442724"/>
    <w:rsid w:val="4944669B"/>
    <w:rsid w:val="494618F0"/>
    <w:rsid w:val="49492584"/>
    <w:rsid w:val="494C5259"/>
    <w:rsid w:val="49585FAA"/>
    <w:rsid w:val="49596F05"/>
    <w:rsid w:val="495A6EFE"/>
    <w:rsid w:val="495E5C53"/>
    <w:rsid w:val="49695BA7"/>
    <w:rsid w:val="496E7BD8"/>
    <w:rsid w:val="497A0F44"/>
    <w:rsid w:val="497C50C6"/>
    <w:rsid w:val="497D536F"/>
    <w:rsid w:val="49806965"/>
    <w:rsid w:val="4981448B"/>
    <w:rsid w:val="49834FA5"/>
    <w:rsid w:val="498477BB"/>
    <w:rsid w:val="49870082"/>
    <w:rsid w:val="498B5900"/>
    <w:rsid w:val="498D3F2F"/>
    <w:rsid w:val="498D3F62"/>
    <w:rsid w:val="49902E35"/>
    <w:rsid w:val="49914232"/>
    <w:rsid w:val="49A17609"/>
    <w:rsid w:val="49A25030"/>
    <w:rsid w:val="49A74250"/>
    <w:rsid w:val="49A94C50"/>
    <w:rsid w:val="49AC395D"/>
    <w:rsid w:val="49B151DD"/>
    <w:rsid w:val="49B57BD5"/>
    <w:rsid w:val="49B67D38"/>
    <w:rsid w:val="49BB1BC9"/>
    <w:rsid w:val="49BD5844"/>
    <w:rsid w:val="49C923D9"/>
    <w:rsid w:val="49CA5F89"/>
    <w:rsid w:val="49CB6736"/>
    <w:rsid w:val="49CD07A6"/>
    <w:rsid w:val="49D21CBC"/>
    <w:rsid w:val="49D30EE1"/>
    <w:rsid w:val="49D873E9"/>
    <w:rsid w:val="49DC5258"/>
    <w:rsid w:val="49DC7715"/>
    <w:rsid w:val="49DD1763"/>
    <w:rsid w:val="49DE7F41"/>
    <w:rsid w:val="49DF5C57"/>
    <w:rsid w:val="49E2508F"/>
    <w:rsid w:val="49EB1133"/>
    <w:rsid w:val="49EF39E6"/>
    <w:rsid w:val="49F5519B"/>
    <w:rsid w:val="49F959C6"/>
    <w:rsid w:val="4A003B44"/>
    <w:rsid w:val="4A023139"/>
    <w:rsid w:val="4A044755"/>
    <w:rsid w:val="4A0624A1"/>
    <w:rsid w:val="4A091B0F"/>
    <w:rsid w:val="4A0D52FC"/>
    <w:rsid w:val="4A0D6CAB"/>
    <w:rsid w:val="4A111323"/>
    <w:rsid w:val="4A186F01"/>
    <w:rsid w:val="4A1B5F15"/>
    <w:rsid w:val="4A1D499A"/>
    <w:rsid w:val="4A20428D"/>
    <w:rsid w:val="4A223251"/>
    <w:rsid w:val="4A2F6D0C"/>
    <w:rsid w:val="4A3234A5"/>
    <w:rsid w:val="4A3C2A57"/>
    <w:rsid w:val="4A3D2E0F"/>
    <w:rsid w:val="4A3D3E44"/>
    <w:rsid w:val="4A434CD9"/>
    <w:rsid w:val="4A4356AF"/>
    <w:rsid w:val="4A4640A6"/>
    <w:rsid w:val="4A477CDE"/>
    <w:rsid w:val="4A4C2CEB"/>
    <w:rsid w:val="4A4D1921"/>
    <w:rsid w:val="4A50582E"/>
    <w:rsid w:val="4A5115D2"/>
    <w:rsid w:val="4A553BDC"/>
    <w:rsid w:val="4A576D83"/>
    <w:rsid w:val="4A5D51AF"/>
    <w:rsid w:val="4A5D5E0D"/>
    <w:rsid w:val="4A6100A0"/>
    <w:rsid w:val="4A626F78"/>
    <w:rsid w:val="4A695181"/>
    <w:rsid w:val="4A6F600C"/>
    <w:rsid w:val="4A756F5D"/>
    <w:rsid w:val="4A777F82"/>
    <w:rsid w:val="4A7B576F"/>
    <w:rsid w:val="4A832E04"/>
    <w:rsid w:val="4A851D59"/>
    <w:rsid w:val="4A8D237C"/>
    <w:rsid w:val="4A8F086C"/>
    <w:rsid w:val="4A8F20CE"/>
    <w:rsid w:val="4A922C0F"/>
    <w:rsid w:val="4A933AC2"/>
    <w:rsid w:val="4A9648D3"/>
    <w:rsid w:val="4AA655BA"/>
    <w:rsid w:val="4AA84547"/>
    <w:rsid w:val="4ABF1931"/>
    <w:rsid w:val="4AC10542"/>
    <w:rsid w:val="4AC22FAD"/>
    <w:rsid w:val="4AC477A8"/>
    <w:rsid w:val="4AC546EF"/>
    <w:rsid w:val="4AC56728"/>
    <w:rsid w:val="4AC96E68"/>
    <w:rsid w:val="4AD21A59"/>
    <w:rsid w:val="4AD54225"/>
    <w:rsid w:val="4ADA544D"/>
    <w:rsid w:val="4ADF1E8E"/>
    <w:rsid w:val="4AE4518D"/>
    <w:rsid w:val="4AE50F08"/>
    <w:rsid w:val="4AE808C8"/>
    <w:rsid w:val="4AE81427"/>
    <w:rsid w:val="4AEA1D0E"/>
    <w:rsid w:val="4AEA242F"/>
    <w:rsid w:val="4AEB0D7D"/>
    <w:rsid w:val="4AEF2811"/>
    <w:rsid w:val="4AF11CBF"/>
    <w:rsid w:val="4AF561A9"/>
    <w:rsid w:val="4AF612A1"/>
    <w:rsid w:val="4AF81624"/>
    <w:rsid w:val="4AFA2052"/>
    <w:rsid w:val="4AFF0372"/>
    <w:rsid w:val="4B015B9E"/>
    <w:rsid w:val="4B041C8F"/>
    <w:rsid w:val="4B0803E2"/>
    <w:rsid w:val="4B0B58EB"/>
    <w:rsid w:val="4B0B6BC5"/>
    <w:rsid w:val="4B0E0724"/>
    <w:rsid w:val="4B2320CF"/>
    <w:rsid w:val="4B29449C"/>
    <w:rsid w:val="4B2A08E1"/>
    <w:rsid w:val="4B302E8F"/>
    <w:rsid w:val="4B327F92"/>
    <w:rsid w:val="4B335470"/>
    <w:rsid w:val="4B370698"/>
    <w:rsid w:val="4B3A2CDB"/>
    <w:rsid w:val="4B3A6F90"/>
    <w:rsid w:val="4B4116C8"/>
    <w:rsid w:val="4B427D92"/>
    <w:rsid w:val="4B476E67"/>
    <w:rsid w:val="4B4A03F0"/>
    <w:rsid w:val="4B4D75F8"/>
    <w:rsid w:val="4B4E1E84"/>
    <w:rsid w:val="4B59185B"/>
    <w:rsid w:val="4B597C50"/>
    <w:rsid w:val="4B597F61"/>
    <w:rsid w:val="4B5A0CCB"/>
    <w:rsid w:val="4B5A6382"/>
    <w:rsid w:val="4B5D6832"/>
    <w:rsid w:val="4B5E3A1F"/>
    <w:rsid w:val="4B6B0910"/>
    <w:rsid w:val="4B72527D"/>
    <w:rsid w:val="4B751C0B"/>
    <w:rsid w:val="4B770648"/>
    <w:rsid w:val="4B773ADE"/>
    <w:rsid w:val="4B7A3887"/>
    <w:rsid w:val="4B7D7595"/>
    <w:rsid w:val="4B813FB0"/>
    <w:rsid w:val="4B8A5FEB"/>
    <w:rsid w:val="4B8C77FC"/>
    <w:rsid w:val="4B8D4526"/>
    <w:rsid w:val="4B94652E"/>
    <w:rsid w:val="4B9766D5"/>
    <w:rsid w:val="4B98436B"/>
    <w:rsid w:val="4BA016E0"/>
    <w:rsid w:val="4BA7339A"/>
    <w:rsid w:val="4BA80FD2"/>
    <w:rsid w:val="4BA87334"/>
    <w:rsid w:val="4BB67833"/>
    <w:rsid w:val="4BBA763A"/>
    <w:rsid w:val="4BBC41CC"/>
    <w:rsid w:val="4BBF5CE6"/>
    <w:rsid w:val="4BC37EF9"/>
    <w:rsid w:val="4BC75119"/>
    <w:rsid w:val="4BCA036B"/>
    <w:rsid w:val="4BCA1896"/>
    <w:rsid w:val="4BCE088A"/>
    <w:rsid w:val="4BD04654"/>
    <w:rsid w:val="4BD33683"/>
    <w:rsid w:val="4BDE5DC7"/>
    <w:rsid w:val="4BDF0574"/>
    <w:rsid w:val="4BE60C2F"/>
    <w:rsid w:val="4BEB0929"/>
    <w:rsid w:val="4BED0F57"/>
    <w:rsid w:val="4BF076A6"/>
    <w:rsid w:val="4BF47196"/>
    <w:rsid w:val="4BF657D4"/>
    <w:rsid w:val="4BF90C32"/>
    <w:rsid w:val="4BFB6C35"/>
    <w:rsid w:val="4BFC4676"/>
    <w:rsid w:val="4C06511B"/>
    <w:rsid w:val="4C07090C"/>
    <w:rsid w:val="4C0F33B6"/>
    <w:rsid w:val="4C106096"/>
    <w:rsid w:val="4C193CEC"/>
    <w:rsid w:val="4C1D1CB7"/>
    <w:rsid w:val="4C1E6A14"/>
    <w:rsid w:val="4C1F08D3"/>
    <w:rsid w:val="4C1F4B44"/>
    <w:rsid w:val="4C2630C7"/>
    <w:rsid w:val="4C2916E3"/>
    <w:rsid w:val="4C2D08FA"/>
    <w:rsid w:val="4C2E089E"/>
    <w:rsid w:val="4C3044B8"/>
    <w:rsid w:val="4C325F10"/>
    <w:rsid w:val="4C3355F1"/>
    <w:rsid w:val="4C352C6E"/>
    <w:rsid w:val="4C3679D1"/>
    <w:rsid w:val="4C382D5B"/>
    <w:rsid w:val="4C392B0A"/>
    <w:rsid w:val="4C3B36E4"/>
    <w:rsid w:val="4C454C12"/>
    <w:rsid w:val="4C454EFC"/>
    <w:rsid w:val="4C48167C"/>
    <w:rsid w:val="4C4A0649"/>
    <w:rsid w:val="4C4A1510"/>
    <w:rsid w:val="4C50686C"/>
    <w:rsid w:val="4C5125FD"/>
    <w:rsid w:val="4C524573"/>
    <w:rsid w:val="4C5365B2"/>
    <w:rsid w:val="4C5518E0"/>
    <w:rsid w:val="4C57656A"/>
    <w:rsid w:val="4C5937EC"/>
    <w:rsid w:val="4C5C1C9C"/>
    <w:rsid w:val="4C5C7B42"/>
    <w:rsid w:val="4C5E0F25"/>
    <w:rsid w:val="4C5E2E01"/>
    <w:rsid w:val="4C5F104D"/>
    <w:rsid w:val="4C67005D"/>
    <w:rsid w:val="4C7556CF"/>
    <w:rsid w:val="4C7768C1"/>
    <w:rsid w:val="4C7E4CB1"/>
    <w:rsid w:val="4C7E5ECA"/>
    <w:rsid w:val="4C8175C3"/>
    <w:rsid w:val="4C831BDA"/>
    <w:rsid w:val="4C863788"/>
    <w:rsid w:val="4C876AA5"/>
    <w:rsid w:val="4C8D3147"/>
    <w:rsid w:val="4C8D72DC"/>
    <w:rsid w:val="4C9106A8"/>
    <w:rsid w:val="4C96024D"/>
    <w:rsid w:val="4C990D40"/>
    <w:rsid w:val="4C995F8F"/>
    <w:rsid w:val="4C9E6360"/>
    <w:rsid w:val="4CA45552"/>
    <w:rsid w:val="4CAC26DC"/>
    <w:rsid w:val="4CB21EEA"/>
    <w:rsid w:val="4CB510E7"/>
    <w:rsid w:val="4CB65455"/>
    <w:rsid w:val="4CB87408"/>
    <w:rsid w:val="4CBF5126"/>
    <w:rsid w:val="4CBF757F"/>
    <w:rsid w:val="4CC535CC"/>
    <w:rsid w:val="4CCD3133"/>
    <w:rsid w:val="4CCF4E1C"/>
    <w:rsid w:val="4CD53CEE"/>
    <w:rsid w:val="4CD549E7"/>
    <w:rsid w:val="4CD618DE"/>
    <w:rsid w:val="4CD9638C"/>
    <w:rsid w:val="4CDC162B"/>
    <w:rsid w:val="4CDD2165"/>
    <w:rsid w:val="4CDD3AEF"/>
    <w:rsid w:val="4CE4501D"/>
    <w:rsid w:val="4CF0514C"/>
    <w:rsid w:val="4CF07706"/>
    <w:rsid w:val="4CF51ED1"/>
    <w:rsid w:val="4CF56D37"/>
    <w:rsid w:val="4CF67414"/>
    <w:rsid w:val="4CF83903"/>
    <w:rsid w:val="4CFC59C0"/>
    <w:rsid w:val="4CFE50B4"/>
    <w:rsid w:val="4CFF01D2"/>
    <w:rsid w:val="4CFF7C3F"/>
    <w:rsid w:val="4D015659"/>
    <w:rsid w:val="4D0D1EA9"/>
    <w:rsid w:val="4D0E00FB"/>
    <w:rsid w:val="4D16715B"/>
    <w:rsid w:val="4D176606"/>
    <w:rsid w:val="4D2011D5"/>
    <w:rsid w:val="4D2812C2"/>
    <w:rsid w:val="4D2F0678"/>
    <w:rsid w:val="4D3537A5"/>
    <w:rsid w:val="4D3819FD"/>
    <w:rsid w:val="4D4161A3"/>
    <w:rsid w:val="4D477C6E"/>
    <w:rsid w:val="4D482D28"/>
    <w:rsid w:val="4D506026"/>
    <w:rsid w:val="4D515D5C"/>
    <w:rsid w:val="4D5376FA"/>
    <w:rsid w:val="4D5C25D8"/>
    <w:rsid w:val="4D5C432D"/>
    <w:rsid w:val="4D5D0C51"/>
    <w:rsid w:val="4D5E3EC5"/>
    <w:rsid w:val="4D6B0099"/>
    <w:rsid w:val="4D711644"/>
    <w:rsid w:val="4D724307"/>
    <w:rsid w:val="4D752724"/>
    <w:rsid w:val="4D783DF7"/>
    <w:rsid w:val="4D7A191D"/>
    <w:rsid w:val="4D7B5B69"/>
    <w:rsid w:val="4D7E15A5"/>
    <w:rsid w:val="4D7F33D7"/>
    <w:rsid w:val="4D7F392D"/>
    <w:rsid w:val="4D81765B"/>
    <w:rsid w:val="4D822F40"/>
    <w:rsid w:val="4D823D68"/>
    <w:rsid w:val="4D8370BA"/>
    <w:rsid w:val="4D844549"/>
    <w:rsid w:val="4D856DAC"/>
    <w:rsid w:val="4D8C0982"/>
    <w:rsid w:val="4D90587B"/>
    <w:rsid w:val="4D95187B"/>
    <w:rsid w:val="4D956389"/>
    <w:rsid w:val="4D9D560B"/>
    <w:rsid w:val="4D9D5675"/>
    <w:rsid w:val="4D9F660C"/>
    <w:rsid w:val="4DA423F5"/>
    <w:rsid w:val="4DAE3CCD"/>
    <w:rsid w:val="4DB4370E"/>
    <w:rsid w:val="4DB64EDE"/>
    <w:rsid w:val="4DB71270"/>
    <w:rsid w:val="4DB86972"/>
    <w:rsid w:val="4DBB1012"/>
    <w:rsid w:val="4DC27E05"/>
    <w:rsid w:val="4DC35AAF"/>
    <w:rsid w:val="4DCB0606"/>
    <w:rsid w:val="4DCB7510"/>
    <w:rsid w:val="4DCE53F1"/>
    <w:rsid w:val="4DD41872"/>
    <w:rsid w:val="4DD54BF0"/>
    <w:rsid w:val="4DE002E9"/>
    <w:rsid w:val="4DE90850"/>
    <w:rsid w:val="4DE959F7"/>
    <w:rsid w:val="4DEA5554"/>
    <w:rsid w:val="4DEC4FB0"/>
    <w:rsid w:val="4DEC699C"/>
    <w:rsid w:val="4DF3163B"/>
    <w:rsid w:val="4DF33F0E"/>
    <w:rsid w:val="4DF42F89"/>
    <w:rsid w:val="4DF53699"/>
    <w:rsid w:val="4E0633BD"/>
    <w:rsid w:val="4E075D8A"/>
    <w:rsid w:val="4E0F4851"/>
    <w:rsid w:val="4E10647A"/>
    <w:rsid w:val="4E162EDF"/>
    <w:rsid w:val="4E165AE9"/>
    <w:rsid w:val="4E1971BC"/>
    <w:rsid w:val="4E1C1F04"/>
    <w:rsid w:val="4E1F24C9"/>
    <w:rsid w:val="4E2C3983"/>
    <w:rsid w:val="4E2D1F83"/>
    <w:rsid w:val="4E2D2042"/>
    <w:rsid w:val="4E325FCE"/>
    <w:rsid w:val="4E3F2278"/>
    <w:rsid w:val="4E416FF6"/>
    <w:rsid w:val="4E4940A8"/>
    <w:rsid w:val="4E4C72ED"/>
    <w:rsid w:val="4E524637"/>
    <w:rsid w:val="4E546612"/>
    <w:rsid w:val="4E546A65"/>
    <w:rsid w:val="4E557BDE"/>
    <w:rsid w:val="4E6A0F48"/>
    <w:rsid w:val="4E6C1F93"/>
    <w:rsid w:val="4E7178FF"/>
    <w:rsid w:val="4E7B594C"/>
    <w:rsid w:val="4E7E1911"/>
    <w:rsid w:val="4E876631"/>
    <w:rsid w:val="4E8831F0"/>
    <w:rsid w:val="4E88472E"/>
    <w:rsid w:val="4E89122B"/>
    <w:rsid w:val="4E8A3DE2"/>
    <w:rsid w:val="4E8B1908"/>
    <w:rsid w:val="4E8B56B5"/>
    <w:rsid w:val="4E957B36"/>
    <w:rsid w:val="4E9702AC"/>
    <w:rsid w:val="4E996FBA"/>
    <w:rsid w:val="4E9A5CB7"/>
    <w:rsid w:val="4E9A7DD1"/>
    <w:rsid w:val="4E9E163B"/>
    <w:rsid w:val="4EA34133"/>
    <w:rsid w:val="4EA80796"/>
    <w:rsid w:val="4EA8560B"/>
    <w:rsid w:val="4EAD7A55"/>
    <w:rsid w:val="4EAE4CBA"/>
    <w:rsid w:val="4EB235F2"/>
    <w:rsid w:val="4EB42D40"/>
    <w:rsid w:val="4EB726FD"/>
    <w:rsid w:val="4EC00FAD"/>
    <w:rsid w:val="4EC41DBA"/>
    <w:rsid w:val="4EC877FE"/>
    <w:rsid w:val="4ECA0E7C"/>
    <w:rsid w:val="4ECD64E0"/>
    <w:rsid w:val="4ECF0B9F"/>
    <w:rsid w:val="4ED2783C"/>
    <w:rsid w:val="4EDC5975"/>
    <w:rsid w:val="4EE0459F"/>
    <w:rsid w:val="4EE0793A"/>
    <w:rsid w:val="4EE4450C"/>
    <w:rsid w:val="4EE72C29"/>
    <w:rsid w:val="4EE94FAC"/>
    <w:rsid w:val="4EE95853"/>
    <w:rsid w:val="4EED214F"/>
    <w:rsid w:val="4EED450F"/>
    <w:rsid w:val="4EF162D8"/>
    <w:rsid w:val="4EF4507C"/>
    <w:rsid w:val="4EFE1795"/>
    <w:rsid w:val="4F02267A"/>
    <w:rsid w:val="4F04743C"/>
    <w:rsid w:val="4F0618B6"/>
    <w:rsid w:val="4F0E5C18"/>
    <w:rsid w:val="4F0E7B59"/>
    <w:rsid w:val="4F0F0B84"/>
    <w:rsid w:val="4F100CD2"/>
    <w:rsid w:val="4F122438"/>
    <w:rsid w:val="4F147B4F"/>
    <w:rsid w:val="4F1B2753"/>
    <w:rsid w:val="4F2270DF"/>
    <w:rsid w:val="4F2437AE"/>
    <w:rsid w:val="4F24638A"/>
    <w:rsid w:val="4F2659BA"/>
    <w:rsid w:val="4F280FB8"/>
    <w:rsid w:val="4F2E5D28"/>
    <w:rsid w:val="4F31224E"/>
    <w:rsid w:val="4F3700F2"/>
    <w:rsid w:val="4F3B038A"/>
    <w:rsid w:val="4F3E0C3B"/>
    <w:rsid w:val="4F4A125D"/>
    <w:rsid w:val="4F4D6B2A"/>
    <w:rsid w:val="4F5150F0"/>
    <w:rsid w:val="4F545138"/>
    <w:rsid w:val="4F57370A"/>
    <w:rsid w:val="4F632295"/>
    <w:rsid w:val="4F6332B1"/>
    <w:rsid w:val="4F69253A"/>
    <w:rsid w:val="4F6A1981"/>
    <w:rsid w:val="4F72741F"/>
    <w:rsid w:val="4F7540C8"/>
    <w:rsid w:val="4F756C2A"/>
    <w:rsid w:val="4F7A20A8"/>
    <w:rsid w:val="4F7D14F7"/>
    <w:rsid w:val="4F8274E3"/>
    <w:rsid w:val="4F873A38"/>
    <w:rsid w:val="4F8D5E69"/>
    <w:rsid w:val="4F93316A"/>
    <w:rsid w:val="4F93478C"/>
    <w:rsid w:val="4F9843DC"/>
    <w:rsid w:val="4FA2749C"/>
    <w:rsid w:val="4FA33041"/>
    <w:rsid w:val="4FA43ECF"/>
    <w:rsid w:val="4FA709C3"/>
    <w:rsid w:val="4FA86AB6"/>
    <w:rsid w:val="4FA9125E"/>
    <w:rsid w:val="4FA92E15"/>
    <w:rsid w:val="4FAA2E2A"/>
    <w:rsid w:val="4FAB3278"/>
    <w:rsid w:val="4FAC123D"/>
    <w:rsid w:val="4FAC7D88"/>
    <w:rsid w:val="4FAE3CE9"/>
    <w:rsid w:val="4FB60519"/>
    <w:rsid w:val="4FB806E7"/>
    <w:rsid w:val="4FB87139"/>
    <w:rsid w:val="4FBA39FD"/>
    <w:rsid w:val="4FBE66BE"/>
    <w:rsid w:val="4FBF743A"/>
    <w:rsid w:val="4FC22955"/>
    <w:rsid w:val="4FC23E34"/>
    <w:rsid w:val="4FC4346F"/>
    <w:rsid w:val="4FC62A8C"/>
    <w:rsid w:val="4FC64576"/>
    <w:rsid w:val="4FC7348D"/>
    <w:rsid w:val="4FC77029"/>
    <w:rsid w:val="4FC90CFF"/>
    <w:rsid w:val="4FD572DE"/>
    <w:rsid w:val="4FD82687"/>
    <w:rsid w:val="4FE20F0D"/>
    <w:rsid w:val="4FE51552"/>
    <w:rsid w:val="4FE7102C"/>
    <w:rsid w:val="4FEC2575"/>
    <w:rsid w:val="4FEE167B"/>
    <w:rsid w:val="4FF05D2B"/>
    <w:rsid w:val="4FF07BA2"/>
    <w:rsid w:val="4FF202F1"/>
    <w:rsid w:val="4FF21C3E"/>
    <w:rsid w:val="4FF2521E"/>
    <w:rsid w:val="4FF97DDF"/>
    <w:rsid w:val="500147DE"/>
    <w:rsid w:val="50060151"/>
    <w:rsid w:val="500B31E6"/>
    <w:rsid w:val="50106B61"/>
    <w:rsid w:val="5017263C"/>
    <w:rsid w:val="50193004"/>
    <w:rsid w:val="501C15FE"/>
    <w:rsid w:val="501C1CCA"/>
    <w:rsid w:val="50232CBD"/>
    <w:rsid w:val="502A2364"/>
    <w:rsid w:val="50306C0B"/>
    <w:rsid w:val="50365F0A"/>
    <w:rsid w:val="50370812"/>
    <w:rsid w:val="503B1837"/>
    <w:rsid w:val="503B258B"/>
    <w:rsid w:val="503C1305"/>
    <w:rsid w:val="503C35B8"/>
    <w:rsid w:val="503D7489"/>
    <w:rsid w:val="503F48CE"/>
    <w:rsid w:val="503F7FB5"/>
    <w:rsid w:val="50406FBB"/>
    <w:rsid w:val="50413211"/>
    <w:rsid w:val="5041395F"/>
    <w:rsid w:val="504151E4"/>
    <w:rsid w:val="5042400F"/>
    <w:rsid w:val="50462D65"/>
    <w:rsid w:val="504B7F54"/>
    <w:rsid w:val="504C0113"/>
    <w:rsid w:val="504D508F"/>
    <w:rsid w:val="50504C4B"/>
    <w:rsid w:val="505373C9"/>
    <w:rsid w:val="50567F17"/>
    <w:rsid w:val="505B71A2"/>
    <w:rsid w:val="505C355C"/>
    <w:rsid w:val="50637C9F"/>
    <w:rsid w:val="50651906"/>
    <w:rsid w:val="50662706"/>
    <w:rsid w:val="50672DB0"/>
    <w:rsid w:val="506B5F19"/>
    <w:rsid w:val="506D5769"/>
    <w:rsid w:val="506E11D0"/>
    <w:rsid w:val="506F328F"/>
    <w:rsid w:val="507046F8"/>
    <w:rsid w:val="50745250"/>
    <w:rsid w:val="50791274"/>
    <w:rsid w:val="507A2C1D"/>
    <w:rsid w:val="50805ADF"/>
    <w:rsid w:val="50870037"/>
    <w:rsid w:val="50897D30"/>
    <w:rsid w:val="508D1184"/>
    <w:rsid w:val="508E6BC2"/>
    <w:rsid w:val="50947FCE"/>
    <w:rsid w:val="5096080E"/>
    <w:rsid w:val="509966CD"/>
    <w:rsid w:val="509C6E7C"/>
    <w:rsid w:val="509D3F46"/>
    <w:rsid w:val="50B00938"/>
    <w:rsid w:val="50B11220"/>
    <w:rsid w:val="50B738EB"/>
    <w:rsid w:val="50B7422C"/>
    <w:rsid w:val="50BB10ED"/>
    <w:rsid w:val="50BE7D72"/>
    <w:rsid w:val="50BF1242"/>
    <w:rsid w:val="50C30996"/>
    <w:rsid w:val="50C61277"/>
    <w:rsid w:val="50CE1DD3"/>
    <w:rsid w:val="50D0677D"/>
    <w:rsid w:val="50DA2407"/>
    <w:rsid w:val="50E60D6D"/>
    <w:rsid w:val="50E659C4"/>
    <w:rsid w:val="50EC41EE"/>
    <w:rsid w:val="50EE2BBB"/>
    <w:rsid w:val="50F41246"/>
    <w:rsid w:val="50F726BB"/>
    <w:rsid w:val="50FA2E6C"/>
    <w:rsid w:val="50FF1958"/>
    <w:rsid w:val="50FF5150"/>
    <w:rsid w:val="510038D3"/>
    <w:rsid w:val="51036BB2"/>
    <w:rsid w:val="510C2906"/>
    <w:rsid w:val="510D2AA8"/>
    <w:rsid w:val="510E689B"/>
    <w:rsid w:val="510F25A0"/>
    <w:rsid w:val="51111C11"/>
    <w:rsid w:val="51115637"/>
    <w:rsid w:val="511B056D"/>
    <w:rsid w:val="512445BB"/>
    <w:rsid w:val="5127315F"/>
    <w:rsid w:val="51281690"/>
    <w:rsid w:val="51296A02"/>
    <w:rsid w:val="512C424F"/>
    <w:rsid w:val="512F3C62"/>
    <w:rsid w:val="51333E3F"/>
    <w:rsid w:val="5138416E"/>
    <w:rsid w:val="513858BC"/>
    <w:rsid w:val="51391C46"/>
    <w:rsid w:val="51393429"/>
    <w:rsid w:val="513D6ED8"/>
    <w:rsid w:val="513F1711"/>
    <w:rsid w:val="514044F6"/>
    <w:rsid w:val="51411ED8"/>
    <w:rsid w:val="514156FF"/>
    <w:rsid w:val="514428E6"/>
    <w:rsid w:val="514743D2"/>
    <w:rsid w:val="51482162"/>
    <w:rsid w:val="51493526"/>
    <w:rsid w:val="514A08A5"/>
    <w:rsid w:val="514A5AAA"/>
    <w:rsid w:val="514B1E9D"/>
    <w:rsid w:val="514B788E"/>
    <w:rsid w:val="514C2DD3"/>
    <w:rsid w:val="514E2E47"/>
    <w:rsid w:val="51535C69"/>
    <w:rsid w:val="51562565"/>
    <w:rsid w:val="51581188"/>
    <w:rsid w:val="5162104E"/>
    <w:rsid w:val="51633241"/>
    <w:rsid w:val="51637BAD"/>
    <w:rsid w:val="516D7722"/>
    <w:rsid w:val="51730B5D"/>
    <w:rsid w:val="51735001"/>
    <w:rsid w:val="51796146"/>
    <w:rsid w:val="517A2F17"/>
    <w:rsid w:val="51840D50"/>
    <w:rsid w:val="51844B18"/>
    <w:rsid w:val="518854B0"/>
    <w:rsid w:val="518973C7"/>
    <w:rsid w:val="518A5EA7"/>
    <w:rsid w:val="518B53E4"/>
    <w:rsid w:val="51984FAE"/>
    <w:rsid w:val="51A72B7F"/>
    <w:rsid w:val="51AB6535"/>
    <w:rsid w:val="51B35E64"/>
    <w:rsid w:val="51B41531"/>
    <w:rsid w:val="51BA0D01"/>
    <w:rsid w:val="51BC6FB4"/>
    <w:rsid w:val="51BD627C"/>
    <w:rsid w:val="51BE7278"/>
    <w:rsid w:val="51C80901"/>
    <w:rsid w:val="51CC1396"/>
    <w:rsid w:val="51CE2237"/>
    <w:rsid w:val="51D04AAF"/>
    <w:rsid w:val="51DB391C"/>
    <w:rsid w:val="51DD05E1"/>
    <w:rsid w:val="51E34D10"/>
    <w:rsid w:val="51E4164A"/>
    <w:rsid w:val="51EC7460"/>
    <w:rsid w:val="51F16CF7"/>
    <w:rsid w:val="51F629B1"/>
    <w:rsid w:val="51FA1D10"/>
    <w:rsid w:val="51FE7E8D"/>
    <w:rsid w:val="52041D9F"/>
    <w:rsid w:val="520516F1"/>
    <w:rsid w:val="52060FB9"/>
    <w:rsid w:val="52076E75"/>
    <w:rsid w:val="520D5237"/>
    <w:rsid w:val="5219113B"/>
    <w:rsid w:val="521D46FE"/>
    <w:rsid w:val="5220434A"/>
    <w:rsid w:val="52292EE9"/>
    <w:rsid w:val="522C02AB"/>
    <w:rsid w:val="522D59FB"/>
    <w:rsid w:val="523025D7"/>
    <w:rsid w:val="52310C45"/>
    <w:rsid w:val="5234753F"/>
    <w:rsid w:val="52383B54"/>
    <w:rsid w:val="524537A4"/>
    <w:rsid w:val="52491173"/>
    <w:rsid w:val="524B5AE6"/>
    <w:rsid w:val="52505FF4"/>
    <w:rsid w:val="5253235D"/>
    <w:rsid w:val="525347CC"/>
    <w:rsid w:val="52595FA5"/>
    <w:rsid w:val="525C0E9F"/>
    <w:rsid w:val="525C531F"/>
    <w:rsid w:val="525E18C3"/>
    <w:rsid w:val="52607B8D"/>
    <w:rsid w:val="52665DCA"/>
    <w:rsid w:val="52674AC9"/>
    <w:rsid w:val="526C4B47"/>
    <w:rsid w:val="526F5506"/>
    <w:rsid w:val="527C7719"/>
    <w:rsid w:val="527F521B"/>
    <w:rsid w:val="52803015"/>
    <w:rsid w:val="5287642F"/>
    <w:rsid w:val="528A5CE9"/>
    <w:rsid w:val="529279BF"/>
    <w:rsid w:val="5293388D"/>
    <w:rsid w:val="529348C3"/>
    <w:rsid w:val="52934A94"/>
    <w:rsid w:val="529A036B"/>
    <w:rsid w:val="529B1672"/>
    <w:rsid w:val="52A16DE8"/>
    <w:rsid w:val="52A24C9C"/>
    <w:rsid w:val="52A62A42"/>
    <w:rsid w:val="52A64AF8"/>
    <w:rsid w:val="52A941F5"/>
    <w:rsid w:val="52AC14FF"/>
    <w:rsid w:val="52AD0D4D"/>
    <w:rsid w:val="52AD5468"/>
    <w:rsid w:val="52AE3EC6"/>
    <w:rsid w:val="52B120B9"/>
    <w:rsid w:val="52B404E0"/>
    <w:rsid w:val="52B6123D"/>
    <w:rsid w:val="52B77528"/>
    <w:rsid w:val="52BA18A0"/>
    <w:rsid w:val="52BA4BD5"/>
    <w:rsid w:val="52BB5CDA"/>
    <w:rsid w:val="52C06024"/>
    <w:rsid w:val="52C57412"/>
    <w:rsid w:val="52C71EDA"/>
    <w:rsid w:val="52C74B88"/>
    <w:rsid w:val="52CC0E69"/>
    <w:rsid w:val="52CD0653"/>
    <w:rsid w:val="52CD74BC"/>
    <w:rsid w:val="52D01FDF"/>
    <w:rsid w:val="52D36359"/>
    <w:rsid w:val="52D5090C"/>
    <w:rsid w:val="52D52922"/>
    <w:rsid w:val="52D908BD"/>
    <w:rsid w:val="52DB65F7"/>
    <w:rsid w:val="52DD787A"/>
    <w:rsid w:val="52EA29F0"/>
    <w:rsid w:val="52EA3188"/>
    <w:rsid w:val="52F51AB1"/>
    <w:rsid w:val="52F51AD0"/>
    <w:rsid w:val="52F8129B"/>
    <w:rsid w:val="52FA413C"/>
    <w:rsid w:val="53037291"/>
    <w:rsid w:val="530848CA"/>
    <w:rsid w:val="530B2481"/>
    <w:rsid w:val="530D7255"/>
    <w:rsid w:val="531036C0"/>
    <w:rsid w:val="53104A9A"/>
    <w:rsid w:val="53130846"/>
    <w:rsid w:val="531A60DA"/>
    <w:rsid w:val="531D3476"/>
    <w:rsid w:val="5322513A"/>
    <w:rsid w:val="532C5579"/>
    <w:rsid w:val="53322519"/>
    <w:rsid w:val="53333EBE"/>
    <w:rsid w:val="53386627"/>
    <w:rsid w:val="53426427"/>
    <w:rsid w:val="534569CF"/>
    <w:rsid w:val="534E5803"/>
    <w:rsid w:val="535D5F36"/>
    <w:rsid w:val="536139DD"/>
    <w:rsid w:val="53624B25"/>
    <w:rsid w:val="53684281"/>
    <w:rsid w:val="536A1786"/>
    <w:rsid w:val="536B59DF"/>
    <w:rsid w:val="53710F07"/>
    <w:rsid w:val="53736FAB"/>
    <w:rsid w:val="53776B90"/>
    <w:rsid w:val="53821F5C"/>
    <w:rsid w:val="538779D4"/>
    <w:rsid w:val="538D3659"/>
    <w:rsid w:val="538D70C5"/>
    <w:rsid w:val="53960BB5"/>
    <w:rsid w:val="53961890"/>
    <w:rsid w:val="53974873"/>
    <w:rsid w:val="539779FD"/>
    <w:rsid w:val="539B72B5"/>
    <w:rsid w:val="539C0ED0"/>
    <w:rsid w:val="53A039CC"/>
    <w:rsid w:val="53A1505A"/>
    <w:rsid w:val="53A36FA3"/>
    <w:rsid w:val="53A600E8"/>
    <w:rsid w:val="53A82428"/>
    <w:rsid w:val="53AF4C34"/>
    <w:rsid w:val="53AF784F"/>
    <w:rsid w:val="53B16354"/>
    <w:rsid w:val="53B30173"/>
    <w:rsid w:val="53B82AFD"/>
    <w:rsid w:val="53BA11E1"/>
    <w:rsid w:val="53BB3C51"/>
    <w:rsid w:val="53BC2C8F"/>
    <w:rsid w:val="53BC4D0F"/>
    <w:rsid w:val="53BE16EF"/>
    <w:rsid w:val="53CE78C4"/>
    <w:rsid w:val="53D80089"/>
    <w:rsid w:val="53DF0003"/>
    <w:rsid w:val="53DF3D55"/>
    <w:rsid w:val="53E005C1"/>
    <w:rsid w:val="53E77509"/>
    <w:rsid w:val="53E9505A"/>
    <w:rsid w:val="53EC72ED"/>
    <w:rsid w:val="53F003B5"/>
    <w:rsid w:val="53F2184F"/>
    <w:rsid w:val="53F40340"/>
    <w:rsid w:val="53FC1C54"/>
    <w:rsid w:val="54004F5D"/>
    <w:rsid w:val="540542BB"/>
    <w:rsid w:val="54060A47"/>
    <w:rsid w:val="54063E08"/>
    <w:rsid w:val="540677FA"/>
    <w:rsid w:val="54073CD9"/>
    <w:rsid w:val="540D6666"/>
    <w:rsid w:val="54153F8A"/>
    <w:rsid w:val="54174A24"/>
    <w:rsid w:val="54176321"/>
    <w:rsid w:val="541C1EAC"/>
    <w:rsid w:val="541F321E"/>
    <w:rsid w:val="5420051C"/>
    <w:rsid w:val="54244038"/>
    <w:rsid w:val="542910D4"/>
    <w:rsid w:val="542D776D"/>
    <w:rsid w:val="54302D35"/>
    <w:rsid w:val="54324CFF"/>
    <w:rsid w:val="54330A77"/>
    <w:rsid w:val="5433696C"/>
    <w:rsid w:val="543437E8"/>
    <w:rsid w:val="54346F21"/>
    <w:rsid w:val="54352334"/>
    <w:rsid w:val="54362D61"/>
    <w:rsid w:val="54401028"/>
    <w:rsid w:val="54410552"/>
    <w:rsid w:val="54412D7B"/>
    <w:rsid w:val="54436F0C"/>
    <w:rsid w:val="54441F09"/>
    <w:rsid w:val="54503CA9"/>
    <w:rsid w:val="5452125E"/>
    <w:rsid w:val="54530BE7"/>
    <w:rsid w:val="54534C76"/>
    <w:rsid w:val="54551CA9"/>
    <w:rsid w:val="54560271"/>
    <w:rsid w:val="545F3501"/>
    <w:rsid w:val="545F4DCC"/>
    <w:rsid w:val="54686060"/>
    <w:rsid w:val="546A6A8A"/>
    <w:rsid w:val="546B2B4A"/>
    <w:rsid w:val="546E1F0D"/>
    <w:rsid w:val="546E4B09"/>
    <w:rsid w:val="54753CA7"/>
    <w:rsid w:val="547A12BA"/>
    <w:rsid w:val="547A292E"/>
    <w:rsid w:val="547A2E4E"/>
    <w:rsid w:val="547A6AAB"/>
    <w:rsid w:val="548141FA"/>
    <w:rsid w:val="54874B00"/>
    <w:rsid w:val="548D7928"/>
    <w:rsid w:val="548E7496"/>
    <w:rsid w:val="54904080"/>
    <w:rsid w:val="54907916"/>
    <w:rsid w:val="549960D4"/>
    <w:rsid w:val="5499688C"/>
    <w:rsid w:val="549F3F4F"/>
    <w:rsid w:val="54A6215E"/>
    <w:rsid w:val="54A66E2F"/>
    <w:rsid w:val="54A72952"/>
    <w:rsid w:val="54A810B1"/>
    <w:rsid w:val="54AA33BB"/>
    <w:rsid w:val="54AB0315"/>
    <w:rsid w:val="54AB7E6F"/>
    <w:rsid w:val="54B23708"/>
    <w:rsid w:val="54B25C06"/>
    <w:rsid w:val="54B40A34"/>
    <w:rsid w:val="54B5148C"/>
    <w:rsid w:val="54B5699E"/>
    <w:rsid w:val="54B578CC"/>
    <w:rsid w:val="54B63726"/>
    <w:rsid w:val="54B773E1"/>
    <w:rsid w:val="54B8478D"/>
    <w:rsid w:val="54B90F7D"/>
    <w:rsid w:val="54C82D1E"/>
    <w:rsid w:val="54CB198F"/>
    <w:rsid w:val="54CB2FD0"/>
    <w:rsid w:val="54CB6F02"/>
    <w:rsid w:val="54CE4B54"/>
    <w:rsid w:val="54D05B3F"/>
    <w:rsid w:val="54D23345"/>
    <w:rsid w:val="54D24415"/>
    <w:rsid w:val="54D342A4"/>
    <w:rsid w:val="54D428CB"/>
    <w:rsid w:val="54D43833"/>
    <w:rsid w:val="54DE17A5"/>
    <w:rsid w:val="54E11D58"/>
    <w:rsid w:val="54E161AC"/>
    <w:rsid w:val="54E678A6"/>
    <w:rsid w:val="54E74394"/>
    <w:rsid w:val="54EF62FA"/>
    <w:rsid w:val="54F26E5E"/>
    <w:rsid w:val="54F34504"/>
    <w:rsid w:val="54F45857"/>
    <w:rsid w:val="54F73313"/>
    <w:rsid w:val="54F80955"/>
    <w:rsid w:val="54FB2D65"/>
    <w:rsid w:val="54FE1183"/>
    <w:rsid w:val="54FF2B9B"/>
    <w:rsid w:val="550472D0"/>
    <w:rsid w:val="55100F12"/>
    <w:rsid w:val="551663CF"/>
    <w:rsid w:val="551800DC"/>
    <w:rsid w:val="551C08C4"/>
    <w:rsid w:val="55214D74"/>
    <w:rsid w:val="55216C94"/>
    <w:rsid w:val="55222067"/>
    <w:rsid w:val="5522413C"/>
    <w:rsid w:val="552575B9"/>
    <w:rsid w:val="5529547A"/>
    <w:rsid w:val="552F7E47"/>
    <w:rsid w:val="553109B2"/>
    <w:rsid w:val="55325C5F"/>
    <w:rsid w:val="553D0D03"/>
    <w:rsid w:val="55406E27"/>
    <w:rsid w:val="55472637"/>
    <w:rsid w:val="55474E28"/>
    <w:rsid w:val="554A23B2"/>
    <w:rsid w:val="554A7E27"/>
    <w:rsid w:val="554B09E5"/>
    <w:rsid w:val="554F0828"/>
    <w:rsid w:val="555170A7"/>
    <w:rsid w:val="55517FA3"/>
    <w:rsid w:val="555501CE"/>
    <w:rsid w:val="55586DDF"/>
    <w:rsid w:val="555C01B0"/>
    <w:rsid w:val="556045CC"/>
    <w:rsid w:val="556B622E"/>
    <w:rsid w:val="55713AC8"/>
    <w:rsid w:val="55746EA1"/>
    <w:rsid w:val="55775A48"/>
    <w:rsid w:val="557F6920"/>
    <w:rsid w:val="557F7DED"/>
    <w:rsid w:val="558023CD"/>
    <w:rsid w:val="5587536D"/>
    <w:rsid w:val="55894DF3"/>
    <w:rsid w:val="558B69B3"/>
    <w:rsid w:val="558C4820"/>
    <w:rsid w:val="558D60AF"/>
    <w:rsid w:val="558F794B"/>
    <w:rsid w:val="559860EE"/>
    <w:rsid w:val="559A74EA"/>
    <w:rsid w:val="559B174B"/>
    <w:rsid w:val="559B4E06"/>
    <w:rsid w:val="55A104A4"/>
    <w:rsid w:val="55B15926"/>
    <w:rsid w:val="55B173E9"/>
    <w:rsid w:val="55B41744"/>
    <w:rsid w:val="55B434F9"/>
    <w:rsid w:val="55B50427"/>
    <w:rsid w:val="55B60811"/>
    <w:rsid w:val="55BA0F43"/>
    <w:rsid w:val="55BB78AA"/>
    <w:rsid w:val="55BD4687"/>
    <w:rsid w:val="55C00EC4"/>
    <w:rsid w:val="55C14262"/>
    <w:rsid w:val="55C44678"/>
    <w:rsid w:val="55C5444A"/>
    <w:rsid w:val="55C7152C"/>
    <w:rsid w:val="55C80B19"/>
    <w:rsid w:val="55CE0CF4"/>
    <w:rsid w:val="55CF55C8"/>
    <w:rsid w:val="55D01A22"/>
    <w:rsid w:val="55D06494"/>
    <w:rsid w:val="55D32F5F"/>
    <w:rsid w:val="55D65687"/>
    <w:rsid w:val="55DF7BC4"/>
    <w:rsid w:val="55E53E50"/>
    <w:rsid w:val="55E700FA"/>
    <w:rsid w:val="55E83F14"/>
    <w:rsid w:val="55EB2883"/>
    <w:rsid w:val="55EC0DA8"/>
    <w:rsid w:val="55ED0B74"/>
    <w:rsid w:val="55FC47D7"/>
    <w:rsid w:val="55FF538A"/>
    <w:rsid w:val="56025719"/>
    <w:rsid w:val="56057849"/>
    <w:rsid w:val="56194BD7"/>
    <w:rsid w:val="561F6920"/>
    <w:rsid w:val="5622232C"/>
    <w:rsid w:val="56246557"/>
    <w:rsid w:val="562B335C"/>
    <w:rsid w:val="56307608"/>
    <w:rsid w:val="56310FE7"/>
    <w:rsid w:val="56336BDB"/>
    <w:rsid w:val="563B032A"/>
    <w:rsid w:val="563B695D"/>
    <w:rsid w:val="563C046E"/>
    <w:rsid w:val="56493A1E"/>
    <w:rsid w:val="565165EB"/>
    <w:rsid w:val="565C0B7D"/>
    <w:rsid w:val="565E627F"/>
    <w:rsid w:val="565F341A"/>
    <w:rsid w:val="565F3EAC"/>
    <w:rsid w:val="566273F2"/>
    <w:rsid w:val="566D17A6"/>
    <w:rsid w:val="566D24D5"/>
    <w:rsid w:val="566E2D84"/>
    <w:rsid w:val="566E4EB9"/>
    <w:rsid w:val="56794E67"/>
    <w:rsid w:val="567B2205"/>
    <w:rsid w:val="56817F9D"/>
    <w:rsid w:val="56833747"/>
    <w:rsid w:val="56861B05"/>
    <w:rsid w:val="568E4AF7"/>
    <w:rsid w:val="569439C1"/>
    <w:rsid w:val="56943C7D"/>
    <w:rsid w:val="56954813"/>
    <w:rsid w:val="56972FAB"/>
    <w:rsid w:val="569869C4"/>
    <w:rsid w:val="569C5833"/>
    <w:rsid w:val="569E5B82"/>
    <w:rsid w:val="56A47A0A"/>
    <w:rsid w:val="56A60776"/>
    <w:rsid w:val="56A80407"/>
    <w:rsid w:val="56AD1A6D"/>
    <w:rsid w:val="56B039A7"/>
    <w:rsid w:val="56B22A9C"/>
    <w:rsid w:val="56B55678"/>
    <w:rsid w:val="56BC3524"/>
    <w:rsid w:val="56C16283"/>
    <w:rsid w:val="56C17DD2"/>
    <w:rsid w:val="56C37737"/>
    <w:rsid w:val="56C647AE"/>
    <w:rsid w:val="56CD0BCF"/>
    <w:rsid w:val="56CF6B09"/>
    <w:rsid w:val="56D6396D"/>
    <w:rsid w:val="56D90F71"/>
    <w:rsid w:val="56DD0BD7"/>
    <w:rsid w:val="56E13950"/>
    <w:rsid w:val="56E355F5"/>
    <w:rsid w:val="56E52622"/>
    <w:rsid w:val="56E77E6E"/>
    <w:rsid w:val="56E878F7"/>
    <w:rsid w:val="56EC1DDB"/>
    <w:rsid w:val="56EE428E"/>
    <w:rsid w:val="56FB62D1"/>
    <w:rsid w:val="56FD3EC3"/>
    <w:rsid w:val="570056CB"/>
    <w:rsid w:val="57032983"/>
    <w:rsid w:val="57071993"/>
    <w:rsid w:val="570A5ABF"/>
    <w:rsid w:val="570C1DAC"/>
    <w:rsid w:val="570E2EB9"/>
    <w:rsid w:val="57120186"/>
    <w:rsid w:val="57145B02"/>
    <w:rsid w:val="57163111"/>
    <w:rsid w:val="57195489"/>
    <w:rsid w:val="57207E57"/>
    <w:rsid w:val="57231170"/>
    <w:rsid w:val="5724407E"/>
    <w:rsid w:val="57277FF2"/>
    <w:rsid w:val="572811A9"/>
    <w:rsid w:val="572D0350"/>
    <w:rsid w:val="573278F3"/>
    <w:rsid w:val="573E1354"/>
    <w:rsid w:val="574F522B"/>
    <w:rsid w:val="575925A3"/>
    <w:rsid w:val="575F1CC1"/>
    <w:rsid w:val="57612F2A"/>
    <w:rsid w:val="57647436"/>
    <w:rsid w:val="576641AC"/>
    <w:rsid w:val="57715B3F"/>
    <w:rsid w:val="57735490"/>
    <w:rsid w:val="577841AF"/>
    <w:rsid w:val="57792A16"/>
    <w:rsid w:val="577976E5"/>
    <w:rsid w:val="57823CAC"/>
    <w:rsid w:val="578F0AA9"/>
    <w:rsid w:val="57910B06"/>
    <w:rsid w:val="579214A4"/>
    <w:rsid w:val="579311A0"/>
    <w:rsid w:val="57931576"/>
    <w:rsid w:val="5798756F"/>
    <w:rsid w:val="57A04CBC"/>
    <w:rsid w:val="57A52495"/>
    <w:rsid w:val="57A53A3A"/>
    <w:rsid w:val="57B068A5"/>
    <w:rsid w:val="57B13234"/>
    <w:rsid w:val="57B72A76"/>
    <w:rsid w:val="57B816CC"/>
    <w:rsid w:val="57B91DA5"/>
    <w:rsid w:val="57BA59F2"/>
    <w:rsid w:val="57BB49E6"/>
    <w:rsid w:val="57BD6B2E"/>
    <w:rsid w:val="57C12E6E"/>
    <w:rsid w:val="57C31A06"/>
    <w:rsid w:val="57C3426C"/>
    <w:rsid w:val="57CE1F93"/>
    <w:rsid w:val="57D460CD"/>
    <w:rsid w:val="57D8239D"/>
    <w:rsid w:val="57DA1F9B"/>
    <w:rsid w:val="57E34D71"/>
    <w:rsid w:val="57E53793"/>
    <w:rsid w:val="57E77706"/>
    <w:rsid w:val="57E96972"/>
    <w:rsid w:val="57E973BB"/>
    <w:rsid w:val="57EE64A5"/>
    <w:rsid w:val="57EF4076"/>
    <w:rsid w:val="57F31103"/>
    <w:rsid w:val="580258D1"/>
    <w:rsid w:val="580C3AB9"/>
    <w:rsid w:val="58124EF9"/>
    <w:rsid w:val="581874DA"/>
    <w:rsid w:val="581D7A74"/>
    <w:rsid w:val="58207880"/>
    <w:rsid w:val="5822001E"/>
    <w:rsid w:val="582B4DC4"/>
    <w:rsid w:val="58325EE2"/>
    <w:rsid w:val="58341982"/>
    <w:rsid w:val="5835352C"/>
    <w:rsid w:val="5838311C"/>
    <w:rsid w:val="584018B7"/>
    <w:rsid w:val="584372DD"/>
    <w:rsid w:val="58470626"/>
    <w:rsid w:val="5848164A"/>
    <w:rsid w:val="584917B0"/>
    <w:rsid w:val="58501284"/>
    <w:rsid w:val="5850488B"/>
    <w:rsid w:val="585346E6"/>
    <w:rsid w:val="5863458B"/>
    <w:rsid w:val="5865170A"/>
    <w:rsid w:val="58665739"/>
    <w:rsid w:val="586A57ED"/>
    <w:rsid w:val="586C7AA2"/>
    <w:rsid w:val="58791534"/>
    <w:rsid w:val="587A56D7"/>
    <w:rsid w:val="587D2BEC"/>
    <w:rsid w:val="587D3419"/>
    <w:rsid w:val="5885299B"/>
    <w:rsid w:val="588743D1"/>
    <w:rsid w:val="5887701A"/>
    <w:rsid w:val="588F7324"/>
    <w:rsid w:val="589066A0"/>
    <w:rsid w:val="58950331"/>
    <w:rsid w:val="589528A1"/>
    <w:rsid w:val="58953F56"/>
    <w:rsid w:val="589A7BFE"/>
    <w:rsid w:val="58A5352A"/>
    <w:rsid w:val="58A920D3"/>
    <w:rsid w:val="58AC7AA2"/>
    <w:rsid w:val="58B24661"/>
    <w:rsid w:val="58B40C86"/>
    <w:rsid w:val="58B8154B"/>
    <w:rsid w:val="58B87D9E"/>
    <w:rsid w:val="58BB58F6"/>
    <w:rsid w:val="58BE7375"/>
    <w:rsid w:val="58CE3494"/>
    <w:rsid w:val="58D01154"/>
    <w:rsid w:val="58D12C77"/>
    <w:rsid w:val="58DE694D"/>
    <w:rsid w:val="58E00C2E"/>
    <w:rsid w:val="58E165C1"/>
    <w:rsid w:val="58E22894"/>
    <w:rsid w:val="58E46AC7"/>
    <w:rsid w:val="58F21194"/>
    <w:rsid w:val="58F80F37"/>
    <w:rsid w:val="58FB0147"/>
    <w:rsid w:val="58FC58DC"/>
    <w:rsid w:val="59062FDD"/>
    <w:rsid w:val="590A54C7"/>
    <w:rsid w:val="590D0758"/>
    <w:rsid w:val="590E366A"/>
    <w:rsid w:val="591006A9"/>
    <w:rsid w:val="591B0458"/>
    <w:rsid w:val="59217171"/>
    <w:rsid w:val="59232E69"/>
    <w:rsid w:val="592470EB"/>
    <w:rsid w:val="5926724B"/>
    <w:rsid w:val="59295D57"/>
    <w:rsid w:val="592B4413"/>
    <w:rsid w:val="592B579D"/>
    <w:rsid w:val="592C68D4"/>
    <w:rsid w:val="593122D7"/>
    <w:rsid w:val="59336C3F"/>
    <w:rsid w:val="59350DEE"/>
    <w:rsid w:val="59351823"/>
    <w:rsid w:val="59374B66"/>
    <w:rsid w:val="593928C3"/>
    <w:rsid w:val="59411541"/>
    <w:rsid w:val="59433A34"/>
    <w:rsid w:val="59454F55"/>
    <w:rsid w:val="59457292"/>
    <w:rsid w:val="594730AC"/>
    <w:rsid w:val="594B0AD5"/>
    <w:rsid w:val="594E5730"/>
    <w:rsid w:val="59585767"/>
    <w:rsid w:val="595C231F"/>
    <w:rsid w:val="59613C86"/>
    <w:rsid w:val="59665A0F"/>
    <w:rsid w:val="596972A6"/>
    <w:rsid w:val="596D78C4"/>
    <w:rsid w:val="596F7604"/>
    <w:rsid w:val="597424A9"/>
    <w:rsid w:val="5981135A"/>
    <w:rsid w:val="59813847"/>
    <w:rsid w:val="59825BF8"/>
    <w:rsid w:val="59843D95"/>
    <w:rsid w:val="59854990"/>
    <w:rsid w:val="59882C72"/>
    <w:rsid w:val="598B7D59"/>
    <w:rsid w:val="598F51B6"/>
    <w:rsid w:val="599047DD"/>
    <w:rsid w:val="59930BF9"/>
    <w:rsid w:val="59971FF2"/>
    <w:rsid w:val="599A30E7"/>
    <w:rsid w:val="599F5945"/>
    <w:rsid w:val="599F759B"/>
    <w:rsid w:val="59A13CA3"/>
    <w:rsid w:val="59A24F05"/>
    <w:rsid w:val="59A31AD3"/>
    <w:rsid w:val="59A51231"/>
    <w:rsid w:val="59AA2303"/>
    <w:rsid w:val="59AE7334"/>
    <w:rsid w:val="59AF5FB8"/>
    <w:rsid w:val="59B05D9A"/>
    <w:rsid w:val="59B3576F"/>
    <w:rsid w:val="59BE03D8"/>
    <w:rsid w:val="59C0439F"/>
    <w:rsid w:val="59C71B0E"/>
    <w:rsid w:val="59C768E1"/>
    <w:rsid w:val="59C946E1"/>
    <w:rsid w:val="59CA6C37"/>
    <w:rsid w:val="59CB56F6"/>
    <w:rsid w:val="59CF31DB"/>
    <w:rsid w:val="59D04D67"/>
    <w:rsid w:val="59D06365"/>
    <w:rsid w:val="59D143CA"/>
    <w:rsid w:val="59D47ECB"/>
    <w:rsid w:val="59D61997"/>
    <w:rsid w:val="59DB1211"/>
    <w:rsid w:val="59F40550"/>
    <w:rsid w:val="59F46E09"/>
    <w:rsid w:val="59F51AA1"/>
    <w:rsid w:val="59F61E1A"/>
    <w:rsid w:val="59F80D4B"/>
    <w:rsid w:val="59F81C6A"/>
    <w:rsid w:val="59FF07C1"/>
    <w:rsid w:val="5A023482"/>
    <w:rsid w:val="5A0918FE"/>
    <w:rsid w:val="5A092C2B"/>
    <w:rsid w:val="5A0A1EE4"/>
    <w:rsid w:val="5A0E4BBF"/>
    <w:rsid w:val="5A104DD6"/>
    <w:rsid w:val="5A11123C"/>
    <w:rsid w:val="5A11232D"/>
    <w:rsid w:val="5A122B21"/>
    <w:rsid w:val="5A151C5B"/>
    <w:rsid w:val="5A15406D"/>
    <w:rsid w:val="5A180647"/>
    <w:rsid w:val="5A18123F"/>
    <w:rsid w:val="5A183704"/>
    <w:rsid w:val="5A1A6519"/>
    <w:rsid w:val="5A1B2000"/>
    <w:rsid w:val="5A20192D"/>
    <w:rsid w:val="5A2146C0"/>
    <w:rsid w:val="5A2B1B8E"/>
    <w:rsid w:val="5A2E39E7"/>
    <w:rsid w:val="5A2F0648"/>
    <w:rsid w:val="5A2F1CE1"/>
    <w:rsid w:val="5A346BE6"/>
    <w:rsid w:val="5A39570B"/>
    <w:rsid w:val="5A3A03D8"/>
    <w:rsid w:val="5A3D7F5A"/>
    <w:rsid w:val="5A417F6A"/>
    <w:rsid w:val="5A5071B4"/>
    <w:rsid w:val="5A511C57"/>
    <w:rsid w:val="5A5B7AEB"/>
    <w:rsid w:val="5A624D99"/>
    <w:rsid w:val="5A6A6F34"/>
    <w:rsid w:val="5A6F7BEA"/>
    <w:rsid w:val="5A720E40"/>
    <w:rsid w:val="5A74012B"/>
    <w:rsid w:val="5A7C7BB4"/>
    <w:rsid w:val="5A806A55"/>
    <w:rsid w:val="5A820E28"/>
    <w:rsid w:val="5A8446CE"/>
    <w:rsid w:val="5A9377B3"/>
    <w:rsid w:val="5A9476F7"/>
    <w:rsid w:val="5A951B44"/>
    <w:rsid w:val="5A970F2B"/>
    <w:rsid w:val="5A9B7F2F"/>
    <w:rsid w:val="5A9E49EC"/>
    <w:rsid w:val="5A9F463E"/>
    <w:rsid w:val="5AA13ED4"/>
    <w:rsid w:val="5AA92A77"/>
    <w:rsid w:val="5AAC747F"/>
    <w:rsid w:val="5AB51F43"/>
    <w:rsid w:val="5ABA0EDF"/>
    <w:rsid w:val="5ABB70B9"/>
    <w:rsid w:val="5ABC44B7"/>
    <w:rsid w:val="5ABC558D"/>
    <w:rsid w:val="5ABD1520"/>
    <w:rsid w:val="5ABD58A9"/>
    <w:rsid w:val="5ABE2233"/>
    <w:rsid w:val="5ABE6B3F"/>
    <w:rsid w:val="5AC23FFD"/>
    <w:rsid w:val="5AC651DD"/>
    <w:rsid w:val="5AC661A1"/>
    <w:rsid w:val="5AC66372"/>
    <w:rsid w:val="5ACB6E12"/>
    <w:rsid w:val="5ACF5DC7"/>
    <w:rsid w:val="5AD43F2C"/>
    <w:rsid w:val="5AD708AC"/>
    <w:rsid w:val="5AD93EE8"/>
    <w:rsid w:val="5ADA358F"/>
    <w:rsid w:val="5ADD24CF"/>
    <w:rsid w:val="5ADD74DC"/>
    <w:rsid w:val="5ADF567F"/>
    <w:rsid w:val="5AE005F4"/>
    <w:rsid w:val="5AE159FF"/>
    <w:rsid w:val="5AE26C89"/>
    <w:rsid w:val="5AF249EC"/>
    <w:rsid w:val="5AF86CC4"/>
    <w:rsid w:val="5AFC7E15"/>
    <w:rsid w:val="5AFE2479"/>
    <w:rsid w:val="5AFE3DAF"/>
    <w:rsid w:val="5B030D05"/>
    <w:rsid w:val="5B051987"/>
    <w:rsid w:val="5B074DF1"/>
    <w:rsid w:val="5B12718B"/>
    <w:rsid w:val="5B1D6551"/>
    <w:rsid w:val="5B1D7985"/>
    <w:rsid w:val="5B1D7F73"/>
    <w:rsid w:val="5B1E1D48"/>
    <w:rsid w:val="5B1F3F88"/>
    <w:rsid w:val="5B207FCE"/>
    <w:rsid w:val="5B2600A0"/>
    <w:rsid w:val="5B263BEC"/>
    <w:rsid w:val="5B2E20F8"/>
    <w:rsid w:val="5B2E48FF"/>
    <w:rsid w:val="5B3340B5"/>
    <w:rsid w:val="5B34386F"/>
    <w:rsid w:val="5B3749C5"/>
    <w:rsid w:val="5B3761C9"/>
    <w:rsid w:val="5B413A7A"/>
    <w:rsid w:val="5B417BD5"/>
    <w:rsid w:val="5B444795"/>
    <w:rsid w:val="5B4827A1"/>
    <w:rsid w:val="5B4B0FD1"/>
    <w:rsid w:val="5B4E5735"/>
    <w:rsid w:val="5B537254"/>
    <w:rsid w:val="5B5E0D4A"/>
    <w:rsid w:val="5B5E1D8D"/>
    <w:rsid w:val="5B64424C"/>
    <w:rsid w:val="5B6B3F47"/>
    <w:rsid w:val="5B6B6A38"/>
    <w:rsid w:val="5B6D5BA8"/>
    <w:rsid w:val="5B7A6D5F"/>
    <w:rsid w:val="5B7C5324"/>
    <w:rsid w:val="5B827807"/>
    <w:rsid w:val="5B885D5A"/>
    <w:rsid w:val="5B8C60FC"/>
    <w:rsid w:val="5B8E479B"/>
    <w:rsid w:val="5B922A46"/>
    <w:rsid w:val="5B937834"/>
    <w:rsid w:val="5B950B33"/>
    <w:rsid w:val="5B9A6175"/>
    <w:rsid w:val="5B9B093B"/>
    <w:rsid w:val="5B9C486F"/>
    <w:rsid w:val="5BA022BD"/>
    <w:rsid w:val="5BA10845"/>
    <w:rsid w:val="5BA10BA6"/>
    <w:rsid w:val="5BA23BC0"/>
    <w:rsid w:val="5BA53200"/>
    <w:rsid w:val="5BB10BFF"/>
    <w:rsid w:val="5BB15F7C"/>
    <w:rsid w:val="5BB74E52"/>
    <w:rsid w:val="5BB91684"/>
    <w:rsid w:val="5BBD2D14"/>
    <w:rsid w:val="5BBE2284"/>
    <w:rsid w:val="5BBE50CA"/>
    <w:rsid w:val="5BC622F6"/>
    <w:rsid w:val="5BC74423"/>
    <w:rsid w:val="5BCC3C8B"/>
    <w:rsid w:val="5BCD5652"/>
    <w:rsid w:val="5BCE0C8D"/>
    <w:rsid w:val="5BD014BD"/>
    <w:rsid w:val="5BD41AA1"/>
    <w:rsid w:val="5BD425B0"/>
    <w:rsid w:val="5BD92074"/>
    <w:rsid w:val="5BDB75B0"/>
    <w:rsid w:val="5BDD38F8"/>
    <w:rsid w:val="5BDF5D95"/>
    <w:rsid w:val="5BDF753C"/>
    <w:rsid w:val="5BE30F30"/>
    <w:rsid w:val="5BE66581"/>
    <w:rsid w:val="5BEE30B2"/>
    <w:rsid w:val="5BF2537D"/>
    <w:rsid w:val="5BF605B4"/>
    <w:rsid w:val="5BF62AB6"/>
    <w:rsid w:val="5BF87897"/>
    <w:rsid w:val="5BFE06DD"/>
    <w:rsid w:val="5BFE7528"/>
    <w:rsid w:val="5C026E4C"/>
    <w:rsid w:val="5C065149"/>
    <w:rsid w:val="5C0A1C9F"/>
    <w:rsid w:val="5C0E6052"/>
    <w:rsid w:val="5C130930"/>
    <w:rsid w:val="5C130ADB"/>
    <w:rsid w:val="5C2A1B42"/>
    <w:rsid w:val="5C2A2C98"/>
    <w:rsid w:val="5C2D7D10"/>
    <w:rsid w:val="5C387762"/>
    <w:rsid w:val="5C3A718C"/>
    <w:rsid w:val="5C3B6AA4"/>
    <w:rsid w:val="5C3E2F38"/>
    <w:rsid w:val="5C423F4D"/>
    <w:rsid w:val="5C42633F"/>
    <w:rsid w:val="5C485CDF"/>
    <w:rsid w:val="5C5436DC"/>
    <w:rsid w:val="5C544801"/>
    <w:rsid w:val="5C56172D"/>
    <w:rsid w:val="5C59417C"/>
    <w:rsid w:val="5C5C56BB"/>
    <w:rsid w:val="5C607540"/>
    <w:rsid w:val="5C64414B"/>
    <w:rsid w:val="5C645E19"/>
    <w:rsid w:val="5C651835"/>
    <w:rsid w:val="5C694BB8"/>
    <w:rsid w:val="5C6E5032"/>
    <w:rsid w:val="5C701216"/>
    <w:rsid w:val="5C7412E0"/>
    <w:rsid w:val="5C7809B9"/>
    <w:rsid w:val="5C7F089F"/>
    <w:rsid w:val="5C806824"/>
    <w:rsid w:val="5C8400C2"/>
    <w:rsid w:val="5C8461A4"/>
    <w:rsid w:val="5C8563B1"/>
    <w:rsid w:val="5C873045"/>
    <w:rsid w:val="5C88428F"/>
    <w:rsid w:val="5C8E6675"/>
    <w:rsid w:val="5C980B12"/>
    <w:rsid w:val="5C9B308F"/>
    <w:rsid w:val="5C9D281B"/>
    <w:rsid w:val="5C9D2F32"/>
    <w:rsid w:val="5CAF0D20"/>
    <w:rsid w:val="5CBB056F"/>
    <w:rsid w:val="5CBD4473"/>
    <w:rsid w:val="5CC237A6"/>
    <w:rsid w:val="5CC762BD"/>
    <w:rsid w:val="5CCB085E"/>
    <w:rsid w:val="5CCE57E1"/>
    <w:rsid w:val="5CD00D2A"/>
    <w:rsid w:val="5CD43A1E"/>
    <w:rsid w:val="5CD62D79"/>
    <w:rsid w:val="5CE360D5"/>
    <w:rsid w:val="5CE475E4"/>
    <w:rsid w:val="5CE51492"/>
    <w:rsid w:val="5CE86F07"/>
    <w:rsid w:val="5CEC0939"/>
    <w:rsid w:val="5CED02D1"/>
    <w:rsid w:val="5CEF72DC"/>
    <w:rsid w:val="5CF90E80"/>
    <w:rsid w:val="5CFC4A15"/>
    <w:rsid w:val="5D025DB1"/>
    <w:rsid w:val="5D055462"/>
    <w:rsid w:val="5D063D09"/>
    <w:rsid w:val="5D0B27C0"/>
    <w:rsid w:val="5D12716A"/>
    <w:rsid w:val="5D1F1235"/>
    <w:rsid w:val="5D213B63"/>
    <w:rsid w:val="5D2B57F9"/>
    <w:rsid w:val="5D336BE0"/>
    <w:rsid w:val="5D355030"/>
    <w:rsid w:val="5D36641B"/>
    <w:rsid w:val="5D3718B6"/>
    <w:rsid w:val="5D3A4247"/>
    <w:rsid w:val="5D3A78E2"/>
    <w:rsid w:val="5D3C04A3"/>
    <w:rsid w:val="5D3C3D8C"/>
    <w:rsid w:val="5D3F0204"/>
    <w:rsid w:val="5D411DAB"/>
    <w:rsid w:val="5D4364FE"/>
    <w:rsid w:val="5D4617AB"/>
    <w:rsid w:val="5D4946BD"/>
    <w:rsid w:val="5D4C04E5"/>
    <w:rsid w:val="5D4D2BAA"/>
    <w:rsid w:val="5D500386"/>
    <w:rsid w:val="5D587E6E"/>
    <w:rsid w:val="5D5B434B"/>
    <w:rsid w:val="5D5B7AAB"/>
    <w:rsid w:val="5D5C585F"/>
    <w:rsid w:val="5D5D301A"/>
    <w:rsid w:val="5D6077D4"/>
    <w:rsid w:val="5D610805"/>
    <w:rsid w:val="5D610D98"/>
    <w:rsid w:val="5D634643"/>
    <w:rsid w:val="5D635CCA"/>
    <w:rsid w:val="5D681516"/>
    <w:rsid w:val="5D6A4A5D"/>
    <w:rsid w:val="5D6C2994"/>
    <w:rsid w:val="5D703C58"/>
    <w:rsid w:val="5D71186E"/>
    <w:rsid w:val="5D7B49AE"/>
    <w:rsid w:val="5D7E579E"/>
    <w:rsid w:val="5D832D5D"/>
    <w:rsid w:val="5D8440F2"/>
    <w:rsid w:val="5D847C1D"/>
    <w:rsid w:val="5D8616E3"/>
    <w:rsid w:val="5D8F7F97"/>
    <w:rsid w:val="5D914319"/>
    <w:rsid w:val="5D9355EE"/>
    <w:rsid w:val="5D95299C"/>
    <w:rsid w:val="5D964483"/>
    <w:rsid w:val="5D977747"/>
    <w:rsid w:val="5D9B0379"/>
    <w:rsid w:val="5D9D6D8E"/>
    <w:rsid w:val="5DB32B16"/>
    <w:rsid w:val="5DB703E4"/>
    <w:rsid w:val="5DB83461"/>
    <w:rsid w:val="5DC13DAD"/>
    <w:rsid w:val="5DC423DE"/>
    <w:rsid w:val="5DC71DBB"/>
    <w:rsid w:val="5DD5004C"/>
    <w:rsid w:val="5DD53AC7"/>
    <w:rsid w:val="5DD679B7"/>
    <w:rsid w:val="5DD7127B"/>
    <w:rsid w:val="5DE06BA3"/>
    <w:rsid w:val="5DE2313C"/>
    <w:rsid w:val="5DE565DF"/>
    <w:rsid w:val="5DE72E61"/>
    <w:rsid w:val="5DEA68FF"/>
    <w:rsid w:val="5DEC7965"/>
    <w:rsid w:val="5DEC79D0"/>
    <w:rsid w:val="5DEE156F"/>
    <w:rsid w:val="5DEE3530"/>
    <w:rsid w:val="5DEF784D"/>
    <w:rsid w:val="5E0F585E"/>
    <w:rsid w:val="5E122657"/>
    <w:rsid w:val="5E1B2C9A"/>
    <w:rsid w:val="5E1C698F"/>
    <w:rsid w:val="5E24248E"/>
    <w:rsid w:val="5E2467F1"/>
    <w:rsid w:val="5E2653F1"/>
    <w:rsid w:val="5E28130E"/>
    <w:rsid w:val="5E2C115D"/>
    <w:rsid w:val="5E2F3627"/>
    <w:rsid w:val="5E381DC9"/>
    <w:rsid w:val="5E3C0313"/>
    <w:rsid w:val="5E3D46A4"/>
    <w:rsid w:val="5E3D75D5"/>
    <w:rsid w:val="5E3F3D68"/>
    <w:rsid w:val="5E421FE3"/>
    <w:rsid w:val="5E480262"/>
    <w:rsid w:val="5E4943FB"/>
    <w:rsid w:val="5E4E14AF"/>
    <w:rsid w:val="5E5173D1"/>
    <w:rsid w:val="5E5534DA"/>
    <w:rsid w:val="5E57509D"/>
    <w:rsid w:val="5E584C39"/>
    <w:rsid w:val="5E5A37D0"/>
    <w:rsid w:val="5E606EC6"/>
    <w:rsid w:val="5E6C055C"/>
    <w:rsid w:val="5E6E1608"/>
    <w:rsid w:val="5E6E754B"/>
    <w:rsid w:val="5E703C89"/>
    <w:rsid w:val="5E7267D3"/>
    <w:rsid w:val="5E736640"/>
    <w:rsid w:val="5E7410E7"/>
    <w:rsid w:val="5E7647A4"/>
    <w:rsid w:val="5E79352B"/>
    <w:rsid w:val="5E7F7185"/>
    <w:rsid w:val="5E836858"/>
    <w:rsid w:val="5E8674A9"/>
    <w:rsid w:val="5E867DAD"/>
    <w:rsid w:val="5E8A356A"/>
    <w:rsid w:val="5E8E64D2"/>
    <w:rsid w:val="5E9509E5"/>
    <w:rsid w:val="5E966CFA"/>
    <w:rsid w:val="5E994CF8"/>
    <w:rsid w:val="5E9A3375"/>
    <w:rsid w:val="5E9F26C2"/>
    <w:rsid w:val="5EA22C3C"/>
    <w:rsid w:val="5EA97D3F"/>
    <w:rsid w:val="5EAA2749"/>
    <w:rsid w:val="5EAA41C5"/>
    <w:rsid w:val="5EAC7062"/>
    <w:rsid w:val="5EB526FC"/>
    <w:rsid w:val="5EB63F90"/>
    <w:rsid w:val="5EB72FD9"/>
    <w:rsid w:val="5EBB0032"/>
    <w:rsid w:val="5EBB08E8"/>
    <w:rsid w:val="5EBD526A"/>
    <w:rsid w:val="5ECE47B0"/>
    <w:rsid w:val="5ED37460"/>
    <w:rsid w:val="5ED64197"/>
    <w:rsid w:val="5EE434DC"/>
    <w:rsid w:val="5EE70DDC"/>
    <w:rsid w:val="5EEA5561"/>
    <w:rsid w:val="5EF73726"/>
    <w:rsid w:val="5EFB5FCF"/>
    <w:rsid w:val="5F0330E5"/>
    <w:rsid w:val="5F0F0516"/>
    <w:rsid w:val="5F135776"/>
    <w:rsid w:val="5F1501B2"/>
    <w:rsid w:val="5F1A2B43"/>
    <w:rsid w:val="5F1E4E8E"/>
    <w:rsid w:val="5F205029"/>
    <w:rsid w:val="5F225614"/>
    <w:rsid w:val="5F234111"/>
    <w:rsid w:val="5F243B59"/>
    <w:rsid w:val="5F2456F1"/>
    <w:rsid w:val="5F2534C3"/>
    <w:rsid w:val="5F2736AD"/>
    <w:rsid w:val="5F296192"/>
    <w:rsid w:val="5F2E3418"/>
    <w:rsid w:val="5F331235"/>
    <w:rsid w:val="5F345A49"/>
    <w:rsid w:val="5F350389"/>
    <w:rsid w:val="5F3509AB"/>
    <w:rsid w:val="5F363FC6"/>
    <w:rsid w:val="5F3D16AA"/>
    <w:rsid w:val="5F3E7C64"/>
    <w:rsid w:val="5F3F4AD6"/>
    <w:rsid w:val="5F4A5F62"/>
    <w:rsid w:val="5F4A691D"/>
    <w:rsid w:val="5F4E7FCA"/>
    <w:rsid w:val="5F582E36"/>
    <w:rsid w:val="5F6234A1"/>
    <w:rsid w:val="5F6A497F"/>
    <w:rsid w:val="5F6C5166"/>
    <w:rsid w:val="5F6E7213"/>
    <w:rsid w:val="5F6F6A2C"/>
    <w:rsid w:val="5F7010C5"/>
    <w:rsid w:val="5F7040BC"/>
    <w:rsid w:val="5F724B4A"/>
    <w:rsid w:val="5F775335"/>
    <w:rsid w:val="5F790631"/>
    <w:rsid w:val="5F7973A9"/>
    <w:rsid w:val="5F8013F2"/>
    <w:rsid w:val="5F8032C6"/>
    <w:rsid w:val="5F8216FA"/>
    <w:rsid w:val="5F822F5E"/>
    <w:rsid w:val="5F8C010C"/>
    <w:rsid w:val="5F8C6A9D"/>
    <w:rsid w:val="5F9045CA"/>
    <w:rsid w:val="5F930A23"/>
    <w:rsid w:val="5F9A14B0"/>
    <w:rsid w:val="5F9A5E4E"/>
    <w:rsid w:val="5FA53AD6"/>
    <w:rsid w:val="5FA54D96"/>
    <w:rsid w:val="5FA55999"/>
    <w:rsid w:val="5FA60F0F"/>
    <w:rsid w:val="5FA964F1"/>
    <w:rsid w:val="5FAE392F"/>
    <w:rsid w:val="5FAF7161"/>
    <w:rsid w:val="5FB467B6"/>
    <w:rsid w:val="5FB52C88"/>
    <w:rsid w:val="5FB837BB"/>
    <w:rsid w:val="5FB87CF2"/>
    <w:rsid w:val="5FBA09E6"/>
    <w:rsid w:val="5FBB07E9"/>
    <w:rsid w:val="5FC02856"/>
    <w:rsid w:val="5FC61B17"/>
    <w:rsid w:val="5FC75809"/>
    <w:rsid w:val="5FC84BC1"/>
    <w:rsid w:val="5FC8776A"/>
    <w:rsid w:val="5FD02B69"/>
    <w:rsid w:val="5FD11922"/>
    <w:rsid w:val="5FDC49DF"/>
    <w:rsid w:val="5FDD6AC7"/>
    <w:rsid w:val="5FE50ACD"/>
    <w:rsid w:val="5FE76D8C"/>
    <w:rsid w:val="5FEB534F"/>
    <w:rsid w:val="5FEB7235"/>
    <w:rsid w:val="5FEC2328"/>
    <w:rsid w:val="5FF4403D"/>
    <w:rsid w:val="5FF86476"/>
    <w:rsid w:val="6008157F"/>
    <w:rsid w:val="600B29C0"/>
    <w:rsid w:val="600C155A"/>
    <w:rsid w:val="600E168E"/>
    <w:rsid w:val="600F0F78"/>
    <w:rsid w:val="60121E89"/>
    <w:rsid w:val="601554BA"/>
    <w:rsid w:val="601A2A81"/>
    <w:rsid w:val="601C4090"/>
    <w:rsid w:val="601E711C"/>
    <w:rsid w:val="60226A26"/>
    <w:rsid w:val="602F6597"/>
    <w:rsid w:val="602F7E49"/>
    <w:rsid w:val="60300375"/>
    <w:rsid w:val="60306903"/>
    <w:rsid w:val="603770AB"/>
    <w:rsid w:val="603F3482"/>
    <w:rsid w:val="6045576E"/>
    <w:rsid w:val="60492B11"/>
    <w:rsid w:val="605154E9"/>
    <w:rsid w:val="60542AEE"/>
    <w:rsid w:val="60543763"/>
    <w:rsid w:val="605E11AF"/>
    <w:rsid w:val="605E37DD"/>
    <w:rsid w:val="606721D5"/>
    <w:rsid w:val="60697782"/>
    <w:rsid w:val="606A0C60"/>
    <w:rsid w:val="60776E08"/>
    <w:rsid w:val="60791F08"/>
    <w:rsid w:val="607A5470"/>
    <w:rsid w:val="607B1626"/>
    <w:rsid w:val="60847662"/>
    <w:rsid w:val="60873E9A"/>
    <w:rsid w:val="608C66DA"/>
    <w:rsid w:val="608D0369"/>
    <w:rsid w:val="609531A0"/>
    <w:rsid w:val="609F1BC5"/>
    <w:rsid w:val="609F31D5"/>
    <w:rsid w:val="609F557C"/>
    <w:rsid w:val="60A10EDE"/>
    <w:rsid w:val="60A20B30"/>
    <w:rsid w:val="60A76973"/>
    <w:rsid w:val="60AA155D"/>
    <w:rsid w:val="60AE7345"/>
    <w:rsid w:val="60B21BE2"/>
    <w:rsid w:val="60B272E2"/>
    <w:rsid w:val="60B64FC9"/>
    <w:rsid w:val="60BC6D0F"/>
    <w:rsid w:val="60BE4765"/>
    <w:rsid w:val="60CB2C2E"/>
    <w:rsid w:val="60CC2119"/>
    <w:rsid w:val="60CC405A"/>
    <w:rsid w:val="60CE03AF"/>
    <w:rsid w:val="60D208D4"/>
    <w:rsid w:val="60D31618"/>
    <w:rsid w:val="60D42E27"/>
    <w:rsid w:val="60D95FB9"/>
    <w:rsid w:val="60DB4044"/>
    <w:rsid w:val="60DE6924"/>
    <w:rsid w:val="60EA18FE"/>
    <w:rsid w:val="60F577E0"/>
    <w:rsid w:val="60F679B5"/>
    <w:rsid w:val="60FD1E28"/>
    <w:rsid w:val="60FD3763"/>
    <w:rsid w:val="60FE203A"/>
    <w:rsid w:val="61111B91"/>
    <w:rsid w:val="611174F0"/>
    <w:rsid w:val="61152285"/>
    <w:rsid w:val="611B780A"/>
    <w:rsid w:val="611E1E5E"/>
    <w:rsid w:val="61240481"/>
    <w:rsid w:val="61242587"/>
    <w:rsid w:val="613238A2"/>
    <w:rsid w:val="613A3348"/>
    <w:rsid w:val="613A5214"/>
    <w:rsid w:val="613C67E7"/>
    <w:rsid w:val="61403104"/>
    <w:rsid w:val="61487A40"/>
    <w:rsid w:val="614A1EC5"/>
    <w:rsid w:val="614C7D54"/>
    <w:rsid w:val="6152710C"/>
    <w:rsid w:val="615A5895"/>
    <w:rsid w:val="615D0DBF"/>
    <w:rsid w:val="61673788"/>
    <w:rsid w:val="616D7604"/>
    <w:rsid w:val="617213B6"/>
    <w:rsid w:val="61781019"/>
    <w:rsid w:val="617F1BB3"/>
    <w:rsid w:val="6188505B"/>
    <w:rsid w:val="61895075"/>
    <w:rsid w:val="6197777A"/>
    <w:rsid w:val="61A12196"/>
    <w:rsid w:val="61A17D03"/>
    <w:rsid w:val="61A260C6"/>
    <w:rsid w:val="61A55DFD"/>
    <w:rsid w:val="61AC4EBE"/>
    <w:rsid w:val="61AD0623"/>
    <w:rsid w:val="61BC4A3C"/>
    <w:rsid w:val="61BE3695"/>
    <w:rsid w:val="61C4408F"/>
    <w:rsid w:val="61C72C03"/>
    <w:rsid w:val="61CB7903"/>
    <w:rsid w:val="61CC2D10"/>
    <w:rsid w:val="61E215D8"/>
    <w:rsid w:val="61E538A3"/>
    <w:rsid w:val="61EA6C19"/>
    <w:rsid w:val="61F908EB"/>
    <w:rsid w:val="61F96136"/>
    <w:rsid w:val="62023760"/>
    <w:rsid w:val="62025C66"/>
    <w:rsid w:val="62050364"/>
    <w:rsid w:val="62070D50"/>
    <w:rsid w:val="62074299"/>
    <w:rsid w:val="620C5E85"/>
    <w:rsid w:val="620F5A92"/>
    <w:rsid w:val="621225FB"/>
    <w:rsid w:val="6218599F"/>
    <w:rsid w:val="621B3775"/>
    <w:rsid w:val="621F43E9"/>
    <w:rsid w:val="6225529F"/>
    <w:rsid w:val="62284317"/>
    <w:rsid w:val="622C1347"/>
    <w:rsid w:val="622C5025"/>
    <w:rsid w:val="622E34CB"/>
    <w:rsid w:val="623035AD"/>
    <w:rsid w:val="62311152"/>
    <w:rsid w:val="623175D1"/>
    <w:rsid w:val="62344DDF"/>
    <w:rsid w:val="62356690"/>
    <w:rsid w:val="62364782"/>
    <w:rsid w:val="623757FD"/>
    <w:rsid w:val="6239522A"/>
    <w:rsid w:val="623C046B"/>
    <w:rsid w:val="62401A1A"/>
    <w:rsid w:val="624A3DFB"/>
    <w:rsid w:val="625447AB"/>
    <w:rsid w:val="62563915"/>
    <w:rsid w:val="625F157D"/>
    <w:rsid w:val="62636F81"/>
    <w:rsid w:val="62651050"/>
    <w:rsid w:val="626544F2"/>
    <w:rsid w:val="62667574"/>
    <w:rsid w:val="626C022B"/>
    <w:rsid w:val="626C0FB1"/>
    <w:rsid w:val="627048DF"/>
    <w:rsid w:val="62723A22"/>
    <w:rsid w:val="6278406C"/>
    <w:rsid w:val="62796F49"/>
    <w:rsid w:val="627A3AAC"/>
    <w:rsid w:val="627B4E7E"/>
    <w:rsid w:val="627C6382"/>
    <w:rsid w:val="627E669D"/>
    <w:rsid w:val="62813342"/>
    <w:rsid w:val="62843865"/>
    <w:rsid w:val="62867B24"/>
    <w:rsid w:val="628802C3"/>
    <w:rsid w:val="628960DF"/>
    <w:rsid w:val="628A4650"/>
    <w:rsid w:val="628B5CC6"/>
    <w:rsid w:val="628F38F3"/>
    <w:rsid w:val="62913320"/>
    <w:rsid w:val="62915E0C"/>
    <w:rsid w:val="629F28AA"/>
    <w:rsid w:val="62A0512B"/>
    <w:rsid w:val="62A70547"/>
    <w:rsid w:val="62A979EF"/>
    <w:rsid w:val="62B47D7E"/>
    <w:rsid w:val="62B70009"/>
    <w:rsid w:val="62B74471"/>
    <w:rsid w:val="62BC0DCB"/>
    <w:rsid w:val="62BD432E"/>
    <w:rsid w:val="62C51EB1"/>
    <w:rsid w:val="62CF5C21"/>
    <w:rsid w:val="62CF7887"/>
    <w:rsid w:val="62D3393A"/>
    <w:rsid w:val="62D45905"/>
    <w:rsid w:val="62D53E20"/>
    <w:rsid w:val="62D92B9E"/>
    <w:rsid w:val="62DC2577"/>
    <w:rsid w:val="62DC50AD"/>
    <w:rsid w:val="62DD10C7"/>
    <w:rsid w:val="62EB132E"/>
    <w:rsid w:val="62EE75BF"/>
    <w:rsid w:val="62F459F1"/>
    <w:rsid w:val="63067A8F"/>
    <w:rsid w:val="630A3238"/>
    <w:rsid w:val="630A6E47"/>
    <w:rsid w:val="630B370D"/>
    <w:rsid w:val="630B43F7"/>
    <w:rsid w:val="63126E29"/>
    <w:rsid w:val="631353AA"/>
    <w:rsid w:val="63176495"/>
    <w:rsid w:val="631C322E"/>
    <w:rsid w:val="63287DA0"/>
    <w:rsid w:val="632C2A55"/>
    <w:rsid w:val="632D4606"/>
    <w:rsid w:val="632E10B1"/>
    <w:rsid w:val="63396A58"/>
    <w:rsid w:val="633A3843"/>
    <w:rsid w:val="633B557C"/>
    <w:rsid w:val="633C79B4"/>
    <w:rsid w:val="634951F4"/>
    <w:rsid w:val="63497279"/>
    <w:rsid w:val="634A36E8"/>
    <w:rsid w:val="634C7460"/>
    <w:rsid w:val="634E414B"/>
    <w:rsid w:val="63514A76"/>
    <w:rsid w:val="63523A33"/>
    <w:rsid w:val="635728D9"/>
    <w:rsid w:val="635A073B"/>
    <w:rsid w:val="635D49B0"/>
    <w:rsid w:val="63636EEC"/>
    <w:rsid w:val="63690A05"/>
    <w:rsid w:val="63692F3E"/>
    <w:rsid w:val="636B52CA"/>
    <w:rsid w:val="636C5C63"/>
    <w:rsid w:val="63734FF7"/>
    <w:rsid w:val="637729F4"/>
    <w:rsid w:val="63773DCF"/>
    <w:rsid w:val="637757F9"/>
    <w:rsid w:val="6394356A"/>
    <w:rsid w:val="63952223"/>
    <w:rsid w:val="639930EE"/>
    <w:rsid w:val="63A235BC"/>
    <w:rsid w:val="63B15A8C"/>
    <w:rsid w:val="63B17308"/>
    <w:rsid w:val="63B514A9"/>
    <w:rsid w:val="63B76FCF"/>
    <w:rsid w:val="63B85697"/>
    <w:rsid w:val="63BD3127"/>
    <w:rsid w:val="63BD5F7A"/>
    <w:rsid w:val="63C12423"/>
    <w:rsid w:val="63C40BF4"/>
    <w:rsid w:val="63C61B2C"/>
    <w:rsid w:val="63C72FB3"/>
    <w:rsid w:val="63C75910"/>
    <w:rsid w:val="63C9209A"/>
    <w:rsid w:val="63C948F8"/>
    <w:rsid w:val="63CB2A6D"/>
    <w:rsid w:val="63CD57EE"/>
    <w:rsid w:val="63D40BE9"/>
    <w:rsid w:val="63D538F9"/>
    <w:rsid w:val="63D74F7B"/>
    <w:rsid w:val="63E55739"/>
    <w:rsid w:val="63E735CA"/>
    <w:rsid w:val="63E73CAF"/>
    <w:rsid w:val="63F802C6"/>
    <w:rsid w:val="63FA02C8"/>
    <w:rsid w:val="63FB0D7B"/>
    <w:rsid w:val="63FC6118"/>
    <w:rsid w:val="63FD761B"/>
    <w:rsid w:val="63FE3A6A"/>
    <w:rsid w:val="63FE4AD8"/>
    <w:rsid w:val="63FE69AC"/>
    <w:rsid w:val="63FF2FE3"/>
    <w:rsid w:val="64031056"/>
    <w:rsid w:val="640D70E8"/>
    <w:rsid w:val="64102431"/>
    <w:rsid w:val="64184743"/>
    <w:rsid w:val="64216926"/>
    <w:rsid w:val="642248A7"/>
    <w:rsid w:val="64251769"/>
    <w:rsid w:val="64335F52"/>
    <w:rsid w:val="64341097"/>
    <w:rsid w:val="64356613"/>
    <w:rsid w:val="64397EA4"/>
    <w:rsid w:val="643A375C"/>
    <w:rsid w:val="64406969"/>
    <w:rsid w:val="64462AA9"/>
    <w:rsid w:val="644B5969"/>
    <w:rsid w:val="644C3256"/>
    <w:rsid w:val="645074EB"/>
    <w:rsid w:val="64515F39"/>
    <w:rsid w:val="64520BBC"/>
    <w:rsid w:val="6452533B"/>
    <w:rsid w:val="645424A9"/>
    <w:rsid w:val="64547FAC"/>
    <w:rsid w:val="645532E4"/>
    <w:rsid w:val="645A1C6B"/>
    <w:rsid w:val="64645A7D"/>
    <w:rsid w:val="64655C6B"/>
    <w:rsid w:val="64665DAB"/>
    <w:rsid w:val="646C36E2"/>
    <w:rsid w:val="646D2DEA"/>
    <w:rsid w:val="6477675E"/>
    <w:rsid w:val="647A6B63"/>
    <w:rsid w:val="647D30D7"/>
    <w:rsid w:val="647D4120"/>
    <w:rsid w:val="647E55C0"/>
    <w:rsid w:val="648D7008"/>
    <w:rsid w:val="648F3543"/>
    <w:rsid w:val="64923598"/>
    <w:rsid w:val="649410BE"/>
    <w:rsid w:val="64952CE0"/>
    <w:rsid w:val="64961395"/>
    <w:rsid w:val="649B1EB6"/>
    <w:rsid w:val="649E6173"/>
    <w:rsid w:val="649F0468"/>
    <w:rsid w:val="64A5243A"/>
    <w:rsid w:val="64AC6F00"/>
    <w:rsid w:val="64B71C5B"/>
    <w:rsid w:val="64BB41BE"/>
    <w:rsid w:val="64BF1146"/>
    <w:rsid w:val="64BF3701"/>
    <w:rsid w:val="64C21501"/>
    <w:rsid w:val="64CB14CD"/>
    <w:rsid w:val="64CD136E"/>
    <w:rsid w:val="64CE4C6D"/>
    <w:rsid w:val="64CF6E60"/>
    <w:rsid w:val="64D43B91"/>
    <w:rsid w:val="64D50062"/>
    <w:rsid w:val="64D64BB0"/>
    <w:rsid w:val="64D85151"/>
    <w:rsid w:val="64D87BA7"/>
    <w:rsid w:val="64DA0E25"/>
    <w:rsid w:val="64DC6310"/>
    <w:rsid w:val="64DE67DD"/>
    <w:rsid w:val="64F531DE"/>
    <w:rsid w:val="64F775BB"/>
    <w:rsid w:val="64F96A74"/>
    <w:rsid w:val="64FF77F2"/>
    <w:rsid w:val="650107F3"/>
    <w:rsid w:val="65015A5D"/>
    <w:rsid w:val="65027208"/>
    <w:rsid w:val="65054673"/>
    <w:rsid w:val="650F0E7E"/>
    <w:rsid w:val="650F60FB"/>
    <w:rsid w:val="65116020"/>
    <w:rsid w:val="65125564"/>
    <w:rsid w:val="65134C6E"/>
    <w:rsid w:val="651355BD"/>
    <w:rsid w:val="65165D34"/>
    <w:rsid w:val="651C6A7C"/>
    <w:rsid w:val="6523161F"/>
    <w:rsid w:val="652A37D1"/>
    <w:rsid w:val="652D6CE9"/>
    <w:rsid w:val="653322BF"/>
    <w:rsid w:val="65363F24"/>
    <w:rsid w:val="65373578"/>
    <w:rsid w:val="653F44EC"/>
    <w:rsid w:val="653F593F"/>
    <w:rsid w:val="6543397A"/>
    <w:rsid w:val="654500C4"/>
    <w:rsid w:val="65452674"/>
    <w:rsid w:val="655460FA"/>
    <w:rsid w:val="655801EA"/>
    <w:rsid w:val="655D0384"/>
    <w:rsid w:val="65646CE3"/>
    <w:rsid w:val="656B6400"/>
    <w:rsid w:val="656D068A"/>
    <w:rsid w:val="656F7A8A"/>
    <w:rsid w:val="65796BC5"/>
    <w:rsid w:val="657A733F"/>
    <w:rsid w:val="657E70AF"/>
    <w:rsid w:val="658302B0"/>
    <w:rsid w:val="658756D6"/>
    <w:rsid w:val="658B0713"/>
    <w:rsid w:val="65905AAD"/>
    <w:rsid w:val="65921AA2"/>
    <w:rsid w:val="659245AC"/>
    <w:rsid w:val="659D20FF"/>
    <w:rsid w:val="659E390C"/>
    <w:rsid w:val="659E594B"/>
    <w:rsid w:val="65A735F3"/>
    <w:rsid w:val="65AB5BBC"/>
    <w:rsid w:val="65AF4CB5"/>
    <w:rsid w:val="65B461C0"/>
    <w:rsid w:val="65B54551"/>
    <w:rsid w:val="65BB6BD0"/>
    <w:rsid w:val="65C370AF"/>
    <w:rsid w:val="65C75519"/>
    <w:rsid w:val="65DA0D53"/>
    <w:rsid w:val="65E01A15"/>
    <w:rsid w:val="65E2603C"/>
    <w:rsid w:val="65E45CD0"/>
    <w:rsid w:val="65E92F4A"/>
    <w:rsid w:val="65EA02EA"/>
    <w:rsid w:val="65EB53FF"/>
    <w:rsid w:val="65F11DBB"/>
    <w:rsid w:val="65F63A21"/>
    <w:rsid w:val="65FD5C3E"/>
    <w:rsid w:val="65FF3A41"/>
    <w:rsid w:val="660547F7"/>
    <w:rsid w:val="660A242D"/>
    <w:rsid w:val="660E3448"/>
    <w:rsid w:val="660E58B6"/>
    <w:rsid w:val="660F7275"/>
    <w:rsid w:val="66143998"/>
    <w:rsid w:val="66181197"/>
    <w:rsid w:val="66190E03"/>
    <w:rsid w:val="66194BF8"/>
    <w:rsid w:val="661B3D92"/>
    <w:rsid w:val="661E78A3"/>
    <w:rsid w:val="66217FA8"/>
    <w:rsid w:val="662200A6"/>
    <w:rsid w:val="6628297F"/>
    <w:rsid w:val="66286625"/>
    <w:rsid w:val="662A7F2C"/>
    <w:rsid w:val="663739D8"/>
    <w:rsid w:val="663B3DB1"/>
    <w:rsid w:val="663D1344"/>
    <w:rsid w:val="663E72C0"/>
    <w:rsid w:val="664A5382"/>
    <w:rsid w:val="665A7385"/>
    <w:rsid w:val="665D53A1"/>
    <w:rsid w:val="66631395"/>
    <w:rsid w:val="66670C8A"/>
    <w:rsid w:val="666E34E8"/>
    <w:rsid w:val="666E4945"/>
    <w:rsid w:val="667473F9"/>
    <w:rsid w:val="66773342"/>
    <w:rsid w:val="66781D46"/>
    <w:rsid w:val="6678690F"/>
    <w:rsid w:val="667967BE"/>
    <w:rsid w:val="668349D9"/>
    <w:rsid w:val="668C5F60"/>
    <w:rsid w:val="66914066"/>
    <w:rsid w:val="66963DA4"/>
    <w:rsid w:val="669F08BC"/>
    <w:rsid w:val="66A1174D"/>
    <w:rsid w:val="66A852F5"/>
    <w:rsid w:val="66AC1952"/>
    <w:rsid w:val="66AD1701"/>
    <w:rsid w:val="66B030FC"/>
    <w:rsid w:val="66BA18BB"/>
    <w:rsid w:val="66BA63EF"/>
    <w:rsid w:val="66BB114A"/>
    <w:rsid w:val="66BC3392"/>
    <w:rsid w:val="66C32C12"/>
    <w:rsid w:val="66C72903"/>
    <w:rsid w:val="66CB58A8"/>
    <w:rsid w:val="66D12530"/>
    <w:rsid w:val="66D358CB"/>
    <w:rsid w:val="66D50615"/>
    <w:rsid w:val="66D63C10"/>
    <w:rsid w:val="66D72B9F"/>
    <w:rsid w:val="66D94642"/>
    <w:rsid w:val="66DB00B8"/>
    <w:rsid w:val="66DF59C2"/>
    <w:rsid w:val="66E241F8"/>
    <w:rsid w:val="66E4606A"/>
    <w:rsid w:val="66E9417E"/>
    <w:rsid w:val="66EA10A7"/>
    <w:rsid w:val="66EC274B"/>
    <w:rsid w:val="66EC3ADB"/>
    <w:rsid w:val="66ED0F5A"/>
    <w:rsid w:val="66F3616A"/>
    <w:rsid w:val="66F402B8"/>
    <w:rsid w:val="66F50C66"/>
    <w:rsid w:val="66F81A4D"/>
    <w:rsid w:val="66F83B86"/>
    <w:rsid w:val="67020F84"/>
    <w:rsid w:val="67035BDA"/>
    <w:rsid w:val="67041243"/>
    <w:rsid w:val="67074DC4"/>
    <w:rsid w:val="670828F5"/>
    <w:rsid w:val="670B55A6"/>
    <w:rsid w:val="670F70F3"/>
    <w:rsid w:val="671168E1"/>
    <w:rsid w:val="67124DFA"/>
    <w:rsid w:val="671866C6"/>
    <w:rsid w:val="671C340B"/>
    <w:rsid w:val="671F124A"/>
    <w:rsid w:val="67254250"/>
    <w:rsid w:val="6726083E"/>
    <w:rsid w:val="672F0922"/>
    <w:rsid w:val="673952B6"/>
    <w:rsid w:val="673B5EFE"/>
    <w:rsid w:val="673F0B1B"/>
    <w:rsid w:val="6745771B"/>
    <w:rsid w:val="674A2DDF"/>
    <w:rsid w:val="674C5C0C"/>
    <w:rsid w:val="67534115"/>
    <w:rsid w:val="675668A6"/>
    <w:rsid w:val="6764399D"/>
    <w:rsid w:val="67666CDA"/>
    <w:rsid w:val="67705E13"/>
    <w:rsid w:val="67721321"/>
    <w:rsid w:val="6772260D"/>
    <w:rsid w:val="677A33C6"/>
    <w:rsid w:val="677C21B8"/>
    <w:rsid w:val="677E155A"/>
    <w:rsid w:val="678006FF"/>
    <w:rsid w:val="67863471"/>
    <w:rsid w:val="67890C82"/>
    <w:rsid w:val="679413D5"/>
    <w:rsid w:val="6794291E"/>
    <w:rsid w:val="67946030"/>
    <w:rsid w:val="679822E9"/>
    <w:rsid w:val="679A0359"/>
    <w:rsid w:val="679B6FA2"/>
    <w:rsid w:val="67A02E2F"/>
    <w:rsid w:val="67AC078B"/>
    <w:rsid w:val="67AC4AAB"/>
    <w:rsid w:val="67AC6FEE"/>
    <w:rsid w:val="67AE0390"/>
    <w:rsid w:val="67AE13AD"/>
    <w:rsid w:val="67B41B22"/>
    <w:rsid w:val="67B53825"/>
    <w:rsid w:val="67BC2E06"/>
    <w:rsid w:val="67BC7290"/>
    <w:rsid w:val="67C03D6D"/>
    <w:rsid w:val="67C06160"/>
    <w:rsid w:val="67C515F8"/>
    <w:rsid w:val="67C60592"/>
    <w:rsid w:val="67CC15BC"/>
    <w:rsid w:val="67D1723B"/>
    <w:rsid w:val="67DA49E8"/>
    <w:rsid w:val="67DF46D7"/>
    <w:rsid w:val="67E972FA"/>
    <w:rsid w:val="67EC7DE8"/>
    <w:rsid w:val="67EF61E1"/>
    <w:rsid w:val="67F149D3"/>
    <w:rsid w:val="67F73DAB"/>
    <w:rsid w:val="67FD5B23"/>
    <w:rsid w:val="68004C45"/>
    <w:rsid w:val="68193511"/>
    <w:rsid w:val="681A6B4D"/>
    <w:rsid w:val="681A7FB9"/>
    <w:rsid w:val="681F6961"/>
    <w:rsid w:val="682009EE"/>
    <w:rsid w:val="68215A23"/>
    <w:rsid w:val="682379C7"/>
    <w:rsid w:val="68246B27"/>
    <w:rsid w:val="682A1389"/>
    <w:rsid w:val="682F5B5A"/>
    <w:rsid w:val="68342E9D"/>
    <w:rsid w:val="68366F6F"/>
    <w:rsid w:val="68372475"/>
    <w:rsid w:val="683B7230"/>
    <w:rsid w:val="683F33CD"/>
    <w:rsid w:val="6843030E"/>
    <w:rsid w:val="6844169E"/>
    <w:rsid w:val="68442DFB"/>
    <w:rsid w:val="6853049A"/>
    <w:rsid w:val="685349D8"/>
    <w:rsid w:val="685965D6"/>
    <w:rsid w:val="685C1E92"/>
    <w:rsid w:val="685C2B1E"/>
    <w:rsid w:val="68602730"/>
    <w:rsid w:val="68610A2F"/>
    <w:rsid w:val="68624215"/>
    <w:rsid w:val="68630438"/>
    <w:rsid w:val="68671BC6"/>
    <w:rsid w:val="68711382"/>
    <w:rsid w:val="68740C9F"/>
    <w:rsid w:val="68743948"/>
    <w:rsid w:val="68764B9C"/>
    <w:rsid w:val="687670AA"/>
    <w:rsid w:val="687A2B8E"/>
    <w:rsid w:val="687A5856"/>
    <w:rsid w:val="687C17DD"/>
    <w:rsid w:val="68805514"/>
    <w:rsid w:val="689127F3"/>
    <w:rsid w:val="68946ECD"/>
    <w:rsid w:val="689C4577"/>
    <w:rsid w:val="689E42BA"/>
    <w:rsid w:val="689F3F5A"/>
    <w:rsid w:val="68A25BAB"/>
    <w:rsid w:val="68A44F06"/>
    <w:rsid w:val="68A52FFE"/>
    <w:rsid w:val="68A767D9"/>
    <w:rsid w:val="68A92B2D"/>
    <w:rsid w:val="68AE2423"/>
    <w:rsid w:val="68B04366"/>
    <w:rsid w:val="68B35267"/>
    <w:rsid w:val="68B43ADD"/>
    <w:rsid w:val="68B66BAA"/>
    <w:rsid w:val="68B84965"/>
    <w:rsid w:val="68B952FF"/>
    <w:rsid w:val="68BB54D8"/>
    <w:rsid w:val="68BE77B2"/>
    <w:rsid w:val="68BF1204"/>
    <w:rsid w:val="68BF2482"/>
    <w:rsid w:val="68C2041A"/>
    <w:rsid w:val="68C21BC5"/>
    <w:rsid w:val="68C23C4C"/>
    <w:rsid w:val="68C47D09"/>
    <w:rsid w:val="68CC52CB"/>
    <w:rsid w:val="68D0468F"/>
    <w:rsid w:val="68DF2ABD"/>
    <w:rsid w:val="68E14E1C"/>
    <w:rsid w:val="68E22F94"/>
    <w:rsid w:val="68E36170"/>
    <w:rsid w:val="68F875D7"/>
    <w:rsid w:val="68FA3E7F"/>
    <w:rsid w:val="68FA6513"/>
    <w:rsid w:val="68FE26E8"/>
    <w:rsid w:val="69013D2F"/>
    <w:rsid w:val="69034A64"/>
    <w:rsid w:val="69036813"/>
    <w:rsid w:val="69053F08"/>
    <w:rsid w:val="6906277E"/>
    <w:rsid w:val="690D13D4"/>
    <w:rsid w:val="691148AC"/>
    <w:rsid w:val="691269B7"/>
    <w:rsid w:val="691602F4"/>
    <w:rsid w:val="69173AC3"/>
    <w:rsid w:val="69225F16"/>
    <w:rsid w:val="69277B6E"/>
    <w:rsid w:val="692A4EB8"/>
    <w:rsid w:val="69316E2F"/>
    <w:rsid w:val="6934763D"/>
    <w:rsid w:val="69356F13"/>
    <w:rsid w:val="69364A26"/>
    <w:rsid w:val="69394544"/>
    <w:rsid w:val="694021C3"/>
    <w:rsid w:val="694035C3"/>
    <w:rsid w:val="69407A67"/>
    <w:rsid w:val="6942351F"/>
    <w:rsid w:val="6945668A"/>
    <w:rsid w:val="69475F7C"/>
    <w:rsid w:val="694852FC"/>
    <w:rsid w:val="69497F54"/>
    <w:rsid w:val="694E2071"/>
    <w:rsid w:val="69564B94"/>
    <w:rsid w:val="69587755"/>
    <w:rsid w:val="695918E9"/>
    <w:rsid w:val="695C5DB8"/>
    <w:rsid w:val="69620669"/>
    <w:rsid w:val="69636E66"/>
    <w:rsid w:val="6966753B"/>
    <w:rsid w:val="69672B09"/>
    <w:rsid w:val="69685470"/>
    <w:rsid w:val="6968775B"/>
    <w:rsid w:val="696A0E0A"/>
    <w:rsid w:val="696F6464"/>
    <w:rsid w:val="69731C2E"/>
    <w:rsid w:val="69754956"/>
    <w:rsid w:val="69761F65"/>
    <w:rsid w:val="69766163"/>
    <w:rsid w:val="697A3B33"/>
    <w:rsid w:val="697A75D2"/>
    <w:rsid w:val="697B04DF"/>
    <w:rsid w:val="69800633"/>
    <w:rsid w:val="6981034D"/>
    <w:rsid w:val="69811ACE"/>
    <w:rsid w:val="69811F9D"/>
    <w:rsid w:val="698173D3"/>
    <w:rsid w:val="69853438"/>
    <w:rsid w:val="698C1139"/>
    <w:rsid w:val="698F4E41"/>
    <w:rsid w:val="699A2E6C"/>
    <w:rsid w:val="69A71894"/>
    <w:rsid w:val="69A753F0"/>
    <w:rsid w:val="69AF683B"/>
    <w:rsid w:val="69B46FB4"/>
    <w:rsid w:val="69B8584F"/>
    <w:rsid w:val="69C43F94"/>
    <w:rsid w:val="69C73F0E"/>
    <w:rsid w:val="69CD1614"/>
    <w:rsid w:val="69D44760"/>
    <w:rsid w:val="69D63F27"/>
    <w:rsid w:val="69D813CA"/>
    <w:rsid w:val="69D81F09"/>
    <w:rsid w:val="69D91790"/>
    <w:rsid w:val="69DA4C69"/>
    <w:rsid w:val="69E623BC"/>
    <w:rsid w:val="69E73CE1"/>
    <w:rsid w:val="69EB422F"/>
    <w:rsid w:val="69EB4F72"/>
    <w:rsid w:val="69F71263"/>
    <w:rsid w:val="69F735DF"/>
    <w:rsid w:val="69F8019D"/>
    <w:rsid w:val="69FB2110"/>
    <w:rsid w:val="69FD7DE3"/>
    <w:rsid w:val="69FE6D2E"/>
    <w:rsid w:val="6A0120EF"/>
    <w:rsid w:val="6A024D1C"/>
    <w:rsid w:val="6A051C6D"/>
    <w:rsid w:val="6A0577BB"/>
    <w:rsid w:val="6A08042B"/>
    <w:rsid w:val="6A0960AB"/>
    <w:rsid w:val="6A0A4204"/>
    <w:rsid w:val="6A0B7C2A"/>
    <w:rsid w:val="6A0C748D"/>
    <w:rsid w:val="6A134B16"/>
    <w:rsid w:val="6A163928"/>
    <w:rsid w:val="6A203FCB"/>
    <w:rsid w:val="6A217061"/>
    <w:rsid w:val="6A263E6E"/>
    <w:rsid w:val="6A2720D3"/>
    <w:rsid w:val="6A2A75A6"/>
    <w:rsid w:val="6A2B7DCF"/>
    <w:rsid w:val="6A2C6F05"/>
    <w:rsid w:val="6A377984"/>
    <w:rsid w:val="6A3C113A"/>
    <w:rsid w:val="6A3F04A7"/>
    <w:rsid w:val="6A3F7FE9"/>
    <w:rsid w:val="6A412E3C"/>
    <w:rsid w:val="6A4314A8"/>
    <w:rsid w:val="6A4A1EE0"/>
    <w:rsid w:val="6A4B78F9"/>
    <w:rsid w:val="6A4F483F"/>
    <w:rsid w:val="6A520EC7"/>
    <w:rsid w:val="6A582EDC"/>
    <w:rsid w:val="6A5B2791"/>
    <w:rsid w:val="6A5B5077"/>
    <w:rsid w:val="6A5C10A7"/>
    <w:rsid w:val="6A616C11"/>
    <w:rsid w:val="6A667059"/>
    <w:rsid w:val="6A674533"/>
    <w:rsid w:val="6A674B7F"/>
    <w:rsid w:val="6A692F38"/>
    <w:rsid w:val="6A704BA6"/>
    <w:rsid w:val="6A727D5B"/>
    <w:rsid w:val="6A781C21"/>
    <w:rsid w:val="6A7F2B75"/>
    <w:rsid w:val="6A8A486F"/>
    <w:rsid w:val="6A8D22C2"/>
    <w:rsid w:val="6A8F2FCB"/>
    <w:rsid w:val="6A9767EC"/>
    <w:rsid w:val="6A984E11"/>
    <w:rsid w:val="6A986EAD"/>
    <w:rsid w:val="6AA36FF9"/>
    <w:rsid w:val="6AA67059"/>
    <w:rsid w:val="6AA768C8"/>
    <w:rsid w:val="6AAB6564"/>
    <w:rsid w:val="6AAF3AC0"/>
    <w:rsid w:val="6AB00983"/>
    <w:rsid w:val="6AB774EC"/>
    <w:rsid w:val="6AC13B48"/>
    <w:rsid w:val="6AC14CEC"/>
    <w:rsid w:val="6AC429C6"/>
    <w:rsid w:val="6AC43F12"/>
    <w:rsid w:val="6ACB217D"/>
    <w:rsid w:val="6ACC799A"/>
    <w:rsid w:val="6ACD083A"/>
    <w:rsid w:val="6AD55336"/>
    <w:rsid w:val="6AD7430F"/>
    <w:rsid w:val="6ADA729C"/>
    <w:rsid w:val="6ADC680D"/>
    <w:rsid w:val="6ADE25AC"/>
    <w:rsid w:val="6AE365CE"/>
    <w:rsid w:val="6AE86A11"/>
    <w:rsid w:val="6AF52F8E"/>
    <w:rsid w:val="6AF87E20"/>
    <w:rsid w:val="6AFC3D80"/>
    <w:rsid w:val="6AFE04AB"/>
    <w:rsid w:val="6B021CD9"/>
    <w:rsid w:val="6B0619D1"/>
    <w:rsid w:val="6B0B6677"/>
    <w:rsid w:val="6B1362B3"/>
    <w:rsid w:val="6B140BC5"/>
    <w:rsid w:val="6B1A0245"/>
    <w:rsid w:val="6B1A7839"/>
    <w:rsid w:val="6B1E4E70"/>
    <w:rsid w:val="6B2026D0"/>
    <w:rsid w:val="6B291903"/>
    <w:rsid w:val="6B322639"/>
    <w:rsid w:val="6B346EEF"/>
    <w:rsid w:val="6B3B2B01"/>
    <w:rsid w:val="6B3D0CB6"/>
    <w:rsid w:val="6B3D3F4B"/>
    <w:rsid w:val="6B3D5CFE"/>
    <w:rsid w:val="6B447307"/>
    <w:rsid w:val="6B480B5E"/>
    <w:rsid w:val="6B4A7F88"/>
    <w:rsid w:val="6B4B54A1"/>
    <w:rsid w:val="6B4C023D"/>
    <w:rsid w:val="6B4C44A1"/>
    <w:rsid w:val="6B4D0219"/>
    <w:rsid w:val="6B4D1FC7"/>
    <w:rsid w:val="6B51420E"/>
    <w:rsid w:val="6B5B0F77"/>
    <w:rsid w:val="6B5F04C1"/>
    <w:rsid w:val="6B655DC2"/>
    <w:rsid w:val="6B680F23"/>
    <w:rsid w:val="6B7002AA"/>
    <w:rsid w:val="6B7403D7"/>
    <w:rsid w:val="6B74600F"/>
    <w:rsid w:val="6B78021C"/>
    <w:rsid w:val="6B7A525B"/>
    <w:rsid w:val="6B801B32"/>
    <w:rsid w:val="6B8228B2"/>
    <w:rsid w:val="6B8F49FD"/>
    <w:rsid w:val="6B8F75E6"/>
    <w:rsid w:val="6B940416"/>
    <w:rsid w:val="6B943229"/>
    <w:rsid w:val="6B9A1018"/>
    <w:rsid w:val="6B9A726B"/>
    <w:rsid w:val="6BA76A91"/>
    <w:rsid w:val="6BAD519C"/>
    <w:rsid w:val="6BAE6A79"/>
    <w:rsid w:val="6BAE6E21"/>
    <w:rsid w:val="6BB00282"/>
    <w:rsid w:val="6BB30846"/>
    <w:rsid w:val="6BB64A6E"/>
    <w:rsid w:val="6BB81144"/>
    <w:rsid w:val="6BBA3465"/>
    <w:rsid w:val="6BBA7FE6"/>
    <w:rsid w:val="6BBB7A89"/>
    <w:rsid w:val="6BBC5156"/>
    <w:rsid w:val="6BBC7000"/>
    <w:rsid w:val="6BC757C5"/>
    <w:rsid w:val="6BCA001B"/>
    <w:rsid w:val="6BCA0D82"/>
    <w:rsid w:val="6BCD11FC"/>
    <w:rsid w:val="6BD61137"/>
    <w:rsid w:val="6BD71E1D"/>
    <w:rsid w:val="6BE12694"/>
    <w:rsid w:val="6BE30552"/>
    <w:rsid w:val="6BE656DE"/>
    <w:rsid w:val="6BFC4130"/>
    <w:rsid w:val="6BFD1C3F"/>
    <w:rsid w:val="6C013352"/>
    <w:rsid w:val="6C0537A7"/>
    <w:rsid w:val="6C07486C"/>
    <w:rsid w:val="6C0B7C76"/>
    <w:rsid w:val="6C1513CB"/>
    <w:rsid w:val="6C153837"/>
    <w:rsid w:val="6C1667E3"/>
    <w:rsid w:val="6C1D5E3D"/>
    <w:rsid w:val="6C22204B"/>
    <w:rsid w:val="6C243676"/>
    <w:rsid w:val="6C255F33"/>
    <w:rsid w:val="6C266C56"/>
    <w:rsid w:val="6C2D3529"/>
    <w:rsid w:val="6C310215"/>
    <w:rsid w:val="6C315445"/>
    <w:rsid w:val="6C330143"/>
    <w:rsid w:val="6C35153E"/>
    <w:rsid w:val="6C3828A3"/>
    <w:rsid w:val="6C405440"/>
    <w:rsid w:val="6C427E30"/>
    <w:rsid w:val="6C46300C"/>
    <w:rsid w:val="6C4B378C"/>
    <w:rsid w:val="6C4C2EDE"/>
    <w:rsid w:val="6C4C6370"/>
    <w:rsid w:val="6C560543"/>
    <w:rsid w:val="6C560BAF"/>
    <w:rsid w:val="6C586170"/>
    <w:rsid w:val="6C5F6456"/>
    <w:rsid w:val="6C624E84"/>
    <w:rsid w:val="6C636C38"/>
    <w:rsid w:val="6C650EE4"/>
    <w:rsid w:val="6C6B07D3"/>
    <w:rsid w:val="6C6E5763"/>
    <w:rsid w:val="6C700663"/>
    <w:rsid w:val="6C771AEA"/>
    <w:rsid w:val="6C7803C4"/>
    <w:rsid w:val="6C793B71"/>
    <w:rsid w:val="6C7C7008"/>
    <w:rsid w:val="6C815C98"/>
    <w:rsid w:val="6C823C4F"/>
    <w:rsid w:val="6C854EBA"/>
    <w:rsid w:val="6C8F5B5D"/>
    <w:rsid w:val="6C92433B"/>
    <w:rsid w:val="6C953C26"/>
    <w:rsid w:val="6CA13577"/>
    <w:rsid w:val="6CA32C05"/>
    <w:rsid w:val="6CA83959"/>
    <w:rsid w:val="6CAA7DA4"/>
    <w:rsid w:val="6CAC4A57"/>
    <w:rsid w:val="6CAC54FA"/>
    <w:rsid w:val="6CB73B9C"/>
    <w:rsid w:val="6CB750C2"/>
    <w:rsid w:val="6CCA7E8F"/>
    <w:rsid w:val="6CCD2E07"/>
    <w:rsid w:val="6CCE7137"/>
    <w:rsid w:val="6CCF10A1"/>
    <w:rsid w:val="6CCF42A7"/>
    <w:rsid w:val="6CD44440"/>
    <w:rsid w:val="6CE8555A"/>
    <w:rsid w:val="6CE96265"/>
    <w:rsid w:val="6CEC4139"/>
    <w:rsid w:val="6CF00624"/>
    <w:rsid w:val="6CF54CA6"/>
    <w:rsid w:val="6CFB2195"/>
    <w:rsid w:val="6CFD1188"/>
    <w:rsid w:val="6CFD20FE"/>
    <w:rsid w:val="6D0019E7"/>
    <w:rsid w:val="6D012B2F"/>
    <w:rsid w:val="6D07720E"/>
    <w:rsid w:val="6D0A3B9D"/>
    <w:rsid w:val="6D1835FC"/>
    <w:rsid w:val="6D1864EA"/>
    <w:rsid w:val="6D1E7282"/>
    <w:rsid w:val="6D21474F"/>
    <w:rsid w:val="6D284762"/>
    <w:rsid w:val="6D292B87"/>
    <w:rsid w:val="6D337AE8"/>
    <w:rsid w:val="6D361838"/>
    <w:rsid w:val="6D3854DC"/>
    <w:rsid w:val="6D39028C"/>
    <w:rsid w:val="6D3A2048"/>
    <w:rsid w:val="6D400D69"/>
    <w:rsid w:val="6D437B25"/>
    <w:rsid w:val="6D4B5A56"/>
    <w:rsid w:val="6D5809B7"/>
    <w:rsid w:val="6D586B72"/>
    <w:rsid w:val="6D5C6316"/>
    <w:rsid w:val="6D651ED5"/>
    <w:rsid w:val="6D660A15"/>
    <w:rsid w:val="6D6878FE"/>
    <w:rsid w:val="6D6A6AA9"/>
    <w:rsid w:val="6D6D5681"/>
    <w:rsid w:val="6D736F88"/>
    <w:rsid w:val="6D790277"/>
    <w:rsid w:val="6D793547"/>
    <w:rsid w:val="6D7E6960"/>
    <w:rsid w:val="6D833F0B"/>
    <w:rsid w:val="6D853C9A"/>
    <w:rsid w:val="6D892039"/>
    <w:rsid w:val="6D8B1709"/>
    <w:rsid w:val="6D8F3636"/>
    <w:rsid w:val="6D960990"/>
    <w:rsid w:val="6D994EEB"/>
    <w:rsid w:val="6D996BDA"/>
    <w:rsid w:val="6D9B156A"/>
    <w:rsid w:val="6D9D6911"/>
    <w:rsid w:val="6D9E3CF1"/>
    <w:rsid w:val="6DA66E8E"/>
    <w:rsid w:val="6DA71446"/>
    <w:rsid w:val="6DAD09B8"/>
    <w:rsid w:val="6DAF3493"/>
    <w:rsid w:val="6DB067B0"/>
    <w:rsid w:val="6DB34098"/>
    <w:rsid w:val="6DB545B6"/>
    <w:rsid w:val="6DB62F1E"/>
    <w:rsid w:val="6DB76B08"/>
    <w:rsid w:val="6DBC0751"/>
    <w:rsid w:val="6DBC6893"/>
    <w:rsid w:val="6DBF2311"/>
    <w:rsid w:val="6DC15516"/>
    <w:rsid w:val="6DC25C7F"/>
    <w:rsid w:val="6DC72505"/>
    <w:rsid w:val="6DC736CF"/>
    <w:rsid w:val="6DCD73EF"/>
    <w:rsid w:val="6DCE2E9A"/>
    <w:rsid w:val="6DD17EB2"/>
    <w:rsid w:val="6DD3597A"/>
    <w:rsid w:val="6DD61A17"/>
    <w:rsid w:val="6DD85AC6"/>
    <w:rsid w:val="6DDE273B"/>
    <w:rsid w:val="6DDE4440"/>
    <w:rsid w:val="6DE02FB4"/>
    <w:rsid w:val="6DE14BD4"/>
    <w:rsid w:val="6DE83077"/>
    <w:rsid w:val="6DE83DF4"/>
    <w:rsid w:val="6DEC3D19"/>
    <w:rsid w:val="6DEC7266"/>
    <w:rsid w:val="6DF00604"/>
    <w:rsid w:val="6DF55CE3"/>
    <w:rsid w:val="6DFD3612"/>
    <w:rsid w:val="6E006810"/>
    <w:rsid w:val="6E0110EF"/>
    <w:rsid w:val="6E072D61"/>
    <w:rsid w:val="6E086AF0"/>
    <w:rsid w:val="6E0E2B00"/>
    <w:rsid w:val="6E15292D"/>
    <w:rsid w:val="6E192933"/>
    <w:rsid w:val="6E1A3490"/>
    <w:rsid w:val="6E1F1649"/>
    <w:rsid w:val="6E252216"/>
    <w:rsid w:val="6E296D1B"/>
    <w:rsid w:val="6E3366E7"/>
    <w:rsid w:val="6E346D1E"/>
    <w:rsid w:val="6E347925"/>
    <w:rsid w:val="6E353456"/>
    <w:rsid w:val="6E3D5D1E"/>
    <w:rsid w:val="6E485DF2"/>
    <w:rsid w:val="6E4A45D2"/>
    <w:rsid w:val="6E4E6782"/>
    <w:rsid w:val="6E514CED"/>
    <w:rsid w:val="6E554959"/>
    <w:rsid w:val="6E5E1792"/>
    <w:rsid w:val="6E5F1E60"/>
    <w:rsid w:val="6E5F1FDB"/>
    <w:rsid w:val="6E5F44BF"/>
    <w:rsid w:val="6E631050"/>
    <w:rsid w:val="6E6D4FEE"/>
    <w:rsid w:val="6E7230D4"/>
    <w:rsid w:val="6E7B3BB7"/>
    <w:rsid w:val="6E81034B"/>
    <w:rsid w:val="6E812B47"/>
    <w:rsid w:val="6E842743"/>
    <w:rsid w:val="6E8B1360"/>
    <w:rsid w:val="6E8B1784"/>
    <w:rsid w:val="6E8D193D"/>
    <w:rsid w:val="6E8E5568"/>
    <w:rsid w:val="6E9158AC"/>
    <w:rsid w:val="6E92178E"/>
    <w:rsid w:val="6E963864"/>
    <w:rsid w:val="6E9B4AF1"/>
    <w:rsid w:val="6E9F6FDD"/>
    <w:rsid w:val="6EA752AD"/>
    <w:rsid w:val="6EA75C4C"/>
    <w:rsid w:val="6EAA19BB"/>
    <w:rsid w:val="6EAB4077"/>
    <w:rsid w:val="6EAD2696"/>
    <w:rsid w:val="6EAE5472"/>
    <w:rsid w:val="6EB1683F"/>
    <w:rsid w:val="6EB51293"/>
    <w:rsid w:val="6EB563D5"/>
    <w:rsid w:val="6EB7497A"/>
    <w:rsid w:val="6EB84901"/>
    <w:rsid w:val="6EBB2D09"/>
    <w:rsid w:val="6EBB5230"/>
    <w:rsid w:val="6ECC2D4D"/>
    <w:rsid w:val="6ED17D93"/>
    <w:rsid w:val="6ED44ED9"/>
    <w:rsid w:val="6ED80670"/>
    <w:rsid w:val="6ED92677"/>
    <w:rsid w:val="6ED92E34"/>
    <w:rsid w:val="6EDB5653"/>
    <w:rsid w:val="6EDD3D3C"/>
    <w:rsid w:val="6EE10797"/>
    <w:rsid w:val="6EE13282"/>
    <w:rsid w:val="6EE20A09"/>
    <w:rsid w:val="6EEC35BF"/>
    <w:rsid w:val="6EF16770"/>
    <w:rsid w:val="6EF27F3B"/>
    <w:rsid w:val="6EF57101"/>
    <w:rsid w:val="6EF7224F"/>
    <w:rsid w:val="6EF954DB"/>
    <w:rsid w:val="6EFC327F"/>
    <w:rsid w:val="6EFC4430"/>
    <w:rsid w:val="6F033C98"/>
    <w:rsid w:val="6F041184"/>
    <w:rsid w:val="6F063C09"/>
    <w:rsid w:val="6F0A4EE5"/>
    <w:rsid w:val="6F1031EE"/>
    <w:rsid w:val="6F1228F0"/>
    <w:rsid w:val="6F192639"/>
    <w:rsid w:val="6F1B7EB0"/>
    <w:rsid w:val="6F1E113E"/>
    <w:rsid w:val="6F1E2395"/>
    <w:rsid w:val="6F216314"/>
    <w:rsid w:val="6F225983"/>
    <w:rsid w:val="6F2271D9"/>
    <w:rsid w:val="6F2A17AF"/>
    <w:rsid w:val="6F2B3C7B"/>
    <w:rsid w:val="6F394D70"/>
    <w:rsid w:val="6F3E4F32"/>
    <w:rsid w:val="6F40256E"/>
    <w:rsid w:val="6F40774A"/>
    <w:rsid w:val="6F421D3E"/>
    <w:rsid w:val="6F43496A"/>
    <w:rsid w:val="6F444C4A"/>
    <w:rsid w:val="6F4C16B1"/>
    <w:rsid w:val="6F4F6E5A"/>
    <w:rsid w:val="6F50188F"/>
    <w:rsid w:val="6F55608E"/>
    <w:rsid w:val="6F5D34B3"/>
    <w:rsid w:val="6F5E43A6"/>
    <w:rsid w:val="6F646BFB"/>
    <w:rsid w:val="6F661E94"/>
    <w:rsid w:val="6F666230"/>
    <w:rsid w:val="6F675D4D"/>
    <w:rsid w:val="6F6C2EE8"/>
    <w:rsid w:val="6F7A7E7B"/>
    <w:rsid w:val="6F822A73"/>
    <w:rsid w:val="6F881820"/>
    <w:rsid w:val="6F8E4389"/>
    <w:rsid w:val="6F9021B7"/>
    <w:rsid w:val="6F9A4674"/>
    <w:rsid w:val="6F9B0BEB"/>
    <w:rsid w:val="6F9E568A"/>
    <w:rsid w:val="6FA869CA"/>
    <w:rsid w:val="6FAC1505"/>
    <w:rsid w:val="6FB2689C"/>
    <w:rsid w:val="6FBF0634"/>
    <w:rsid w:val="6FC407FA"/>
    <w:rsid w:val="6FCF5662"/>
    <w:rsid w:val="6FCF56A0"/>
    <w:rsid w:val="6FD34C2F"/>
    <w:rsid w:val="6FD34C75"/>
    <w:rsid w:val="6FD83767"/>
    <w:rsid w:val="6FE57CD7"/>
    <w:rsid w:val="6FEA4288"/>
    <w:rsid w:val="6FED681C"/>
    <w:rsid w:val="6FF25F30"/>
    <w:rsid w:val="6FF830BB"/>
    <w:rsid w:val="6FF90354"/>
    <w:rsid w:val="6FF95000"/>
    <w:rsid w:val="6FF96055"/>
    <w:rsid w:val="6FFC5590"/>
    <w:rsid w:val="70005043"/>
    <w:rsid w:val="70026546"/>
    <w:rsid w:val="70074E45"/>
    <w:rsid w:val="700E0F25"/>
    <w:rsid w:val="70120CF9"/>
    <w:rsid w:val="701A2DBF"/>
    <w:rsid w:val="701B6B38"/>
    <w:rsid w:val="702C310F"/>
    <w:rsid w:val="702D406C"/>
    <w:rsid w:val="702E4B34"/>
    <w:rsid w:val="70343F57"/>
    <w:rsid w:val="703453D0"/>
    <w:rsid w:val="703531CB"/>
    <w:rsid w:val="70377C12"/>
    <w:rsid w:val="703A289D"/>
    <w:rsid w:val="7042652B"/>
    <w:rsid w:val="70430F28"/>
    <w:rsid w:val="70437198"/>
    <w:rsid w:val="70455963"/>
    <w:rsid w:val="70462EDC"/>
    <w:rsid w:val="7046625A"/>
    <w:rsid w:val="7047750B"/>
    <w:rsid w:val="704C0A9F"/>
    <w:rsid w:val="704C7868"/>
    <w:rsid w:val="704D3061"/>
    <w:rsid w:val="70530567"/>
    <w:rsid w:val="7056623B"/>
    <w:rsid w:val="70581425"/>
    <w:rsid w:val="70592A84"/>
    <w:rsid w:val="70647757"/>
    <w:rsid w:val="70656BFF"/>
    <w:rsid w:val="706C6786"/>
    <w:rsid w:val="706D1DD0"/>
    <w:rsid w:val="706E1163"/>
    <w:rsid w:val="70715E25"/>
    <w:rsid w:val="707338DC"/>
    <w:rsid w:val="70766D46"/>
    <w:rsid w:val="707726A3"/>
    <w:rsid w:val="707B2714"/>
    <w:rsid w:val="707C6BD9"/>
    <w:rsid w:val="707E298C"/>
    <w:rsid w:val="70856B87"/>
    <w:rsid w:val="708B0191"/>
    <w:rsid w:val="70957920"/>
    <w:rsid w:val="70AC4801"/>
    <w:rsid w:val="70B21769"/>
    <w:rsid w:val="70B333C3"/>
    <w:rsid w:val="70BF3CBE"/>
    <w:rsid w:val="70C20C44"/>
    <w:rsid w:val="70CD499E"/>
    <w:rsid w:val="70CF10FE"/>
    <w:rsid w:val="70D527EE"/>
    <w:rsid w:val="70D64430"/>
    <w:rsid w:val="70D73284"/>
    <w:rsid w:val="70D73B19"/>
    <w:rsid w:val="70D76519"/>
    <w:rsid w:val="70DC13EB"/>
    <w:rsid w:val="70DC3F01"/>
    <w:rsid w:val="70E67582"/>
    <w:rsid w:val="70EA52C4"/>
    <w:rsid w:val="70EB650A"/>
    <w:rsid w:val="70F66BB9"/>
    <w:rsid w:val="70F869BD"/>
    <w:rsid w:val="70FE39C4"/>
    <w:rsid w:val="70FE6E81"/>
    <w:rsid w:val="70FF107E"/>
    <w:rsid w:val="710150EA"/>
    <w:rsid w:val="71035822"/>
    <w:rsid w:val="710542B7"/>
    <w:rsid w:val="71066EA0"/>
    <w:rsid w:val="71081AF5"/>
    <w:rsid w:val="710A0FC4"/>
    <w:rsid w:val="710B082E"/>
    <w:rsid w:val="710B2341"/>
    <w:rsid w:val="710B3927"/>
    <w:rsid w:val="710C2CDC"/>
    <w:rsid w:val="71125845"/>
    <w:rsid w:val="71127851"/>
    <w:rsid w:val="71136F07"/>
    <w:rsid w:val="71151591"/>
    <w:rsid w:val="71186D21"/>
    <w:rsid w:val="71240DEF"/>
    <w:rsid w:val="7124663B"/>
    <w:rsid w:val="71256732"/>
    <w:rsid w:val="71265794"/>
    <w:rsid w:val="712707F3"/>
    <w:rsid w:val="712849A7"/>
    <w:rsid w:val="71294DB1"/>
    <w:rsid w:val="712A58DF"/>
    <w:rsid w:val="712F3476"/>
    <w:rsid w:val="71312025"/>
    <w:rsid w:val="713121BE"/>
    <w:rsid w:val="71332CC4"/>
    <w:rsid w:val="71393EC7"/>
    <w:rsid w:val="713B4DF0"/>
    <w:rsid w:val="713E022C"/>
    <w:rsid w:val="7142357B"/>
    <w:rsid w:val="71431807"/>
    <w:rsid w:val="71463B7B"/>
    <w:rsid w:val="714A7FD6"/>
    <w:rsid w:val="714D1297"/>
    <w:rsid w:val="71505281"/>
    <w:rsid w:val="7150636D"/>
    <w:rsid w:val="71526D0F"/>
    <w:rsid w:val="71542301"/>
    <w:rsid w:val="7155557D"/>
    <w:rsid w:val="71563D56"/>
    <w:rsid w:val="71584330"/>
    <w:rsid w:val="715B5300"/>
    <w:rsid w:val="715F5796"/>
    <w:rsid w:val="71612214"/>
    <w:rsid w:val="71627018"/>
    <w:rsid w:val="71683CCF"/>
    <w:rsid w:val="716A2F99"/>
    <w:rsid w:val="716F436B"/>
    <w:rsid w:val="717209F5"/>
    <w:rsid w:val="71767C38"/>
    <w:rsid w:val="71771B4C"/>
    <w:rsid w:val="71775592"/>
    <w:rsid w:val="71796D0C"/>
    <w:rsid w:val="717F30D4"/>
    <w:rsid w:val="717F3698"/>
    <w:rsid w:val="71804EA4"/>
    <w:rsid w:val="71817E2A"/>
    <w:rsid w:val="71817FE1"/>
    <w:rsid w:val="71835931"/>
    <w:rsid w:val="718627B6"/>
    <w:rsid w:val="71871384"/>
    <w:rsid w:val="718D34C1"/>
    <w:rsid w:val="718D5070"/>
    <w:rsid w:val="718F134A"/>
    <w:rsid w:val="719929A4"/>
    <w:rsid w:val="719F1203"/>
    <w:rsid w:val="71A1274C"/>
    <w:rsid w:val="71A57964"/>
    <w:rsid w:val="71A80D24"/>
    <w:rsid w:val="71AA50FB"/>
    <w:rsid w:val="71B06B79"/>
    <w:rsid w:val="71B079F5"/>
    <w:rsid w:val="71BD752B"/>
    <w:rsid w:val="71BF6B3A"/>
    <w:rsid w:val="71C1506C"/>
    <w:rsid w:val="71C312DD"/>
    <w:rsid w:val="71C50B09"/>
    <w:rsid w:val="71C56980"/>
    <w:rsid w:val="71C710BC"/>
    <w:rsid w:val="71D02268"/>
    <w:rsid w:val="71D0607A"/>
    <w:rsid w:val="71D27F8A"/>
    <w:rsid w:val="71D6084B"/>
    <w:rsid w:val="71DE4B6F"/>
    <w:rsid w:val="71DE665F"/>
    <w:rsid w:val="71E15B8A"/>
    <w:rsid w:val="71E24B31"/>
    <w:rsid w:val="71E322B7"/>
    <w:rsid w:val="71E32CDA"/>
    <w:rsid w:val="71E67F4E"/>
    <w:rsid w:val="71E85428"/>
    <w:rsid w:val="71ED6B85"/>
    <w:rsid w:val="71ED7724"/>
    <w:rsid w:val="71EE38BD"/>
    <w:rsid w:val="71EF7CCC"/>
    <w:rsid w:val="71F1370A"/>
    <w:rsid w:val="71F27B86"/>
    <w:rsid w:val="71F323D2"/>
    <w:rsid w:val="71F61CF3"/>
    <w:rsid w:val="71F97F63"/>
    <w:rsid w:val="72013D2F"/>
    <w:rsid w:val="72045192"/>
    <w:rsid w:val="720650DB"/>
    <w:rsid w:val="720A0C12"/>
    <w:rsid w:val="720F10EC"/>
    <w:rsid w:val="720F35A2"/>
    <w:rsid w:val="720F7FD6"/>
    <w:rsid w:val="72117866"/>
    <w:rsid w:val="72140FFD"/>
    <w:rsid w:val="7214261D"/>
    <w:rsid w:val="72154B04"/>
    <w:rsid w:val="72165809"/>
    <w:rsid w:val="72165E01"/>
    <w:rsid w:val="7219459E"/>
    <w:rsid w:val="72201C42"/>
    <w:rsid w:val="7220682B"/>
    <w:rsid w:val="72215B03"/>
    <w:rsid w:val="7222136A"/>
    <w:rsid w:val="72235C2B"/>
    <w:rsid w:val="7224056E"/>
    <w:rsid w:val="72247F25"/>
    <w:rsid w:val="72255E9B"/>
    <w:rsid w:val="722569DA"/>
    <w:rsid w:val="722C0B88"/>
    <w:rsid w:val="722C3EE9"/>
    <w:rsid w:val="722D70A6"/>
    <w:rsid w:val="722F68CA"/>
    <w:rsid w:val="723538B2"/>
    <w:rsid w:val="72361A07"/>
    <w:rsid w:val="723D0A81"/>
    <w:rsid w:val="72422D05"/>
    <w:rsid w:val="7251794E"/>
    <w:rsid w:val="725305F3"/>
    <w:rsid w:val="72553024"/>
    <w:rsid w:val="72584D55"/>
    <w:rsid w:val="72651E35"/>
    <w:rsid w:val="72652949"/>
    <w:rsid w:val="726A2061"/>
    <w:rsid w:val="727442DD"/>
    <w:rsid w:val="727611B8"/>
    <w:rsid w:val="72774C9A"/>
    <w:rsid w:val="727801BD"/>
    <w:rsid w:val="727D3B86"/>
    <w:rsid w:val="7283436D"/>
    <w:rsid w:val="7283699B"/>
    <w:rsid w:val="72842772"/>
    <w:rsid w:val="728B27CB"/>
    <w:rsid w:val="728C6A3E"/>
    <w:rsid w:val="728E765C"/>
    <w:rsid w:val="729020DF"/>
    <w:rsid w:val="72923BB4"/>
    <w:rsid w:val="72936E78"/>
    <w:rsid w:val="72990D62"/>
    <w:rsid w:val="729D458D"/>
    <w:rsid w:val="729E0A68"/>
    <w:rsid w:val="72A2431C"/>
    <w:rsid w:val="72A25F58"/>
    <w:rsid w:val="72A262B8"/>
    <w:rsid w:val="72A45C65"/>
    <w:rsid w:val="72A77E7B"/>
    <w:rsid w:val="72B03567"/>
    <w:rsid w:val="72B727DE"/>
    <w:rsid w:val="72C233DA"/>
    <w:rsid w:val="72C24234"/>
    <w:rsid w:val="72C33491"/>
    <w:rsid w:val="72C616AF"/>
    <w:rsid w:val="72CD6C3D"/>
    <w:rsid w:val="72D7679F"/>
    <w:rsid w:val="72D8137B"/>
    <w:rsid w:val="72DD425C"/>
    <w:rsid w:val="72E15CF8"/>
    <w:rsid w:val="72E279DF"/>
    <w:rsid w:val="72E3289C"/>
    <w:rsid w:val="72E33DDB"/>
    <w:rsid w:val="72E73900"/>
    <w:rsid w:val="72E82E46"/>
    <w:rsid w:val="72F13B80"/>
    <w:rsid w:val="72F2372E"/>
    <w:rsid w:val="72FA65DE"/>
    <w:rsid w:val="72FF0947"/>
    <w:rsid w:val="73003328"/>
    <w:rsid w:val="73096894"/>
    <w:rsid w:val="730E61C6"/>
    <w:rsid w:val="73104B4C"/>
    <w:rsid w:val="73112C96"/>
    <w:rsid w:val="73122968"/>
    <w:rsid w:val="731544E7"/>
    <w:rsid w:val="73161D90"/>
    <w:rsid w:val="73181017"/>
    <w:rsid w:val="731E2CB7"/>
    <w:rsid w:val="731F5D5E"/>
    <w:rsid w:val="732005C6"/>
    <w:rsid w:val="7325323A"/>
    <w:rsid w:val="732655FF"/>
    <w:rsid w:val="73270F70"/>
    <w:rsid w:val="732912C4"/>
    <w:rsid w:val="732A0BE5"/>
    <w:rsid w:val="732A4358"/>
    <w:rsid w:val="73353111"/>
    <w:rsid w:val="73371155"/>
    <w:rsid w:val="73397498"/>
    <w:rsid w:val="733D2AE4"/>
    <w:rsid w:val="733D685A"/>
    <w:rsid w:val="733D7E0F"/>
    <w:rsid w:val="73440D68"/>
    <w:rsid w:val="734A2BD7"/>
    <w:rsid w:val="734C521C"/>
    <w:rsid w:val="734D0888"/>
    <w:rsid w:val="735008A6"/>
    <w:rsid w:val="73564158"/>
    <w:rsid w:val="73574B92"/>
    <w:rsid w:val="735949C1"/>
    <w:rsid w:val="735B26F6"/>
    <w:rsid w:val="735C09CF"/>
    <w:rsid w:val="736112ED"/>
    <w:rsid w:val="736830F1"/>
    <w:rsid w:val="73706DCD"/>
    <w:rsid w:val="737963AC"/>
    <w:rsid w:val="7384087A"/>
    <w:rsid w:val="738549F4"/>
    <w:rsid w:val="73885DDE"/>
    <w:rsid w:val="738E7657"/>
    <w:rsid w:val="73902E18"/>
    <w:rsid w:val="73905627"/>
    <w:rsid w:val="739101BE"/>
    <w:rsid w:val="73916786"/>
    <w:rsid w:val="73955DA1"/>
    <w:rsid w:val="739769BF"/>
    <w:rsid w:val="739B4DD2"/>
    <w:rsid w:val="739C7306"/>
    <w:rsid w:val="739D6035"/>
    <w:rsid w:val="739E0A91"/>
    <w:rsid w:val="73A72D23"/>
    <w:rsid w:val="73A80F69"/>
    <w:rsid w:val="73A91710"/>
    <w:rsid w:val="73AB432F"/>
    <w:rsid w:val="73B14B44"/>
    <w:rsid w:val="73B16566"/>
    <w:rsid w:val="73B5211C"/>
    <w:rsid w:val="73BB1C15"/>
    <w:rsid w:val="73BB27E8"/>
    <w:rsid w:val="73BB6668"/>
    <w:rsid w:val="73BC60D0"/>
    <w:rsid w:val="73BE6B31"/>
    <w:rsid w:val="73C51AD5"/>
    <w:rsid w:val="73C61EBB"/>
    <w:rsid w:val="73C9623D"/>
    <w:rsid w:val="73D73024"/>
    <w:rsid w:val="73D82FB6"/>
    <w:rsid w:val="73E02FD6"/>
    <w:rsid w:val="73E710C0"/>
    <w:rsid w:val="73E81A2E"/>
    <w:rsid w:val="73E825E4"/>
    <w:rsid w:val="73E847C9"/>
    <w:rsid w:val="73ED2AD8"/>
    <w:rsid w:val="73F415D7"/>
    <w:rsid w:val="73F96218"/>
    <w:rsid w:val="73FA53E1"/>
    <w:rsid w:val="73FB5C3A"/>
    <w:rsid w:val="740239BB"/>
    <w:rsid w:val="74061D15"/>
    <w:rsid w:val="740C056A"/>
    <w:rsid w:val="740C0C71"/>
    <w:rsid w:val="740D4600"/>
    <w:rsid w:val="740E65C0"/>
    <w:rsid w:val="7416389E"/>
    <w:rsid w:val="74182607"/>
    <w:rsid w:val="741A6583"/>
    <w:rsid w:val="741B234B"/>
    <w:rsid w:val="741E793C"/>
    <w:rsid w:val="74262703"/>
    <w:rsid w:val="743449C4"/>
    <w:rsid w:val="74345CCF"/>
    <w:rsid w:val="74381DE7"/>
    <w:rsid w:val="74387CB8"/>
    <w:rsid w:val="743A6979"/>
    <w:rsid w:val="743F00E4"/>
    <w:rsid w:val="74403DE1"/>
    <w:rsid w:val="7443665D"/>
    <w:rsid w:val="744C776B"/>
    <w:rsid w:val="744E128A"/>
    <w:rsid w:val="74512229"/>
    <w:rsid w:val="74514CA9"/>
    <w:rsid w:val="745574FA"/>
    <w:rsid w:val="74563209"/>
    <w:rsid w:val="7459298C"/>
    <w:rsid w:val="745A7E03"/>
    <w:rsid w:val="745E1F06"/>
    <w:rsid w:val="745E3944"/>
    <w:rsid w:val="745F3B1C"/>
    <w:rsid w:val="746068C8"/>
    <w:rsid w:val="7468684E"/>
    <w:rsid w:val="746956C0"/>
    <w:rsid w:val="7470446B"/>
    <w:rsid w:val="74730A65"/>
    <w:rsid w:val="747938FF"/>
    <w:rsid w:val="747B7BA5"/>
    <w:rsid w:val="74850408"/>
    <w:rsid w:val="748C590E"/>
    <w:rsid w:val="748F3650"/>
    <w:rsid w:val="74926891"/>
    <w:rsid w:val="74955328"/>
    <w:rsid w:val="749616A9"/>
    <w:rsid w:val="749649DF"/>
    <w:rsid w:val="749911A4"/>
    <w:rsid w:val="749D549A"/>
    <w:rsid w:val="749E3051"/>
    <w:rsid w:val="74A20BA2"/>
    <w:rsid w:val="74A41D8B"/>
    <w:rsid w:val="74AB4DEE"/>
    <w:rsid w:val="74AC692C"/>
    <w:rsid w:val="74B87A39"/>
    <w:rsid w:val="74B97878"/>
    <w:rsid w:val="74C26BD2"/>
    <w:rsid w:val="74C275CC"/>
    <w:rsid w:val="74C85EA7"/>
    <w:rsid w:val="74CA4688"/>
    <w:rsid w:val="74CC6763"/>
    <w:rsid w:val="74CD7C27"/>
    <w:rsid w:val="74CF1A9B"/>
    <w:rsid w:val="74D26857"/>
    <w:rsid w:val="74D51C4C"/>
    <w:rsid w:val="74E234B3"/>
    <w:rsid w:val="74E3293E"/>
    <w:rsid w:val="74EF3EC8"/>
    <w:rsid w:val="74F02341"/>
    <w:rsid w:val="74F27FEE"/>
    <w:rsid w:val="74FA0995"/>
    <w:rsid w:val="74FE3ED3"/>
    <w:rsid w:val="75047B9A"/>
    <w:rsid w:val="75126D5C"/>
    <w:rsid w:val="75147493"/>
    <w:rsid w:val="75161F22"/>
    <w:rsid w:val="751A05C5"/>
    <w:rsid w:val="751A56F7"/>
    <w:rsid w:val="75200527"/>
    <w:rsid w:val="75216D3E"/>
    <w:rsid w:val="7524282D"/>
    <w:rsid w:val="75273B3A"/>
    <w:rsid w:val="75275995"/>
    <w:rsid w:val="752B3379"/>
    <w:rsid w:val="752D108D"/>
    <w:rsid w:val="752D3638"/>
    <w:rsid w:val="752D56A3"/>
    <w:rsid w:val="752D6A91"/>
    <w:rsid w:val="75363C86"/>
    <w:rsid w:val="753D38EF"/>
    <w:rsid w:val="75413B75"/>
    <w:rsid w:val="75450037"/>
    <w:rsid w:val="75483DED"/>
    <w:rsid w:val="754928D8"/>
    <w:rsid w:val="754B0117"/>
    <w:rsid w:val="754B57C9"/>
    <w:rsid w:val="75523929"/>
    <w:rsid w:val="75570C5B"/>
    <w:rsid w:val="756454FA"/>
    <w:rsid w:val="75686E95"/>
    <w:rsid w:val="756A0CF5"/>
    <w:rsid w:val="757203AF"/>
    <w:rsid w:val="757545F4"/>
    <w:rsid w:val="75766014"/>
    <w:rsid w:val="757A4300"/>
    <w:rsid w:val="757E319F"/>
    <w:rsid w:val="757F184F"/>
    <w:rsid w:val="75822531"/>
    <w:rsid w:val="7589009F"/>
    <w:rsid w:val="75890FB1"/>
    <w:rsid w:val="758F42A5"/>
    <w:rsid w:val="759646E0"/>
    <w:rsid w:val="759C1EB9"/>
    <w:rsid w:val="759C4CF1"/>
    <w:rsid w:val="75A106B8"/>
    <w:rsid w:val="75A3795A"/>
    <w:rsid w:val="75AA6994"/>
    <w:rsid w:val="75B576AB"/>
    <w:rsid w:val="75BB65A0"/>
    <w:rsid w:val="75C2444E"/>
    <w:rsid w:val="75C33D52"/>
    <w:rsid w:val="75C97E28"/>
    <w:rsid w:val="75D14241"/>
    <w:rsid w:val="75D57437"/>
    <w:rsid w:val="75D63B0A"/>
    <w:rsid w:val="75D9737D"/>
    <w:rsid w:val="75DB2339"/>
    <w:rsid w:val="75DD08F6"/>
    <w:rsid w:val="75ED218A"/>
    <w:rsid w:val="75ED5C3E"/>
    <w:rsid w:val="75FB777A"/>
    <w:rsid w:val="75FD4E63"/>
    <w:rsid w:val="75FD7F0B"/>
    <w:rsid w:val="76015AB6"/>
    <w:rsid w:val="76022B63"/>
    <w:rsid w:val="7605608A"/>
    <w:rsid w:val="76163185"/>
    <w:rsid w:val="76187D3D"/>
    <w:rsid w:val="76192D6D"/>
    <w:rsid w:val="761E0585"/>
    <w:rsid w:val="761E7800"/>
    <w:rsid w:val="7621477C"/>
    <w:rsid w:val="76272AE5"/>
    <w:rsid w:val="762E0A34"/>
    <w:rsid w:val="76302D15"/>
    <w:rsid w:val="7631434E"/>
    <w:rsid w:val="7635099D"/>
    <w:rsid w:val="763838C9"/>
    <w:rsid w:val="763C685C"/>
    <w:rsid w:val="76431B72"/>
    <w:rsid w:val="764343D1"/>
    <w:rsid w:val="76464CB1"/>
    <w:rsid w:val="764A2530"/>
    <w:rsid w:val="764B5CD4"/>
    <w:rsid w:val="765B1A3C"/>
    <w:rsid w:val="76607CCE"/>
    <w:rsid w:val="76632550"/>
    <w:rsid w:val="766C740F"/>
    <w:rsid w:val="766E6D65"/>
    <w:rsid w:val="767A7DC4"/>
    <w:rsid w:val="768132EC"/>
    <w:rsid w:val="76876073"/>
    <w:rsid w:val="768A1F6F"/>
    <w:rsid w:val="768B7098"/>
    <w:rsid w:val="768D2C9B"/>
    <w:rsid w:val="768F0489"/>
    <w:rsid w:val="7693759A"/>
    <w:rsid w:val="76940E73"/>
    <w:rsid w:val="76982F3D"/>
    <w:rsid w:val="769A7AB0"/>
    <w:rsid w:val="769D1DB4"/>
    <w:rsid w:val="76A4199F"/>
    <w:rsid w:val="76A60936"/>
    <w:rsid w:val="76A71643"/>
    <w:rsid w:val="76A90C52"/>
    <w:rsid w:val="76AB68D2"/>
    <w:rsid w:val="76AD5163"/>
    <w:rsid w:val="76B06C83"/>
    <w:rsid w:val="76BA16C9"/>
    <w:rsid w:val="76BA4A54"/>
    <w:rsid w:val="76BB61C5"/>
    <w:rsid w:val="76BC28D1"/>
    <w:rsid w:val="76BF646F"/>
    <w:rsid w:val="76C63880"/>
    <w:rsid w:val="76C817C1"/>
    <w:rsid w:val="76CB08CF"/>
    <w:rsid w:val="76CD1A9D"/>
    <w:rsid w:val="76D750AE"/>
    <w:rsid w:val="76DD43A8"/>
    <w:rsid w:val="76DE617B"/>
    <w:rsid w:val="76E21D10"/>
    <w:rsid w:val="76E60221"/>
    <w:rsid w:val="76E647F9"/>
    <w:rsid w:val="76ED2C28"/>
    <w:rsid w:val="76ED2F7B"/>
    <w:rsid w:val="76EE0E7F"/>
    <w:rsid w:val="76EF31E1"/>
    <w:rsid w:val="76F12C0B"/>
    <w:rsid w:val="76F43954"/>
    <w:rsid w:val="76FE5F34"/>
    <w:rsid w:val="76FE6366"/>
    <w:rsid w:val="770777D1"/>
    <w:rsid w:val="770E3FD1"/>
    <w:rsid w:val="77106B3D"/>
    <w:rsid w:val="7715464B"/>
    <w:rsid w:val="771852A8"/>
    <w:rsid w:val="77195B7E"/>
    <w:rsid w:val="771B3005"/>
    <w:rsid w:val="771E06AB"/>
    <w:rsid w:val="77213B4E"/>
    <w:rsid w:val="77274B7F"/>
    <w:rsid w:val="77291805"/>
    <w:rsid w:val="772A08E1"/>
    <w:rsid w:val="772C16C2"/>
    <w:rsid w:val="7734643E"/>
    <w:rsid w:val="773747CA"/>
    <w:rsid w:val="773D7DB3"/>
    <w:rsid w:val="7741181F"/>
    <w:rsid w:val="774E16EC"/>
    <w:rsid w:val="774E6271"/>
    <w:rsid w:val="77515FB0"/>
    <w:rsid w:val="7751796E"/>
    <w:rsid w:val="775D36DC"/>
    <w:rsid w:val="775E15DA"/>
    <w:rsid w:val="77630702"/>
    <w:rsid w:val="776D2749"/>
    <w:rsid w:val="777230F8"/>
    <w:rsid w:val="77762421"/>
    <w:rsid w:val="77762AD7"/>
    <w:rsid w:val="7778275C"/>
    <w:rsid w:val="777A05E0"/>
    <w:rsid w:val="777B7514"/>
    <w:rsid w:val="777D73F8"/>
    <w:rsid w:val="777F36F0"/>
    <w:rsid w:val="77800800"/>
    <w:rsid w:val="7782782C"/>
    <w:rsid w:val="778332B2"/>
    <w:rsid w:val="77874C68"/>
    <w:rsid w:val="778F1E61"/>
    <w:rsid w:val="77947721"/>
    <w:rsid w:val="77976AA4"/>
    <w:rsid w:val="77993377"/>
    <w:rsid w:val="779B4A35"/>
    <w:rsid w:val="77A0554F"/>
    <w:rsid w:val="77A642D1"/>
    <w:rsid w:val="77A90B91"/>
    <w:rsid w:val="77AB254F"/>
    <w:rsid w:val="77AD2524"/>
    <w:rsid w:val="77B56B1F"/>
    <w:rsid w:val="77B6465B"/>
    <w:rsid w:val="77B91038"/>
    <w:rsid w:val="77C258CB"/>
    <w:rsid w:val="77C37921"/>
    <w:rsid w:val="77C43611"/>
    <w:rsid w:val="77CD2BFA"/>
    <w:rsid w:val="77D475B3"/>
    <w:rsid w:val="77D91A19"/>
    <w:rsid w:val="77DA0928"/>
    <w:rsid w:val="77DD3EA8"/>
    <w:rsid w:val="77E02510"/>
    <w:rsid w:val="77E661CD"/>
    <w:rsid w:val="77E85551"/>
    <w:rsid w:val="77EB0543"/>
    <w:rsid w:val="77F13E57"/>
    <w:rsid w:val="77F44B15"/>
    <w:rsid w:val="77F60DE5"/>
    <w:rsid w:val="77F84D7A"/>
    <w:rsid w:val="77F92EBA"/>
    <w:rsid w:val="77FE08F6"/>
    <w:rsid w:val="78064439"/>
    <w:rsid w:val="78075124"/>
    <w:rsid w:val="78086F82"/>
    <w:rsid w:val="780B1674"/>
    <w:rsid w:val="780D1E52"/>
    <w:rsid w:val="780E6071"/>
    <w:rsid w:val="780F09F4"/>
    <w:rsid w:val="780F70CB"/>
    <w:rsid w:val="781274C4"/>
    <w:rsid w:val="7817639F"/>
    <w:rsid w:val="78195F4C"/>
    <w:rsid w:val="781975B6"/>
    <w:rsid w:val="781A38A6"/>
    <w:rsid w:val="7820077B"/>
    <w:rsid w:val="78255E8C"/>
    <w:rsid w:val="782F265E"/>
    <w:rsid w:val="78343307"/>
    <w:rsid w:val="78345AC4"/>
    <w:rsid w:val="7837340A"/>
    <w:rsid w:val="783C04C7"/>
    <w:rsid w:val="783D7393"/>
    <w:rsid w:val="783E7867"/>
    <w:rsid w:val="78403E52"/>
    <w:rsid w:val="784274D5"/>
    <w:rsid w:val="7846159C"/>
    <w:rsid w:val="7846347B"/>
    <w:rsid w:val="784954E7"/>
    <w:rsid w:val="784A599C"/>
    <w:rsid w:val="784B013F"/>
    <w:rsid w:val="784D5276"/>
    <w:rsid w:val="785F1D85"/>
    <w:rsid w:val="785F7031"/>
    <w:rsid w:val="78604E9E"/>
    <w:rsid w:val="78614267"/>
    <w:rsid w:val="7863130C"/>
    <w:rsid w:val="78642239"/>
    <w:rsid w:val="7865706B"/>
    <w:rsid w:val="786848E4"/>
    <w:rsid w:val="786A4670"/>
    <w:rsid w:val="786F6E82"/>
    <w:rsid w:val="787930A2"/>
    <w:rsid w:val="787A374B"/>
    <w:rsid w:val="787B5C16"/>
    <w:rsid w:val="78866F3C"/>
    <w:rsid w:val="78897579"/>
    <w:rsid w:val="788F4919"/>
    <w:rsid w:val="789257D6"/>
    <w:rsid w:val="78A90480"/>
    <w:rsid w:val="78A9528F"/>
    <w:rsid w:val="78AA211B"/>
    <w:rsid w:val="78B41201"/>
    <w:rsid w:val="78B418D7"/>
    <w:rsid w:val="78B75A7A"/>
    <w:rsid w:val="78B976EF"/>
    <w:rsid w:val="78BA0125"/>
    <w:rsid w:val="78BC253A"/>
    <w:rsid w:val="78BF6934"/>
    <w:rsid w:val="78C36C42"/>
    <w:rsid w:val="78C3709C"/>
    <w:rsid w:val="78C961F4"/>
    <w:rsid w:val="78CA1B50"/>
    <w:rsid w:val="78CA6F94"/>
    <w:rsid w:val="78CC0162"/>
    <w:rsid w:val="78CC63F7"/>
    <w:rsid w:val="78CE13BC"/>
    <w:rsid w:val="78D03B8F"/>
    <w:rsid w:val="78D1291E"/>
    <w:rsid w:val="78D355E7"/>
    <w:rsid w:val="78D576B4"/>
    <w:rsid w:val="78DD029D"/>
    <w:rsid w:val="78DF231F"/>
    <w:rsid w:val="78DF4BA6"/>
    <w:rsid w:val="78E6302B"/>
    <w:rsid w:val="78E709CC"/>
    <w:rsid w:val="78E82F73"/>
    <w:rsid w:val="78E90756"/>
    <w:rsid w:val="78E92904"/>
    <w:rsid w:val="78EB6901"/>
    <w:rsid w:val="78EC1765"/>
    <w:rsid w:val="78EE0005"/>
    <w:rsid w:val="78F1060D"/>
    <w:rsid w:val="78FB50E2"/>
    <w:rsid w:val="78FC48F1"/>
    <w:rsid w:val="79077C59"/>
    <w:rsid w:val="790A0F66"/>
    <w:rsid w:val="790A2CC9"/>
    <w:rsid w:val="790D1214"/>
    <w:rsid w:val="791B0E07"/>
    <w:rsid w:val="791B1956"/>
    <w:rsid w:val="791C0A35"/>
    <w:rsid w:val="791E4D3F"/>
    <w:rsid w:val="79256331"/>
    <w:rsid w:val="792E2560"/>
    <w:rsid w:val="79314CD6"/>
    <w:rsid w:val="793176A0"/>
    <w:rsid w:val="79325D84"/>
    <w:rsid w:val="793B7AA7"/>
    <w:rsid w:val="793D6AA4"/>
    <w:rsid w:val="79406309"/>
    <w:rsid w:val="79407198"/>
    <w:rsid w:val="79426EE3"/>
    <w:rsid w:val="79433B0E"/>
    <w:rsid w:val="7943502F"/>
    <w:rsid w:val="79442EAA"/>
    <w:rsid w:val="79473C81"/>
    <w:rsid w:val="79481A6C"/>
    <w:rsid w:val="795767CE"/>
    <w:rsid w:val="795D389B"/>
    <w:rsid w:val="796C07D3"/>
    <w:rsid w:val="796D6030"/>
    <w:rsid w:val="79711576"/>
    <w:rsid w:val="79714C22"/>
    <w:rsid w:val="797177C8"/>
    <w:rsid w:val="79775AB7"/>
    <w:rsid w:val="7981121D"/>
    <w:rsid w:val="79846C5F"/>
    <w:rsid w:val="7985618D"/>
    <w:rsid w:val="79892422"/>
    <w:rsid w:val="7989395A"/>
    <w:rsid w:val="798E6784"/>
    <w:rsid w:val="79904F6C"/>
    <w:rsid w:val="79934E94"/>
    <w:rsid w:val="799E06C0"/>
    <w:rsid w:val="79A2520E"/>
    <w:rsid w:val="79A4390B"/>
    <w:rsid w:val="79B1276B"/>
    <w:rsid w:val="79B22A0B"/>
    <w:rsid w:val="79B33DD6"/>
    <w:rsid w:val="79B4298D"/>
    <w:rsid w:val="79BB0D9D"/>
    <w:rsid w:val="79C56434"/>
    <w:rsid w:val="79C908A3"/>
    <w:rsid w:val="79C90D96"/>
    <w:rsid w:val="79C96F71"/>
    <w:rsid w:val="79CD3953"/>
    <w:rsid w:val="79D0001A"/>
    <w:rsid w:val="79D00993"/>
    <w:rsid w:val="79D0629D"/>
    <w:rsid w:val="79D942A7"/>
    <w:rsid w:val="79DA4DAC"/>
    <w:rsid w:val="79DB0BC7"/>
    <w:rsid w:val="79E225C6"/>
    <w:rsid w:val="79E331A2"/>
    <w:rsid w:val="79E5493D"/>
    <w:rsid w:val="79E65029"/>
    <w:rsid w:val="79ED2244"/>
    <w:rsid w:val="79F0688E"/>
    <w:rsid w:val="79F07BE5"/>
    <w:rsid w:val="79F80A3A"/>
    <w:rsid w:val="79F918B2"/>
    <w:rsid w:val="79FC710D"/>
    <w:rsid w:val="7A0C346C"/>
    <w:rsid w:val="7A0D2F5C"/>
    <w:rsid w:val="7A163492"/>
    <w:rsid w:val="7A1931CE"/>
    <w:rsid w:val="7A1940E8"/>
    <w:rsid w:val="7A2143CA"/>
    <w:rsid w:val="7A3175AB"/>
    <w:rsid w:val="7A364017"/>
    <w:rsid w:val="7A390FEB"/>
    <w:rsid w:val="7A3A175B"/>
    <w:rsid w:val="7A3C3F03"/>
    <w:rsid w:val="7A3E59A5"/>
    <w:rsid w:val="7A3E7B6E"/>
    <w:rsid w:val="7A410F49"/>
    <w:rsid w:val="7A4A544C"/>
    <w:rsid w:val="7A4D6E4B"/>
    <w:rsid w:val="7A4E4D14"/>
    <w:rsid w:val="7A5700CE"/>
    <w:rsid w:val="7A570B9E"/>
    <w:rsid w:val="7A5733AA"/>
    <w:rsid w:val="7A576A4F"/>
    <w:rsid w:val="7A592736"/>
    <w:rsid w:val="7A5D7784"/>
    <w:rsid w:val="7A6044A2"/>
    <w:rsid w:val="7A610213"/>
    <w:rsid w:val="7A61783D"/>
    <w:rsid w:val="7A6712E0"/>
    <w:rsid w:val="7A6A6004"/>
    <w:rsid w:val="7A7234C7"/>
    <w:rsid w:val="7A7D741E"/>
    <w:rsid w:val="7A804167"/>
    <w:rsid w:val="7A822971"/>
    <w:rsid w:val="7A8265E1"/>
    <w:rsid w:val="7A891BC8"/>
    <w:rsid w:val="7A8B5A7A"/>
    <w:rsid w:val="7A935073"/>
    <w:rsid w:val="7AA55BE1"/>
    <w:rsid w:val="7AA76FE1"/>
    <w:rsid w:val="7AA8721A"/>
    <w:rsid w:val="7AA9019D"/>
    <w:rsid w:val="7AAB2866"/>
    <w:rsid w:val="7AAF455A"/>
    <w:rsid w:val="7AB44004"/>
    <w:rsid w:val="7AB91DC8"/>
    <w:rsid w:val="7AB9328A"/>
    <w:rsid w:val="7AB96D40"/>
    <w:rsid w:val="7ABD27B0"/>
    <w:rsid w:val="7ABD64C6"/>
    <w:rsid w:val="7AC151A3"/>
    <w:rsid w:val="7AC202DC"/>
    <w:rsid w:val="7AC81E02"/>
    <w:rsid w:val="7ACC2EB4"/>
    <w:rsid w:val="7AD219F5"/>
    <w:rsid w:val="7AD23EED"/>
    <w:rsid w:val="7AD4613D"/>
    <w:rsid w:val="7AE57B97"/>
    <w:rsid w:val="7AE66824"/>
    <w:rsid w:val="7AEB06AB"/>
    <w:rsid w:val="7AED3CB1"/>
    <w:rsid w:val="7AF44FBD"/>
    <w:rsid w:val="7AF553B8"/>
    <w:rsid w:val="7AFE5EB8"/>
    <w:rsid w:val="7B006632"/>
    <w:rsid w:val="7B0205C1"/>
    <w:rsid w:val="7B071253"/>
    <w:rsid w:val="7B0C1F06"/>
    <w:rsid w:val="7B0F5FAE"/>
    <w:rsid w:val="7B19590B"/>
    <w:rsid w:val="7B1E20C0"/>
    <w:rsid w:val="7B2A3FC7"/>
    <w:rsid w:val="7B2A40D3"/>
    <w:rsid w:val="7B2B25DB"/>
    <w:rsid w:val="7B2D4678"/>
    <w:rsid w:val="7B2D5E66"/>
    <w:rsid w:val="7B2F430E"/>
    <w:rsid w:val="7B355485"/>
    <w:rsid w:val="7B372B7C"/>
    <w:rsid w:val="7B48290B"/>
    <w:rsid w:val="7B5849F3"/>
    <w:rsid w:val="7B587B51"/>
    <w:rsid w:val="7B5963B3"/>
    <w:rsid w:val="7B5A3838"/>
    <w:rsid w:val="7B5B24DE"/>
    <w:rsid w:val="7B5D2185"/>
    <w:rsid w:val="7B624C7C"/>
    <w:rsid w:val="7B686D42"/>
    <w:rsid w:val="7B694BFB"/>
    <w:rsid w:val="7B6963A5"/>
    <w:rsid w:val="7B6B4D87"/>
    <w:rsid w:val="7B6C0349"/>
    <w:rsid w:val="7B707D38"/>
    <w:rsid w:val="7B714053"/>
    <w:rsid w:val="7B721B1D"/>
    <w:rsid w:val="7B767318"/>
    <w:rsid w:val="7B770B32"/>
    <w:rsid w:val="7B785E27"/>
    <w:rsid w:val="7B7A7F60"/>
    <w:rsid w:val="7B7C1DFB"/>
    <w:rsid w:val="7B8351B2"/>
    <w:rsid w:val="7B837A17"/>
    <w:rsid w:val="7B841746"/>
    <w:rsid w:val="7B8811BD"/>
    <w:rsid w:val="7B8A55BE"/>
    <w:rsid w:val="7B9A557E"/>
    <w:rsid w:val="7B9C03E9"/>
    <w:rsid w:val="7BA002B3"/>
    <w:rsid w:val="7BA06611"/>
    <w:rsid w:val="7BA2767C"/>
    <w:rsid w:val="7BA34E23"/>
    <w:rsid w:val="7BA53E31"/>
    <w:rsid w:val="7BA67663"/>
    <w:rsid w:val="7BB436B3"/>
    <w:rsid w:val="7BBC11CF"/>
    <w:rsid w:val="7BBC4302"/>
    <w:rsid w:val="7BC06FF5"/>
    <w:rsid w:val="7BC178F4"/>
    <w:rsid w:val="7BC86303"/>
    <w:rsid w:val="7BD10E15"/>
    <w:rsid w:val="7BD226A0"/>
    <w:rsid w:val="7BD26217"/>
    <w:rsid w:val="7BD61127"/>
    <w:rsid w:val="7BE00426"/>
    <w:rsid w:val="7BE8241F"/>
    <w:rsid w:val="7BF93B71"/>
    <w:rsid w:val="7BFC72FC"/>
    <w:rsid w:val="7BFD2541"/>
    <w:rsid w:val="7C021B76"/>
    <w:rsid w:val="7C0A541E"/>
    <w:rsid w:val="7C160EFA"/>
    <w:rsid w:val="7C187CF1"/>
    <w:rsid w:val="7C1A7518"/>
    <w:rsid w:val="7C1C06CE"/>
    <w:rsid w:val="7C1D44C2"/>
    <w:rsid w:val="7C202751"/>
    <w:rsid w:val="7C22602E"/>
    <w:rsid w:val="7C232D28"/>
    <w:rsid w:val="7C2A135B"/>
    <w:rsid w:val="7C2C259E"/>
    <w:rsid w:val="7C2F2C9B"/>
    <w:rsid w:val="7C3011CB"/>
    <w:rsid w:val="7C306E6D"/>
    <w:rsid w:val="7C335CF9"/>
    <w:rsid w:val="7C4070C1"/>
    <w:rsid w:val="7C4271F2"/>
    <w:rsid w:val="7C49472F"/>
    <w:rsid w:val="7C506E3D"/>
    <w:rsid w:val="7C540238"/>
    <w:rsid w:val="7C5533D1"/>
    <w:rsid w:val="7C602A2E"/>
    <w:rsid w:val="7C673C14"/>
    <w:rsid w:val="7C6B108B"/>
    <w:rsid w:val="7C6C5AC7"/>
    <w:rsid w:val="7C767007"/>
    <w:rsid w:val="7C7C0712"/>
    <w:rsid w:val="7C8078AF"/>
    <w:rsid w:val="7C8A251F"/>
    <w:rsid w:val="7C8E2178"/>
    <w:rsid w:val="7C8F7CFA"/>
    <w:rsid w:val="7C996531"/>
    <w:rsid w:val="7C9C23AC"/>
    <w:rsid w:val="7CA06066"/>
    <w:rsid w:val="7CA14C1B"/>
    <w:rsid w:val="7CAF4AE4"/>
    <w:rsid w:val="7CB21237"/>
    <w:rsid w:val="7CB51414"/>
    <w:rsid w:val="7CBA38E0"/>
    <w:rsid w:val="7CC34E3E"/>
    <w:rsid w:val="7CC63C62"/>
    <w:rsid w:val="7CC6544B"/>
    <w:rsid w:val="7CC73415"/>
    <w:rsid w:val="7CCA5404"/>
    <w:rsid w:val="7CD12A58"/>
    <w:rsid w:val="7CD46850"/>
    <w:rsid w:val="7CD67907"/>
    <w:rsid w:val="7CD82038"/>
    <w:rsid w:val="7CDB270B"/>
    <w:rsid w:val="7CDB5CC8"/>
    <w:rsid w:val="7CE02B36"/>
    <w:rsid w:val="7CE338C3"/>
    <w:rsid w:val="7CE44ECC"/>
    <w:rsid w:val="7CE45DB3"/>
    <w:rsid w:val="7CEE69F1"/>
    <w:rsid w:val="7CF431D9"/>
    <w:rsid w:val="7CFD0EE4"/>
    <w:rsid w:val="7D004FC9"/>
    <w:rsid w:val="7D020882"/>
    <w:rsid w:val="7D0239FF"/>
    <w:rsid w:val="7D0D20C3"/>
    <w:rsid w:val="7D14006A"/>
    <w:rsid w:val="7D145EEE"/>
    <w:rsid w:val="7D17051F"/>
    <w:rsid w:val="7D276981"/>
    <w:rsid w:val="7D276B56"/>
    <w:rsid w:val="7D285A32"/>
    <w:rsid w:val="7D2E5056"/>
    <w:rsid w:val="7D2E7EAA"/>
    <w:rsid w:val="7D2F3FC3"/>
    <w:rsid w:val="7D33369E"/>
    <w:rsid w:val="7D3473DC"/>
    <w:rsid w:val="7D384885"/>
    <w:rsid w:val="7D3B5750"/>
    <w:rsid w:val="7D3C7A5E"/>
    <w:rsid w:val="7D41649E"/>
    <w:rsid w:val="7D450D50"/>
    <w:rsid w:val="7D453107"/>
    <w:rsid w:val="7D455AEB"/>
    <w:rsid w:val="7D4B6AEE"/>
    <w:rsid w:val="7D531CCE"/>
    <w:rsid w:val="7D5B14EA"/>
    <w:rsid w:val="7D5E40CD"/>
    <w:rsid w:val="7D6206ED"/>
    <w:rsid w:val="7D6220F8"/>
    <w:rsid w:val="7D627399"/>
    <w:rsid w:val="7D687EC9"/>
    <w:rsid w:val="7D690D6A"/>
    <w:rsid w:val="7D6A66FD"/>
    <w:rsid w:val="7D6F662C"/>
    <w:rsid w:val="7D720602"/>
    <w:rsid w:val="7D7635FF"/>
    <w:rsid w:val="7D79026F"/>
    <w:rsid w:val="7D7E4262"/>
    <w:rsid w:val="7D827FEC"/>
    <w:rsid w:val="7D840903"/>
    <w:rsid w:val="7D8D5A40"/>
    <w:rsid w:val="7D9A4FAA"/>
    <w:rsid w:val="7DA71A0B"/>
    <w:rsid w:val="7DA748D4"/>
    <w:rsid w:val="7DA77361"/>
    <w:rsid w:val="7DA77C5D"/>
    <w:rsid w:val="7DAA4869"/>
    <w:rsid w:val="7DAB0C79"/>
    <w:rsid w:val="7DB33B82"/>
    <w:rsid w:val="7DB37555"/>
    <w:rsid w:val="7DB434EB"/>
    <w:rsid w:val="7DBA2E73"/>
    <w:rsid w:val="7DBC4F21"/>
    <w:rsid w:val="7DBD69F7"/>
    <w:rsid w:val="7DC36F21"/>
    <w:rsid w:val="7DC87355"/>
    <w:rsid w:val="7DCD56F2"/>
    <w:rsid w:val="7DD53CD7"/>
    <w:rsid w:val="7DD6112F"/>
    <w:rsid w:val="7DD7448A"/>
    <w:rsid w:val="7DE06EF0"/>
    <w:rsid w:val="7DE352BA"/>
    <w:rsid w:val="7DE60785"/>
    <w:rsid w:val="7DE94AAF"/>
    <w:rsid w:val="7DE95716"/>
    <w:rsid w:val="7DEA2527"/>
    <w:rsid w:val="7DEF5D7B"/>
    <w:rsid w:val="7DF45BC8"/>
    <w:rsid w:val="7DF509C8"/>
    <w:rsid w:val="7DFB14E8"/>
    <w:rsid w:val="7DFF7247"/>
    <w:rsid w:val="7E023495"/>
    <w:rsid w:val="7E03664F"/>
    <w:rsid w:val="7E037527"/>
    <w:rsid w:val="7E0724A9"/>
    <w:rsid w:val="7E0A6F74"/>
    <w:rsid w:val="7E1039C8"/>
    <w:rsid w:val="7E122E40"/>
    <w:rsid w:val="7E123482"/>
    <w:rsid w:val="7E130439"/>
    <w:rsid w:val="7E163714"/>
    <w:rsid w:val="7E1772C1"/>
    <w:rsid w:val="7E1B407C"/>
    <w:rsid w:val="7E1F5369"/>
    <w:rsid w:val="7E20768A"/>
    <w:rsid w:val="7E273963"/>
    <w:rsid w:val="7E284B2A"/>
    <w:rsid w:val="7E293C6B"/>
    <w:rsid w:val="7E3200C4"/>
    <w:rsid w:val="7E34045F"/>
    <w:rsid w:val="7E3F2DF9"/>
    <w:rsid w:val="7E416082"/>
    <w:rsid w:val="7E42185A"/>
    <w:rsid w:val="7E4B683A"/>
    <w:rsid w:val="7E527594"/>
    <w:rsid w:val="7E5D3A43"/>
    <w:rsid w:val="7E654785"/>
    <w:rsid w:val="7E69326E"/>
    <w:rsid w:val="7E6D38B3"/>
    <w:rsid w:val="7E745799"/>
    <w:rsid w:val="7E763F90"/>
    <w:rsid w:val="7E777546"/>
    <w:rsid w:val="7E7C735D"/>
    <w:rsid w:val="7E7D3F50"/>
    <w:rsid w:val="7E82730B"/>
    <w:rsid w:val="7E8438BC"/>
    <w:rsid w:val="7E86767D"/>
    <w:rsid w:val="7E971A7F"/>
    <w:rsid w:val="7E982054"/>
    <w:rsid w:val="7E9C0E44"/>
    <w:rsid w:val="7EA17DF9"/>
    <w:rsid w:val="7EA8782D"/>
    <w:rsid w:val="7EA95133"/>
    <w:rsid w:val="7EAC593E"/>
    <w:rsid w:val="7EB3769E"/>
    <w:rsid w:val="7EB540C1"/>
    <w:rsid w:val="7EBA751C"/>
    <w:rsid w:val="7EBA76B3"/>
    <w:rsid w:val="7EC11BB8"/>
    <w:rsid w:val="7ED52F0F"/>
    <w:rsid w:val="7ED65C15"/>
    <w:rsid w:val="7EE07DCE"/>
    <w:rsid w:val="7EE832CC"/>
    <w:rsid w:val="7EE85467"/>
    <w:rsid w:val="7EEE6DE5"/>
    <w:rsid w:val="7EF14321"/>
    <w:rsid w:val="7EF548C2"/>
    <w:rsid w:val="7EFD4FA8"/>
    <w:rsid w:val="7F001CE7"/>
    <w:rsid w:val="7F00515B"/>
    <w:rsid w:val="7F025703"/>
    <w:rsid w:val="7F096EF6"/>
    <w:rsid w:val="7F0A1FAD"/>
    <w:rsid w:val="7F0F2A0F"/>
    <w:rsid w:val="7F10118E"/>
    <w:rsid w:val="7F121E48"/>
    <w:rsid w:val="7F1E2977"/>
    <w:rsid w:val="7F203823"/>
    <w:rsid w:val="7F245F55"/>
    <w:rsid w:val="7F272546"/>
    <w:rsid w:val="7F335FF7"/>
    <w:rsid w:val="7F3623D7"/>
    <w:rsid w:val="7F3D1D49"/>
    <w:rsid w:val="7F4001E9"/>
    <w:rsid w:val="7F41239F"/>
    <w:rsid w:val="7F464D49"/>
    <w:rsid w:val="7F4A23BC"/>
    <w:rsid w:val="7F4B6BCC"/>
    <w:rsid w:val="7F4C7F66"/>
    <w:rsid w:val="7F4F2069"/>
    <w:rsid w:val="7F5418EE"/>
    <w:rsid w:val="7F546AE1"/>
    <w:rsid w:val="7F610C62"/>
    <w:rsid w:val="7F625CF0"/>
    <w:rsid w:val="7F6C36E1"/>
    <w:rsid w:val="7F700131"/>
    <w:rsid w:val="7F70140E"/>
    <w:rsid w:val="7F752554"/>
    <w:rsid w:val="7F766935"/>
    <w:rsid w:val="7F7C16AE"/>
    <w:rsid w:val="7F824F13"/>
    <w:rsid w:val="7F84633C"/>
    <w:rsid w:val="7F853FCE"/>
    <w:rsid w:val="7F86701E"/>
    <w:rsid w:val="7F893658"/>
    <w:rsid w:val="7F8C3B20"/>
    <w:rsid w:val="7F8E7BF7"/>
    <w:rsid w:val="7F9C12DD"/>
    <w:rsid w:val="7FA24193"/>
    <w:rsid w:val="7FA25C3C"/>
    <w:rsid w:val="7FA35B65"/>
    <w:rsid w:val="7FA65653"/>
    <w:rsid w:val="7FB42514"/>
    <w:rsid w:val="7FB904AD"/>
    <w:rsid w:val="7FBD1F69"/>
    <w:rsid w:val="7FBF4981"/>
    <w:rsid w:val="7FC02E5E"/>
    <w:rsid w:val="7FC956AA"/>
    <w:rsid w:val="7FC977E7"/>
    <w:rsid w:val="7FD0372B"/>
    <w:rsid w:val="7FD82133"/>
    <w:rsid w:val="7FD8522D"/>
    <w:rsid w:val="7FE00475"/>
    <w:rsid w:val="7FE47E50"/>
    <w:rsid w:val="7FED1426"/>
    <w:rsid w:val="7FF231E8"/>
    <w:rsid w:val="7FF749B6"/>
    <w:rsid w:val="7FFE6A4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99"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qFormat="1" w:uiPriority="99"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iPriority="99"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keepLines/>
      <w:spacing w:before="260" w:after="260" w:line="413" w:lineRule="auto"/>
      <w:outlineLvl w:val="1"/>
    </w:pPr>
    <w:rPr>
      <w:rFonts w:ascii="宋体" w:hAnsi="宋体" w:eastAsia="Arial"/>
      <w:b/>
      <w:sz w:val="32"/>
    </w:rPr>
  </w:style>
  <w:style w:type="paragraph" w:styleId="4">
    <w:name w:val="heading 3"/>
    <w:basedOn w:val="1"/>
    <w:next w:val="1"/>
    <w:qFormat/>
    <w:locked/>
    <w:uiPriority w:val="99"/>
    <w:pPr>
      <w:keepNext/>
      <w:keepLines/>
      <w:numPr>
        <w:ilvl w:val="2"/>
        <w:numId w:val="1"/>
      </w:numPr>
      <w:spacing w:before="260" w:after="260" w:line="415" w:lineRule="auto"/>
      <w:outlineLvl w:val="2"/>
    </w:pPr>
    <w:rPr>
      <w:b/>
      <w:bCs/>
      <w:kern w:val="2"/>
      <w:sz w:val="32"/>
      <w:szCs w:val="32"/>
    </w:rPr>
  </w:style>
  <w:style w:type="paragraph" w:styleId="5">
    <w:name w:val="heading 4"/>
    <w:basedOn w:val="1"/>
    <w:next w:val="1"/>
    <w:qFormat/>
    <w:locked/>
    <w:uiPriority w:val="9"/>
    <w:pPr>
      <w:keepNext/>
      <w:spacing w:line="340" w:lineRule="exact"/>
      <w:jc w:val="center"/>
      <w:outlineLvl w:val="3"/>
    </w:pPr>
    <w:rPr>
      <w:b/>
      <w:bCs/>
      <w:sz w:val="24"/>
    </w:rPr>
  </w:style>
  <w:style w:type="character" w:default="1" w:styleId="29">
    <w:name w:val="Default Paragraph Font"/>
    <w:semiHidden/>
    <w:qFormat/>
    <w:uiPriority w:val="0"/>
  </w:style>
  <w:style w:type="table" w:default="1" w:styleId="27">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1"/>
    </w:rPr>
    <w:tblPr>
      <w:tblCellMar>
        <w:top w:w="0" w:type="dxa"/>
        <w:left w:w="108" w:type="dxa"/>
        <w:bottom w:w="0" w:type="dxa"/>
        <w:right w:w="108" w:type="dxa"/>
      </w:tblCellMar>
    </w:tblPr>
  </w:style>
  <w:style w:type="paragraph" w:styleId="6">
    <w:name w:val="Normal Indent"/>
    <w:basedOn w:val="1"/>
    <w:qFormat/>
    <w:locked/>
    <w:uiPriority w:val="0"/>
    <w:pPr>
      <w:ind w:firstLine="420"/>
    </w:pPr>
    <w:rPr>
      <w:szCs w:val="20"/>
    </w:rPr>
  </w:style>
  <w:style w:type="paragraph" w:styleId="7">
    <w:name w:val="index 5"/>
    <w:basedOn w:val="1"/>
    <w:next w:val="1"/>
    <w:unhideWhenUsed/>
    <w:qFormat/>
    <w:locked/>
    <w:uiPriority w:val="99"/>
    <w:pPr>
      <w:ind w:left="1680"/>
    </w:pPr>
    <w:rPr>
      <w:rFonts w:eastAsia="Times New Roman"/>
      <w:sz w:val="32"/>
      <w:szCs w:val="24"/>
    </w:rPr>
  </w:style>
  <w:style w:type="paragraph" w:styleId="8">
    <w:name w:val="annotation text"/>
    <w:basedOn w:val="1"/>
    <w:link w:val="36"/>
    <w:semiHidden/>
    <w:qFormat/>
    <w:uiPriority w:val="0"/>
    <w:pPr>
      <w:jc w:val="left"/>
    </w:pPr>
    <w:rPr>
      <w:kern w:val="0"/>
      <w:sz w:val="24"/>
      <w:szCs w:val="20"/>
    </w:rPr>
  </w:style>
  <w:style w:type="paragraph" w:styleId="9">
    <w:name w:val="Body Text"/>
    <w:basedOn w:val="1"/>
    <w:next w:val="1"/>
    <w:link w:val="37"/>
    <w:qFormat/>
    <w:uiPriority w:val="0"/>
    <w:pPr>
      <w:widowControl/>
      <w:snapToGrid w:val="0"/>
      <w:spacing w:before="60" w:after="160" w:line="259" w:lineRule="auto"/>
      <w:ind w:right="113"/>
    </w:pPr>
    <w:rPr>
      <w:kern w:val="0"/>
      <w:sz w:val="18"/>
      <w:szCs w:val="20"/>
    </w:rPr>
  </w:style>
  <w:style w:type="paragraph" w:styleId="10">
    <w:name w:val="Body Text Indent"/>
    <w:basedOn w:val="1"/>
    <w:next w:val="9"/>
    <w:link w:val="38"/>
    <w:qFormat/>
    <w:uiPriority w:val="0"/>
    <w:pPr>
      <w:spacing w:after="120"/>
      <w:ind w:left="420" w:leftChars="200"/>
    </w:pPr>
    <w:rPr>
      <w:kern w:val="0"/>
      <w:sz w:val="24"/>
      <w:szCs w:val="20"/>
    </w:rPr>
  </w:style>
  <w:style w:type="paragraph" w:styleId="11">
    <w:name w:val="Block Text"/>
    <w:basedOn w:val="1"/>
    <w:qFormat/>
    <w:locked/>
    <w:uiPriority w:val="0"/>
    <w:pPr>
      <w:adjustRightInd w:val="0"/>
      <w:snapToGrid w:val="0"/>
      <w:spacing w:line="400" w:lineRule="exact"/>
      <w:ind w:left="13" w:leftChars="6" w:right="57" w:firstLine="480" w:firstLineChars="200"/>
    </w:pPr>
    <w:rPr>
      <w:sz w:val="24"/>
    </w:rPr>
  </w:style>
  <w:style w:type="paragraph" w:styleId="12">
    <w:name w:val="Plain Text"/>
    <w:basedOn w:val="1"/>
    <w:next w:val="1"/>
    <w:qFormat/>
    <w:locked/>
    <w:uiPriority w:val="0"/>
    <w:rPr>
      <w:rFonts w:ascii="仿宋_GB2312" w:hAnsi="仿宋_GB2312"/>
      <w:sz w:val="20"/>
    </w:rPr>
  </w:style>
  <w:style w:type="paragraph" w:styleId="13">
    <w:name w:val="List Bullet 5"/>
    <w:basedOn w:val="1"/>
    <w:qFormat/>
    <w:locked/>
    <w:uiPriority w:val="0"/>
    <w:pPr>
      <w:numPr>
        <w:ilvl w:val="0"/>
        <w:numId w:val="2"/>
      </w:numPr>
    </w:pPr>
  </w:style>
  <w:style w:type="paragraph" w:styleId="14">
    <w:name w:val="Date"/>
    <w:basedOn w:val="1"/>
    <w:next w:val="1"/>
    <w:link w:val="39"/>
    <w:qFormat/>
    <w:uiPriority w:val="0"/>
    <w:pPr>
      <w:ind w:left="100" w:leftChars="2500"/>
    </w:pPr>
    <w:rPr>
      <w:kern w:val="0"/>
      <w:sz w:val="24"/>
      <w:szCs w:val="20"/>
    </w:rPr>
  </w:style>
  <w:style w:type="paragraph" w:styleId="15">
    <w:name w:val="Body Text Indent 2"/>
    <w:basedOn w:val="1"/>
    <w:next w:val="1"/>
    <w:qFormat/>
    <w:locked/>
    <w:uiPriority w:val="0"/>
    <w:pPr>
      <w:spacing w:after="120" w:afterLines="0" w:line="480" w:lineRule="auto"/>
      <w:ind w:left="420" w:leftChars="200"/>
    </w:pPr>
  </w:style>
  <w:style w:type="paragraph" w:styleId="16">
    <w:name w:val="Balloon Text"/>
    <w:basedOn w:val="1"/>
    <w:link w:val="40"/>
    <w:semiHidden/>
    <w:qFormat/>
    <w:uiPriority w:val="0"/>
    <w:rPr>
      <w:kern w:val="0"/>
      <w:sz w:val="18"/>
      <w:szCs w:val="20"/>
    </w:rPr>
  </w:style>
  <w:style w:type="paragraph" w:styleId="17">
    <w:name w:val="footer"/>
    <w:basedOn w:val="1"/>
    <w:link w:val="41"/>
    <w:qFormat/>
    <w:uiPriority w:val="99"/>
    <w:pPr>
      <w:tabs>
        <w:tab w:val="center" w:pos="4153"/>
        <w:tab w:val="right" w:pos="8306"/>
      </w:tabs>
      <w:snapToGrid w:val="0"/>
      <w:jc w:val="left"/>
    </w:pPr>
    <w:rPr>
      <w:kern w:val="0"/>
      <w:sz w:val="18"/>
      <w:szCs w:val="20"/>
    </w:rPr>
  </w:style>
  <w:style w:type="paragraph" w:styleId="18">
    <w:name w:val="header"/>
    <w:basedOn w:val="1"/>
    <w:link w:val="42"/>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toc 1"/>
    <w:basedOn w:val="1"/>
    <w:next w:val="1"/>
    <w:qFormat/>
    <w:locked/>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1"/>
      <w:lang w:val="en-US" w:eastAsia="zh-CN" w:bidi="ar"/>
    </w:rPr>
  </w:style>
  <w:style w:type="paragraph" w:styleId="20">
    <w:name w:val="table of figures"/>
    <w:basedOn w:val="1"/>
    <w:next w:val="1"/>
    <w:qFormat/>
    <w:locked/>
    <w:uiPriority w:val="0"/>
  </w:style>
  <w:style w:type="paragraph" w:styleId="21">
    <w:name w:val="toc 2"/>
    <w:basedOn w:val="1"/>
    <w:next w:val="1"/>
    <w:qFormat/>
    <w:locked/>
    <w:uiPriority w:val="0"/>
    <w:pPr>
      <w:ind w:left="280"/>
      <w:jc w:val="left"/>
    </w:pPr>
    <w:rPr>
      <w:smallCaps/>
      <w:snapToGrid w:val="0"/>
      <w:kern w:val="0"/>
      <w:sz w:val="20"/>
    </w:rPr>
  </w:style>
  <w:style w:type="paragraph" w:styleId="22">
    <w:name w:val="Body Text 2"/>
    <w:basedOn w:val="1"/>
    <w:qFormat/>
    <w:locked/>
    <w:uiPriority w:val="0"/>
    <w:pPr>
      <w:spacing w:after="120" w:line="480" w:lineRule="auto"/>
    </w:pPr>
  </w:style>
  <w:style w:type="paragraph" w:styleId="23">
    <w:name w:val="Normal (Web)"/>
    <w:basedOn w:val="1"/>
    <w:link w:val="43"/>
    <w:qFormat/>
    <w:uiPriority w:val="0"/>
    <w:pPr>
      <w:widowControl/>
      <w:spacing w:before="100" w:beforeAutospacing="1" w:after="100" w:afterAutospacing="1"/>
      <w:jc w:val="left"/>
    </w:pPr>
    <w:rPr>
      <w:rFonts w:hint="default" w:ascii="宋体" w:hAnsi="宋体" w:eastAsia="宋体" w:cs="宋体"/>
      <w:kern w:val="0"/>
      <w:sz w:val="24"/>
      <w:szCs w:val="24"/>
    </w:rPr>
  </w:style>
  <w:style w:type="paragraph" w:styleId="24">
    <w:name w:val="annotation subject"/>
    <w:basedOn w:val="8"/>
    <w:next w:val="8"/>
    <w:link w:val="44"/>
    <w:semiHidden/>
    <w:qFormat/>
    <w:uiPriority w:val="0"/>
    <w:rPr>
      <w:b/>
      <w:sz w:val="24"/>
      <w:szCs w:val="20"/>
    </w:rPr>
  </w:style>
  <w:style w:type="paragraph" w:styleId="25">
    <w:name w:val="Body Text First Indent"/>
    <w:basedOn w:val="9"/>
    <w:next w:val="20"/>
    <w:qFormat/>
    <w:locked/>
    <w:uiPriority w:val="0"/>
    <w:pPr>
      <w:ind w:firstLine="420" w:firstLineChars="100"/>
    </w:pPr>
  </w:style>
  <w:style w:type="paragraph" w:styleId="26">
    <w:name w:val="Body Text First Indent 2"/>
    <w:basedOn w:val="10"/>
    <w:next w:val="1"/>
    <w:qFormat/>
    <w:locked/>
    <w:uiPriority w:val="0"/>
    <w:pPr>
      <w:ind w:firstLine="420" w:firstLineChars="200"/>
    </w:pPr>
    <w:rPr>
      <w:kern w:val="2"/>
      <w:sz w:val="21"/>
      <w:szCs w:val="24"/>
    </w:rPr>
  </w:style>
  <w:style w:type="table" w:styleId="28">
    <w:name w:val="Table Grid"/>
    <w:basedOn w:val="27"/>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locked/>
    <w:uiPriority w:val="0"/>
    <w:rPr>
      <w:b/>
    </w:rPr>
  </w:style>
  <w:style w:type="character" w:styleId="31">
    <w:name w:val="page number"/>
    <w:qFormat/>
    <w:locked/>
    <w:uiPriority w:val="0"/>
  </w:style>
  <w:style w:type="character" w:styleId="32">
    <w:name w:val="FollowedHyperlink"/>
    <w:basedOn w:val="29"/>
    <w:qFormat/>
    <w:locked/>
    <w:uiPriority w:val="0"/>
    <w:rPr>
      <w:color w:val="185ECF"/>
      <w:u w:val="none"/>
    </w:rPr>
  </w:style>
  <w:style w:type="character" w:styleId="33">
    <w:name w:val="Hyperlink"/>
    <w:basedOn w:val="29"/>
    <w:unhideWhenUsed/>
    <w:qFormat/>
    <w:locked/>
    <w:uiPriority w:val="99"/>
    <w:rPr>
      <w:color w:val="185ECF"/>
      <w:u w:val="none"/>
    </w:rPr>
  </w:style>
  <w:style w:type="character" w:styleId="34">
    <w:name w:val="annotation reference"/>
    <w:semiHidden/>
    <w:qFormat/>
    <w:uiPriority w:val="0"/>
    <w:rPr>
      <w:sz w:val="21"/>
    </w:rPr>
  </w:style>
  <w:style w:type="paragraph" w:customStyle="1" w:styleId="35">
    <w:name w:val="Body Text 2_050de59c-084d-4175-9105-ef8c1c28e700"/>
    <w:basedOn w:val="1"/>
    <w:qFormat/>
    <w:uiPriority w:val="0"/>
    <w:pPr>
      <w:spacing w:after="120" w:line="480" w:lineRule="auto"/>
    </w:pPr>
  </w:style>
  <w:style w:type="character" w:customStyle="1" w:styleId="36">
    <w:name w:val="批注文字 字符"/>
    <w:link w:val="8"/>
    <w:qFormat/>
    <w:locked/>
    <w:uiPriority w:val="0"/>
    <w:rPr>
      <w:rFonts w:ascii="Times New Roman" w:hAnsi="Times New Roman" w:eastAsia="宋体"/>
      <w:sz w:val="24"/>
    </w:rPr>
  </w:style>
  <w:style w:type="character" w:customStyle="1" w:styleId="37">
    <w:name w:val="正文文本 字符"/>
    <w:link w:val="9"/>
    <w:qFormat/>
    <w:locked/>
    <w:uiPriority w:val="0"/>
    <w:rPr>
      <w:sz w:val="18"/>
    </w:rPr>
  </w:style>
  <w:style w:type="character" w:customStyle="1" w:styleId="38">
    <w:name w:val="正文文本缩进 字符"/>
    <w:link w:val="10"/>
    <w:semiHidden/>
    <w:qFormat/>
    <w:locked/>
    <w:uiPriority w:val="0"/>
    <w:rPr>
      <w:rFonts w:ascii="Times New Roman" w:hAnsi="Times New Roman" w:eastAsia="宋体"/>
      <w:sz w:val="24"/>
    </w:rPr>
  </w:style>
  <w:style w:type="character" w:customStyle="1" w:styleId="39">
    <w:name w:val="日期 字符1"/>
    <w:link w:val="14"/>
    <w:qFormat/>
    <w:locked/>
    <w:uiPriority w:val="0"/>
    <w:rPr>
      <w:rFonts w:ascii="Times New Roman" w:hAnsi="Times New Roman" w:eastAsia="宋体"/>
      <w:sz w:val="24"/>
    </w:rPr>
  </w:style>
  <w:style w:type="character" w:customStyle="1" w:styleId="40">
    <w:name w:val="批注框文本 字符"/>
    <w:link w:val="16"/>
    <w:semiHidden/>
    <w:qFormat/>
    <w:locked/>
    <w:uiPriority w:val="0"/>
    <w:rPr>
      <w:rFonts w:ascii="Times New Roman" w:hAnsi="Times New Roman" w:eastAsia="宋体"/>
      <w:sz w:val="18"/>
    </w:rPr>
  </w:style>
  <w:style w:type="character" w:customStyle="1" w:styleId="41">
    <w:name w:val="页脚 字符1"/>
    <w:link w:val="17"/>
    <w:qFormat/>
    <w:locked/>
    <w:uiPriority w:val="99"/>
    <w:rPr>
      <w:sz w:val="18"/>
    </w:rPr>
  </w:style>
  <w:style w:type="character" w:customStyle="1" w:styleId="42">
    <w:name w:val="页眉 字符"/>
    <w:link w:val="18"/>
    <w:qFormat/>
    <w:locked/>
    <w:uiPriority w:val="0"/>
    <w:rPr>
      <w:sz w:val="18"/>
    </w:rPr>
  </w:style>
  <w:style w:type="character" w:customStyle="1" w:styleId="43">
    <w:name w:val="普通(网站) 字符"/>
    <w:link w:val="23"/>
    <w:qFormat/>
    <w:locked/>
    <w:uiPriority w:val="0"/>
    <w:rPr>
      <w:rFonts w:ascii="宋体" w:hAnsi="宋体" w:eastAsia="宋体"/>
      <w:sz w:val="24"/>
    </w:rPr>
  </w:style>
  <w:style w:type="character" w:customStyle="1" w:styleId="44">
    <w:name w:val="批注主题 字符"/>
    <w:link w:val="24"/>
    <w:semiHidden/>
    <w:qFormat/>
    <w:locked/>
    <w:uiPriority w:val="0"/>
    <w:rPr>
      <w:rFonts w:ascii="Times New Roman" w:hAnsi="Times New Roman" w:eastAsia="宋体"/>
      <w:b/>
      <w:kern w:val="2"/>
      <w:sz w:val="24"/>
    </w:rPr>
  </w:style>
  <w:style w:type="paragraph" w:customStyle="1" w:styleId="45">
    <w:name w:val="Default"/>
    <w:basedOn w:val="46"/>
    <w:qFormat/>
    <w:uiPriority w:val="0"/>
    <w:pPr>
      <w:widowControl w:val="0"/>
      <w:autoSpaceDE w:val="0"/>
      <w:autoSpaceDN w:val="0"/>
      <w:adjustRightInd w:val="0"/>
    </w:pPr>
    <w:rPr>
      <w:rFonts w:ascii="Calibri" w:hAnsi="Calibri"/>
      <w:color w:val="000000"/>
      <w:sz w:val="24"/>
      <w:szCs w:val="24"/>
      <w:lang w:val="en-US" w:eastAsia="zh-CN" w:bidi="ar-SA"/>
    </w:rPr>
  </w:style>
  <w:style w:type="paragraph" w:customStyle="1" w:styleId="46">
    <w:name w:val="标题 段落4级"/>
    <w:unhideWhenUsed/>
    <w:qFormat/>
    <w:uiPriority w:val="0"/>
    <w:pPr>
      <w:spacing w:beforeLines="0" w:afterLines="0" w:line="500" w:lineRule="exact"/>
      <w:outlineLvl w:val="3"/>
    </w:pPr>
    <w:rPr>
      <w:rFonts w:hint="default" w:ascii="Times New Roman" w:hAnsi="Times New Roman" w:eastAsia="仿宋_GB2312" w:cs="Calibri"/>
      <w:b/>
      <w:kern w:val="2"/>
      <w:sz w:val="28"/>
      <w:szCs w:val="24"/>
      <w:lang w:val="en-US" w:eastAsia="zh-CN" w:bidi="ar-SA"/>
    </w:rPr>
  </w:style>
  <w:style w:type="paragraph" w:customStyle="1" w:styleId="47">
    <w:name w:val="表头"/>
    <w:basedOn w:val="48"/>
    <w:qFormat/>
    <w:uiPriority w:val="0"/>
    <w:pPr>
      <w:tabs>
        <w:tab w:val="right" w:leader="dot" w:pos="8296"/>
      </w:tabs>
      <w:adjustRightInd w:val="0"/>
      <w:jc w:val="center"/>
    </w:pPr>
    <w:rPr>
      <w:b/>
      <w:kern w:val="0"/>
    </w:rPr>
  </w:style>
  <w:style w:type="paragraph" w:customStyle="1" w:styleId="48">
    <w:name w:val="表内"/>
    <w:basedOn w:val="21"/>
    <w:qFormat/>
    <w:uiPriority w:val="0"/>
    <w:pPr>
      <w:tabs>
        <w:tab w:val="right" w:leader="dot" w:pos="8296"/>
      </w:tabs>
      <w:spacing w:line="240" w:lineRule="auto"/>
      <w:ind w:firstLine="0" w:firstLineChars="0"/>
      <w:jc w:val="center"/>
    </w:pPr>
    <w:rPr>
      <w:rFonts w:eastAsia="宋体" w:cs="Times New Roman"/>
      <w:snapToGrid w:val="0"/>
      <w:kern w:val="0"/>
      <w:sz w:val="18"/>
      <w:szCs w:val="21"/>
    </w:rPr>
  </w:style>
  <w:style w:type="character" w:customStyle="1" w:styleId="49">
    <w:name w:val="页脚 字符"/>
    <w:qFormat/>
    <w:uiPriority w:val="99"/>
  </w:style>
  <w:style w:type="character" w:customStyle="1" w:styleId="50">
    <w:name w:val="日期 字符"/>
    <w:semiHidden/>
    <w:qFormat/>
    <w:uiPriority w:val="0"/>
    <w:rPr>
      <w:rFonts w:ascii="Times New Roman" w:hAnsi="Times New Roman" w:eastAsia="宋体"/>
      <w:sz w:val="24"/>
    </w:rPr>
  </w:style>
  <w:style w:type="character" w:customStyle="1" w:styleId="51">
    <w:name w:val="正文文本 字符1"/>
    <w:semiHidden/>
    <w:qFormat/>
    <w:uiPriority w:val="0"/>
    <w:rPr>
      <w:rFonts w:ascii="Times New Roman" w:hAnsi="Times New Roman" w:eastAsia="宋体"/>
      <w:sz w:val="24"/>
    </w:rPr>
  </w:style>
  <w:style w:type="character" w:customStyle="1" w:styleId="52">
    <w:name w:val="批注文字 字符1"/>
    <w:semiHidden/>
    <w:qFormat/>
    <w:uiPriority w:val="0"/>
    <w:rPr>
      <w:rFonts w:ascii="Times New Roman" w:hAnsi="Times New Roman" w:eastAsia="宋体"/>
      <w:sz w:val="24"/>
    </w:rPr>
  </w:style>
  <w:style w:type="character" w:customStyle="1" w:styleId="53">
    <w:name w:val="表格 Char"/>
    <w:link w:val="54"/>
    <w:qFormat/>
    <w:locked/>
    <w:uiPriority w:val="0"/>
    <w:rPr>
      <w:rFonts w:ascii="宋体"/>
      <w:sz w:val="21"/>
    </w:rPr>
  </w:style>
  <w:style w:type="paragraph" w:customStyle="1" w:styleId="54">
    <w:name w:val="表格"/>
    <w:basedOn w:val="1"/>
    <w:next w:val="1"/>
    <w:link w:val="53"/>
    <w:qFormat/>
    <w:uiPriority w:val="0"/>
    <w:pPr>
      <w:adjustRightInd w:val="0"/>
      <w:snapToGrid w:val="0"/>
      <w:spacing w:beforeLines="10" w:afterLines="10" w:line="259" w:lineRule="auto"/>
      <w:jc w:val="center"/>
    </w:pPr>
    <w:rPr>
      <w:rFonts w:ascii="宋体"/>
      <w:kern w:val="0"/>
      <w:szCs w:val="20"/>
    </w:rPr>
  </w:style>
  <w:style w:type="paragraph" w:customStyle="1" w:styleId="55">
    <w:name w:val="目录 81"/>
    <w:next w:val="1"/>
    <w:qFormat/>
    <w:uiPriority w:val="0"/>
    <w:pPr>
      <w:wordWrap w:val="0"/>
      <w:ind w:left="2550"/>
      <w:jc w:val="both"/>
    </w:pPr>
    <w:rPr>
      <w:rFonts w:ascii="宋体" w:hAnsi="宋体" w:eastAsia="宋体" w:cs="宋体"/>
      <w:sz w:val="21"/>
      <w:lang w:val="en-US" w:eastAsia="zh-CN" w:bidi="ar-SA"/>
    </w:rPr>
  </w:style>
  <w:style w:type="paragraph" w:customStyle="1" w:styleId="5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8">
    <w:name w:val="报告表正文格式"/>
    <w:basedOn w:val="1"/>
    <w:qFormat/>
    <w:uiPriority w:val="0"/>
    <w:pPr>
      <w:widowControl/>
      <w:tabs>
        <w:tab w:val="center" w:pos="0"/>
      </w:tabs>
      <w:spacing w:line="520" w:lineRule="exact"/>
      <w:ind w:firstLine="640" w:firstLineChars="200"/>
      <w:jc w:val="left"/>
    </w:pPr>
    <w:rPr>
      <w:sz w:val="24"/>
      <w:szCs w:val="20"/>
    </w:rPr>
  </w:style>
  <w:style w:type="paragraph" w:customStyle="1" w:styleId="59">
    <w:name w:val="列出段落"/>
    <w:basedOn w:val="1"/>
    <w:qFormat/>
    <w:uiPriority w:val="0"/>
    <w:pPr>
      <w:ind w:firstLine="420" w:firstLineChars="200"/>
    </w:pPr>
    <w:rPr>
      <w:rFonts w:ascii="Calibri" w:hAnsi="Calibri"/>
      <w:szCs w:val="22"/>
    </w:rPr>
  </w:style>
  <w:style w:type="paragraph" w:customStyle="1" w:styleId="60">
    <w:name w:val="Table Paragraph"/>
    <w:basedOn w:val="1"/>
    <w:qFormat/>
    <w:uiPriority w:val="1"/>
    <w:rPr>
      <w:rFonts w:ascii="宋体" w:hAnsi="宋体" w:eastAsia="宋体" w:cs="宋体"/>
      <w:lang w:val="zh-CN" w:eastAsia="zh-CN" w:bidi="zh-CN"/>
    </w:rPr>
  </w:style>
  <w:style w:type="paragraph" w:customStyle="1" w:styleId="61">
    <w:name w:val="标准正文"/>
    <w:basedOn w:val="1"/>
    <w:qFormat/>
    <w:uiPriority w:val="0"/>
    <w:pPr>
      <w:adjustRightInd w:val="0"/>
      <w:spacing w:line="460" w:lineRule="atLeast"/>
      <w:ind w:firstLine="567"/>
      <w:jc w:val="left"/>
    </w:pPr>
    <w:rPr>
      <w:rFonts w:ascii="Times New Roman" w:hAnsi="Times New Roman"/>
      <w:kern w:val="28"/>
      <w:sz w:val="28"/>
      <w:szCs w:val="20"/>
    </w:rPr>
  </w:style>
  <w:style w:type="paragraph" w:customStyle="1" w:styleId="62">
    <w:name w:val="样式 正文文本缩进 2 + 自动设置 行距: 1.5 倍行距"/>
    <w:basedOn w:val="15"/>
    <w:qFormat/>
    <w:uiPriority w:val="0"/>
    <w:pPr>
      <w:spacing w:after="0" w:afterLines="0" w:line="460" w:lineRule="exact"/>
      <w:ind w:left="0" w:leftChars="0" w:firstLine="200" w:firstLineChars="200"/>
    </w:pPr>
    <w:rPr>
      <w:rFonts w:ascii="宋体" w:hAnsi="宋体" w:cs="宋体"/>
      <w:sz w:val="24"/>
      <w:szCs w:val="20"/>
    </w:rPr>
  </w:style>
  <w:style w:type="paragraph" w:customStyle="1" w:styleId="63">
    <w:name w:val="0正文"/>
    <w:unhideWhenUsed/>
    <w:qFormat/>
    <w:uiPriority w:val="0"/>
    <w:pPr>
      <w:widowControl w:val="0"/>
      <w:spacing w:line="360" w:lineRule="auto"/>
      <w:ind w:firstLine="720" w:firstLineChars="200"/>
    </w:pPr>
    <w:rPr>
      <w:rFonts w:ascii="Calibri" w:hAnsi="Calibri" w:eastAsia="宋体" w:cs="Times New Roman"/>
      <w:sz w:val="24"/>
      <w:szCs w:val="22"/>
      <w:lang w:val="en-US" w:eastAsia="zh-CN" w:bidi="ar-SA"/>
    </w:rPr>
  </w:style>
  <w:style w:type="paragraph" w:customStyle="1" w:styleId="64">
    <w:name w:val="Normal (Web)"/>
    <w:basedOn w:val="1"/>
    <w:qFormat/>
    <w:uiPriority w:val="0"/>
    <w:pPr>
      <w:widowControl/>
      <w:spacing w:before="100" w:beforeAutospacing="1" w:after="100" w:afterAutospacing="1"/>
      <w:jc w:val="left"/>
    </w:pPr>
    <w:rPr>
      <w:rFonts w:hint="default" w:ascii="宋体" w:hAnsi="宋体" w:eastAsia="宋体" w:cs="宋体"/>
      <w:kern w:val="0"/>
      <w:sz w:val="24"/>
      <w:szCs w:val="24"/>
    </w:rPr>
  </w:style>
  <w:style w:type="character" w:customStyle="1" w:styleId="65">
    <w:name w:val="checkbox"/>
    <w:basedOn w:val="29"/>
    <w:qFormat/>
    <w:uiPriority w:val="0"/>
  </w:style>
  <w:style w:type="character" w:customStyle="1" w:styleId="66">
    <w:name w:val="chakan"/>
    <w:basedOn w:val="29"/>
    <w:qFormat/>
    <w:uiPriority w:val="0"/>
    <w:rPr>
      <w:color w:val="0064EA"/>
    </w:rPr>
  </w:style>
  <w:style w:type="character" w:customStyle="1" w:styleId="67">
    <w:name w:val="shenbao"/>
    <w:basedOn w:val="29"/>
    <w:qFormat/>
    <w:uiPriority w:val="0"/>
    <w:rPr>
      <w:color w:val="EF6334"/>
    </w:rPr>
  </w:style>
  <w:style w:type="character" w:customStyle="1" w:styleId="68">
    <w:name w:val="checkbox2"/>
    <w:basedOn w:val="29"/>
    <w:qFormat/>
    <w:uiPriority w:val="0"/>
  </w:style>
  <w:style w:type="paragraph" w:styleId="69">
    <w:name w:val="No Spacing"/>
    <w:basedOn w:val="1"/>
    <w:unhideWhenUsed/>
    <w:qFormat/>
    <w:uiPriority w:val="0"/>
    <w:pPr>
      <w:spacing w:beforeLines="0" w:afterLines="0"/>
    </w:pPr>
    <w:rPr>
      <w:rFonts w:hint="default"/>
      <w:sz w:val="21"/>
      <w:szCs w:val="24"/>
    </w:rPr>
  </w:style>
  <w:style w:type="character" w:customStyle="1" w:styleId="70">
    <w:name w:val="15"/>
    <w:basedOn w:val="29"/>
    <w:qFormat/>
    <w:uiPriority w:val="0"/>
    <w:rPr>
      <w:rFonts w:hint="default" w:ascii="Times New Roman" w:hAnsi="Times New Roman" w:cs="Times New Roman"/>
    </w:rPr>
  </w:style>
  <w:style w:type="paragraph" w:customStyle="1" w:styleId="71">
    <w:name w:val="表格题目"/>
    <w:qFormat/>
    <w:uiPriority w:val="0"/>
    <w:pPr>
      <w:keepNext w:val="0"/>
      <w:keepLines w:val="0"/>
      <w:widowControl/>
      <w:suppressLineNumbers w:val="0"/>
      <w:spacing w:before="0" w:beforeAutospacing="0" w:after="0" w:afterAutospacing="0"/>
      <w:ind w:left="0" w:right="0"/>
      <w:jc w:val="center"/>
    </w:pPr>
    <w:rPr>
      <w:rFonts w:hint="eastAsia" w:ascii="Times New Roman" w:hAnsi="Times New Roman" w:eastAsia="宋体" w:cs="Times New Roman"/>
      <w:b/>
      <w:kern w:val="0"/>
      <w:sz w:val="21"/>
      <w:szCs w:val="21"/>
      <w:lang w:val="en-US" w:eastAsia="zh-CN" w:bidi="ar"/>
    </w:rPr>
  </w:style>
  <w:style w:type="paragraph" w:customStyle="1" w:styleId="72">
    <w:name w:val="6666666段落"/>
    <w:qFormat/>
    <w:uiPriority w:val="0"/>
    <w:pPr>
      <w:spacing w:line="360" w:lineRule="auto"/>
      <w:ind w:firstLine="720" w:firstLineChars="200"/>
      <w:jc w:val="both"/>
    </w:pPr>
    <w:rPr>
      <w:rFonts w:ascii="Times New Roman" w:hAnsi="Times New Roman" w:eastAsia="宋体" w:cs="Times New Roman"/>
      <w:sz w:val="21"/>
    </w:rPr>
  </w:style>
  <w:style w:type="paragraph" w:customStyle="1" w:styleId="73">
    <w:name w:val="正"/>
    <w:basedOn w:val="1"/>
    <w:qFormat/>
    <w:uiPriority w:val="0"/>
    <w:pPr>
      <w:adjustRightInd w:val="0"/>
      <w:spacing w:line="360" w:lineRule="auto"/>
      <w:ind w:left="23" w:leftChars="11" w:firstLine="480" w:firstLineChars="200"/>
    </w:pPr>
    <w:rPr>
      <w:sz w:val="24"/>
      <w:szCs w:val="24"/>
    </w:rPr>
  </w:style>
  <w:style w:type="paragraph" w:customStyle="1" w:styleId="74">
    <w:name w:val="表格啊啊"/>
    <w:basedOn w:val="1"/>
    <w:qFormat/>
    <w:uiPriority w:val="0"/>
    <w:pPr>
      <w:autoSpaceDE w:val="0"/>
      <w:autoSpaceDN w:val="0"/>
      <w:adjustRightInd w:val="0"/>
      <w:snapToGrid w:val="0"/>
      <w:jc w:val="center"/>
    </w:pPr>
    <w:rPr>
      <w:rFonts w:hAnsi="宋体"/>
      <w:kern w:val="0"/>
      <w:szCs w:val="21"/>
    </w:rPr>
  </w:style>
  <w:style w:type="paragraph" w:customStyle="1" w:styleId="75">
    <w:name w:val="1-表内"/>
    <w:basedOn w:val="1"/>
    <w:qFormat/>
    <w:uiPriority w:val="0"/>
    <w:pPr>
      <w:keepNext w:val="0"/>
      <w:keepLines w:val="0"/>
      <w:widowControl w:val="0"/>
      <w:suppressLineNumbers w:val="0"/>
      <w:spacing w:before="0" w:beforeAutospacing="0" w:after="0" w:afterAutospacing="0" w:line="240" w:lineRule="auto"/>
      <w:ind w:left="0" w:right="0" w:firstLine="0" w:firstLineChars="0"/>
      <w:jc w:val="center"/>
    </w:pPr>
    <w:rPr>
      <w:rFonts w:hint="default" w:ascii="Times New Roman" w:hAnsi="Times New Roman" w:cs="Times New Roman"/>
      <w:kern w:val="2"/>
      <w:sz w:val="21"/>
      <w:szCs w:val="21"/>
      <w:lang w:val="en-US" w:eastAsia="zh-CN" w:bidi="ar"/>
    </w:rPr>
  </w:style>
  <w:style w:type="paragraph" w:customStyle="1" w:styleId="76">
    <w:name w:val="Heading2"/>
    <w:basedOn w:val="1"/>
    <w:next w:val="1"/>
    <w:qFormat/>
    <w:uiPriority w:val="0"/>
    <w:pPr>
      <w:keepNext/>
      <w:keepLines/>
      <w:spacing w:line="300" w:lineRule="auto"/>
      <w:ind w:firstLineChars="0"/>
      <w:jc w:val="center"/>
      <w:textAlignment w:val="baseline"/>
    </w:pPr>
    <w:rPr>
      <w:rFonts w:ascii="Arial" w:hAnsi="Arial" w:eastAsia="宋体"/>
      <w:b/>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34203;&#24069;&#40857;\&#29615;&#35780;\2025&#24180;\&#27748;&#38452;&#23452;&#27807;&#21452;&#32447;&#26448;\01-&#27491;&#25991;\02-&#27491;&#2599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M0MDk4NTgxMTczIiwKCSJHcm91cElkIiA6ICI2MDk3MDUzNjIiLAoJIkltYWdlIiA6ICJpVkJPUncwS0dnb0FBQUFOU1VoRVVnQUFBNEVBQUFIUENBWUFBQUR0WjkvNUFBQUFBWE5TUjBJQXJzNGM2UUFBSUFCSlJFRlVlSnpzM1hsNFUyWDYvL0hQazZRYlFrVkFoUkdsSVB1SWRCRVFGUnhsRVVRZFIxRWM5UWNvaUF1TXFDT0NPQ3FMaWpnSXNpOENndUlYeEEwUVdTcUNvZ0tDdGl6RmlsUUZSU2dXU2xtNkp6bS9QMmd6TFUyaFFHblM1UDI2TGk2VGM1NXpjcDk0NSttNXovSWND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VFIVDdQN0JiSnd1VmkvaDVBQUFBQUVsRlRrU3VRbUNDIiwKCSJUaGVtZSIgOiAiIiwKCSJUeXBlIiA6ICJmbG93IiwKCSJVc2VySWQiIDogIjUyODA4MjQ0OCIsCgkiVmVyc2lvbiIgOiAiODEiCn0K"/>
    </extobj>
    <extobj name="ECB019B1-382A-4266-B25C-5B523AA43C14-2">
      <extobjdata type="ECB019B1-382A-4266-B25C-5B523AA43C14" data="ewoJIkZpbGVJZCIgOiAiNDQ3MTA0NjY1Nzg3IiwKCSJHcm91cElkIiA6ICI2MDk3MDUzNjIiLAoJIkltYWdlIiA6ICJpVkJPUncwS0dnb0FBQUFOU1VoRVVnQUFCSTBBQUFNQUNBWUFBQUNwUVplOEFBQUFBWE5TUjBJQXJzNGM2UUFBSUFCSlJFRlVlSnpzM1htY2plWC94L0gzZGViTVloK2E3TEp2dzh3NE01WW9GZEpDVXRwK0pVdEpFa0xJbGlVa1pOK0pNa2hvc1lTdnBmaEt0bUptN0JVeVNkWVpTd1l6bkRuMzc0OW16bmZHekRETW1DR3Y1K1BoVWZkMVgvZDFmKzZUMDMyZnozMHRFZ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96LzhEQkhPWThXNkoySVlBQUFBQVNVVk9SSzVDWUlJPSIsCgkiVGhlbWUiIDogIiIsCgkiVHlwZSIgOiAiZmxvdyIsCgkiVXNlcklkIiA6ICI1MjgwODI0NDgiLAoJIlZlcnNpb24iIDogIjYxIgp9Cg=="/>
    </extobj>
    <extobj name="ECB019B1-382A-4266-B25C-5B523AA43C14-3">
      <extobjdata type="ECB019B1-382A-4266-B25C-5B523AA43C14" data="ewoJIkZpbGVJZCIgOiAiNDQ3MTAwNzkxNTUwIiwKCSJHcm91cElkIiA6ICI2MDk3MDUzNjIiLAoJIkltYWdlIiA6ICJpVkJPUncwS0dnb0FBQUFOU1VoRVVnQUFBL1lBQUFHdUNBWUFBQUE2V3AzbkFBQUFBWE5TUjBJQXJzNGM2UUFBSUFCSlJFRlVlSnpzM1hsY1ZGWC9CL0RQdVRPQUlCb3E1WjVMbElLSk0wUHVaZlhrVW1iK0xNdlNkaXROTTdWeXE5eEt5eVZ6S1UzcnlWSnlyZFNuTkhOTExjdWRtUUhOWGZOUlMzTkJaQjJZbWZ2OS9lSE1QQ3lEZ0dLQWZ0NnZseS9oM25QT1BSY0dtTzg5NTN3UFF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WRIUDVmMkoyeU5vWUliRCtBQUFBQUVsRlRrU3VRbUNDIiwKCSJUaGVtZSIgOiAiIiwKCSJUeXBlIiA6ICJmbG93IiwKCSJVc2VySWQiIDogIjUyODA4MjQ0OCIsCgkiVmVyc2lvbiIgOiAiNCIKfQo="/>
    </extobj>
    <extobj name="ECB019B1-382A-4266-B25C-5B523AA43C14-4">
      <extobjdata type="ECB019B1-382A-4266-B25C-5B523AA43C14" data="ewoJIkZpbGVJZCIgOiAiNDM0MDg5MjA0MjY5IiwKCSJHcm91cElkIiA6ICI2MDk3MDUzNjIiLAoJIkltYWdlIiA6ICJpVkJPUncwS0dnb0FBQUFOU1VoRVVnQUFBeW9BQUFFWENBWUFBQUJDc3JDZEFBQUFBWE5TUjBJQXJzNGM2UUFBSUFCSlJFRlVlSnpzM1hsNGpGZjdCL0R2bVpuc3NZVFlnNGlrQ0NJem9TaWxXdFVXcGRwYWExZjFvcGFxdkZSVjdLcWx0dGRTYlNyMkxvcWdVYlJOVWRTU3pFZ0lzUVpSVkVJMlRKS1o1L3ora013dmtRbUppQ3krbit0eU5YUE9lYzV6UDlOT3paMnpBV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VVdFL3djc1J2TVJVUVZKYkFBQUFBQkpSVTVFcmtKZ2dnPT0iLAoJIlRoZW1lIiA6ICIiLAoJIlR5cGUiIDogImZsb3ciLAoJIlVzZXJJZCIgOiAiNTI4MDgyNDQ4IiwKCSJWZXJzaW9uIiA6ICI4NSIKfQo="/>
    </extobj>
    <extobj name="ECB019B1-382A-4266-B25C-5B523AA43C14-5">
      <extobjdata type="ECB019B1-382A-4266-B25C-5B523AA43C14" data="ewoJIkZpbGVJZCIgOiAiNDQ3ODk3MzQ2OTU2IiwKCSJHcm91cElkIiA6ICI2MDk3MDUzNjIiLAoJIkltYWdlIiA6ICJpVkJPUncwS0dnb0FBQUFOU1VoRVVnQUFCRjRBQUFJbUNBWUFBQUJxNVU1cEFBQUFBWE5TUjBJQXJzNGM2UUFBSUFCSlJFRlVlSnpzM1hsOFUxWCsvL0gzdVVsTEM1Uk5YRmtFQlJVb2JXNHFqdXN3aWp1dXVJM2p2dnRWUjJGY1p0UnhuVkZFdjZPaU9DSXFvb2dpbzZBemd0c1AvYnFCQ2syNklLQ0NBOHEraVFLbDBPU2UzeDlOWXJwU29Ha0t2SjZQeHp4TTdqMzMzTS9OY0pQbW5YdlBr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NJdnY4UHpNbGQxWElmNzNNQUFBQUFTVVZPUks1Q1lJST0iLAoJIlRoZW1lIiA6ICIiLAoJIlR5cGUiIDogImZsb3ciLAoJIlVzZXJJZCIgOiAiNTI4MDgyNDQ4IiwKCSJWZXJzaW9uIiA6ICI0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02-正文.dotx</Template>
  <Pages>61</Pages>
  <Words>6274</Words>
  <Characters>6670</Characters>
  <Lines>1</Lines>
  <Paragraphs>1</Paragraphs>
  <TotalTime>1</TotalTime>
  <ScaleCrop>false</ScaleCrop>
  <LinksUpToDate>false</LinksUpToDate>
  <CharactersWithSpaces>6790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2025-07-10T10:34:00Z</dcterms:created>
  <dc:creator>薛帅龙</dc:creator>
  <cp:lastModifiedBy>微信用户</cp:lastModifiedBy>
  <cp:lastPrinted>2025-12-10T03:23:00Z</cp:lastPrinted>
  <dcterms:modified xsi:type="dcterms:W3CDTF">2025-12-17T00:41:08Z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A675478026204267972964F583C480B9_13</vt:lpwstr>
  </property>
  <property fmtid="{D5CDD505-2E9C-101B-9397-08002B2CF9AE}" pid="4" name="KSOTemplateDocerSaveRecord">
    <vt:lpwstr>eyJoZGlkIjoiNmE4ZTg5NDRjZDY5ZThiOTY2YmNkMzhiNzMyNzI1MWMiLCJ1c2VySWQiOiIxMjkwNzYyNzMwIn0=</vt:lpwstr>
  </property>
</Properties>
</file>