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44"/>
          <w:szCs w:val="44"/>
        </w:rPr>
      </w:pPr>
      <w:bookmarkStart w:id="0" w:name="_GoBack"/>
      <w:bookmarkEnd w:id="0"/>
      <w:r>
        <w:rPr>
          <w:rFonts w:hint="eastAsia" w:ascii="宋体" w:hAnsi="宋体" w:eastAsia="宋体" w:cs="宋体"/>
          <w:kern w:val="2"/>
          <w:sz w:val="44"/>
          <w:szCs w:val="44"/>
          <w:lang w:val="en-US" w:eastAsia="zh-CN" w:bidi="ar"/>
        </w:rPr>
        <w:t>安阳县集体经营性建设用地入市管理办法</w:t>
      </w:r>
    </w:p>
    <w:p>
      <w:pPr>
        <w:keepNext w:val="0"/>
        <w:keepLines w:val="0"/>
        <w:widowControl w:val="0"/>
        <w:suppressLineNumbers w:val="0"/>
        <w:spacing w:before="0" w:beforeAutospacing="0" w:after="0" w:afterAutospacing="0"/>
        <w:ind w:left="0" w:right="0"/>
        <w:jc w:val="center"/>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（试行）</w:t>
      </w:r>
    </w:p>
    <w:p>
      <w:pPr>
        <w:jc w:val="center"/>
        <w:rPr>
          <w:rFonts w:hint="eastAsia" w:ascii="仿宋" w:hAnsi="仿宋" w:eastAsia="仿宋" w:cs="仿宋"/>
          <w:kern w:val="2"/>
          <w:sz w:val="32"/>
          <w:szCs w:val="32"/>
          <w:lang w:val="en-US" w:eastAsia="zh-CN" w:bidi="ar"/>
        </w:rPr>
      </w:pPr>
      <w:r>
        <w:rPr>
          <w:rFonts w:hint="eastAsia" w:ascii="仿宋" w:hAnsi="仿宋" w:eastAsia="仿宋" w:cs="仿宋"/>
          <w:sz w:val="32"/>
          <w:szCs w:val="32"/>
          <w:lang w:val="en-US" w:eastAsia="zh-CN"/>
        </w:rPr>
        <w:t>（征求意见稿）</w:t>
      </w:r>
    </w:p>
    <w:p>
      <w:pPr>
        <w:keepNext w:val="0"/>
        <w:keepLines w:val="0"/>
        <w:widowControl w:val="0"/>
        <w:suppressLineNumbers w:val="0"/>
        <w:spacing w:before="0" w:beforeAutospacing="0" w:after="0" w:afterAutospacing="0"/>
        <w:ind w:left="0" w:right="0"/>
        <w:jc w:val="center"/>
        <w:rPr>
          <w:rFonts w:hint="eastAsia" w:ascii="黑体" w:hAnsi="黑体" w:eastAsia="黑体" w:cs="黑体"/>
          <w:kern w:val="2"/>
          <w:sz w:val="32"/>
          <w:szCs w:val="32"/>
        </w:rPr>
      </w:pPr>
      <w:r>
        <w:rPr>
          <w:rFonts w:hint="eastAsia" w:ascii="黑体" w:hAnsi="黑体" w:eastAsia="黑体" w:cs="黑体"/>
          <w:kern w:val="2"/>
          <w:sz w:val="32"/>
          <w:szCs w:val="32"/>
          <w:lang w:val="en-US" w:eastAsia="zh-CN" w:bidi="ar"/>
        </w:rPr>
        <w:t>第一章  总则</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第一条 为规范集体经营性建设用地入市行为，构建城乡统一的建设用地市场体系，保障农村集体经济组织和农民的合法权益，依据《中华人民共和国土地管理法》《中华人民共和国土地管理法实施条例》等法律、法规，按照省自然资源厅相关要求，参照其他市、县的先进经验，结合我县实际，制定本办法。</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第二条 集体经营性建设用地入市，是指农民集体以土地所有者身份通过公开的土地有形市场，依法将集体经营性建设用地使用权在一定期限内以出让、出租、作价出资(入股)等有偿方式交由其他单位或者个人使用并以书面合同约定与土地使用者权利义务的行为。</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第三条 集体经营性建设用地，是指国土空间规划确定为工矿仓储、商服和旅游类等经营性用途，并经依法办理土地所有权登记的农村集体建设用地。集</w:t>
      </w:r>
      <w:r>
        <w:rPr>
          <w:rFonts w:hint="eastAsia" w:ascii="仿宋" w:hAnsi="仿宋" w:eastAsia="仿宋" w:cs="仿宋"/>
          <w:color w:val="auto"/>
          <w:kern w:val="2"/>
          <w:sz w:val="32"/>
          <w:szCs w:val="32"/>
          <w:lang w:val="en-US" w:eastAsia="zh-CN" w:bidi="ar"/>
        </w:rPr>
        <w:t>体</w:t>
      </w:r>
      <w:r>
        <w:rPr>
          <w:rFonts w:hint="eastAsia" w:ascii="仿宋" w:hAnsi="仿宋" w:eastAsia="仿宋" w:cs="仿宋"/>
          <w:b w:val="0"/>
          <w:bCs w:val="0"/>
          <w:color w:val="auto"/>
          <w:kern w:val="2"/>
          <w:sz w:val="32"/>
          <w:szCs w:val="32"/>
          <w:lang w:val="en-US" w:eastAsia="zh-CN" w:bidi="ar"/>
        </w:rPr>
        <w:t>经营性</w:t>
      </w:r>
      <w:r>
        <w:rPr>
          <w:rFonts w:hint="eastAsia" w:ascii="仿宋" w:hAnsi="仿宋" w:eastAsia="仿宋" w:cs="仿宋"/>
          <w:color w:val="auto"/>
          <w:kern w:val="2"/>
          <w:sz w:val="32"/>
          <w:szCs w:val="32"/>
          <w:lang w:val="en-US" w:eastAsia="zh-CN" w:bidi="ar"/>
        </w:rPr>
        <w:t>建</w:t>
      </w:r>
      <w:r>
        <w:rPr>
          <w:rFonts w:hint="eastAsia" w:ascii="仿宋" w:hAnsi="仿宋" w:eastAsia="仿宋" w:cs="仿宋"/>
          <w:kern w:val="2"/>
          <w:sz w:val="32"/>
          <w:szCs w:val="32"/>
          <w:lang w:val="en-US" w:eastAsia="zh-CN" w:bidi="ar"/>
        </w:rPr>
        <w:t>设用地的范围包括：报批城乡建设用地增减挂钩的土地；批复的农用地转用土地；第二次、第三次国土调查均为建设用地的土地；其它被认定可以入市的土地。</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集体经营性建设用地出让的最高年限：工矿、仓储用地50年，商业服务业用地40年，公共管理与公共服务用地50年，综合或者其他用地50年。</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第四条 本办法适用于全县集体经营性建设用地使用权入市工作及相关监督管理活动。</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第五条 安阳县（示范区）自然资源管理委员会负责全县集体经营性建设用地入市工作的统筹协调，县自然资源局等相关职能部门负责集体经营性建设用地入市工作的实施推进。</w:t>
      </w:r>
    </w:p>
    <w:p>
      <w:pPr>
        <w:keepNext w:val="0"/>
        <w:keepLines w:val="0"/>
        <w:widowControl w:val="0"/>
        <w:suppressLineNumbers w:val="0"/>
        <w:spacing w:before="0" w:beforeAutospacing="0" w:after="0" w:afterAutospacing="0"/>
        <w:ind w:left="0" w:leftChars="0" w:right="0" w:firstLine="0" w:firstLineChars="0"/>
        <w:jc w:val="center"/>
        <w:rPr>
          <w:rFonts w:hint="eastAsia" w:ascii="仿宋" w:hAnsi="仿宋" w:eastAsia="仿宋" w:cs="仿宋"/>
          <w:kern w:val="2"/>
          <w:sz w:val="32"/>
          <w:szCs w:val="32"/>
        </w:rPr>
      </w:pPr>
      <w:r>
        <w:rPr>
          <w:rFonts w:hint="eastAsia" w:ascii="黑体" w:hAnsi="黑体" w:eastAsia="黑体" w:cs="黑体"/>
          <w:kern w:val="2"/>
          <w:sz w:val="32"/>
          <w:szCs w:val="32"/>
          <w:lang w:val="en-US" w:eastAsia="zh-CN" w:bidi="ar"/>
        </w:rPr>
        <w:t>第二章  入市主体和实施主体</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第六条 集体经营性建设用地属于本集体所有，入市的法定主体是集体经营性建设用地的所有权人。包括乡镇农民集体所有、村农民集体所有、村民小组农民集体所有三种情形，分别由相应的集体经济组织代表行使。</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第七条 在农村集体经营性建设用地入市前，土地所属村(组)集体应完成农村集体经济组织登记赋码，由该集体经济组织作为主体自行组织实施入市；也可以由该集体经济组织委托其他具有法人资格的组织代理实施入市，并通过授权委托明确双方权利义务关系。</w:t>
      </w:r>
    </w:p>
    <w:p>
      <w:pPr>
        <w:keepNext w:val="0"/>
        <w:keepLines w:val="0"/>
        <w:widowControl w:val="0"/>
        <w:suppressLineNumbers w:val="0"/>
        <w:spacing w:before="0" w:beforeAutospacing="0" w:after="0" w:afterAutospacing="0"/>
        <w:ind w:left="0" w:leftChars="0" w:right="0" w:firstLine="0" w:firstLineChars="0"/>
        <w:jc w:val="center"/>
        <w:rPr>
          <w:rFonts w:hint="eastAsia" w:ascii="仿宋" w:hAnsi="仿宋" w:eastAsia="仿宋" w:cs="仿宋"/>
          <w:kern w:val="2"/>
          <w:sz w:val="32"/>
          <w:szCs w:val="32"/>
        </w:rPr>
      </w:pPr>
      <w:r>
        <w:rPr>
          <w:rFonts w:hint="eastAsia" w:ascii="黑体" w:hAnsi="黑体" w:eastAsia="黑体" w:cs="黑体"/>
          <w:kern w:val="2"/>
          <w:sz w:val="32"/>
          <w:szCs w:val="32"/>
          <w:lang w:val="en-US" w:eastAsia="zh-CN" w:bidi="ar"/>
        </w:rPr>
        <w:t>第三章  入市途径与程序</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第八条 集体经营性建设用地入市交易，由集体经营性建设用地的所有权人委托公共资源交易中心进行。</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strike/>
          <w:dstrike w:val="0"/>
          <w:kern w:val="2"/>
          <w:sz w:val="32"/>
          <w:szCs w:val="32"/>
        </w:rPr>
      </w:pPr>
      <w:r>
        <w:rPr>
          <w:rFonts w:hint="eastAsia" w:ascii="仿宋" w:hAnsi="仿宋" w:eastAsia="仿宋" w:cs="仿宋"/>
          <w:kern w:val="2"/>
          <w:sz w:val="32"/>
          <w:szCs w:val="32"/>
          <w:lang w:val="en-US" w:eastAsia="zh-CN" w:bidi="ar"/>
        </w:rPr>
        <w:t>第九条 集体经营性建设用地入市，按照以下入市程序和要求开展入市工作。</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（一）入市前期准备</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集体经营性建设用地入市</w:t>
      </w:r>
      <w:r>
        <w:rPr>
          <w:rFonts w:hint="eastAsia" w:ascii="仿宋" w:hAnsi="仿宋" w:eastAsia="仿宋" w:cs="仿宋"/>
          <w:color w:val="auto"/>
          <w:kern w:val="2"/>
          <w:sz w:val="32"/>
          <w:szCs w:val="32"/>
          <w:lang w:val="en-US" w:eastAsia="zh-CN" w:bidi="ar"/>
        </w:rPr>
        <w:t>必须经本集体经济组织成员的村民会议三分之二以上成员或三分之二以上村民代表同意并</w:t>
      </w:r>
      <w:r>
        <w:rPr>
          <w:rFonts w:hint="eastAsia" w:ascii="仿宋" w:hAnsi="仿宋" w:eastAsia="仿宋" w:cs="仿宋"/>
          <w:kern w:val="2"/>
          <w:sz w:val="32"/>
          <w:szCs w:val="32"/>
          <w:lang w:val="en-US" w:eastAsia="zh-CN" w:bidi="ar"/>
        </w:rPr>
        <w:t>履行民主决策程序，形成正式表决材料，并提出入市申请。民主决策程序具体操作可按照"四议两公开"的民主决策办法执行。在会议表决通过后，完成拟入市宗地勘测定界，达到土地权属明晰等标准。</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（二）入市条件初审</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入市主体（授权实施主体）准备入市申请书、村民会议或者村民代表会议的表决书等相关材料，报乡镇人民政府进行入市条件初审。</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乡镇人民政府对拟入市地块的使用现状、权属状况、地上附着物状况等进行调查，就拟入市地块所涉干群基础、信访稳定、权属来源等问题进行综合评定，并出具入市地块初审意见上报县自然资源主管部门。</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（三）入市地块规划使用条件申领</w:t>
      </w:r>
    </w:p>
    <w:p>
      <w:pPr>
        <w:keepNext w:val="0"/>
        <w:keepLines w:val="0"/>
        <w:widowControl w:val="0"/>
        <w:suppressLineNumbers w:val="0"/>
        <w:spacing w:before="0" w:beforeAutospacing="0" w:after="0" w:afterAutospacing="0"/>
        <w:ind w:left="0" w:leftChars="0" w:right="0" w:firstLine="838" w:firstLineChars="262"/>
        <w:jc w:val="both"/>
        <w:rPr>
          <w:rFonts w:hint="default" w:ascii="仿宋" w:hAnsi="仿宋" w:eastAsia="仿宋" w:cs="仿宋"/>
          <w:color w:val="auto"/>
          <w:kern w:val="2"/>
          <w:sz w:val="32"/>
          <w:szCs w:val="32"/>
          <w:u w:val="none"/>
          <w:lang w:val="en-US"/>
        </w:rPr>
      </w:pPr>
      <w:r>
        <w:rPr>
          <w:rFonts w:hint="eastAsia" w:ascii="仿宋" w:hAnsi="仿宋" w:eastAsia="仿宋" w:cs="仿宋"/>
          <w:kern w:val="2"/>
          <w:sz w:val="32"/>
          <w:szCs w:val="32"/>
          <w:lang w:val="en-US" w:eastAsia="zh-CN" w:bidi="ar"/>
        </w:rPr>
        <w:t>县自然资源主管部门会同有关部门根据职责分工向入市主体提供依据详细规划确定的拟入市宗地的规划条件，明确产业准入、生态环境保护要求等。</w:t>
      </w:r>
      <w:r>
        <w:rPr>
          <w:rFonts w:hint="eastAsia" w:ascii="仿宋" w:hAnsi="仿宋" w:eastAsia="仿宋" w:cs="仿宋"/>
          <w:kern w:val="2"/>
          <w:sz w:val="32"/>
          <w:szCs w:val="32"/>
          <w:u w:val="none"/>
          <w:lang w:val="en-US" w:eastAsia="zh-CN" w:bidi="ar"/>
        </w:rPr>
        <w:t>自然资源局对城镇开发边界内的出具规划设计条件，在村庄建设边界内村庄规划尚未审批的过渡阶段</w:t>
      </w:r>
      <w:r>
        <w:rPr>
          <w:rFonts w:hint="eastAsia" w:ascii="仿宋" w:hAnsi="仿宋" w:eastAsia="仿宋" w:cs="仿宋"/>
          <w:color w:val="auto"/>
          <w:kern w:val="2"/>
          <w:sz w:val="32"/>
          <w:szCs w:val="32"/>
          <w:u w:val="none"/>
          <w:lang w:val="en-US" w:eastAsia="zh-CN" w:bidi="ar"/>
        </w:rPr>
        <w:t>，因暂不具备出具规划条件，由乡镇政府出具相应的规划指标代替规划条件，并承诺纳入下一步的村庄规划。涉及司法拍卖及资产处置等情况的可容缺规划条件办理。</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（四）入市方案编制及民主表决</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拟入市地块取得土地规划使用条件后，入市主体（授权实施主体）可委托依法取得相应资质的机构，对拟入市地块进行地价评估；入市主体应当制定入市方案，明确拟入市宗地的土地界址、面积、使用期限、土地用途、规划条件、交易方式、入市价格、收益分配、集体经济组织内部土地经济关系调整等内容。入市方案经本集体经济组织民主决策确定后形成入市决议，作为后续入市、拟订合同和履约监管协议的依据。</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县相关职能部门应为入市方案编制提供政策和技术支持，对方案编制中涉及的国土空间规划、建设、环保、产业准入等方面政策予以解释说明。</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(五) 入市核对</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入市主体（授权实施主体）在入市交易前向县自然资源主管部门提交拟入市宗地的勘测定界成果、土地权属证明、入市方案、入市决议、初审意见等材料。县人民政府组织自然资源主管部门等相关部门对拟入市宗地是否符合国土空间规划、是否符合产业准入条件和生态环境保护要求起始价等进行核对。</w:t>
      </w:r>
    </w:p>
    <w:p>
      <w:pPr>
        <w:keepNext w:val="0"/>
        <w:keepLines w:val="0"/>
        <w:widowControl/>
        <w:numPr>
          <w:ilvl w:val="0"/>
          <w:numId w:val="1"/>
        </w:numPr>
        <w:suppressLineNumbers w:val="0"/>
        <w:ind w:left="0" w:leftChars="0" w:firstLine="640" w:firstLineChars="200"/>
        <w:jc w:val="left"/>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实施集体经营性建设用地公开交易</w:t>
      </w:r>
    </w:p>
    <w:p>
      <w:pPr>
        <w:keepNext w:val="0"/>
        <w:keepLines w:val="0"/>
        <w:widowControl/>
        <w:numPr>
          <w:ilvl w:val="0"/>
          <w:numId w:val="0"/>
        </w:numPr>
        <w:suppressLineNumbers w:val="0"/>
        <w:ind w:left="0" w:leftChars="0" w:firstLine="640" w:firstLineChars="200"/>
        <w:jc w:val="left"/>
      </w:pPr>
      <w:r>
        <w:rPr>
          <w:rFonts w:hint="eastAsia" w:ascii="仿宋" w:hAnsi="仿宋" w:eastAsia="仿宋" w:cs="仿宋"/>
          <w:kern w:val="2"/>
          <w:sz w:val="32"/>
          <w:szCs w:val="32"/>
          <w:lang w:val="en-US" w:eastAsia="zh-CN" w:bidi="ar"/>
        </w:rPr>
        <w:t>入市主体可委托县自然资源主管部门在中国土地市场网、土地有形市场等发布交易公告，实行公开交易。集体经营性建设用地使用权的出让、出租等可以招标、拍卖、挂牌或者协议等方式实施，</w:t>
      </w:r>
      <w:r>
        <w:rPr>
          <w:rFonts w:hint="eastAsia" w:ascii="仿宋" w:hAnsi="仿宋" w:eastAsia="仿宋" w:cs="仿宋"/>
          <w:color w:val="auto"/>
          <w:kern w:val="2"/>
          <w:sz w:val="32"/>
          <w:szCs w:val="32"/>
          <w:lang w:val="en-US" w:eastAsia="zh-CN" w:bidi="ar"/>
        </w:rPr>
        <w:t>具体操作可参照《招标拍卖挂牌出让国有土地使用权规范》（试行）和《协议出让国有土地使用权规范》（试行）有关规定执行。</w:t>
      </w:r>
    </w:p>
    <w:p>
      <w:pPr>
        <w:keepNext w:val="0"/>
        <w:keepLines w:val="0"/>
        <w:widowControl w:val="0"/>
        <w:numPr>
          <w:ilvl w:val="0"/>
          <w:numId w:val="1"/>
        </w:numPr>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签订出让合同</w:t>
      </w:r>
    </w:p>
    <w:p>
      <w:pPr>
        <w:keepNext w:val="0"/>
        <w:keepLines w:val="0"/>
        <w:widowControl w:val="0"/>
        <w:numPr>
          <w:ilvl w:val="0"/>
          <w:numId w:val="0"/>
        </w:numPr>
        <w:suppressLineNumbers w:val="0"/>
        <w:spacing w:before="0" w:beforeAutospacing="0" w:after="0" w:afterAutospacing="0"/>
        <w:ind w:left="0" w:leftChars="0" w:right="0" w:rightChars="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rPr>
        <w:t>入市宗地成交并经公示完毕后，土地所有权人与土地使用权人应当依照土地管理法的规定签订合同。合同应当载明土地所有权人、土地使用权人，土地界址、面积、土地用途、规划条件、使用期限、交易价款支付、交地时间和开工、竣工期限、产业准入和生态环境保护要求，约定提前收回的条件、补偿方式、土地使用权期间届满续期和地上建筑物、构筑物等附着物处理方式，以及违约责任和解决争议的办法等。</w:t>
      </w:r>
    </w:p>
    <w:p>
      <w:pPr>
        <w:keepNext w:val="0"/>
        <w:keepLines w:val="0"/>
        <w:widowControl w:val="0"/>
        <w:numPr>
          <w:ilvl w:val="0"/>
          <w:numId w:val="1"/>
        </w:numPr>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办理不动产登记</w:t>
      </w:r>
    </w:p>
    <w:p>
      <w:pPr>
        <w:keepNext w:val="0"/>
        <w:keepLines w:val="0"/>
        <w:widowControl w:val="0"/>
        <w:numPr>
          <w:ilvl w:val="0"/>
          <w:numId w:val="0"/>
        </w:numPr>
        <w:suppressLineNumbers w:val="0"/>
        <w:spacing w:before="0" w:beforeAutospacing="0" w:after="0" w:afterAutospacing="0"/>
        <w:ind w:left="0" w:leftChars="0" w:right="0" w:rightChars="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rPr>
        <w:t>集体经营性建设用地使用权的受让方在缴清土地价款和相关税费、土地增值收益调节金后，可以向</w:t>
      </w:r>
      <w:r>
        <w:rPr>
          <w:rFonts w:hint="eastAsia" w:ascii="仿宋" w:hAnsi="仿宋" w:eastAsia="仿宋" w:cs="仿宋"/>
          <w:kern w:val="2"/>
          <w:sz w:val="32"/>
          <w:szCs w:val="32"/>
          <w:lang w:val="en-US" w:eastAsia="zh-CN"/>
        </w:rPr>
        <w:t>县</w:t>
      </w:r>
      <w:r>
        <w:rPr>
          <w:rFonts w:hint="eastAsia" w:ascii="仿宋" w:hAnsi="仿宋" w:eastAsia="仿宋" w:cs="仿宋"/>
          <w:kern w:val="2"/>
          <w:sz w:val="32"/>
          <w:szCs w:val="32"/>
        </w:rPr>
        <w:t>不动产登记机构申请集体建设用地使用权</w:t>
      </w:r>
      <w:r>
        <w:rPr>
          <w:rFonts w:hint="eastAsia" w:ascii="仿宋" w:hAnsi="仿宋" w:eastAsia="仿宋" w:cs="仿宋"/>
          <w:kern w:val="2"/>
          <w:sz w:val="32"/>
          <w:szCs w:val="32"/>
          <w:lang w:val="en-US" w:eastAsia="zh-CN"/>
        </w:rPr>
        <w:t>不动产</w:t>
      </w:r>
      <w:r>
        <w:rPr>
          <w:rFonts w:hint="eastAsia" w:ascii="仿宋" w:hAnsi="仿宋" w:eastAsia="仿宋" w:cs="仿宋"/>
          <w:kern w:val="2"/>
          <w:sz w:val="32"/>
          <w:szCs w:val="32"/>
        </w:rPr>
        <w:t>登记。依法利用集体经营性建设用地建造建筑物、其他附着物的，可以申请地上建筑物、其他附着物所有权登记；具备独立分宗条件的，可以依法办理分割登记。</w:t>
      </w:r>
    </w:p>
    <w:p>
      <w:pPr>
        <w:keepNext w:val="0"/>
        <w:keepLines w:val="0"/>
        <w:widowControl w:val="0"/>
        <w:suppressLineNumbers w:val="0"/>
        <w:spacing w:before="0" w:beforeAutospacing="0" w:after="0" w:afterAutospacing="0"/>
        <w:ind w:left="0" w:leftChars="0" w:right="0" w:firstLine="0" w:firstLineChars="0"/>
        <w:jc w:val="center"/>
        <w:rPr>
          <w:rFonts w:hint="eastAsia" w:ascii="黑体" w:hAnsi="黑体" w:eastAsia="黑体" w:cs="黑体"/>
          <w:kern w:val="2"/>
          <w:sz w:val="32"/>
          <w:szCs w:val="32"/>
        </w:rPr>
      </w:pPr>
      <w:r>
        <w:rPr>
          <w:rFonts w:hint="eastAsia" w:ascii="黑体" w:hAnsi="黑体" w:eastAsia="黑体" w:cs="黑体"/>
          <w:kern w:val="2"/>
          <w:sz w:val="32"/>
          <w:szCs w:val="32"/>
          <w:lang w:val="en-US" w:eastAsia="zh-CN" w:bidi="ar"/>
        </w:rPr>
        <w:t>第五章  收益分配</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color w:val="auto"/>
          <w:kern w:val="2"/>
          <w:sz w:val="32"/>
          <w:szCs w:val="32"/>
        </w:rPr>
      </w:pPr>
      <w:r>
        <w:rPr>
          <w:rFonts w:hint="eastAsia" w:ascii="仿宋" w:hAnsi="仿宋" w:eastAsia="仿宋" w:cs="仿宋"/>
          <w:kern w:val="2"/>
          <w:sz w:val="32"/>
          <w:szCs w:val="32"/>
          <w:lang w:val="en-US" w:eastAsia="zh-CN" w:bidi="ar"/>
        </w:rPr>
        <w:t>第十条 集体经营性建设用地入市实行与国有建设用地同权、同价、同责原则，收益分配兼顾国家、集体和农民三者利益。集体经营性建设用地的土地所有权人通过出让、租赁等方式取得收益，以及集体经营性建设用地的土地使用权人通过转让等方式取得收益，应当依照规定向县人民政府缴纳土地增值收益调节金。土地增值收益调节金可按照转移集体经营性建设用地使用权所取得的土地增值收益的一定比例征收，集体经营性建设用地入市收益具体分配比例和方式依据</w:t>
      </w:r>
      <w:r>
        <w:rPr>
          <w:rFonts w:hint="eastAsia" w:ascii="仿宋" w:hAnsi="仿宋" w:eastAsia="仿宋" w:cs="仿宋"/>
          <w:color w:val="auto"/>
          <w:kern w:val="2"/>
          <w:sz w:val="32"/>
          <w:szCs w:val="32"/>
          <w:lang w:val="en-US" w:eastAsia="zh-CN" w:bidi="ar"/>
        </w:rPr>
        <w:t>《安阳县集体经营性建设用地入市成本管理和收益分配指导意见（试行）》执行。</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color w:val="auto"/>
          <w:kern w:val="2"/>
          <w:sz w:val="32"/>
          <w:szCs w:val="32"/>
          <w:lang w:val="en-US" w:eastAsia="zh-CN" w:bidi="ar"/>
        </w:rPr>
        <w:t>第十一条 集体经营</w:t>
      </w:r>
      <w:r>
        <w:rPr>
          <w:rFonts w:hint="eastAsia" w:ascii="仿宋" w:hAnsi="仿宋" w:eastAsia="仿宋" w:cs="仿宋"/>
          <w:kern w:val="2"/>
          <w:sz w:val="32"/>
          <w:szCs w:val="32"/>
          <w:lang w:val="en-US" w:eastAsia="zh-CN" w:bidi="ar"/>
        </w:rPr>
        <w:t>性建设用地入市收益分配顺序为：土地入市成交价款中，扣除土地入市成本，根据集体经营性建设用地的不同入市途径、用途收取政府土地增值收益调节金，剩余部分为农民集体土地增值收益。</w:t>
      </w:r>
    </w:p>
    <w:p>
      <w:pPr>
        <w:keepNext w:val="0"/>
        <w:keepLines w:val="0"/>
        <w:widowControl w:val="0"/>
        <w:suppressLineNumbers w:val="0"/>
        <w:spacing w:before="0" w:beforeAutospacing="0" w:after="0" w:afterAutospacing="0"/>
        <w:ind w:left="0" w:leftChars="0" w:right="0" w:firstLine="0" w:firstLineChars="0"/>
        <w:jc w:val="center"/>
        <w:rPr>
          <w:rFonts w:hint="eastAsia" w:ascii="仿宋" w:hAnsi="仿宋" w:eastAsia="仿宋" w:cs="仿宋"/>
          <w:kern w:val="2"/>
          <w:sz w:val="32"/>
          <w:szCs w:val="32"/>
        </w:rPr>
      </w:pPr>
      <w:r>
        <w:rPr>
          <w:rFonts w:hint="eastAsia" w:ascii="黑体" w:hAnsi="黑体" w:eastAsia="黑体" w:cs="黑体"/>
          <w:kern w:val="2"/>
          <w:sz w:val="32"/>
          <w:szCs w:val="32"/>
          <w:lang w:val="en-US" w:eastAsia="zh-CN" w:bidi="ar"/>
        </w:rPr>
        <w:t>第六章  批后监管</w:t>
      </w:r>
    </w:p>
    <w:p>
      <w:pPr>
        <w:keepNext w:val="0"/>
        <w:keepLines w:val="0"/>
        <w:widowControl/>
        <w:suppressLineNumbers w:val="0"/>
        <w:jc w:val="left"/>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第十二条 自然资源主管部门与交易双方参照国家示范文本签订三方监管协议，负责对土地使用权人落实入市政策和履行入市出让合同情况进行的监督管理，具体参照国有土地供应后的监督管理方式和内容。</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发展改革、工业和信息化、住房和城乡建设、生态环境、财政、税务、农业农村局等相关职能部门，按照各自职责共同做好相关监管工作。</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第十三条 集体经营性建设用地入市后监管的主要内容：（一）规划条件；（二）产业准入要求；（三）生态环境保护要求；（四）交通及开、竣工要求；（五）开发投资强度要求；（六）宗地建设配套要求；（七）延建要求；（八）投资、达产及税收等要求；（九）土地增值收益调节金、契税缴纳；（十）集体经营性建设用地使用权转让、出租、抵押等规定；（十一）集体经营性建设用地使用权收回、续期等规定；（十二）土地闲置认定；（十三）乡（镇）村公共设施和公益事业建设认定；（十四）原出让合同内容变更等</w:t>
      </w:r>
    </w:p>
    <w:p>
      <w:pPr>
        <w:keepNext w:val="0"/>
        <w:keepLines w:val="0"/>
        <w:widowControl/>
        <w:suppressLineNumbers w:val="0"/>
        <w:ind w:left="0" w:leftChars="0" w:firstLine="640" w:firstLineChars="200"/>
        <w:jc w:val="left"/>
        <w:rPr>
          <w:rFonts w:hint="default"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第十四条 相关措施参照《自然资源部办公厅印发关于建立土地利用动态巡查制度加强建设用地供后开发利用全程监管的通知》(自然资办函〔2021〕1149号)执行。集体经营性建设用地入市后，</w:t>
      </w:r>
      <w:r>
        <w:rPr>
          <w:rFonts w:ascii="仿宋" w:hAnsi="仿宋" w:eastAsia="仿宋" w:cs="仿宋"/>
          <w:i w:val="0"/>
          <w:iCs w:val="0"/>
          <w:caps w:val="0"/>
          <w:color w:val="000000"/>
          <w:spacing w:val="0"/>
          <w:sz w:val="31"/>
          <w:szCs w:val="31"/>
          <w:shd w:val="clear" w:fill="FFFFFF"/>
        </w:rPr>
        <w:t>闲置</w:t>
      </w:r>
      <w:r>
        <w:rPr>
          <w:rFonts w:hint="eastAsia" w:ascii="仿宋" w:hAnsi="仿宋" w:eastAsia="仿宋" w:cs="仿宋"/>
          <w:kern w:val="2"/>
          <w:sz w:val="32"/>
          <w:szCs w:val="32"/>
          <w:lang w:val="en-US" w:eastAsia="zh-CN" w:bidi="ar"/>
        </w:rPr>
        <w:t>土地</w:t>
      </w:r>
      <w:r>
        <w:rPr>
          <w:rFonts w:ascii="仿宋" w:hAnsi="仿宋" w:eastAsia="仿宋" w:cs="仿宋"/>
          <w:i w:val="0"/>
          <w:iCs w:val="0"/>
          <w:caps w:val="0"/>
          <w:color w:val="000000"/>
          <w:spacing w:val="0"/>
          <w:sz w:val="31"/>
          <w:szCs w:val="31"/>
          <w:shd w:val="clear" w:fill="FFFFFF"/>
        </w:rPr>
        <w:t>的调查、认定</w:t>
      </w:r>
      <w:r>
        <w:rPr>
          <w:rFonts w:hint="eastAsia" w:ascii="仿宋" w:hAnsi="仿宋" w:eastAsia="仿宋" w:cs="仿宋"/>
          <w:i w:val="0"/>
          <w:iCs w:val="0"/>
          <w:caps w:val="0"/>
          <w:color w:val="000000"/>
          <w:spacing w:val="0"/>
          <w:sz w:val="31"/>
          <w:szCs w:val="31"/>
          <w:shd w:val="clear" w:fill="FFFFFF"/>
          <w:lang w:eastAsia="zh-CN"/>
        </w:rPr>
        <w:t>、</w:t>
      </w:r>
      <w:r>
        <w:rPr>
          <w:rFonts w:ascii="仿宋" w:hAnsi="仿宋" w:eastAsia="仿宋" w:cs="仿宋"/>
          <w:i w:val="0"/>
          <w:iCs w:val="0"/>
          <w:caps w:val="0"/>
          <w:color w:val="000000"/>
          <w:spacing w:val="0"/>
          <w:sz w:val="31"/>
          <w:szCs w:val="31"/>
          <w:shd w:val="clear" w:fill="FFFFFF"/>
        </w:rPr>
        <w:t>处置</w:t>
      </w:r>
      <w:r>
        <w:rPr>
          <w:rFonts w:hint="eastAsia" w:ascii="仿宋" w:hAnsi="仿宋" w:eastAsia="仿宋" w:cs="仿宋"/>
          <w:i w:val="0"/>
          <w:iCs w:val="0"/>
          <w:caps w:val="0"/>
          <w:color w:val="000000"/>
          <w:spacing w:val="0"/>
          <w:sz w:val="31"/>
          <w:szCs w:val="31"/>
          <w:shd w:val="clear" w:fill="FFFFFF"/>
          <w:lang w:val="en-US" w:eastAsia="zh-CN"/>
        </w:rPr>
        <w:t>和管理</w:t>
      </w:r>
      <w:r>
        <w:rPr>
          <w:rFonts w:ascii="仿宋" w:hAnsi="仿宋" w:eastAsia="仿宋" w:cs="仿宋"/>
          <w:i w:val="0"/>
          <w:iCs w:val="0"/>
          <w:caps w:val="0"/>
          <w:color w:val="000000"/>
          <w:spacing w:val="0"/>
          <w:sz w:val="31"/>
          <w:szCs w:val="31"/>
          <w:shd w:val="clear" w:fill="FFFFFF"/>
        </w:rPr>
        <w:t>，参照</w:t>
      </w:r>
      <w:r>
        <w:rPr>
          <w:rFonts w:hint="eastAsia" w:ascii="仿宋" w:hAnsi="仿宋" w:eastAsia="仿宋" w:cs="仿宋"/>
          <w:kern w:val="2"/>
          <w:sz w:val="32"/>
          <w:szCs w:val="32"/>
          <w:lang w:val="en-US" w:eastAsia="zh-CN" w:bidi="ar"/>
        </w:rPr>
        <w:t>《闲置土地处置办法》</w:t>
      </w:r>
      <w:r>
        <w:rPr>
          <w:rFonts w:ascii="仿宋" w:hAnsi="仿宋" w:eastAsia="仿宋" w:cs="仿宋"/>
          <w:i w:val="0"/>
          <w:iCs w:val="0"/>
          <w:caps w:val="0"/>
          <w:color w:val="000000"/>
          <w:spacing w:val="0"/>
          <w:sz w:val="31"/>
          <w:szCs w:val="31"/>
          <w:shd w:val="clear" w:fill="FFFFFF"/>
        </w:rPr>
        <w:t>有关规定执行</w:t>
      </w:r>
      <w:r>
        <w:rPr>
          <w:rFonts w:hint="eastAsia" w:ascii="仿宋" w:hAnsi="仿宋" w:eastAsia="仿宋" w:cs="仿宋"/>
          <w:kern w:val="2"/>
          <w:sz w:val="32"/>
          <w:szCs w:val="32"/>
          <w:lang w:val="en-US" w:eastAsia="zh-CN" w:bidi="ar"/>
        </w:rPr>
        <w:t>。</w:t>
      </w:r>
    </w:p>
    <w:p>
      <w:pPr>
        <w:keepNext w:val="0"/>
        <w:keepLines w:val="0"/>
        <w:widowControl w:val="0"/>
        <w:suppressLineNumbers w:val="0"/>
        <w:spacing w:before="0" w:beforeAutospacing="0" w:after="0" w:afterAutospacing="0"/>
        <w:ind w:left="0" w:leftChars="0" w:right="0" w:firstLine="0" w:firstLineChars="0"/>
        <w:jc w:val="center"/>
        <w:rPr>
          <w:rFonts w:hint="eastAsia" w:ascii="仿宋" w:hAnsi="仿宋" w:eastAsia="仿宋" w:cs="仿宋"/>
          <w:kern w:val="2"/>
          <w:sz w:val="32"/>
          <w:szCs w:val="32"/>
        </w:rPr>
      </w:pPr>
      <w:r>
        <w:rPr>
          <w:rFonts w:hint="eastAsia" w:ascii="黑体" w:hAnsi="黑体" w:eastAsia="黑体" w:cs="黑体"/>
          <w:kern w:val="2"/>
          <w:sz w:val="32"/>
          <w:szCs w:val="32"/>
          <w:lang w:val="en-US" w:eastAsia="zh-CN" w:bidi="ar"/>
        </w:rPr>
        <w:t>第七章  开发利用</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第十五条 集体经营性建设用地使用权人应按照国家、省、市、县有关规定，科学合理开发土地、节约集约用地，不得损害国家、集体和其他社会公共利益。</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第十六条 集体经营性建设用地使用权人应严格按照入市出让合同的约定开发使用土地，不得擅自改变土地规划条件。确需改变土地规划条件的，应按《河南省自然资源厅关于印发河南省建设用地规划条件办理指南的通知》的有关规定审批。审批完成后签订相应的补充合同或重新签订入市出让合同。</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第十七条 集体经营性建设用地在入市出让合同约定的土地使用年限期满续期，在取得集体经营性建设用地的所有权人同意的情况下，</w:t>
      </w:r>
      <w:r>
        <w:rPr>
          <w:rFonts w:hint="eastAsia" w:ascii="仿宋" w:hAnsi="仿宋" w:eastAsia="仿宋" w:cs="仿宋"/>
          <w:color w:val="auto"/>
          <w:kern w:val="2"/>
          <w:sz w:val="32"/>
          <w:szCs w:val="32"/>
          <w:lang w:val="en-US" w:eastAsia="zh-CN" w:bidi="ar"/>
        </w:rPr>
        <w:t>按照同</w:t>
      </w:r>
      <w:r>
        <w:rPr>
          <w:rFonts w:hint="eastAsia" w:ascii="仿宋" w:hAnsi="仿宋" w:eastAsia="仿宋" w:cs="仿宋"/>
          <w:kern w:val="2"/>
          <w:sz w:val="32"/>
          <w:szCs w:val="32"/>
          <w:lang w:val="en-US" w:eastAsia="zh-CN" w:bidi="ar"/>
        </w:rPr>
        <w:t>期国有出让土地期满续期相关政策执行。</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第十八条 国家为了公共利益的需要，依法对集体经营性建设用地实行征收的，土地所有权人和土地使用权人应当服从。原建设用地使用权入市出让合同自批准集体土地征收之日终止。</w:t>
      </w:r>
    </w:p>
    <w:p>
      <w:pPr>
        <w:keepNext w:val="0"/>
        <w:keepLines w:val="0"/>
        <w:widowControl w:val="0"/>
        <w:suppressLineNumbers w:val="0"/>
        <w:spacing w:before="0" w:beforeAutospacing="0" w:after="0" w:afterAutospacing="0"/>
        <w:ind w:left="0" w:leftChars="0" w:right="0" w:firstLine="0" w:firstLineChars="0"/>
        <w:jc w:val="center"/>
        <w:rPr>
          <w:rFonts w:hint="eastAsia" w:ascii="仿宋" w:hAnsi="仿宋" w:eastAsia="仿宋" w:cs="仿宋"/>
          <w:kern w:val="2"/>
          <w:sz w:val="32"/>
          <w:szCs w:val="32"/>
        </w:rPr>
      </w:pPr>
      <w:r>
        <w:rPr>
          <w:rFonts w:hint="eastAsia" w:ascii="黑体" w:hAnsi="黑体" w:eastAsia="黑体" w:cs="黑体"/>
          <w:kern w:val="2"/>
          <w:sz w:val="32"/>
          <w:szCs w:val="32"/>
          <w:lang w:val="en-US" w:eastAsia="zh-CN" w:bidi="ar"/>
        </w:rPr>
        <w:t>第八章  转让、转租和抵押</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第十九条 集体经营性建设用地使用权转让，是指土地使用权人将集体经营性建设用地使用权再转移的行为，包括出资、互换与赠与。</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集体经营性建设用地使用权转租，是指承租人将集体经营性建设用地使用权再次出租的行为。</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集体经营性建设用地使用权抵押，是指土地使用权人将通过集体经营性建设用地入市取得的集体经营性建设用地使用权，以不转移占有的方式向抵押权人提供债务履行担保的行为。</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 xml:space="preserve">第二十条 集体经营性建设用地使用权转让、转租和抵押的，应按照入市出让合同约定支付土地出让价款，完成不动产登记，并符合原入市出让合同约定的转让、转租和抵押条件。 </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第二十一条 集体经营性建设用地使用权转让的，原土地使用权人的权利、义务随之转移。集体经营性建设用地使用权转租的，承租方应当继续履行土地原入市出让合同约定的权利义务。集体经营性建设用地使用权抵押的，在不对抗土地原权利、义务的基础上，可设定相应的土地他项权利。</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集体经营性建设用地使用权转让、转租和抵押的，地上建筑物、其他附着物所有权一并转让、转租和抵押。转让、转租和抵押地上建筑物、其他附着物所有权的，集体经营性建设用地使用权一并转让、转租和抵押。</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第二十二条 集体经营性建设用地使用权转让、转租和抵押约定的使用期限不得超过初次入市出让合同约定使用期限的剩余期限。</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第二十三条 集体经营性建设用地使用权转让、转租和抵押的，交易双方应当持不动产登记证书、原入市出让合同和本次合同等资料，向自然资源主管部门申报，经自然资源主管部门批准后，向县不动产登记机关申请办理转让登记或他项权利登记等手续。具体参照国有建设用地使用权转让、转租和抵押的相关规定办理。</w:t>
      </w:r>
    </w:p>
    <w:p>
      <w:pPr>
        <w:keepNext w:val="0"/>
        <w:keepLines w:val="0"/>
        <w:widowControl w:val="0"/>
        <w:suppressLineNumbers w:val="0"/>
        <w:spacing w:before="0" w:beforeAutospacing="0" w:after="0" w:afterAutospacing="0"/>
        <w:ind w:left="0" w:leftChars="0" w:right="0" w:firstLine="0" w:firstLineChars="0"/>
        <w:jc w:val="center"/>
        <w:rPr>
          <w:rFonts w:hint="eastAsia" w:ascii="仿宋" w:hAnsi="仿宋" w:eastAsia="仿宋" w:cs="仿宋"/>
          <w:kern w:val="2"/>
          <w:sz w:val="32"/>
          <w:szCs w:val="32"/>
          <w:lang w:val="en-US" w:eastAsia="zh-CN" w:bidi="ar"/>
        </w:rPr>
      </w:pPr>
      <w:r>
        <w:rPr>
          <w:rFonts w:hint="eastAsia" w:ascii="黑体" w:hAnsi="黑体" w:eastAsia="黑体" w:cs="黑体"/>
          <w:kern w:val="2"/>
          <w:sz w:val="32"/>
          <w:szCs w:val="32"/>
          <w:lang w:val="en-US" w:eastAsia="zh-CN" w:bidi="ar"/>
        </w:rPr>
        <w:t>第五章  历史遗留问题</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第二十四条  对历史形成的已建设项目用地，符合国土空间规划，符合产业政策和入市政策的前提下集体经济组织在报请所在乡镇政府同意的情况下，可采用协议出让方式办理集体经营性建设用地入市手续。</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第二十五条  对城镇开发边界内和村庄开发边界内的已建项目，不符合现行规划用途，且短期内国土空间规划又不能实施的，可按现状用途办理入市手续，但用地年限最高不得超过10年。</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第二十六条  已建成的项目用地，同宗地既有现状建设用地，又有少量农用地等其它地类的，可结合实际情况仅对建设用地部分办理入市手续。</w:t>
      </w:r>
    </w:p>
    <w:p>
      <w:pPr>
        <w:keepNext w:val="0"/>
        <w:keepLines w:val="0"/>
        <w:widowControl w:val="0"/>
        <w:suppressLineNumbers w:val="0"/>
        <w:spacing w:before="0" w:beforeAutospacing="0" w:after="0" w:afterAutospacing="0"/>
        <w:ind w:left="0" w:leftChars="0" w:right="0" w:firstLine="0" w:firstLineChars="0"/>
        <w:jc w:val="center"/>
        <w:rPr>
          <w:rFonts w:hint="eastAsia" w:ascii="黑体" w:hAnsi="黑体" w:eastAsia="黑体" w:cs="黑体"/>
          <w:kern w:val="2"/>
          <w:sz w:val="32"/>
          <w:szCs w:val="32"/>
        </w:rPr>
      </w:pPr>
      <w:r>
        <w:rPr>
          <w:rFonts w:hint="eastAsia" w:ascii="黑体" w:hAnsi="黑体" w:eastAsia="黑体" w:cs="黑体"/>
          <w:kern w:val="2"/>
          <w:sz w:val="32"/>
          <w:szCs w:val="32"/>
          <w:lang w:val="en-US" w:eastAsia="zh-CN" w:bidi="ar"/>
        </w:rPr>
        <w:t>第九章  法律责任</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第二十七条  集体经营性建设用地使用权入市违反上级法律法规的规定交易的，相关部门不得为其办理不动产权登记、规划许可、施工许可等手续。</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第二十八条  国家工作人员在集体经营性建设用地入市过程中存在玩忽职守、滥用职权、徇私舞弊、弄虚作假等行为，造成集体资产流失的，由所在单位或者上级机关给予行政处分；构成犯罪的，依法移送司法机关追究刑事责任。</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第二十九条  农村集体经济组织经营管理者，在集体经营性建设用地入市过程中存在玩忽职守、滥用职权、徇私舞弊、弄虚作假等行为或者擅自侵占、挪用集体经营性建设用地入市收益，由所在单位或者上级机关给予行政处分，构成犯罪的，依法移送司法机关追究刑事责任。</w:t>
      </w:r>
    </w:p>
    <w:p>
      <w:pPr>
        <w:keepNext w:val="0"/>
        <w:keepLines w:val="0"/>
        <w:widowControl w:val="0"/>
        <w:suppressLineNumbers w:val="0"/>
        <w:spacing w:before="0" w:beforeAutospacing="0" w:after="0" w:afterAutospacing="0"/>
        <w:ind w:left="0" w:leftChars="0" w:right="0" w:firstLine="0" w:firstLineChars="0"/>
        <w:jc w:val="center"/>
        <w:rPr>
          <w:rFonts w:hint="eastAsia" w:ascii="黑体" w:hAnsi="黑体" w:eastAsia="黑体" w:cs="黑体"/>
          <w:kern w:val="2"/>
          <w:sz w:val="32"/>
          <w:szCs w:val="32"/>
        </w:rPr>
      </w:pPr>
      <w:r>
        <w:rPr>
          <w:rFonts w:hint="eastAsia" w:ascii="黑体" w:hAnsi="黑体" w:eastAsia="黑体" w:cs="黑体"/>
          <w:kern w:val="2"/>
          <w:sz w:val="32"/>
          <w:szCs w:val="32"/>
          <w:lang w:val="en-US" w:eastAsia="zh-CN" w:bidi="ar"/>
        </w:rPr>
        <w:t>第十章  附则</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第三十条 本办法自公布之日起施行，有效期为五年。</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第三十一条 本办法由县自然资源局负责解释。</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lang w:val="en-US" w:eastAsia="zh-CN" w:bidi="ar"/>
        </w:rPr>
      </w:pP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lang w:val="en-US" w:eastAsia="zh-CN" w:bidi="ar"/>
        </w:rPr>
      </w:pP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lang w:val="en-US" w:eastAsia="zh-CN" w:bidi="ar"/>
        </w:rPr>
      </w:pP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lang w:val="en-US" w:eastAsia="zh-CN" w:bidi="ar"/>
        </w:rPr>
      </w:pP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lang w:val="en-US" w:eastAsia="zh-CN" w:bidi="ar"/>
        </w:rPr>
      </w:pP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lang w:val="en-US" w:eastAsia="zh-CN" w:bidi="ar"/>
        </w:rPr>
      </w:pPr>
    </w:p>
    <w:p>
      <w:pPr>
        <w:jc w:val="center"/>
        <w:rPr>
          <w:rFonts w:hint="eastAsia" w:ascii="宋体" w:hAnsi="宋体" w:eastAsia="宋体" w:cs="宋体"/>
          <w:kern w:val="2"/>
          <w:sz w:val="44"/>
          <w:szCs w:val="44"/>
          <w:lang w:val="en-US" w:eastAsia="zh-CN" w:bidi="ar"/>
        </w:rPr>
      </w:pPr>
      <w:r>
        <w:rPr>
          <w:rFonts w:hint="eastAsia" w:ascii="宋体" w:hAnsi="宋体" w:eastAsia="宋体" w:cs="宋体"/>
          <w:kern w:val="2"/>
          <w:sz w:val="44"/>
          <w:szCs w:val="44"/>
          <w:lang w:val="en-US" w:eastAsia="zh-CN" w:bidi="ar"/>
        </w:rPr>
        <w:t>安阳县集体经营性建设用地入市成本管理和收益分配指导意见</w:t>
      </w:r>
    </w:p>
    <w:p>
      <w:pPr>
        <w:jc w:val="center"/>
        <w:rPr>
          <w:rFonts w:hint="eastAsia" w:ascii="仿宋" w:hAnsi="仿宋" w:eastAsia="仿宋" w:cs="仿宋"/>
          <w:sz w:val="32"/>
          <w:szCs w:val="32"/>
        </w:rPr>
      </w:pPr>
      <w:r>
        <w:rPr>
          <w:rFonts w:hint="eastAsia" w:ascii="仿宋" w:hAnsi="仿宋" w:eastAsia="仿宋" w:cs="仿宋"/>
          <w:kern w:val="2"/>
          <w:sz w:val="32"/>
          <w:szCs w:val="32"/>
          <w:lang w:val="en-US" w:eastAsia="zh-CN" w:bidi="ar"/>
        </w:rPr>
        <w:t>（试行）</w:t>
      </w:r>
    </w:p>
    <w:p>
      <w:pPr>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（征求意见稿）</w:t>
      </w:r>
    </w:p>
    <w:p>
      <w:pPr>
        <w:keepNext w:val="0"/>
        <w:keepLines w:val="0"/>
        <w:widowControl w:val="0"/>
        <w:suppressLineNumbers w:val="0"/>
        <w:spacing w:before="0" w:beforeAutospacing="0" w:after="0" w:afterAutospacing="0"/>
        <w:ind w:left="0" w:right="0"/>
        <w:jc w:val="center"/>
        <w:rPr>
          <w:rFonts w:hint="eastAsia" w:ascii="仿宋" w:hAnsi="仿宋" w:eastAsia="仿宋" w:cs="仿宋"/>
          <w:kern w:val="2"/>
          <w:sz w:val="32"/>
          <w:szCs w:val="32"/>
        </w:rPr>
      </w:pPr>
      <w:r>
        <w:rPr>
          <w:rFonts w:hint="eastAsia" w:ascii="黑体" w:hAnsi="黑体" w:eastAsia="黑体" w:cs="黑体"/>
          <w:kern w:val="2"/>
          <w:sz w:val="32"/>
          <w:szCs w:val="32"/>
          <w:lang w:val="en-US" w:eastAsia="zh-CN" w:bidi="ar"/>
        </w:rPr>
        <w:t>第一章  总则</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一条  为规范我县农村集体经营性建设用地土地增值收益管理，建立兼顾国家、集体、个人的土地增值收益分配机制，依据《财政部、自然资源部关于延续实施农村集体经营性建设用地土地增值收益调节金政策的通知》（财税[2023]52号）等文件精神，制定本指导意见。</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第二条  本意见所称入市收益是指集体经营性建设用地入市所取得的土地成交价款，由土地入市成本、土地增值收益调节金、农村集体经营性建设用地土地增值收益构成。</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本意见所称调节金，是指按照建立同权同价、流转顺畅、收益共享的农村集体经营性建设用地入市制度的目标，在农村集体经营性建设用地入市及再转让环节，对土地增值收益收取的资金。</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 xml:space="preserve"> 本意见所称农村集体经营性建设用地土地增值收益，是指农村集体经营性建设用地入市环节入市收入扣除取得成本和土地开发支出后的净收益，以及再转让环节的再转让收入扣除取得成本和土地开发支出后的净收益。</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第三条 集体经营性建设用地入市收益分配顺序为：土地入市成交价款中，政府首先根据集体经营性建设用地的不同入市途径、用途扣除土地入市成本，收取土地增值收益调节金，剩余部分为农村集体经营性建设用地土地增值收益。</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第四条  本意见适用于全县集体经营性建设用地入市的成本管理和收益分配。</w:t>
      </w:r>
    </w:p>
    <w:p>
      <w:pPr>
        <w:keepNext w:val="0"/>
        <w:keepLines w:val="0"/>
        <w:widowControl w:val="0"/>
        <w:suppressLineNumbers w:val="0"/>
        <w:spacing w:before="0" w:beforeAutospacing="0" w:after="0" w:afterAutospacing="0"/>
        <w:ind w:left="0" w:leftChars="0" w:right="0" w:firstLine="640" w:firstLineChars="200"/>
        <w:jc w:val="center"/>
        <w:rPr>
          <w:rFonts w:hint="eastAsia" w:ascii="黑体" w:hAnsi="黑体" w:eastAsia="黑体" w:cs="黑体"/>
          <w:kern w:val="2"/>
          <w:sz w:val="32"/>
          <w:szCs w:val="32"/>
        </w:rPr>
      </w:pPr>
      <w:r>
        <w:rPr>
          <w:rFonts w:hint="eastAsia" w:ascii="黑体" w:hAnsi="黑体" w:eastAsia="黑体" w:cs="黑体"/>
          <w:kern w:val="2"/>
          <w:sz w:val="32"/>
          <w:szCs w:val="32"/>
          <w:lang w:val="en-US" w:eastAsia="zh-CN" w:bidi="ar"/>
        </w:rPr>
        <w:t>第二章  征缴标准</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第五条  根据集体经营性建设用地的不同入市途径、用途，按不同的比例从土地入市价款中提取土地增值收益调节金。土地增值收益调节金比例具体如下：</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 xml:space="preserve"> 按工矿仓储用地入市的，土地增值收益调节金的计提比例为30%; 按公共管理与公共服务用地入市的，土地增值收益调节金的计提比例为40%；按商服用地入市的，土地增值收益调节金的计提比例为50%。</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第六条 集体经济组织将农村集体经营性建设用地使用权以出租等方式入市的，在取得租金收入时，参照出让入市收入计提调节金，并按交易总年限一次性征收到位；交易双方未规定使用年限的，按对应用途土地的最高出让年限计算。 </w:t>
      </w:r>
    </w:p>
    <w:p>
      <w:pPr>
        <w:keepNext w:val="0"/>
        <w:keepLines w:val="0"/>
        <w:widowControl w:val="0"/>
        <w:suppressLineNumbers w:val="0"/>
        <w:spacing w:before="0" w:beforeAutospacing="0" w:after="0" w:afterAutospacing="0"/>
        <w:ind w:left="0" w:leftChars="0" w:right="0" w:firstLine="640" w:firstLineChars="200"/>
        <w:jc w:val="center"/>
        <w:rPr>
          <w:rFonts w:hint="eastAsia" w:ascii="黑体" w:hAnsi="黑体" w:eastAsia="黑体" w:cs="黑体"/>
          <w:kern w:val="2"/>
          <w:sz w:val="32"/>
          <w:szCs w:val="32"/>
        </w:rPr>
      </w:pPr>
      <w:r>
        <w:rPr>
          <w:rFonts w:hint="eastAsia" w:ascii="黑体" w:hAnsi="黑体" w:eastAsia="黑体" w:cs="黑体"/>
          <w:kern w:val="2"/>
          <w:sz w:val="32"/>
          <w:szCs w:val="32"/>
          <w:lang w:val="en-US" w:eastAsia="zh-CN" w:bidi="ar"/>
        </w:rPr>
        <w:t>第三章  土地入市成本</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七条  本意见所称入市成本包含农用地转用涉及的新增建设用地有偿使用费、耕地占用税、占补平衡指标购置费；城乡建设用地增减挂钩涉及耕地占用税、B类复垦卷、自行拆旧复垦指标等费用；参照当前河南省征地区片综合地价标准确定的土地补偿费；入市交易过程中测绘费、公告费、评估费等中间服务费。</w:t>
      </w:r>
    </w:p>
    <w:p>
      <w:pPr>
        <w:keepNext w:val="0"/>
        <w:keepLines w:val="0"/>
        <w:widowControl w:val="0"/>
        <w:suppressLineNumbers w:val="0"/>
        <w:spacing w:before="0" w:beforeAutospacing="0" w:after="0" w:afterAutospacing="0"/>
        <w:ind w:left="0" w:leftChars="0" w:right="0" w:firstLine="0" w:firstLineChars="0"/>
        <w:jc w:val="center"/>
        <w:rPr>
          <w:rFonts w:hint="eastAsia" w:ascii="仿宋" w:hAnsi="仿宋" w:eastAsia="仿宋" w:cs="仿宋"/>
          <w:kern w:val="2"/>
          <w:sz w:val="32"/>
          <w:szCs w:val="32"/>
        </w:rPr>
      </w:pPr>
      <w:r>
        <w:rPr>
          <w:rFonts w:hint="eastAsia" w:ascii="黑体" w:hAnsi="黑体" w:eastAsia="黑体" w:cs="黑体"/>
          <w:kern w:val="2"/>
          <w:sz w:val="32"/>
          <w:szCs w:val="32"/>
          <w:lang w:val="en-US" w:eastAsia="zh-CN" w:bidi="ar"/>
        </w:rPr>
        <w:t>第四章  征收缴库</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第八条  调节金由县财政部门会同县自然资源部门负责组织征收。</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第九条  农村集体经营性建设用地使用权以出让方式入市的，调节金征收实行扣缴制。出让土地成交后，由取得土地使用权人按出让合同约定的成交金额，全额缴入县财政指定账户，县财政部门会同县自然资源部门核定应缴调节金数额，从成交价款中计提调节金，进行代扣代缴。</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对以出租方式入市或再转让的，由出租方或再转让方向县财政缴纳调节金后，再按交易双方的约定，定期、及时向对方支付租金或再转让价款。</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第十条  县政府制定农村集体建设用地基准地价体系。农村集体经营性建设用地入市、再转让价格低于市场评估价20%，县自然资源部门审核不予通过。</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第十一条  县自然资源部门根据合同和交易信息，核定调节金应缴金额，开具缴款通知书及缴款明细说明。缴款明细说明应载明成交土地地块、面积、交易方式、成交总价款、调节金金额、入市成本等。</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县财政部门依据县自然资源部门开具的缴款通知书，以出让方式取得农村集体经营性建设用地使用权的，从土地使用权人缴纳的出让金中计提调节金；以出租方式取得农村集体经营性建设用地使用权的，由土地使用权人直接向县财政缴纳调节金。</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第十二条  农村集体经营性建设用地使用权交易方按合同支付价款及税费、调节金后，由县不动产登记部门按规定办理不动产登记手续。</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入市收入缴纳凭证是农村集体经营性建设用地入市和再转让办理不动产登记手续的要件。</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 xml:space="preserve"> 第十三条  调节金缴纳义务人应按合同、协议及缴款通知书规定及时足额缴纳调节金。</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对未按规定时限缴纳调节金的，自然资源等相关部门有权采取收取滞纳金、暂停办理不动产登记等措施督促其补缴。</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第十四条  调节金全额上缴地方国库，纳入地方一般公共预算管理。调节金县、乡两级按8：2比例分成。</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调节金由县自然资源局开具《电子缴款通知书》，填列政府预算收支分类项目编码 “460”农村集体经营性建设用地土地增值收益调节金，缴纳义务人缴款后，由县自然资源局确认并出具缴款票据。</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第十五条  县财政部门按规定比例从入市收入中计提调节金后，剩余的款项即为农村集体经营性建设用地所有权人（以下简称土地所有权人）的入市收益。</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土地所有权人的入市收益经县财政部门拨付至土地所有权人，并按照农村“ 三资”管理有关规定使用和管理。</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第十六条  县财政部门应在土地使用权人缴清入市土地价款后计提调节金，将土地所有权人的入市收益下拨至乡级财政。入市收益属村、村民小组集体组织的，乡级财政应在收到款项后5个工作日内将资金拨付至村、村民小组。</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第十七条  农村集体经济组织取得的土地增值收益，根据实际情况按照壮大集体经济的原则留足集体后，在农村集体经济组织成员之间公平分配。集体留成部分原则上全部用于村、村民小组公共基础事业支出；分配到群众个人的部分，原则上不超过入市地块所在区域的每亩征地补偿标准，多余部分要留归村、村民小组集体使用。</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农村集体经济组织取得的收益应纳入农村集体资产统一管理，将分配情况纳入村务公开内容，接受审计、政府和公众监督。</w:t>
      </w:r>
    </w:p>
    <w:p>
      <w:pPr>
        <w:keepNext w:val="0"/>
        <w:keepLines w:val="0"/>
        <w:widowControl w:val="0"/>
        <w:suppressLineNumbers w:val="0"/>
        <w:spacing w:before="0" w:beforeAutospacing="0" w:after="0" w:afterAutospacing="0"/>
        <w:ind w:left="0" w:leftChars="0" w:right="0" w:firstLine="0" w:firstLineChars="0"/>
        <w:jc w:val="center"/>
        <w:rPr>
          <w:rFonts w:hint="eastAsia" w:ascii="仿宋" w:hAnsi="仿宋" w:eastAsia="仿宋" w:cs="仿宋"/>
          <w:kern w:val="2"/>
          <w:sz w:val="32"/>
          <w:szCs w:val="32"/>
        </w:rPr>
      </w:pPr>
      <w:r>
        <w:rPr>
          <w:rFonts w:hint="eastAsia" w:ascii="黑体" w:hAnsi="黑体" w:eastAsia="黑体" w:cs="黑体"/>
          <w:kern w:val="2"/>
          <w:sz w:val="32"/>
          <w:szCs w:val="32"/>
          <w:lang w:val="en-US" w:eastAsia="zh-CN" w:bidi="ar"/>
        </w:rPr>
        <w:t>第五章  使用管理</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第十八条  调节金纳入地方一般公共预算管理，由县财政部门统筹安排使用。资金支付按照国库集中支付制度有关规定执行。</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第十九条  县财政、自然资源及审计部门要加强调节金使用的监督管理，确保资金使用符合规定用途和预算管理要求。</w:t>
      </w:r>
    </w:p>
    <w:p>
      <w:pPr>
        <w:keepNext w:val="0"/>
        <w:keepLines w:val="0"/>
        <w:widowControl w:val="0"/>
        <w:suppressLineNumbers w:val="0"/>
        <w:spacing w:before="0" w:beforeAutospacing="0" w:after="0" w:afterAutospacing="0"/>
        <w:ind w:left="0" w:leftChars="0" w:right="0" w:firstLine="0" w:firstLineChars="0"/>
        <w:jc w:val="center"/>
        <w:rPr>
          <w:rFonts w:hint="eastAsia" w:ascii="黑体" w:hAnsi="黑体" w:eastAsia="黑体" w:cs="黑体"/>
          <w:kern w:val="2"/>
          <w:sz w:val="32"/>
          <w:szCs w:val="32"/>
        </w:rPr>
      </w:pPr>
      <w:r>
        <w:rPr>
          <w:rFonts w:hint="eastAsia" w:ascii="黑体" w:hAnsi="黑体" w:eastAsia="黑体" w:cs="黑体"/>
          <w:kern w:val="2"/>
          <w:sz w:val="32"/>
          <w:szCs w:val="32"/>
          <w:lang w:val="en-US" w:eastAsia="zh-CN" w:bidi="ar"/>
        </w:rPr>
        <w:t>第六章  法律责任</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第二十条  单位和个人违反本实施细则规定，有下列情形之一的，依照《财政违法行为处罚处分条例》和《违反行政事业 性收费和罚没收入收支两条线管理规定行政处分暂行规定》等国家有关规定追究法律责任；涉嫌犯罪的，依法移送司法机关处理：</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（一）擅自减免调节金或者改变调节金征收范围、对象和标准的；</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（二）隐瞒、坐支应当上缴的调节金的；</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（三）滞留、截留、挪用应当上缴的调节金的；</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（四）不按照规定的预算级次、预算科目将调节金缴入国库的；</w:t>
      </w:r>
    </w:p>
    <w:p>
      <w:pPr>
        <w:keepNext w:val="0"/>
        <w:keepLines w:val="0"/>
        <w:widowControl w:val="0"/>
        <w:suppressLineNumbers w:val="0"/>
        <w:spacing w:before="0" w:beforeAutospacing="0" w:after="0" w:afterAutospacing="0"/>
        <w:ind w:left="0" w:leftChars="0" w:right="0" w:firstLine="640" w:firstLineChars="200"/>
        <w:jc w:val="both"/>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（五）其他违反国家财政收入管理规定的行为。</w:t>
      </w:r>
    </w:p>
    <w:p>
      <w:pPr>
        <w:keepNext w:val="0"/>
        <w:keepLines w:val="0"/>
        <w:widowControl w:val="0"/>
        <w:suppressLineNumbers w:val="0"/>
        <w:spacing w:before="0" w:beforeAutospacing="0" w:after="0" w:afterAutospacing="0"/>
        <w:ind w:left="0" w:right="0"/>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第二十一条  调节金计提、使用管理有关部门的工作人员违反本实施细则规定，在调节金计提和使用管理工作中徇私舞弊、玩忽职守、滥用职权的，依法给予处分；涉嫌犯罪的，依法移送司法机关处理。</w:t>
      </w:r>
    </w:p>
    <w:p>
      <w:pPr>
        <w:keepNext w:val="0"/>
        <w:keepLines w:val="0"/>
        <w:widowControl w:val="0"/>
        <w:suppressLineNumbers w:val="0"/>
        <w:spacing w:before="0" w:beforeAutospacing="0" w:after="0" w:afterAutospacing="0"/>
        <w:ind w:left="0" w:leftChars="0" w:right="0" w:firstLine="838" w:firstLineChars="262"/>
        <w:jc w:val="both"/>
        <w:rPr>
          <w:rFonts w:hint="eastAsia" w:ascii="仿宋" w:hAnsi="仿宋" w:eastAsia="仿宋" w:cs="仿宋"/>
          <w:kern w:val="2"/>
          <w:sz w:val="32"/>
          <w:szCs w:val="32"/>
        </w:rPr>
      </w:pPr>
      <w:r>
        <w:rPr>
          <w:rFonts w:hint="eastAsia" w:ascii="仿宋" w:hAnsi="仿宋" w:eastAsia="仿宋" w:cs="仿宋"/>
          <w:kern w:val="2"/>
          <w:sz w:val="32"/>
          <w:szCs w:val="32"/>
          <w:lang w:val="en-US" w:eastAsia="zh-CN" w:bidi="ar"/>
        </w:rPr>
        <w:t>第二十二条 本办法自公布之日起施行，有效期为五年。</w:t>
      </w:r>
    </w:p>
    <w:p>
      <w:pPr>
        <w:keepNext w:val="0"/>
        <w:keepLines w:val="0"/>
        <w:widowControl w:val="0"/>
        <w:suppressLineNumbers w:val="0"/>
        <w:spacing w:before="0" w:beforeAutospacing="0" w:after="0" w:afterAutospacing="0"/>
        <w:ind w:left="0" w:leftChars="0" w:right="0" w:firstLine="838" w:firstLineChars="262"/>
        <w:jc w:val="both"/>
      </w:pPr>
      <w:r>
        <w:rPr>
          <w:rFonts w:hint="eastAsia" w:ascii="仿宋" w:hAnsi="仿宋" w:eastAsia="仿宋" w:cs="仿宋"/>
          <w:kern w:val="2"/>
          <w:sz w:val="32"/>
          <w:szCs w:val="32"/>
          <w:lang w:val="en-US" w:eastAsia="zh-CN" w:bidi="ar"/>
        </w:rPr>
        <w:t>第三十三条 本办法由县财政局、自然资源局负责解释。</w:t>
      </w:r>
    </w:p>
    <w:p/>
    <w:p/>
    <w:sectPr>
      <w:footerReference r:id="rId3" w:type="default"/>
      <w:pgSz w:w="11906" w:h="16838"/>
      <w:pgMar w:top="1240" w:right="1800" w:bottom="1098"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C059">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6CE5D6"/>
    <w:multiLevelType w:val="singleLevel"/>
    <w:tmpl w:val="4E6CE5D6"/>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7B0D1E"/>
    <w:rsid w:val="036E4623"/>
    <w:rsid w:val="053B15A4"/>
    <w:rsid w:val="079A3D3B"/>
    <w:rsid w:val="08CB04FB"/>
    <w:rsid w:val="09300B06"/>
    <w:rsid w:val="0BF374F9"/>
    <w:rsid w:val="10163A89"/>
    <w:rsid w:val="103E490E"/>
    <w:rsid w:val="14265E18"/>
    <w:rsid w:val="183C74C7"/>
    <w:rsid w:val="24314470"/>
    <w:rsid w:val="286F0F1A"/>
    <w:rsid w:val="2A954815"/>
    <w:rsid w:val="2D7E4675"/>
    <w:rsid w:val="33C67C80"/>
    <w:rsid w:val="36625EF3"/>
    <w:rsid w:val="39406EFE"/>
    <w:rsid w:val="3A1D0CB2"/>
    <w:rsid w:val="3DFE15C4"/>
    <w:rsid w:val="3FBF64F3"/>
    <w:rsid w:val="43B10023"/>
    <w:rsid w:val="44D0671E"/>
    <w:rsid w:val="47351CE1"/>
    <w:rsid w:val="49EE4998"/>
    <w:rsid w:val="4A0903A0"/>
    <w:rsid w:val="4B9506C1"/>
    <w:rsid w:val="4BF52F0E"/>
    <w:rsid w:val="514E65F3"/>
    <w:rsid w:val="53725A3A"/>
    <w:rsid w:val="539058A9"/>
    <w:rsid w:val="5E264F93"/>
    <w:rsid w:val="617A5F38"/>
    <w:rsid w:val="61902AC1"/>
    <w:rsid w:val="62260471"/>
    <w:rsid w:val="6CFA3DB5"/>
    <w:rsid w:val="77472410"/>
    <w:rsid w:val="79535D1B"/>
    <w:rsid w:val="7C7B0D1E"/>
    <w:rsid w:val="7D3E50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5373</Words>
  <Characters>5401</Characters>
  <Lines>0</Lines>
  <Paragraphs>0</Paragraphs>
  <TotalTime>1</TotalTime>
  <ScaleCrop>false</ScaleCrop>
  <LinksUpToDate>false</LinksUpToDate>
  <CharactersWithSpaces>5477</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2025-12-22T21:39:00Z</dcterms:created>
  <dc:creator>权益组</dc:creator>
  <cp:lastModifiedBy>sugon</cp:lastModifiedBy>
  <cp:lastPrinted>2026-01-14T23:40:00Z</cp:lastPrinted>
  <dcterms:modified xsi:type="dcterms:W3CDTF">2026-01-15T17:17:18Z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8B25B1B1F3C7415293D7DFD98481BE9C_13</vt:lpwstr>
  </property>
  <property fmtid="{D5CDD505-2E9C-101B-9397-08002B2CF9AE}" pid="4" name="KSOTemplateDocerSaveRecord">
    <vt:lpwstr>eyJoZGlkIjoiNGRmZDQ4NzY2NGQwYTY1MzBmYzIxMzkzNjg0ZWJmZmQiLCJ1c2VySWQiOiIxNjk5NDUzMDQ3In0=</vt:lpwstr>
  </property>
</Properties>
</file>