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B4A4D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附件2</w:t>
      </w:r>
    </w:p>
    <w:p w14:paraId="01FEDBF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sz w:val="36"/>
          <w:szCs w:val="36"/>
          <w:lang w:val="en-US" w:eastAsia="zh-CN"/>
        </w:rPr>
      </w:pPr>
      <w:bookmarkStart w:id="0" w:name="_GoBack"/>
      <w:bookmarkEnd w:id="0"/>
    </w:p>
    <w:p w14:paraId="70319526">
      <w:pPr>
        <w:jc w:val="center"/>
        <w:rPr>
          <w:rFonts w:hint="eastAsia"/>
          <w:sz w:val="44"/>
          <w:szCs w:val="44"/>
        </w:rPr>
      </w:pPr>
      <w:r>
        <w:rPr>
          <w:rFonts w:hint="eastAsia"/>
          <w:sz w:val="44"/>
          <w:szCs w:val="44"/>
        </w:rPr>
        <w:t>关于《安阳县集体经营性建设用地入市成本管理和收益分配指导意见（试行）》的</w:t>
      </w:r>
    </w:p>
    <w:p w14:paraId="61DB27A3">
      <w:pPr>
        <w:jc w:val="center"/>
        <w:rPr>
          <w:rFonts w:hint="eastAsia"/>
          <w:sz w:val="44"/>
          <w:szCs w:val="44"/>
        </w:rPr>
      </w:pPr>
      <w:r>
        <w:rPr>
          <w:rFonts w:hint="eastAsia"/>
          <w:sz w:val="44"/>
          <w:szCs w:val="44"/>
        </w:rPr>
        <w:t>起草说明</w:t>
      </w:r>
    </w:p>
    <w:p w14:paraId="04A7786D">
      <w:pPr>
        <w:rPr>
          <w:rFonts w:hint="eastAsia"/>
        </w:rPr>
      </w:pPr>
    </w:p>
    <w:p w14:paraId="5864AB85">
      <w:pPr>
        <w:rPr>
          <w:rFonts w:hint="eastAsia" w:ascii="黑体" w:hAnsi="黑体" w:eastAsia="黑体" w:cs="黑体"/>
          <w:sz w:val="32"/>
          <w:szCs w:val="32"/>
        </w:rPr>
      </w:pPr>
      <w:r>
        <w:rPr>
          <w:rFonts w:hint="eastAsia" w:ascii="黑体" w:hAnsi="黑体" w:eastAsia="黑体" w:cs="黑体"/>
          <w:sz w:val="32"/>
          <w:szCs w:val="32"/>
        </w:rPr>
        <w:t>一、起草背景</w:t>
      </w:r>
    </w:p>
    <w:p w14:paraId="73C6F171">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为健全我县集体经营性建设用地入市收益分配机制，规范土地增值收益管理，实现国家、集体、个人之间土地增值收益的合理共享，根据《财政部、自然资源部关于延续实施农村集体经营性建设用地土地增值收益调节金政策的通知》（财税〔2023〕52号）等文件精神，结合《安阳县集体经营性建设用地入市管理办法（试行）》的规定，县政府组织县财政局、自然资源局等部门，研究制定了《安阳县集体经营性建设用地入市成本管理和收益分配指导意见（试行）》。</w:t>
      </w:r>
    </w:p>
    <w:p w14:paraId="548AF2CD">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收益分配是集体经营性建设用地入市改革的核心环节，关系到改革的公平性与可持续性。制定本《指导意见》，旨在明确入市收益的构成、土地增值收益调节金的征收标准与方式、成本核算范围、收益分配流程及资金管理等具体规则，为建立“同权同价、流转顺畅、收益共享”的入市制度提供坚实的财务与分配支撑。</w:t>
      </w:r>
    </w:p>
    <w:p w14:paraId="349C5B28">
      <w:pPr>
        <w:ind w:left="0" w:leftChars="0" w:firstLine="0" w:firstLineChars="0"/>
        <w:rPr>
          <w:rFonts w:hint="eastAsia" w:ascii="黑体" w:hAnsi="黑体" w:eastAsia="黑体" w:cs="黑体"/>
          <w:sz w:val="32"/>
          <w:szCs w:val="32"/>
        </w:rPr>
      </w:pPr>
      <w:r>
        <w:rPr>
          <w:rFonts w:hint="eastAsia" w:ascii="黑体" w:hAnsi="黑体" w:eastAsia="黑体" w:cs="黑体"/>
          <w:sz w:val="32"/>
          <w:szCs w:val="32"/>
        </w:rPr>
        <w:t>二、文件主要内容与特点</w:t>
      </w:r>
    </w:p>
    <w:p w14:paraId="242C6DAC">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《指导意见》共六章二十三条，主要内容与特点如下：</w:t>
      </w:r>
    </w:p>
    <w:p w14:paraId="4252464F">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界定了收益构成与分配顺序：明确了入市收益由土地成交价款构成，并细分为土地入市成本、土地增值收益调节金和农村集体土地增值收益三部分。确定了“先扣成本、再提调节金、剩余归集体”的清晰分配顺序。</w:t>
      </w:r>
    </w:p>
    <w:p w14:paraId="723CDEC0">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设定了差别化调节金征收比例：根据用地用途和入市方式，设定了差异化的土地增值收益调节金征收比例（工矿仓储30%、公共管理与公共服务40%、商服50%），体现了对产业发展的引导和对不同用途土地增值能力的合理调节。</w:t>
      </w:r>
    </w:p>
    <w:p w14:paraId="4A49F736">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明确了入市成本核算范围：详细列举了入市成本包含的具体项目，如新增建设用地有偿使用费、耕地占用税、占补平衡费用、土地补偿费以及各类中间服务费等，为成本核算提供了明确依据，保障了集体经济组织的合理成本补偿。</w:t>
      </w:r>
    </w:p>
    <w:p w14:paraId="3567E8EC">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规范了调节金征收与缴库程序：明确了调节金由县财政会同自然资源部门组织征收，区分出让和出租等不同方式规定了具体的扣缴或直接缴纳流程。建立了以基准地价为参考的价格审核机制，防止低价交易造成收益流失。规定了调节金全额缴入地方国库，并按8:2的比例在县、乡两级之间分成。</w:t>
      </w:r>
    </w:p>
    <w:p w14:paraId="4A1394D4">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细化了集体收益拨付与管理要求：规定了财政部门在计提调节金后，应及时将剩余收益拨付至农村集体经济组织，并明确了资金在乡镇的转拨时限。要求集体收益纳入农村“三资”统一管理，分配方案须公开，接受监督，并对集体留存与分配到个人的比例提出了指导性原则。</w:t>
      </w:r>
    </w:p>
    <w:p w14:paraId="527C7635">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强化了资金使用监管与法律责任：明确调节金纳入一般公共预算管理，由县财政统筹安排使用。财政、自然资源及审计部门负责加强监督管理。对擅自减免、截留、挪用调节金等违法行为，设定了明确的法律责任追究条款。</w:t>
      </w:r>
    </w:p>
    <w:p w14:paraId="080F1034">
      <w:pPr>
        <w:ind w:left="0" w:leftChars="0" w:firstLine="0" w:firstLineChars="0"/>
        <w:rPr>
          <w:rFonts w:hint="eastAsia" w:ascii="黑体" w:hAnsi="黑体" w:eastAsia="黑体" w:cs="黑体"/>
          <w:sz w:val="32"/>
          <w:szCs w:val="32"/>
        </w:rPr>
      </w:pPr>
      <w:r>
        <w:rPr>
          <w:rFonts w:hint="eastAsia" w:ascii="黑体" w:hAnsi="黑体" w:eastAsia="黑体" w:cs="黑体"/>
          <w:sz w:val="32"/>
          <w:szCs w:val="32"/>
        </w:rPr>
        <w:t>三、文件意义与实施要求</w:t>
      </w:r>
    </w:p>
    <w:p w14:paraId="233A4AAF">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本《指导意见》的制定与实施，是确保集体经营性建设用地入市改革红利合理分享、防范资金风险、保障改革行稳致远的重要配套制度。文件自公布之日起施行，有效期五年，由县财政局、自然资源局负责解释。各相关部门、乡镇人民政府及农村集体经济组织必须严格执行收益分配管理规定，确保资金及时足额收缴、合规高效使用，切实维护好国家、集体和农民三者利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4F7C81"/>
    <w:rsid w:val="180E4708"/>
    <w:rsid w:val="2A4F7C81"/>
    <w:rsid w:val="603F5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2026-01-15T08:10:00Z</dcterms:created>
  <dc:creator>权益组</dc:creator>
  <cp:lastModifiedBy>权益组</cp:lastModifiedBy>
  <dcterms:modified xsi:type="dcterms:W3CDTF">2026-01-15T08:26:47Z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5283579698CB43618CBCE5F8E8058C5E_11</vt:lpwstr>
  </property>
  <property fmtid="{D5CDD505-2E9C-101B-9397-08002B2CF9AE}" pid="4" name="KSOTemplateDocerSaveRecord">
    <vt:lpwstr>eyJoZGlkIjoiNGRmZDQ4NzY2NGQwYTY1MzBmYzIxMzkzNjg0ZWJmZmQiLCJ1c2VySWQiOiIxNjk5NDUzMDQ3In0=</vt:lpwstr>
  </property>
</Properties>
</file>