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lang w:val="en-US" w:eastAsia="zh-CN"/>
        </w:rPr>
        <w:t>郑州航空港经济综合实验区外贸出口退税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lang w:val="en-US" w:eastAsia="zh-CN"/>
        </w:rPr>
        <w:t>资金池管理办法（试行）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楷体" w:cs="楷体"/>
          <w:color w:val="auto"/>
          <w:sz w:val="32"/>
          <w:szCs w:val="32"/>
          <w:lang w:val="en-US" w:eastAsia="zh-CN"/>
        </w:rPr>
      </w:pPr>
      <w:r>
        <w:rPr>
          <w:rFonts w:hint="eastAsia" w:ascii="Times New Roman" w:hAnsi="Times New Roman" w:eastAsia="楷体" w:cs="楷体"/>
          <w:color w:val="auto"/>
          <w:sz w:val="32"/>
          <w:szCs w:val="32"/>
          <w:lang w:val="en-US" w:eastAsia="zh-CN"/>
        </w:rPr>
        <w:t>（征求意见稿）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cs="黑体"/>
          <w:color w:val="auto"/>
          <w:kern w:val="2"/>
          <w:sz w:val="32"/>
          <w:szCs w:val="32"/>
          <w:lang w:val="en-US" w:eastAsia="zh-CN" w:bidi="ar-SA"/>
        </w:rPr>
      </w:pPr>
      <w:r>
        <w:rPr>
          <w:rFonts w:hint="eastAsia" w:ascii="Times New Roman" w:hAnsi="Times New Roman" w:eastAsia="黑体" w:cs="黑体"/>
          <w:color w:val="auto"/>
          <w:kern w:val="2"/>
          <w:sz w:val="32"/>
          <w:szCs w:val="32"/>
          <w:lang w:val="en-US" w:eastAsia="zh-CN" w:bidi="ar-SA"/>
        </w:rPr>
        <w:t>第一章 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第一条</w:t>
      </w:r>
      <w:r>
        <w:rPr>
          <w:rFonts w:hint="eastAsia" w:ascii="Times New Roman" w:hAnsi="Times New Roman" w:eastAsia="仿宋_GB2312" w:cs="Times New Roman"/>
          <w:color w:val="auto"/>
          <w:kern w:val="2"/>
          <w:sz w:val="32"/>
          <w:szCs w:val="32"/>
          <w:lang w:val="en-US" w:eastAsia="zh-CN" w:bidi="ar-SA"/>
        </w:rPr>
        <w:t xml:space="preserve">  为支持郑州航空港经济综合实验区外贸产业高质量发展，深度融入共建“一带一路”，缓解区内外贸企业出口退税过程中的资金压力，帮助企业及时获得资金支持，经郑州航空港经济综合实验区管理委员会（以下简称“管委会”）研究决定，现设立“郑州航空港经济综合实验区外贸出口退税资金池”（以下简称“出口退税资金池”）。为规范资金池的使用和管理，提高资金使用效益，结合我区实际，特制定本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第二条</w:t>
      </w:r>
      <w:r>
        <w:rPr>
          <w:rFonts w:hint="eastAsia" w:ascii="Times New Roman" w:hAnsi="Times New Roman" w:eastAsia="仿宋_GB2312" w:cs="Times New Roman"/>
          <w:color w:val="auto"/>
          <w:kern w:val="2"/>
          <w:sz w:val="32"/>
          <w:szCs w:val="32"/>
          <w:lang w:val="en-US" w:eastAsia="zh-CN" w:bidi="ar-SA"/>
        </w:rPr>
        <w:t xml:space="preserve">  出口退税资金池由管委会统筹安排，并委托口岸管理局牵头组建。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第三条 </w:t>
      </w:r>
      <w:r>
        <w:rPr>
          <w:rFonts w:hint="eastAsia" w:ascii="Times New Roman" w:hAnsi="Times New Roman" w:eastAsia="仿宋_GB2312" w:cs="Times New Roman"/>
          <w:color w:val="auto"/>
          <w:kern w:val="2"/>
          <w:sz w:val="32"/>
          <w:szCs w:val="32"/>
          <w:lang w:val="en-US" w:eastAsia="zh-CN" w:bidi="ar-SA"/>
        </w:rPr>
        <w:t xml:space="preserve"> 出口退税资金池的管理和使用遵循“政府引导、市场运作”机制，实行“专户管理、专款专用、封闭运作、风险共担”的总体原则。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黑体"/>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cs="黑体"/>
          <w:color w:val="auto"/>
          <w:kern w:val="2"/>
          <w:sz w:val="32"/>
          <w:szCs w:val="32"/>
          <w:lang w:val="en-US" w:eastAsia="zh-CN" w:bidi="ar-SA"/>
        </w:rPr>
      </w:pPr>
      <w:r>
        <w:rPr>
          <w:rFonts w:hint="eastAsia" w:ascii="Times New Roman" w:hAnsi="Times New Roman" w:eastAsia="黑体" w:cs="黑体"/>
          <w:color w:val="auto"/>
          <w:kern w:val="2"/>
          <w:sz w:val="32"/>
          <w:szCs w:val="32"/>
          <w:lang w:val="en-US" w:eastAsia="zh-CN" w:bidi="ar-SA"/>
        </w:rPr>
        <w:t>第二章 资金来源和运营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第四条 </w:t>
      </w:r>
      <w:r>
        <w:rPr>
          <w:rFonts w:hint="eastAsia" w:ascii="Times New Roman" w:hAnsi="Times New Roman" w:eastAsia="仿宋_GB2312" w:cs="Times New Roman"/>
          <w:color w:val="auto"/>
          <w:kern w:val="2"/>
          <w:sz w:val="32"/>
          <w:szCs w:val="32"/>
          <w:lang w:val="en-US" w:eastAsia="zh-CN" w:bidi="ar-SA"/>
        </w:rPr>
        <w:t xml:space="preserve"> 由口岸管理局联合财政金融局共同成立资金池管理办公室，该办公室由口岸局负责具体监督指导工作。科创集团统筹组建运营机构，具体负责出口退税资金池的运营管理，并履行相应职责。各部门具体责任分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口岸管理局负责主导并完善出口退税资金池的管理办法；协同相关部门共同指导运营机构开展工作，并定期检查运营机构的业务开展情况。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财政金融局负责出口退税资金池的预算安排；对资金账户实施监管；协同制定并完善出口退税资金池管理办法；协同对出口退税资金池进行监督管理；共同指导出口退税资金池运营机构开展工作。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运营机构主要职责包括与承办银行共同进行项目筛选、核实企业运营及融资状况，管理资金发放与回收、落实风险控制等日常事务；制定出口退税资金池操作细则；办理出口退税周转金的审批及借款手续；负责出口退税资金池中政府引导资金及运营机构配资的日常管理与核算，按年度实施出口退税资金池审计工作；负责通过公开评选择优确定资金池试运营阶段的承办银行；对承办银行出口退税资金池融资业务进行监督、检查及年度考核；接受区级相关管理部门的监管与指导，定期向区级有关部门报告出口退税资金池业务进展情况；面向外贸企业开展出口退税资金池政策宣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第五条</w:t>
      </w:r>
      <w:r>
        <w:rPr>
          <w:rFonts w:hint="eastAsia" w:ascii="Times New Roman" w:hAnsi="Times New Roman" w:eastAsia="仿宋_GB2312" w:cs="Times New Roman"/>
          <w:color w:val="auto"/>
          <w:kern w:val="2"/>
          <w:sz w:val="32"/>
          <w:szCs w:val="32"/>
          <w:lang w:val="en-US" w:eastAsia="zh-CN" w:bidi="ar-SA"/>
        </w:rPr>
        <w:t xml:space="preserve">  为充分发挥财政资金的示范和杠杆效应，由区财政与运营机构共同出资，组成首期引导资金，承办银行提供不低于引导资金1:1比例的融资配额。后续，运营机构可根据实际业务需求，适时报请管委会提升出口退税资金池规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第六条</w:t>
      </w:r>
      <w:r>
        <w:rPr>
          <w:rFonts w:hint="eastAsia" w:ascii="Times New Roman" w:hAnsi="Times New Roman" w:eastAsia="仿宋_GB2312" w:cs="Times New Roman"/>
          <w:color w:val="auto"/>
          <w:kern w:val="2"/>
          <w:sz w:val="32"/>
          <w:szCs w:val="32"/>
          <w:lang w:val="en-US" w:eastAsia="zh-CN" w:bidi="ar-SA"/>
        </w:rPr>
        <w:t xml:space="preserve">  出口退税资金池率先启动为期一年的试运营。试运营结束后，运营机构需根据出口退税资金池的实际运作情况，向管委会提交报告，以确定是否正式运行。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第七条</w:t>
      </w:r>
      <w:r>
        <w:rPr>
          <w:rFonts w:hint="eastAsia" w:ascii="Times New Roman" w:hAnsi="Times New Roman" w:eastAsia="仿宋_GB2312" w:cs="Times New Roman"/>
          <w:color w:val="auto"/>
          <w:kern w:val="2"/>
          <w:sz w:val="32"/>
          <w:szCs w:val="32"/>
          <w:lang w:val="en-US" w:eastAsia="zh-CN" w:bidi="ar-SA"/>
        </w:rPr>
        <w:t xml:space="preserve">  正式运营启动后，每一自然年度为一个运营周期。各运营周期内，由运营机构选定银行具体承办业务。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第八条</w:t>
      </w:r>
      <w:r>
        <w:rPr>
          <w:rFonts w:hint="eastAsia" w:ascii="Times New Roman" w:hAnsi="Times New Roman" w:eastAsia="仿宋_GB2312" w:cs="Times New Roman"/>
          <w:color w:val="auto"/>
          <w:kern w:val="2"/>
          <w:sz w:val="32"/>
          <w:szCs w:val="32"/>
          <w:lang w:val="en-US" w:eastAsia="zh-CN" w:bidi="ar-SA"/>
        </w:rPr>
        <w:t xml:space="preserve">  承办银行需提供以下服务：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1.为外贸企业出口退税设立专项信贷产品，单独发放，独立核算或标识管理。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2.针对出口退税研发线上业务办理系统，提供高效便捷的业务服务。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3.专项信贷产品的贷款利率，应控制在一年期贷款市场报价利率（LPR）上浮15%以内。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4.配备出口退税资金池专业服务团队和专项资源，确保服务能力。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第九条 </w:t>
      </w:r>
      <w:r>
        <w:rPr>
          <w:rFonts w:hint="eastAsia" w:ascii="Times New Roman" w:hAnsi="Times New Roman" w:eastAsia="仿宋_GB2312" w:cs="Times New Roman"/>
          <w:color w:val="auto"/>
          <w:kern w:val="2"/>
          <w:sz w:val="32"/>
          <w:szCs w:val="32"/>
          <w:lang w:val="en-US" w:eastAsia="zh-CN" w:bidi="ar-SA"/>
        </w:rPr>
        <w:t xml:space="preserve"> 出口退税资金池采取“组合融资”方式发放出口退税周转金。即指运营机构和商业银行共同融资为企业提供短期资金支持，其中运营机构融资款包含受托的财政资金及运营机构配资，以委托贷款形式注入。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双方融资比例设定如下：企业所获出口退税周转金，应按照资金池中各方出资比例构成；针对单笔出口退税业务的组合融资总额，不得超过企业应退未退税款的90%。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第十条</w:t>
      </w:r>
      <w:r>
        <w:rPr>
          <w:rFonts w:hint="eastAsia" w:ascii="Times New Roman" w:hAnsi="Times New Roman" w:eastAsia="仿宋_GB2312" w:cs="Times New Roman"/>
          <w:color w:val="auto"/>
          <w:kern w:val="2"/>
          <w:sz w:val="32"/>
          <w:szCs w:val="32"/>
          <w:lang w:val="en-US" w:eastAsia="zh-CN" w:bidi="ar-SA"/>
        </w:rPr>
        <w:t xml:space="preserve">  出口退税资金池实行有偿使用机制。其中，财政资金及运营机构配资部分的使用费收益，由运营机构负责收取；银行配资部分的贷款收益，则由承办银行负责收取。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资金池的运营收益包括资金使用费（不含银行配资贷款收益）、账户利息以及争取到的相关省级奖励资金。以上收益可用于补充出口退税资金池本金、计提风险准备金、支付运营成本以及对运营机构员工进行合规激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第十一条</w:t>
      </w:r>
      <w:r>
        <w:rPr>
          <w:rFonts w:hint="eastAsia" w:ascii="Times New Roman" w:hAnsi="Times New Roman" w:eastAsia="仿宋_GB2312" w:cs="Times New Roman"/>
          <w:color w:val="auto"/>
          <w:kern w:val="2"/>
          <w:sz w:val="32"/>
          <w:szCs w:val="32"/>
          <w:lang w:val="en-US" w:eastAsia="zh-CN" w:bidi="ar-SA"/>
        </w:rPr>
        <w:t xml:space="preserve">  为体现政策支持与控制融资成本，出口退税资金池的运作需遵循以下利率原则：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运营机构基于人民币一年期贷款市场报价利率（LPR）变化情况，可适时提出出口退税周转金贷款利率调整方案，并报资金池管理办公室审核后实施。试运营阶段企业获得的出口退税周转金年化利率原则上不超过3.5%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cs="黑体"/>
          <w:color w:val="auto"/>
          <w:kern w:val="2"/>
          <w:sz w:val="32"/>
          <w:szCs w:val="32"/>
          <w:lang w:val="en-US" w:eastAsia="zh-CN" w:bidi="ar-SA"/>
        </w:rPr>
      </w:pPr>
      <w:r>
        <w:rPr>
          <w:rFonts w:hint="eastAsia" w:ascii="Times New Roman" w:hAnsi="Times New Roman" w:eastAsia="黑体" w:cs="黑体"/>
          <w:color w:val="auto"/>
          <w:kern w:val="2"/>
          <w:sz w:val="32"/>
          <w:szCs w:val="32"/>
          <w:lang w:val="en-US" w:eastAsia="zh-CN" w:bidi="ar-SA"/>
        </w:rPr>
        <w:t>第三章 业务运作和操作流程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第十二条</w:t>
      </w:r>
      <w:r>
        <w:rPr>
          <w:rFonts w:hint="eastAsia" w:ascii="Times New Roman" w:hAnsi="Times New Roman" w:eastAsia="仿宋_GB2312" w:cs="Times New Roman"/>
          <w:color w:val="auto"/>
          <w:kern w:val="2"/>
          <w:sz w:val="32"/>
          <w:szCs w:val="32"/>
          <w:lang w:val="en-US" w:eastAsia="zh-CN" w:bidi="ar-SA"/>
        </w:rPr>
        <w:t xml:space="preserve">  申请使用出口退税资金池的企业须同时满足如下条件：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1.在郑州航空港区注册，具有独立法人资格与进出口经营权，其货物进出口数据纳入郑州新郑综合保税区（以下简称新郑综保区）统计，且税务管理类别为一、二、三类的自营出口企业；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2.具有固定的办公经营场所（可提供新郑综保区外贸孵化基地作为经营场所）；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3.迁入企业或当年新注册企业应达到一定规模；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4.单笔申请应退税金额在5万元以上；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5.合法合规经营，在安全生产、环保、税务、海关和外汇等方面无未整改的违法违规行为或严重失信行为等。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第十三条 </w:t>
      </w:r>
      <w:r>
        <w:rPr>
          <w:rFonts w:hint="eastAsia" w:ascii="Times New Roman" w:hAnsi="Times New Roman" w:eastAsia="仿宋_GB2312" w:cs="Times New Roman"/>
          <w:color w:val="auto"/>
          <w:kern w:val="2"/>
          <w:sz w:val="32"/>
          <w:szCs w:val="32"/>
          <w:lang w:val="en-US" w:eastAsia="zh-CN" w:bidi="ar-SA"/>
        </w:rPr>
        <w:t xml:space="preserve"> 为保障出口退税资金池安全，运营机构应与承办银行签订出口退税资金池托管协议，开立出口退税资金池专用账户，实行封闭运行管理，专用账户由财政金融局、运营机构和承办银行三方共管。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第十四条</w:t>
      </w:r>
      <w:r>
        <w:rPr>
          <w:rFonts w:hint="eastAsia" w:ascii="Times New Roman" w:hAnsi="Times New Roman" w:eastAsia="仿宋_GB2312" w:cs="Times New Roman"/>
          <w:color w:val="auto"/>
          <w:kern w:val="2"/>
          <w:sz w:val="32"/>
          <w:szCs w:val="32"/>
          <w:lang w:val="en-US" w:eastAsia="zh-CN" w:bidi="ar-SA"/>
        </w:rPr>
        <w:t xml:space="preserve">  出口退税资金池仅限用于支持企业出口业务开展、出口退税款垫付，及日常经营周转等流动性资金需求。不得用于企业项目建设或其他用途。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第十五条</w:t>
      </w:r>
      <w:r>
        <w:rPr>
          <w:rFonts w:hint="eastAsia" w:ascii="Times New Roman" w:hAnsi="Times New Roman" w:eastAsia="仿宋_GB2312" w:cs="Times New Roman"/>
          <w:color w:val="auto"/>
          <w:kern w:val="2"/>
          <w:sz w:val="32"/>
          <w:szCs w:val="32"/>
          <w:lang w:val="en-US" w:eastAsia="zh-CN" w:bidi="ar-SA"/>
        </w:rPr>
        <w:t xml:space="preserve">  企业申请出口退税周转金时，应提供以下材料：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1.申请报告（包括企业基本情况，出口情况，财务制度及财务状况，申请缘由，资金需求及还款来源）。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企业承诺书（主要包括申请材料真实，不存在骗取国家资金行为；周转金使用严格遵守本办法，不挪作他用；按时结清本贷款和利息；如存在弄虚作假、违反财政政策等行为，自愿承担相应法律法规和行政处罚；法人代表签字；新企业需承诺年业务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3.企业控股股东提供的连带责任担保书。若企业股权分散无明确控股股东，可由持股比例前3名股东共同提供连带责任担保。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4.运营机构及承办银行认为必须提供的其他资料。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楷体" w:cs="楷体"/>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第十六条  业务流程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1.资金申请。申请企业向运营机构及承办银行提交加盖企业公章的申请材料。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2.资料审核。运营机构收到企业申请后，联合承办银行对企业开展尽职调查，承办银行按内部授信审批流程完成审批。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出口退税资金池，原则上为信用模式。企业提供股东及实际控制人及配偶提供保证担保的，或追加出口退税款/应收账款/存货/仓单等提供质押担保的，视同信用模式。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为有效发挥出口退税资金池对区域产业发展的政策支持效应，提高资金使用效率，运营机构应与承办银行加大创新力度，优化业务程序，简化审批流程。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3.组合融资发放。企业、运营机构及承办银行三方共同签订委托贷款合同，承办银行在5个工作日内完成贷款发放。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4.资金收回。企业申请退税成功或在约定的使用期限到期前5个工作日内，应及时归还借款本息。承办银行负责协助办理委托贷款还款手续。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楷体" w:cs="楷体"/>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单笔融资期限原则上不得超过6个月，若企业超期限使用或违约，可加收罚息并依法追偿。已成功申请周转金的企业如因自身原因导致不能退税的，应在10个工作日内归还贷款本金和利息。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楷体" w:cs="楷体"/>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第十七条  资金风险防控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1.退税账户管理：企业须在融资银行开立唯一且经税务局备案的出口退税账户，融资期间不得变更，由银行实施监管。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2.回款监控：借款企业须确保至少80%的出口收汇进入该监管账户。承办银行监控回款情况，异常时及时预警，并可要求提前还款。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3.定期检查与增信：运营机构会同承办银行按季度进行风险排查。对风险较高的业务，经评估后可引入国有担保公司提供担保。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cs="黑体"/>
          <w:color w:val="auto"/>
          <w:kern w:val="2"/>
          <w:sz w:val="32"/>
          <w:szCs w:val="32"/>
          <w:lang w:val="en-US" w:eastAsia="zh-CN" w:bidi="ar-SA"/>
        </w:rPr>
      </w:pPr>
      <w:r>
        <w:rPr>
          <w:rFonts w:hint="eastAsia" w:ascii="Times New Roman" w:hAnsi="Times New Roman" w:eastAsia="黑体" w:cs="黑体"/>
          <w:color w:val="auto"/>
          <w:kern w:val="2"/>
          <w:sz w:val="32"/>
          <w:szCs w:val="32"/>
          <w:lang w:val="en-US" w:eastAsia="zh-CN" w:bidi="ar-SA"/>
        </w:rPr>
        <w:t>第四章 监督管理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第十八条</w:t>
      </w:r>
      <w:r>
        <w:rPr>
          <w:rFonts w:hint="eastAsia" w:ascii="Times New Roman" w:hAnsi="Times New Roman" w:eastAsia="仿宋_GB2312" w:cs="Times New Roman"/>
          <w:color w:val="auto"/>
          <w:kern w:val="2"/>
          <w:sz w:val="32"/>
          <w:szCs w:val="32"/>
          <w:lang w:val="en-US" w:eastAsia="zh-CN" w:bidi="ar-SA"/>
        </w:rPr>
        <w:t xml:space="preserve">  运营机构必须依法依规，严格按照内控制度开展业务。同时，按季度向资金池管理办公室报告出口退税资金池的运营管理情况。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第十九条</w:t>
      </w:r>
      <w:r>
        <w:rPr>
          <w:rFonts w:hint="eastAsia" w:ascii="Times New Roman" w:hAnsi="Times New Roman" w:eastAsia="仿宋_GB2312" w:cs="Times New Roman"/>
          <w:color w:val="auto"/>
          <w:kern w:val="2"/>
          <w:sz w:val="32"/>
          <w:szCs w:val="32"/>
          <w:lang w:val="en-US" w:eastAsia="zh-CN" w:bidi="ar-SA"/>
        </w:rPr>
        <w:t xml:space="preserve">  运营机构与承办银行组合融资到期未收回金额超过出口退税资金池融资总规模的20%时，运营机构应暂停新增贷款发放。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第二十条 </w:t>
      </w:r>
      <w:r>
        <w:rPr>
          <w:rFonts w:hint="eastAsia" w:ascii="Times New Roman" w:hAnsi="Times New Roman" w:eastAsia="仿宋_GB2312" w:cs="Times New Roman"/>
          <w:color w:val="auto"/>
          <w:kern w:val="2"/>
          <w:sz w:val="32"/>
          <w:szCs w:val="32"/>
          <w:lang w:val="en-US" w:eastAsia="zh-CN" w:bidi="ar-SA"/>
        </w:rPr>
        <w:t xml:space="preserve"> 运营机构应在每个运营周期末（含试运营周期），对承办银行进行绩效考核评价，包括但不限于年中及年终考评。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第二十一条 </w:t>
      </w:r>
      <w:r>
        <w:rPr>
          <w:rFonts w:hint="eastAsia" w:ascii="Times New Roman" w:hAnsi="Times New Roman" w:eastAsia="仿宋_GB2312" w:cs="Times New Roman"/>
          <w:color w:val="auto"/>
          <w:kern w:val="2"/>
          <w:sz w:val="32"/>
          <w:szCs w:val="32"/>
          <w:lang w:val="en-US" w:eastAsia="zh-CN" w:bidi="ar-SA"/>
        </w:rPr>
        <w:t xml:space="preserve"> 在每一运营周期结束后（含试运营周期），承办银行考评未达标，应终止其承办银行资格。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承办银行自收到书面终止通知之日起10个工作日内，应将专用账户内的财政资金及运营机构配资退还至运营机构指定账户。如未及时退还，运营机构有权要求承办银行给予补偿。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在上一运营周期被终止承办资格的银行，不得参与下一周期承办银行评选。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第二十二条</w:t>
      </w:r>
      <w:r>
        <w:rPr>
          <w:rFonts w:hint="eastAsia" w:ascii="Times New Roman" w:hAnsi="Times New Roman" w:eastAsia="仿宋_GB2312" w:cs="Times New Roman"/>
          <w:color w:val="auto"/>
          <w:kern w:val="2"/>
          <w:sz w:val="32"/>
          <w:szCs w:val="32"/>
          <w:lang w:val="en-US" w:eastAsia="zh-CN" w:bidi="ar-SA"/>
        </w:rPr>
        <w:t xml:space="preserve">  运营机构应建立财政资金统筹调剂使用机制，可根据对承办银行的考评结果，调整各银行专用账户中财政资金的比例。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 xml:space="preserve">第二十三条 </w:t>
      </w:r>
      <w:r>
        <w:rPr>
          <w:rFonts w:hint="eastAsia" w:ascii="Times New Roman" w:hAnsi="Times New Roman" w:eastAsia="仿宋_GB2312" w:cs="Times New Roman"/>
          <w:color w:val="auto"/>
          <w:kern w:val="2"/>
          <w:sz w:val="32"/>
          <w:szCs w:val="32"/>
          <w:lang w:val="en-US" w:eastAsia="zh-CN" w:bidi="ar-SA"/>
        </w:rPr>
        <w:t xml:space="preserve"> 承办银行应充分履行自身风险管理主体责任。如发生贷款损失，应积极会同运营机构处置，防止损失扩大。处置期间，运营机构可暂停承办银行的承办资格。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第二十四条</w:t>
      </w:r>
      <w:r>
        <w:rPr>
          <w:rFonts w:hint="eastAsia" w:ascii="Times New Roman" w:hAnsi="Times New Roman" w:eastAsia="仿宋_GB2312" w:cs="Times New Roman"/>
          <w:color w:val="auto"/>
          <w:kern w:val="2"/>
          <w:sz w:val="32"/>
          <w:szCs w:val="32"/>
          <w:lang w:val="en-US" w:eastAsia="zh-CN" w:bidi="ar-SA"/>
        </w:rPr>
        <w:t xml:space="preserve">  出口退税资金池是推动外贸发展、打造口岸枢纽经济优势的探索性创新举措。对业务开展中出现资金损失的，经第三方审计机构认定为属于严格遵循决策和相关业务流程、有不可抗力导致或无失职行为的，可对相关责任方予以豁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cs="黑体"/>
          <w:color w:val="auto"/>
          <w:kern w:val="2"/>
          <w:sz w:val="32"/>
          <w:szCs w:val="32"/>
          <w:lang w:val="en-US" w:eastAsia="zh-CN" w:bidi="ar-SA"/>
        </w:rPr>
      </w:pPr>
      <w:r>
        <w:rPr>
          <w:rFonts w:hint="eastAsia" w:ascii="Times New Roman" w:hAnsi="Times New Roman" w:eastAsia="黑体" w:cs="黑体"/>
          <w:color w:val="auto"/>
          <w:kern w:val="2"/>
          <w:sz w:val="32"/>
          <w:szCs w:val="32"/>
          <w:lang w:val="en-US" w:eastAsia="zh-CN" w:bidi="ar-SA"/>
        </w:rPr>
        <w:t>第五章 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楷体"/>
          <w:color w:val="auto"/>
          <w:kern w:val="2"/>
          <w:sz w:val="32"/>
          <w:szCs w:val="32"/>
          <w:lang w:val="en-US" w:eastAsia="zh-CN" w:bidi="ar-SA"/>
        </w:rPr>
        <w:t>第二十五条</w:t>
      </w:r>
      <w:r>
        <w:rPr>
          <w:rFonts w:hint="eastAsia" w:ascii="Times New Roman" w:hAnsi="Times New Roman" w:eastAsia="仿宋_GB2312" w:cs="Times New Roman"/>
          <w:color w:val="auto"/>
          <w:kern w:val="2"/>
          <w:sz w:val="32"/>
          <w:szCs w:val="32"/>
          <w:lang w:val="en-US" w:eastAsia="zh-CN" w:bidi="ar-SA"/>
        </w:rPr>
        <w:t xml:space="preserve">  本办法由资金池管理办公室负责解释，并可根据实际运营情况，报经管委会批准后进行调整修订。</w:t>
      </w:r>
    </w:p>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Webding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ebdings">
    <w:panose1 w:val="05030102010509060703"/>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AB72E6"/>
    <w:rsid w:val="F7AB72E6"/>
    <w:rsid w:val="F7D78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2026-01-26T08:55:00Z</dcterms:created>
  <dc:creator>lenovo</dc:creator>
  <cp:lastModifiedBy>lenovo</cp:lastModifiedBy>
  <dcterms:modified xsi:type="dcterms:W3CDTF">2026-01-26T09:00:29Z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2052-11.1.0.11720</vt:lpwstr>
  </property>
</Properties>
</file>