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3D53AD7D">
      <w:pPr>
        <w:spacing w:line="255" w:lineRule="auto"/>
        <w:rPr>
          <w:rFonts w:hint="eastAsia" w:ascii="Arial" w:eastAsia="宋体"/>
          <w:sz w:val="21"/>
          <w:lang w:val="en-US" w:eastAsia="zh-CN"/>
        </w:rPr>
      </w:pPr>
      <w:bookmarkStart w:id="0" w:name="_Toc5746"/>
    </w:p>
    <w:p w14:paraId="09EDF405">
      <w:pPr>
        <w:spacing w:line="255" w:lineRule="auto"/>
        <w:rPr>
          <w:rFonts w:ascii="Arial"/>
          <w:sz w:val="21"/>
        </w:rPr>
      </w:pPr>
    </w:p>
    <w:p w14:paraId="201F7E01">
      <w:pPr>
        <w:spacing w:line="255" w:lineRule="auto"/>
        <w:rPr>
          <w:rFonts w:ascii="Arial"/>
          <w:sz w:val="21"/>
        </w:rPr>
      </w:pPr>
    </w:p>
    <w:p w14:paraId="14CD97E6">
      <w:pPr>
        <w:spacing w:line="255" w:lineRule="auto"/>
        <w:rPr>
          <w:rFonts w:ascii="Arial"/>
          <w:sz w:val="21"/>
        </w:rPr>
      </w:pPr>
    </w:p>
    <w:p w14:paraId="0AC0C7E0">
      <w:pPr>
        <w:spacing w:line="256" w:lineRule="auto"/>
        <w:rPr>
          <w:rFonts w:ascii="Arial"/>
          <w:sz w:val="21"/>
        </w:rPr>
      </w:pPr>
    </w:p>
    <w:p w14:paraId="44F5E16E">
      <w:pPr>
        <w:spacing w:line="256" w:lineRule="auto"/>
        <w:rPr>
          <w:rFonts w:ascii="Arial"/>
          <w:sz w:val="21"/>
        </w:rPr>
      </w:pPr>
    </w:p>
    <w:p w14:paraId="6FB6A028">
      <w:pPr>
        <w:spacing w:line="256" w:lineRule="auto"/>
        <w:rPr>
          <w:rFonts w:ascii="Arial"/>
          <w:sz w:val="21"/>
        </w:rPr>
      </w:pPr>
    </w:p>
    <w:p w14:paraId="2C1BBDC2">
      <w:pPr>
        <w:spacing w:line="256" w:lineRule="auto"/>
        <w:rPr>
          <w:rFonts w:ascii="Arial"/>
          <w:sz w:val="21"/>
        </w:rPr>
      </w:pPr>
    </w:p>
    <w:p w14:paraId="052D7B66">
      <w:pPr>
        <w:widowControl w:val="0"/>
        <w:tabs>
          <w:tab w:val="left" w:pos="4395"/>
        </w:tabs>
        <w:kinsoku/>
        <w:autoSpaceDE/>
        <w:autoSpaceDN/>
        <w:adjustRightInd/>
        <w:snapToGrid/>
        <w:spacing w:line="240" w:lineRule="auto"/>
        <w:jc w:val="center"/>
        <w:textAlignment w:val="auto"/>
        <w:outlineLvl w:val="9"/>
        <w:rPr>
          <w:rFonts w:ascii="Times New Roman" w:hAnsi="Times New Roman" w:eastAsia="宋体" w:cs="Times New Roman"/>
          <w:b/>
          <w:snapToGrid/>
          <w:color w:val="000000"/>
          <w:kern w:val="2"/>
          <w:sz w:val="72"/>
          <w:szCs w:val="72"/>
          <w:lang w:val="en-US" w:eastAsia="zh-CN" w:bidi="ar-SA"/>
        </w:rPr>
      </w:pPr>
      <w:r>
        <w:rPr>
          <w:rFonts w:hint="eastAsia" w:ascii="黑体" w:hAnsi="黑体" w:eastAsia="黑体" w:cs="黑体"/>
          <w:b w:val="0"/>
          <w:bCs/>
          <w:snapToGrid/>
          <w:color w:val="000000"/>
          <w:kern w:val="2"/>
          <w:sz w:val="72"/>
          <w:szCs w:val="72"/>
          <w:lang w:val="en-US" w:eastAsia="zh-CN" w:bidi="ar-SA"/>
        </w:rPr>
        <w:t>建设项目环境影响报告表</w:t>
      </w:r>
    </w:p>
    <w:p w14:paraId="1F788C46">
      <w:pPr>
        <w:spacing w:before="325" w:line="227" w:lineRule="auto"/>
        <w:ind w:left="2541"/>
        <w:rPr>
          <w:rFonts w:ascii="楷体" w:hAnsi="楷体" w:eastAsia="楷体" w:cs="楷体"/>
          <w:sz w:val="48"/>
          <w:szCs w:val="48"/>
        </w:rPr>
      </w:pPr>
      <w:r>
        <w:rPr>
          <w:rFonts w:hint="eastAsia" w:ascii="楷体" w:hAnsi="楷体" w:eastAsia="楷体" w:cs="楷体"/>
          <w:spacing w:val="35"/>
          <w:sz w:val="48"/>
          <w:szCs w:val="48"/>
          <w:lang w:eastAsia="zh-CN"/>
        </w:rPr>
        <w:t>（</w:t>
      </w:r>
      <w:r>
        <w:rPr>
          <w:rFonts w:ascii="楷体" w:hAnsi="楷体" w:eastAsia="楷体" w:cs="楷体"/>
          <w:spacing w:val="34"/>
          <w:sz w:val="48"/>
          <w:szCs w:val="48"/>
        </w:rPr>
        <w:t>污染影响类</w:t>
      </w:r>
      <w:r>
        <w:rPr>
          <w:rFonts w:hint="eastAsia" w:ascii="楷体" w:hAnsi="楷体" w:eastAsia="楷体" w:cs="楷体"/>
          <w:spacing w:val="35"/>
          <w:sz w:val="48"/>
          <w:szCs w:val="48"/>
          <w:lang w:eastAsia="zh-CN"/>
        </w:rPr>
        <w:t>）</w:t>
      </w:r>
    </w:p>
    <w:p w14:paraId="19402B91">
      <w:pPr>
        <w:spacing w:line="252" w:lineRule="auto"/>
        <w:rPr>
          <w:rFonts w:ascii="Arial"/>
          <w:sz w:val="21"/>
        </w:rPr>
      </w:pPr>
    </w:p>
    <w:p w14:paraId="7CC1ADB9">
      <w:pPr>
        <w:spacing w:line="252" w:lineRule="auto"/>
        <w:jc w:val="center"/>
        <w:rPr>
          <w:rFonts w:hint="eastAsia" w:ascii="仿宋" w:hAnsi="仿宋" w:eastAsia="仿宋" w:cs="仿宋"/>
          <w:sz w:val="36"/>
          <w:szCs w:val="36"/>
          <w:lang w:eastAsia="zh-CN"/>
        </w:rPr>
      </w:pPr>
    </w:p>
    <w:p w14:paraId="3A3F3B9A">
      <w:pPr>
        <w:spacing w:line="252" w:lineRule="auto"/>
        <w:rPr>
          <w:rFonts w:ascii="Arial"/>
          <w:sz w:val="21"/>
        </w:rPr>
      </w:pPr>
    </w:p>
    <w:p w14:paraId="2556C231">
      <w:pPr>
        <w:spacing w:line="252" w:lineRule="auto"/>
        <w:rPr>
          <w:rFonts w:ascii="Arial"/>
          <w:sz w:val="21"/>
        </w:rPr>
      </w:pPr>
    </w:p>
    <w:p w14:paraId="6C44C00B">
      <w:pPr>
        <w:spacing w:line="252" w:lineRule="auto"/>
        <w:rPr>
          <w:rFonts w:ascii="Arial"/>
          <w:sz w:val="21"/>
        </w:rPr>
      </w:pPr>
    </w:p>
    <w:p w14:paraId="75A14171">
      <w:pPr>
        <w:spacing w:line="252" w:lineRule="auto"/>
        <w:rPr>
          <w:rFonts w:ascii="Arial"/>
          <w:sz w:val="21"/>
        </w:rPr>
      </w:pPr>
    </w:p>
    <w:p w14:paraId="7F7A0AD8">
      <w:pPr>
        <w:spacing w:line="252" w:lineRule="auto"/>
        <w:rPr>
          <w:rFonts w:ascii="Arial"/>
          <w:sz w:val="21"/>
        </w:rPr>
      </w:pPr>
    </w:p>
    <w:p w14:paraId="46D0EE6F">
      <w:pPr>
        <w:spacing w:line="252" w:lineRule="auto"/>
        <w:rPr>
          <w:rFonts w:ascii="Arial"/>
          <w:sz w:val="21"/>
        </w:rPr>
      </w:pPr>
    </w:p>
    <w:p w14:paraId="239EBF5C">
      <w:pPr>
        <w:spacing w:line="252" w:lineRule="auto"/>
        <w:rPr>
          <w:rFonts w:ascii="Arial"/>
          <w:sz w:val="21"/>
        </w:rPr>
      </w:pPr>
    </w:p>
    <w:p w14:paraId="2D96A89B">
      <w:pPr>
        <w:spacing w:line="252" w:lineRule="auto"/>
        <w:rPr>
          <w:rFonts w:ascii="Arial"/>
          <w:sz w:val="21"/>
        </w:rPr>
      </w:pPr>
    </w:p>
    <w:p w14:paraId="32C89907">
      <w:pPr>
        <w:spacing w:line="252" w:lineRule="auto"/>
        <w:rPr>
          <w:rFonts w:ascii="Arial"/>
          <w:sz w:val="21"/>
        </w:rPr>
      </w:pPr>
    </w:p>
    <w:p w14:paraId="43798F1B"/>
    <w:p w14:paraId="54B3E30A">
      <w:pPr>
        <w:spacing w:line="252" w:lineRule="auto"/>
        <w:rPr>
          <w:rFonts w:ascii="Arial"/>
          <w:sz w:val="21"/>
        </w:rPr>
      </w:pPr>
    </w:p>
    <w:p w14:paraId="19C2B022">
      <w:pPr>
        <w:spacing w:line="253" w:lineRule="auto"/>
        <w:rPr>
          <w:rFonts w:ascii="Arial"/>
          <w:sz w:val="21"/>
        </w:rPr>
      </w:pPr>
    </w:p>
    <w:p w14:paraId="711C8BA7">
      <w:pPr>
        <w:spacing w:line="253" w:lineRule="auto"/>
        <w:rPr>
          <w:rFonts w:ascii="Arial"/>
          <w:sz w:val="21"/>
        </w:rPr>
      </w:pPr>
    </w:p>
    <w:p w14:paraId="7BADAFBD">
      <w:pPr>
        <w:spacing w:line="253" w:lineRule="auto"/>
        <w:rPr>
          <w:rFonts w:ascii="Arial"/>
          <w:sz w:val="21"/>
        </w:rPr>
      </w:pPr>
    </w:p>
    <w:p w14:paraId="2C855A1C">
      <w:pPr>
        <w:spacing w:line="253" w:lineRule="auto"/>
        <w:rPr>
          <w:rFonts w:ascii="Arial"/>
          <w:sz w:val="21"/>
        </w:rPr>
      </w:pPr>
    </w:p>
    <w:tbl>
      <w:tblPr>
        <w:tblStyle w:val="26"/>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872"/>
        <w:gridCol w:w="1000"/>
        <w:gridCol w:w="5123"/>
      </w:tblGrid>
      <w:tr w14:paraId="6D1AEF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872" w:type="dxa"/>
            <w:tcBorders>
              <w:bottom w:val="nil"/>
              <w:tl2br w:val="nil"/>
              <w:tr2bl w:val="nil"/>
            </w:tcBorders>
            <w:noWrap w:val="0"/>
            <w:tcMar>
              <w:top w:w="0" w:type="dxa"/>
              <w:left w:w="0" w:type="dxa"/>
              <w:bottom w:w="0" w:type="dxa"/>
              <w:right w:w="0" w:type="dxa"/>
            </w:tcMar>
            <w:vAlign w:val="bottom"/>
          </w:tcPr>
          <w:p w14:paraId="300A895C">
            <w:pPr>
              <w:keepNext w:val="0"/>
              <w:keepLines w:val="0"/>
              <w:widowControl w:val="0"/>
              <w:suppressLineNumbers w:val="0"/>
              <w:spacing w:before="0" w:beforeAutospacing="0" w:after="0" w:afterAutospacing="0" w:line="240" w:lineRule="auto"/>
              <w:ind w:left="0" w:right="0"/>
              <w:jc w:val="both"/>
              <w:rPr>
                <w:rFonts w:hint="default" w:ascii="仿宋" w:hAnsi="仿宋" w:eastAsia="仿宋" w:cs="仿宋"/>
                <w:spacing w:val="-10"/>
                <w:sz w:val="36"/>
                <w:szCs w:val="36"/>
                <w:vertAlign w:val="baseline"/>
              </w:rPr>
            </w:pPr>
            <w:r>
              <w:rPr>
                <w:rFonts w:hint="default" w:ascii="仿宋" w:hAnsi="仿宋" w:eastAsia="仿宋" w:cs="仿宋"/>
                <w:spacing w:val="-10"/>
                <w:sz w:val="36"/>
                <w:szCs w:val="36"/>
              </w:rPr>
              <w:t>项目名称</w:t>
            </w:r>
            <w:r>
              <w:rPr>
                <w:rFonts w:hint="default" w:ascii="仿宋" w:hAnsi="仿宋" w:eastAsia="仿宋" w:cs="仿宋"/>
                <w:spacing w:val="-6"/>
                <w:sz w:val="36"/>
                <w:szCs w:val="36"/>
              </w:rPr>
              <w:t>：</w:t>
            </w:r>
          </w:p>
        </w:tc>
        <w:tc>
          <w:tcPr>
            <w:tcW w:w="6123" w:type="dxa"/>
            <w:gridSpan w:val="2"/>
            <w:tcBorders>
              <w:bottom w:val="single" w:color="auto" w:sz="4" w:space="0"/>
              <w:tl2br w:val="nil"/>
              <w:tr2bl w:val="nil"/>
            </w:tcBorders>
            <w:noWrap w:val="0"/>
            <w:tcMar>
              <w:top w:w="0" w:type="dxa"/>
              <w:left w:w="0" w:type="dxa"/>
              <w:bottom w:w="0" w:type="dxa"/>
              <w:right w:w="0" w:type="dxa"/>
            </w:tcMar>
            <w:vAlign w:val="bottom"/>
          </w:tcPr>
          <w:p w14:paraId="74E2E6F2">
            <w:pPr>
              <w:keepNext w:val="0"/>
              <w:keepLines w:val="0"/>
              <w:widowControl w:val="0"/>
              <w:suppressLineNumbers w:val="0"/>
              <w:spacing w:before="0" w:beforeAutospacing="0" w:after="0" w:afterAutospacing="0" w:line="240" w:lineRule="auto"/>
              <w:ind w:left="0" w:right="0"/>
              <w:jc w:val="center"/>
              <w:rPr>
                <w:rFonts w:hint="default" w:ascii="仿宋" w:hAnsi="仿宋" w:eastAsia="仿宋" w:cs="仿宋"/>
                <w:spacing w:val="-10"/>
                <w:sz w:val="36"/>
                <w:szCs w:val="36"/>
                <w:vertAlign w:val="baseline"/>
                <w:lang w:val="en-US" w:eastAsia="zh-CN"/>
              </w:rPr>
            </w:pPr>
            <w:r>
              <w:rPr>
                <w:rFonts w:hint="eastAsia" w:ascii="仿宋" w:hAnsi="仿宋" w:eastAsia="仿宋" w:cs="仿宋"/>
                <w:spacing w:val="-10"/>
                <w:sz w:val="36"/>
                <w:szCs w:val="36"/>
                <w:vertAlign w:val="baseline"/>
                <w:lang w:val="en-US" w:eastAsia="zh-CN"/>
              </w:rPr>
              <w:t>聚乙烯复合材料华北生产基地项目</w:t>
            </w:r>
          </w:p>
        </w:tc>
      </w:tr>
      <w:tr w14:paraId="298D88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872" w:type="dxa"/>
            <w:gridSpan w:val="2"/>
            <w:tcBorders>
              <w:top w:val="nil"/>
              <w:bottom w:val="nil"/>
              <w:tl2br w:val="nil"/>
              <w:tr2bl w:val="nil"/>
            </w:tcBorders>
            <w:noWrap w:val="0"/>
            <w:tcMar>
              <w:top w:w="0" w:type="dxa"/>
              <w:left w:w="0" w:type="dxa"/>
              <w:bottom w:w="0" w:type="dxa"/>
              <w:right w:w="0" w:type="dxa"/>
            </w:tcMar>
            <w:vAlign w:val="bottom"/>
          </w:tcPr>
          <w:p w14:paraId="33F0FED0">
            <w:pPr>
              <w:keepNext w:val="0"/>
              <w:keepLines w:val="0"/>
              <w:widowControl w:val="0"/>
              <w:suppressLineNumbers w:val="0"/>
              <w:spacing w:before="0" w:beforeAutospacing="0" w:after="0" w:afterAutospacing="0" w:line="240" w:lineRule="auto"/>
              <w:ind w:left="0" w:right="0"/>
              <w:jc w:val="both"/>
              <w:rPr>
                <w:rFonts w:hint="default" w:ascii="仿宋" w:hAnsi="仿宋" w:eastAsia="仿宋" w:cs="仿宋"/>
                <w:spacing w:val="-10"/>
                <w:sz w:val="36"/>
                <w:szCs w:val="36"/>
                <w:vertAlign w:val="baseline"/>
              </w:rPr>
            </w:pPr>
            <w:r>
              <w:rPr>
                <w:rFonts w:hint="eastAsia" w:ascii="仿宋" w:hAnsi="仿宋" w:eastAsia="仿宋" w:cs="仿宋"/>
                <w:spacing w:val="-10"/>
                <w:sz w:val="36"/>
                <w:szCs w:val="36"/>
                <w:lang w:val="en-US" w:eastAsia="zh-CN"/>
              </w:rPr>
              <w:t>建设单位(盖章)</w:t>
            </w:r>
            <w:r>
              <w:rPr>
                <w:rFonts w:hint="default" w:ascii="仿宋" w:hAnsi="仿宋" w:eastAsia="仿宋" w:cs="仿宋"/>
                <w:spacing w:val="-6"/>
                <w:sz w:val="36"/>
                <w:szCs w:val="36"/>
              </w:rPr>
              <w:t>：</w:t>
            </w:r>
          </w:p>
        </w:tc>
        <w:tc>
          <w:tcPr>
            <w:tcW w:w="5123" w:type="dxa"/>
            <w:tcBorders>
              <w:top w:val="nil"/>
              <w:bottom w:val="single" w:color="auto" w:sz="4" w:space="0"/>
              <w:tl2br w:val="nil"/>
              <w:tr2bl w:val="nil"/>
            </w:tcBorders>
            <w:noWrap w:val="0"/>
            <w:tcMar>
              <w:top w:w="0" w:type="dxa"/>
              <w:left w:w="0" w:type="dxa"/>
              <w:bottom w:w="0" w:type="dxa"/>
              <w:right w:w="0" w:type="dxa"/>
            </w:tcMar>
            <w:vAlign w:val="bottom"/>
          </w:tcPr>
          <w:p w14:paraId="719F047C">
            <w:pPr>
              <w:keepNext w:val="0"/>
              <w:keepLines w:val="0"/>
              <w:widowControl w:val="0"/>
              <w:suppressLineNumbers w:val="0"/>
              <w:spacing w:before="0" w:beforeAutospacing="0" w:after="0" w:afterAutospacing="0" w:line="240" w:lineRule="auto"/>
              <w:ind w:left="0" w:right="0"/>
              <w:jc w:val="center"/>
              <w:rPr>
                <w:rFonts w:hint="default" w:ascii="仿宋" w:hAnsi="仿宋" w:eastAsia="仿宋" w:cs="仿宋"/>
                <w:spacing w:val="-10"/>
                <w:sz w:val="36"/>
                <w:szCs w:val="36"/>
                <w:vertAlign w:val="baseline"/>
                <w:lang w:val="en-US" w:eastAsia="zh-CN"/>
              </w:rPr>
            </w:pPr>
            <w:r>
              <w:rPr>
                <w:rFonts w:hint="eastAsia" w:ascii="仿宋" w:hAnsi="仿宋" w:eastAsia="仿宋" w:cs="仿宋"/>
                <w:spacing w:val="-10"/>
                <w:sz w:val="36"/>
                <w:szCs w:val="36"/>
                <w:vertAlign w:val="baseline"/>
                <w:lang w:val="en-US" w:eastAsia="zh-CN"/>
              </w:rPr>
              <w:t>安阳秦老吉灌溉设备</w:t>
            </w:r>
            <w:r>
              <w:rPr>
                <w:rFonts w:hint="default" w:ascii="仿宋" w:hAnsi="仿宋" w:eastAsia="仿宋" w:cs="仿宋"/>
                <w:spacing w:val="-10"/>
                <w:sz w:val="36"/>
                <w:szCs w:val="36"/>
                <w:vertAlign w:val="baseline"/>
              </w:rPr>
              <w:t>有限公司</w:t>
            </w:r>
          </w:p>
        </w:tc>
      </w:tr>
      <w:tr w14:paraId="774B94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872" w:type="dxa"/>
            <w:tcBorders>
              <w:top w:val="nil"/>
              <w:tl2br w:val="nil"/>
              <w:tr2bl w:val="nil"/>
            </w:tcBorders>
            <w:noWrap w:val="0"/>
            <w:tcMar>
              <w:top w:w="0" w:type="dxa"/>
              <w:left w:w="0" w:type="dxa"/>
              <w:bottom w:w="0" w:type="dxa"/>
              <w:right w:w="0" w:type="dxa"/>
            </w:tcMar>
            <w:vAlign w:val="bottom"/>
          </w:tcPr>
          <w:p w14:paraId="06F4CEF5">
            <w:pPr>
              <w:keepNext w:val="0"/>
              <w:keepLines w:val="0"/>
              <w:widowControl w:val="0"/>
              <w:suppressLineNumbers w:val="0"/>
              <w:spacing w:before="0" w:beforeAutospacing="0" w:after="0" w:afterAutospacing="0" w:line="240" w:lineRule="auto"/>
              <w:ind w:left="0" w:right="0"/>
              <w:jc w:val="both"/>
              <w:rPr>
                <w:rFonts w:hint="default" w:ascii="仿宋" w:hAnsi="仿宋" w:eastAsia="仿宋" w:cs="仿宋"/>
                <w:spacing w:val="-10"/>
                <w:sz w:val="36"/>
                <w:szCs w:val="36"/>
                <w:vertAlign w:val="baseline"/>
              </w:rPr>
            </w:pPr>
            <w:r>
              <w:rPr>
                <w:rFonts w:hint="eastAsia" w:ascii="仿宋" w:hAnsi="仿宋" w:eastAsia="仿宋" w:cs="仿宋"/>
                <w:spacing w:val="-6"/>
                <w:sz w:val="36"/>
                <w:szCs w:val="36"/>
                <w:lang w:val="en-US" w:eastAsia="zh-CN"/>
              </w:rPr>
              <w:t>编制日期</w:t>
            </w:r>
            <w:r>
              <w:rPr>
                <w:rFonts w:hint="default" w:ascii="仿宋" w:hAnsi="仿宋" w:eastAsia="仿宋" w:cs="仿宋"/>
                <w:spacing w:val="-6"/>
                <w:sz w:val="36"/>
                <w:szCs w:val="36"/>
              </w:rPr>
              <w:t>：</w:t>
            </w:r>
          </w:p>
        </w:tc>
        <w:tc>
          <w:tcPr>
            <w:tcW w:w="6123" w:type="dxa"/>
            <w:gridSpan w:val="2"/>
            <w:tcBorders>
              <w:top w:val="nil"/>
              <w:bottom w:val="single" w:color="auto" w:sz="4" w:space="0"/>
              <w:tl2br w:val="nil"/>
              <w:tr2bl w:val="nil"/>
            </w:tcBorders>
            <w:noWrap w:val="0"/>
            <w:tcMar>
              <w:top w:w="0" w:type="dxa"/>
              <w:left w:w="0" w:type="dxa"/>
              <w:bottom w:w="0" w:type="dxa"/>
              <w:right w:w="0" w:type="dxa"/>
            </w:tcMar>
            <w:vAlign w:val="bottom"/>
          </w:tcPr>
          <w:p w14:paraId="13D8EB06">
            <w:pPr>
              <w:keepNext w:val="0"/>
              <w:keepLines w:val="0"/>
              <w:widowControl w:val="0"/>
              <w:suppressLineNumbers w:val="0"/>
              <w:spacing w:before="0" w:beforeAutospacing="0" w:after="0" w:afterAutospacing="0" w:line="240" w:lineRule="auto"/>
              <w:ind w:left="0" w:right="0"/>
              <w:jc w:val="center"/>
              <w:rPr>
                <w:rFonts w:hint="default" w:ascii="仿宋" w:hAnsi="仿宋" w:eastAsia="仿宋" w:cs="仿宋"/>
                <w:spacing w:val="-10"/>
                <w:sz w:val="36"/>
                <w:szCs w:val="36"/>
                <w:vertAlign w:val="baseline"/>
              </w:rPr>
            </w:pPr>
            <w:r>
              <w:rPr>
                <w:rFonts w:hint="eastAsia" w:ascii="仿宋" w:hAnsi="仿宋" w:eastAsia="仿宋" w:cs="仿宋"/>
                <w:spacing w:val="-10"/>
                <w:sz w:val="36"/>
                <w:szCs w:val="36"/>
                <w:vertAlign w:val="baseline"/>
                <w:lang w:val="en-US" w:eastAsia="zh-CN"/>
              </w:rPr>
              <w:t>2026年2月</w:t>
            </w:r>
          </w:p>
        </w:tc>
      </w:tr>
    </w:tbl>
    <w:p w14:paraId="119A4E51">
      <w:pPr>
        <w:spacing w:line="254" w:lineRule="auto"/>
        <w:rPr>
          <w:rFonts w:ascii="Arial"/>
          <w:sz w:val="36"/>
          <w:szCs w:val="36"/>
        </w:rPr>
      </w:pPr>
    </w:p>
    <w:p w14:paraId="1CE98ACB">
      <w:pPr>
        <w:spacing w:line="254" w:lineRule="auto"/>
        <w:rPr>
          <w:rFonts w:ascii="Arial"/>
          <w:sz w:val="21"/>
        </w:rPr>
      </w:pPr>
    </w:p>
    <w:p w14:paraId="47B096F0">
      <w:pPr>
        <w:spacing w:line="254" w:lineRule="auto"/>
        <w:rPr>
          <w:rFonts w:ascii="Arial"/>
          <w:sz w:val="21"/>
        </w:rPr>
      </w:pPr>
    </w:p>
    <w:p w14:paraId="27DFE89C">
      <w:pPr>
        <w:spacing w:line="254" w:lineRule="auto"/>
        <w:rPr>
          <w:rFonts w:ascii="Arial"/>
          <w:sz w:val="21"/>
        </w:rPr>
      </w:pPr>
    </w:p>
    <w:p w14:paraId="655FEF93">
      <w:pPr>
        <w:spacing w:line="255" w:lineRule="auto"/>
        <w:rPr>
          <w:rFonts w:ascii="Arial"/>
          <w:sz w:val="21"/>
        </w:rPr>
      </w:pPr>
    </w:p>
    <w:p w14:paraId="309784A0">
      <w:pPr>
        <w:spacing w:line="255" w:lineRule="auto"/>
        <w:rPr>
          <w:rFonts w:ascii="Arial"/>
          <w:sz w:val="21"/>
        </w:rPr>
      </w:pPr>
    </w:p>
    <w:p w14:paraId="3947C1A7">
      <w:pPr>
        <w:spacing w:line="255" w:lineRule="auto"/>
        <w:rPr>
          <w:rFonts w:ascii="Arial"/>
          <w:sz w:val="21"/>
        </w:rPr>
      </w:pPr>
    </w:p>
    <w:p w14:paraId="6315FB23">
      <w:pPr>
        <w:spacing w:line="255" w:lineRule="auto"/>
        <w:rPr>
          <w:rFonts w:ascii="Arial"/>
          <w:sz w:val="21"/>
        </w:rPr>
      </w:pPr>
    </w:p>
    <w:p w14:paraId="157B64DD">
      <w:pPr>
        <w:spacing w:before="115" w:line="230" w:lineRule="auto"/>
        <w:ind w:left="1882"/>
        <w:outlineLvl w:val="9"/>
        <w:rPr>
          <w:rFonts w:ascii="楷体" w:hAnsi="楷体" w:eastAsia="楷体" w:cs="楷体"/>
          <w:sz w:val="35"/>
          <w:szCs w:val="35"/>
        </w:rPr>
      </w:pPr>
      <w:r>
        <w:rPr>
          <w:rFonts w:ascii="楷体" w:hAnsi="楷体" w:eastAsia="楷体" w:cs="楷体"/>
          <w:spacing w:val="10"/>
          <w:sz w:val="36"/>
          <w:szCs w:val="36"/>
        </w:rPr>
        <w:t>中</w:t>
      </w:r>
      <w:r>
        <w:rPr>
          <w:rFonts w:ascii="楷体" w:hAnsi="楷体" w:eastAsia="楷体" w:cs="楷体"/>
          <w:spacing w:val="8"/>
          <w:sz w:val="36"/>
          <w:szCs w:val="36"/>
        </w:rPr>
        <w:t>华</w:t>
      </w:r>
      <w:r>
        <w:rPr>
          <w:rFonts w:ascii="楷体" w:hAnsi="楷体" w:eastAsia="楷体" w:cs="楷体"/>
          <w:spacing w:val="5"/>
          <w:sz w:val="36"/>
          <w:szCs w:val="36"/>
        </w:rPr>
        <w:t>人民共和国生态环境部制</w:t>
      </w:r>
    </w:p>
    <w:p w14:paraId="53FFD3D9"/>
    <w:p w14:paraId="77AABD78"/>
    <w:p w14:paraId="6C0697A3"/>
    <w:p w14:paraId="545D6152">
      <w:pPr>
        <w:sectPr>
          <w:pgSz w:w="11906" w:h="16839"/>
          <w:pgMar w:top="1134" w:right="1701" w:bottom="1134" w:left="1701" w:header="0" w:footer="918" w:gutter="0"/>
          <w:pgBorders>
            <w:top w:val="none" w:sz="0" w:space="0"/>
            <w:left w:val="none" w:sz="0" w:space="0"/>
            <w:bottom w:val="none" w:sz="0" w:space="0"/>
            <w:right w:val="none" w:sz="0" w:space="0"/>
          </w:pgBorders>
          <w:pgNumType w:fmt="decimal"/>
          <w:cols w:space="720" w:num="1"/>
        </w:sectPr>
      </w:pPr>
    </w:p>
    <w:p w14:paraId="7B269A57">
      <w:pPr>
        <w:spacing w:before="0" w:beforeLines="0" w:after="0" w:afterLines="0" w:line="240" w:lineRule="auto"/>
        <w:ind w:left="0" w:leftChars="0" w:right="0" w:rightChars="0" w:firstLine="0" w:firstLineChars="0"/>
        <w:jc w:val="center"/>
        <w:rPr>
          <w:rFonts w:hint="eastAsia" w:ascii="黑体" w:hAnsi="黑体" w:eastAsia="黑体" w:cs="黑体"/>
          <w:sz w:val="32"/>
          <w:szCs w:val="32"/>
        </w:rPr>
      </w:pPr>
      <w:r>
        <w:rPr>
          <w:rFonts w:hint="eastAsia" w:ascii="黑体" w:hAnsi="黑体" w:eastAsia="黑体" w:cs="黑体"/>
          <w:sz w:val="32"/>
          <w:szCs w:val="32"/>
        </w:rPr>
        <w:t>目</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录</w:t>
      </w:r>
    </w:p>
    <w:p w14:paraId="4DA2F442">
      <w:pPr>
        <w:spacing w:before="0" w:beforeLines="0" w:after="0" w:afterLines="0" w:line="240" w:lineRule="auto"/>
        <w:ind w:left="0" w:leftChars="0" w:right="0" w:rightChars="0" w:firstLine="0" w:firstLineChars="0"/>
        <w:jc w:val="center"/>
        <w:rPr>
          <w:rFonts w:hint="eastAsia" w:ascii="黑体" w:hAnsi="黑体" w:eastAsia="黑体" w:cs="黑体"/>
          <w:sz w:val="30"/>
          <w:szCs w:val="30"/>
        </w:rPr>
      </w:pPr>
    </w:p>
    <w:p w14:paraId="4176445A">
      <w:pPr>
        <w:pStyle w:val="17"/>
        <w:keepNext w:val="0"/>
        <w:keepLines w:val="0"/>
        <w:pageBreakBefore w:val="0"/>
        <w:widowControl w:val="0"/>
        <w:tabs>
          <w:tab w:val="right" w:leader="dot" w:pos="8732"/>
        </w:tabs>
        <w:kinsoku/>
        <w:wordWrap/>
        <w:overflowPunct/>
        <w:topLinePunct w:val="0"/>
        <w:autoSpaceDE/>
        <w:autoSpaceDN/>
        <w:bidi w:val="0"/>
        <w:adjustRightInd/>
        <w:snapToGrid/>
        <w:spacing w:line="520" w:lineRule="exact"/>
        <w:textAlignment w:val="auto"/>
        <w:rPr>
          <w:rFonts w:hint="default" w:ascii="Times New Roman" w:hAnsi="Times New Roman" w:cs="Times New Roman"/>
          <w:sz w:val="28"/>
          <w:szCs w:val="28"/>
        </w:rPr>
      </w:pPr>
      <w:r>
        <w:fldChar w:fldCharType="begin"/>
      </w:r>
      <w:r>
        <w:instrText xml:space="preserve">TOC \o "1-1" \h \u </w:instrText>
      </w:r>
      <w:r>
        <w:fldChar w:fldCharType="separate"/>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HYPERLINK \l _Toc16828 </w:instrText>
      </w:r>
      <w:r>
        <w:rPr>
          <w:rFonts w:hint="default" w:ascii="Times New Roman" w:hAnsi="Times New Roman" w:cs="Times New Roman"/>
          <w:sz w:val="28"/>
          <w:szCs w:val="28"/>
        </w:rPr>
        <w:fldChar w:fldCharType="separate"/>
      </w:r>
      <w:r>
        <w:rPr>
          <w:rFonts w:hint="default" w:ascii="Times New Roman" w:hAnsi="Times New Roman" w:eastAsia="黑体" w:cs="Times New Roman"/>
          <w:snapToGrid w:val="0"/>
          <w:sz w:val="28"/>
          <w:szCs w:val="28"/>
        </w:rPr>
        <w:t>一、建设项目基本情况</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_Toc16828 \h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fldChar w:fldCharType="end"/>
      </w:r>
    </w:p>
    <w:p w14:paraId="542D7253">
      <w:pPr>
        <w:pStyle w:val="17"/>
        <w:keepNext w:val="0"/>
        <w:keepLines w:val="0"/>
        <w:pageBreakBefore w:val="0"/>
        <w:widowControl w:val="0"/>
        <w:tabs>
          <w:tab w:val="right" w:leader="dot" w:pos="8732"/>
        </w:tabs>
        <w:kinsoku/>
        <w:wordWrap/>
        <w:overflowPunct/>
        <w:topLinePunct w:val="0"/>
        <w:autoSpaceDE/>
        <w:autoSpaceDN/>
        <w:bidi w:val="0"/>
        <w:adjustRightInd/>
        <w:snapToGrid/>
        <w:spacing w:line="520" w:lineRule="exact"/>
        <w:textAlignment w:val="auto"/>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HYPERLINK \l _Toc10810 </w:instrText>
      </w:r>
      <w:r>
        <w:rPr>
          <w:rFonts w:hint="default" w:ascii="Times New Roman" w:hAnsi="Times New Roman" w:cs="Times New Roman"/>
          <w:sz w:val="28"/>
          <w:szCs w:val="28"/>
        </w:rPr>
        <w:fldChar w:fldCharType="separate"/>
      </w:r>
      <w:r>
        <w:rPr>
          <w:rFonts w:hint="default" w:ascii="Times New Roman" w:hAnsi="Times New Roman" w:eastAsia="黑体" w:cs="Times New Roman"/>
          <w:snapToGrid w:val="0"/>
          <w:sz w:val="28"/>
          <w:szCs w:val="28"/>
        </w:rPr>
        <w:t>二、建设项目工程分析</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_Toc10810 \h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44</w:t>
      </w:r>
      <w:r>
        <w:rPr>
          <w:rFonts w:hint="default" w:ascii="Times New Roman" w:hAnsi="Times New Roman" w:cs="Times New Roman"/>
          <w:sz w:val="28"/>
          <w:szCs w:val="28"/>
        </w:rPr>
        <w:fldChar w:fldCharType="end"/>
      </w:r>
      <w:r>
        <w:rPr>
          <w:rFonts w:hint="default" w:ascii="Times New Roman" w:hAnsi="Times New Roman" w:cs="Times New Roman"/>
          <w:sz w:val="28"/>
          <w:szCs w:val="28"/>
        </w:rPr>
        <w:fldChar w:fldCharType="end"/>
      </w:r>
    </w:p>
    <w:p w14:paraId="06400971">
      <w:pPr>
        <w:pStyle w:val="17"/>
        <w:keepNext w:val="0"/>
        <w:keepLines w:val="0"/>
        <w:pageBreakBefore w:val="0"/>
        <w:widowControl w:val="0"/>
        <w:tabs>
          <w:tab w:val="right" w:leader="dot" w:pos="8732"/>
        </w:tabs>
        <w:kinsoku/>
        <w:wordWrap/>
        <w:overflowPunct/>
        <w:topLinePunct w:val="0"/>
        <w:autoSpaceDE/>
        <w:autoSpaceDN/>
        <w:bidi w:val="0"/>
        <w:adjustRightInd/>
        <w:snapToGrid/>
        <w:spacing w:line="520" w:lineRule="exact"/>
        <w:textAlignment w:val="auto"/>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HYPERLINK \l _Toc19845 </w:instrText>
      </w:r>
      <w:r>
        <w:rPr>
          <w:rFonts w:hint="default" w:ascii="Times New Roman" w:hAnsi="Times New Roman" w:cs="Times New Roman"/>
          <w:sz w:val="28"/>
          <w:szCs w:val="28"/>
        </w:rPr>
        <w:fldChar w:fldCharType="separate"/>
      </w:r>
      <w:r>
        <w:rPr>
          <w:rFonts w:hint="default" w:ascii="Times New Roman" w:hAnsi="Times New Roman" w:eastAsia="黑体" w:cs="Times New Roman"/>
          <w:snapToGrid w:val="0"/>
          <w:sz w:val="28"/>
          <w:szCs w:val="28"/>
        </w:rPr>
        <w:t>三、区域环境质量现状、环境保护目标及评价标准</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_Toc19845 \h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50</w:t>
      </w:r>
      <w:r>
        <w:rPr>
          <w:rFonts w:hint="default" w:ascii="Times New Roman" w:hAnsi="Times New Roman" w:cs="Times New Roman"/>
          <w:sz w:val="28"/>
          <w:szCs w:val="28"/>
        </w:rPr>
        <w:fldChar w:fldCharType="end"/>
      </w:r>
      <w:r>
        <w:rPr>
          <w:rFonts w:hint="default" w:ascii="Times New Roman" w:hAnsi="Times New Roman" w:cs="Times New Roman"/>
          <w:sz w:val="28"/>
          <w:szCs w:val="28"/>
        </w:rPr>
        <w:fldChar w:fldCharType="end"/>
      </w:r>
    </w:p>
    <w:p w14:paraId="05C1E497">
      <w:pPr>
        <w:pStyle w:val="17"/>
        <w:keepNext w:val="0"/>
        <w:keepLines w:val="0"/>
        <w:pageBreakBefore w:val="0"/>
        <w:widowControl w:val="0"/>
        <w:tabs>
          <w:tab w:val="right" w:leader="dot" w:pos="8732"/>
        </w:tabs>
        <w:kinsoku/>
        <w:wordWrap/>
        <w:overflowPunct/>
        <w:topLinePunct w:val="0"/>
        <w:autoSpaceDE/>
        <w:autoSpaceDN/>
        <w:bidi w:val="0"/>
        <w:adjustRightInd/>
        <w:snapToGrid/>
        <w:spacing w:line="520" w:lineRule="exact"/>
        <w:textAlignment w:val="auto"/>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HYPERLINK \l _Toc1182 </w:instrText>
      </w:r>
      <w:r>
        <w:rPr>
          <w:rFonts w:hint="default" w:ascii="Times New Roman" w:hAnsi="Times New Roman" w:cs="Times New Roman"/>
          <w:sz w:val="28"/>
          <w:szCs w:val="28"/>
        </w:rPr>
        <w:fldChar w:fldCharType="separate"/>
      </w:r>
      <w:r>
        <w:rPr>
          <w:rFonts w:hint="default" w:ascii="Times New Roman" w:hAnsi="Times New Roman" w:eastAsia="黑体" w:cs="Times New Roman"/>
          <w:snapToGrid w:val="0"/>
          <w:sz w:val="28"/>
          <w:szCs w:val="28"/>
        </w:rPr>
        <w:t>四、主要环境影响和保护措施</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_Toc1182 \h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57</w:t>
      </w:r>
      <w:r>
        <w:rPr>
          <w:rFonts w:hint="default" w:ascii="Times New Roman" w:hAnsi="Times New Roman" w:cs="Times New Roman"/>
          <w:sz w:val="28"/>
          <w:szCs w:val="28"/>
        </w:rPr>
        <w:fldChar w:fldCharType="end"/>
      </w:r>
      <w:r>
        <w:rPr>
          <w:rFonts w:hint="default" w:ascii="Times New Roman" w:hAnsi="Times New Roman" w:cs="Times New Roman"/>
          <w:sz w:val="28"/>
          <w:szCs w:val="28"/>
        </w:rPr>
        <w:fldChar w:fldCharType="end"/>
      </w:r>
    </w:p>
    <w:p w14:paraId="45D0ACBE">
      <w:pPr>
        <w:pStyle w:val="17"/>
        <w:keepNext w:val="0"/>
        <w:keepLines w:val="0"/>
        <w:pageBreakBefore w:val="0"/>
        <w:widowControl w:val="0"/>
        <w:tabs>
          <w:tab w:val="right" w:leader="dot" w:pos="8732"/>
        </w:tabs>
        <w:kinsoku/>
        <w:wordWrap/>
        <w:overflowPunct/>
        <w:topLinePunct w:val="0"/>
        <w:autoSpaceDE/>
        <w:autoSpaceDN/>
        <w:bidi w:val="0"/>
        <w:adjustRightInd/>
        <w:snapToGrid/>
        <w:spacing w:line="520" w:lineRule="exact"/>
        <w:textAlignment w:val="auto"/>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HYPERLINK \l _Toc13412 </w:instrText>
      </w:r>
      <w:r>
        <w:rPr>
          <w:rFonts w:hint="default" w:ascii="Times New Roman" w:hAnsi="Times New Roman" w:cs="Times New Roman"/>
          <w:sz w:val="28"/>
          <w:szCs w:val="28"/>
        </w:rPr>
        <w:fldChar w:fldCharType="separate"/>
      </w:r>
      <w:r>
        <w:rPr>
          <w:rFonts w:hint="default" w:ascii="Times New Roman" w:hAnsi="Times New Roman" w:eastAsia="黑体" w:cs="Times New Roman"/>
          <w:snapToGrid w:val="0"/>
          <w:sz w:val="28"/>
          <w:szCs w:val="28"/>
        </w:rPr>
        <w:t>五、环境保护措施监督检查清单</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_Toc13412 \h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71</w:t>
      </w:r>
      <w:r>
        <w:rPr>
          <w:rFonts w:hint="default" w:ascii="Times New Roman" w:hAnsi="Times New Roman" w:cs="Times New Roman"/>
          <w:sz w:val="28"/>
          <w:szCs w:val="28"/>
        </w:rPr>
        <w:fldChar w:fldCharType="end"/>
      </w:r>
      <w:r>
        <w:rPr>
          <w:rFonts w:hint="default" w:ascii="Times New Roman" w:hAnsi="Times New Roman" w:cs="Times New Roman"/>
          <w:sz w:val="28"/>
          <w:szCs w:val="28"/>
        </w:rPr>
        <w:fldChar w:fldCharType="end"/>
      </w:r>
    </w:p>
    <w:p w14:paraId="53992315">
      <w:pPr>
        <w:pStyle w:val="17"/>
        <w:keepNext w:val="0"/>
        <w:keepLines w:val="0"/>
        <w:pageBreakBefore w:val="0"/>
        <w:widowControl w:val="0"/>
        <w:tabs>
          <w:tab w:val="right" w:leader="dot" w:pos="8732"/>
        </w:tabs>
        <w:kinsoku/>
        <w:wordWrap/>
        <w:overflowPunct/>
        <w:topLinePunct w:val="0"/>
        <w:autoSpaceDE/>
        <w:autoSpaceDN/>
        <w:bidi w:val="0"/>
        <w:adjustRightInd/>
        <w:snapToGrid/>
        <w:spacing w:line="520" w:lineRule="exact"/>
        <w:textAlignment w:val="auto"/>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HYPERLINK \l _Toc30397 </w:instrText>
      </w:r>
      <w:r>
        <w:rPr>
          <w:rFonts w:hint="default" w:ascii="Times New Roman" w:hAnsi="Times New Roman" w:cs="Times New Roman"/>
          <w:sz w:val="28"/>
          <w:szCs w:val="28"/>
        </w:rPr>
        <w:fldChar w:fldCharType="separate"/>
      </w:r>
      <w:r>
        <w:rPr>
          <w:rFonts w:hint="default" w:ascii="Times New Roman" w:hAnsi="Times New Roman" w:eastAsia="黑体" w:cs="Times New Roman"/>
          <w:snapToGrid w:val="0"/>
          <w:sz w:val="28"/>
          <w:szCs w:val="28"/>
        </w:rPr>
        <w:t>六、结论</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_Toc30397 \h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73</w:t>
      </w:r>
      <w:r>
        <w:rPr>
          <w:rFonts w:hint="default" w:ascii="Times New Roman" w:hAnsi="Times New Roman" w:cs="Times New Roman"/>
          <w:sz w:val="28"/>
          <w:szCs w:val="28"/>
        </w:rPr>
        <w:fldChar w:fldCharType="end"/>
      </w:r>
      <w:r>
        <w:rPr>
          <w:rFonts w:hint="default" w:ascii="Times New Roman" w:hAnsi="Times New Roman" w:cs="Times New Roman"/>
          <w:sz w:val="28"/>
          <w:szCs w:val="28"/>
        </w:rPr>
        <w:fldChar w:fldCharType="end"/>
      </w:r>
    </w:p>
    <w:p w14:paraId="233C0F54">
      <w:pPr>
        <w:pStyle w:val="17"/>
        <w:tabs>
          <w:tab w:val="right" w:leader="dot" w:pos="8732"/>
        </w:tabs>
      </w:pPr>
    </w:p>
    <w:p w14:paraId="51C0CE1C">
      <w:pPr>
        <w:pStyle w:val="21"/>
        <w:jc w:val="center"/>
        <w:outlineLvl w:val="0"/>
        <w:sectPr>
          <w:footerReference r:id="rId3" w:type="default"/>
          <w:pgSz w:w="11906" w:h="16838"/>
          <w:pgMar w:top="1701" w:right="1587" w:bottom="1984" w:left="1587" w:header="850" w:footer="1134" w:gutter="0"/>
          <w:pgBorders>
            <w:top w:val="none" w:sz="0" w:space="0"/>
            <w:left w:val="none" w:sz="0" w:space="0"/>
            <w:bottom w:val="none" w:sz="0" w:space="0"/>
            <w:right w:val="none" w:sz="0" w:space="0"/>
          </w:pgBorders>
          <w:pgNumType w:fmt="decimal"/>
          <w:cols w:space="0" w:num="1"/>
          <w:rtlGutter w:val="0"/>
          <w:docGrid w:linePitch="312" w:charSpace="0"/>
        </w:sectPr>
      </w:pPr>
      <w:r>
        <w:fldChar w:fldCharType="end"/>
      </w:r>
    </w:p>
    <w:p w14:paraId="300BB224">
      <w:pPr>
        <w:pStyle w:val="21"/>
        <w:jc w:val="center"/>
        <w:outlineLvl w:val="0"/>
        <w:rPr>
          <w:rFonts w:hint="eastAsia" w:ascii="黑体" w:hAnsi="黑体" w:eastAsia="黑体"/>
          <w:snapToGrid w:val="0"/>
          <w:color w:val="000000" w:themeColor="text1"/>
          <w:sz w:val="30"/>
          <w:szCs w:val="30"/>
          <w14:textFill>
            <w14:solidFill>
              <w14:schemeClr w14:val="tx1"/>
            </w14:solidFill>
          </w14:textFill>
        </w:rPr>
      </w:pPr>
      <w:bookmarkStart w:id="1" w:name="_Toc16828"/>
      <w:r>
        <w:rPr>
          <w:rFonts w:hint="eastAsia" w:ascii="黑体" w:hAnsi="黑体" w:eastAsia="黑体"/>
          <w:snapToGrid w:val="0"/>
          <w:color w:val="000000" w:themeColor="text1"/>
          <w:sz w:val="30"/>
          <w:szCs w:val="30"/>
          <w14:textFill>
            <w14:solidFill>
              <w14:schemeClr w14:val="tx1"/>
            </w14:solidFill>
          </w14:textFill>
        </w:rPr>
        <w:t>一、建设项目基本情况</w:t>
      </w:r>
      <w:bookmarkEnd w:id="0"/>
      <w:bookmarkEnd w:id="1"/>
    </w:p>
    <w:tbl>
      <w:tblPr>
        <w:tblStyle w:val="25"/>
        <w:tblW w:w="499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85" w:type="dxa"/>
          <w:bottom w:w="0" w:type="dxa"/>
          <w:right w:w="85" w:type="dxa"/>
        </w:tblCellMar>
      </w:tblPr>
      <w:tblGrid>
        <w:gridCol w:w="797"/>
        <w:gridCol w:w="1164"/>
        <w:gridCol w:w="1896"/>
        <w:gridCol w:w="1896"/>
        <w:gridCol w:w="3145"/>
      </w:tblGrid>
      <w:tr w14:paraId="7269D1C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85" w:type="dxa"/>
            <w:bottom w:w="0" w:type="dxa"/>
            <w:right w:w="85" w:type="dxa"/>
          </w:tblCellMar>
        </w:tblPrEx>
        <w:trPr>
          <w:trHeight w:val="482" w:hRule="atLeast"/>
          <w:jc w:val="center"/>
        </w:trPr>
        <w:tc>
          <w:tcPr>
            <w:tcW w:w="1102" w:type="pct"/>
            <w:gridSpan w:val="2"/>
            <w:noWrap w:val="0"/>
            <w:vAlign w:val="center"/>
          </w:tcPr>
          <w:p w14:paraId="33FF9F4F">
            <w:pPr>
              <w:keepNext w:val="0"/>
              <w:keepLines w:val="0"/>
              <w:pageBreakBefore w:val="0"/>
              <w:suppressLineNumbers w:val="0"/>
              <w:kinsoku/>
              <w:wordWrap/>
              <w:overflowPunct/>
              <w:topLinePunct w:val="0"/>
              <w:bidi w:val="0"/>
              <w:adjustRightInd/>
              <w:snapToGrid/>
              <w:spacing w:before="0" w:beforeAutospacing="0" w:after="0" w:afterAutospacing="0" w:line="360" w:lineRule="exact"/>
              <w:ind w:left="0" w:leftChars="0" w:right="0" w:rightChars="0" w:firstLine="0" w:firstLineChars="0"/>
              <w:jc w:val="center"/>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建设项目名称</w:t>
            </w:r>
          </w:p>
        </w:tc>
        <w:tc>
          <w:tcPr>
            <w:tcW w:w="3897" w:type="pct"/>
            <w:gridSpan w:val="3"/>
            <w:noWrap w:val="0"/>
            <w:vAlign w:val="center"/>
          </w:tcPr>
          <w:p w14:paraId="6C54BD8D">
            <w:pPr>
              <w:keepNext w:val="0"/>
              <w:keepLines w:val="0"/>
              <w:pageBreakBefore w:val="0"/>
              <w:suppressLineNumbers w:val="0"/>
              <w:kinsoku/>
              <w:wordWrap/>
              <w:overflowPunct/>
              <w:topLinePunct w:val="0"/>
              <w:bidi w:val="0"/>
              <w:adjustRightInd/>
              <w:snapToGrid/>
              <w:spacing w:before="0" w:beforeAutospacing="0" w:after="0" w:afterAutospacing="0" w:line="360" w:lineRule="exact"/>
              <w:ind w:left="0" w:leftChars="0" w:right="0" w:rightChars="0" w:firstLine="0" w:firstLineChars="0"/>
              <w:jc w:val="center"/>
              <w:textAlignment w:val="auto"/>
              <w:rPr>
                <w:rFonts w:hint="default" w:ascii="Times New Roman" w:hAnsi="Times New Roman" w:cs="Times New Roman"/>
                <w:color w:val="000000" w:themeColor="text1"/>
                <w:sz w:val="24"/>
                <w:szCs w:val="24"/>
                <w:lang w:val="en-US"/>
                <w14:textFill>
                  <w14:solidFill>
                    <w14:schemeClr w14:val="tx1"/>
                  </w14:solidFill>
                </w14:textFill>
              </w:rPr>
            </w:pPr>
            <w:r>
              <w:rPr>
                <w:rFonts w:hint="default" w:ascii="Times New Roman" w:hAnsi="Times New Roman" w:cs="Times New Roman"/>
                <w:color w:val="000000" w:themeColor="text1"/>
                <w:sz w:val="24"/>
                <w:szCs w:val="24"/>
                <w:lang w:val="en-US" w:eastAsia="zh-CN"/>
                <w14:textFill>
                  <w14:solidFill>
                    <w14:schemeClr w14:val="tx1"/>
                  </w14:solidFill>
                </w14:textFill>
              </w:rPr>
              <w:t>聚乙烯复合材料</w:t>
            </w:r>
            <w:r>
              <w:rPr>
                <w:rFonts w:hint="eastAsia" w:cs="Times New Roman"/>
                <w:color w:val="000000" w:themeColor="text1"/>
                <w:sz w:val="24"/>
                <w:szCs w:val="24"/>
                <w:lang w:val="en-US" w:eastAsia="zh-CN"/>
                <w14:textFill>
                  <w14:solidFill>
                    <w14:schemeClr w14:val="tx1"/>
                  </w14:solidFill>
                </w14:textFill>
              </w:rPr>
              <w:t>华北生产基地</w:t>
            </w:r>
            <w:r>
              <w:rPr>
                <w:rFonts w:hint="default" w:ascii="Times New Roman" w:hAnsi="Times New Roman" w:cs="Times New Roman"/>
                <w:color w:val="000000" w:themeColor="text1"/>
                <w:sz w:val="24"/>
                <w:szCs w:val="24"/>
                <w:lang w:val="en-US" w:eastAsia="zh-CN"/>
                <w14:textFill>
                  <w14:solidFill>
                    <w14:schemeClr w14:val="tx1"/>
                  </w14:solidFill>
                </w14:textFill>
              </w:rPr>
              <w:t>项目</w:t>
            </w:r>
          </w:p>
        </w:tc>
      </w:tr>
      <w:tr w14:paraId="633DC8B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85" w:type="dxa"/>
            <w:bottom w:w="0" w:type="dxa"/>
            <w:right w:w="85" w:type="dxa"/>
          </w:tblCellMar>
        </w:tblPrEx>
        <w:trPr>
          <w:trHeight w:val="482" w:hRule="atLeast"/>
          <w:jc w:val="center"/>
        </w:trPr>
        <w:tc>
          <w:tcPr>
            <w:tcW w:w="1102" w:type="pct"/>
            <w:gridSpan w:val="2"/>
            <w:noWrap w:val="0"/>
            <w:vAlign w:val="center"/>
          </w:tcPr>
          <w:p w14:paraId="29A91056">
            <w:pPr>
              <w:keepNext w:val="0"/>
              <w:keepLines w:val="0"/>
              <w:pageBreakBefore w:val="0"/>
              <w:suppressLineNumbers w:val="0"/>
              <w:kinsoku/>
              <w:wordWrap/>
              <w:overflowPunct/>
              <w:topLinePunct w:val="0"/>
              <w:bidi w:val="0"/>
              <w:adjustRightInd/>
              <w:snapToGrid/>
              <w:spacing w:before="0" w:beforeAutospacing="0" w:after="0" w:afterAutospacing="0" w:line="360" w:lineRule="exact"/>
              <w:ind w:left="0" w:leftChars="0" w:right="0" w:rightChars="0" w:firstLine="0" w:firstLineChars="0"/>
              <w:jc w:val="center"/>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项目代码</w:t>
            </w:r>
          </w:p>
        </w:tc>
        <w:tc>
          <w:tcPr>
            <w:tcW w:w="3897" w:type="pct"/>
            <w:gridSpan w:val="3"/>
            <w:noWrap w:val="0"/>
            <w:vAlign w:val="center"/>
          </w:tcPr>
          <w:p w14:paraId="6B4D4ABB">
            <w:pPr>
              <w:keepNext w:val="0"/>
              <w:keepLines w:val="0"/>
              <w:pageBreakBefore w:val="0"/>
              <w:suppressLineNumbers w:val="0"/>
              <w:kinsoku/>
              <w:wordWrap/>
              <w:overflowPunct/>
              <w:topLinePunct w:val="0"/>
              <w:bidi w:val="0"/>
              <w:adjustRightInd/>
              <w:snapToGrid/>
              <w:spacing w:before="0" w:beforeAutospacing="0" w:after="0" w:afterAutospacing="0" w:line="360" w:lineRule="exact"/>
              <w:ind w:left="0" w:leftChars="0" w:right="0" w:rightChars="0" w:firstLine="0" w:firstLineChars="0"/>
              <w:jc w:val="center"/>
              <w:textAlignment w:val="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cs="Times New Roman"/>
                <w:color w:val="000000" w:themeColor="text1"/>
                <w:sz w:val="24"/>
                <w:szCs w:val="24"/>
                <w:lang w:val="en-US" w:eastAsia="zh-CN"/>
                <w14:textFill>
                  <w14:solidFill>
                    <w14:schemeClr w14:val="tx1"/>
                  </w14:solidFill>
                </w14:textFill>
              </w:rPr>
              <w:t>2509-410523-04-01-334251</w:t>
            </w:r>
          </w:p>
        </w:tc>
      </w:tr>
      <w:tr w14:paraId="2D6999D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85" w:type="dxa"/>
            <w:bottom w:w="0" w:type="dxa"/>
            <w:right w:w="85" w:type="dxa"/>
          </w:tblCellMar>
        </w:tblPrEx>
        <w:trPr>
          <w:trHeight w:val="482" w:hRule="atLeast"/>
          <w:jc w:val="center"/>
        </w:trPr>
        <w:tc>
          <w:tcPr>
            <w:tcW w:w="1102" w:type="pct"/>
            <w:gridSpan w:val="2"/>
            <w:noWrap w:val="0"/>
            <w:vAlign w:val="center"/>
          </w:tcPr>
          <w:p w14:paraId="3F211D9C">
            <w:pPr>
              <w:keepNext w:val="0"/>
              <w:keepLines w:val="0"/>
              <w:pageBreakBefore w:val="0"/>
              <w:suppressLineNumbers w:val="0"/>
              <w:kinsoku/>
              <w:wordWrap/>
              <w:overflowPunct/>
              <w:topLinePunct w:val="0"/>
              <w:bidi w:val="0"/>
              <w:adjustRightInd/>
              <w:snapToGrid/>
              <w:spacing w:before="0" w:beforeAutospacing="0" w:after="0" w:afterAutospacing="0" w:line="360" w:lineRule="exact"/>
              <w:ind w:left="0" w:leftChars="0" w:right="0" w:rightChars="0" w:firstLine="0" w:firstLineChars="0"/>
              <w:jc w:val="center"/>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建设单位联系人</w:t>
            </w:r>
          </w:p>
        </w:tc>
        <w:tc>
          <w:tcPr>
            <w:tcW w:w="1065" w:type="pct"/>
            <w:noWrap w:val="0"/>
            <w:vAlign w:val="center"/>
          </w:tcPr>
          <w:p w14:paraId="31534003">
            <w:pPr>
              <w:keepNext w:val="0"/>
              <w:keepLines w:val="0"/>
              <w:pageBreakBefore w:val="0"/>
              <w:suppressLineNumbers w:val="0"/>
              <w:kinsoku/>
              <w:wordWrap/>
              <w:overflowPunct/>
              <w:topLinePunct w:val="0"/>
              <w:bidi w:val="0"/>
              <w:adjustRightInd/>
              <w:snapToGrid/>
              <w:spacing w:before="0" w:beforeAutospacing="0" w:after="0" w:afterAutospacing="0" w:line="360" w:lineRule="exact"/>
              <w:ind w:left="0" w:leftChars="0" w:right="0" w:rightChars="0" w:firstLine="0" w:firstLineChars="0"/>
              <w:jc w:val="center"/>
              <w:textAlignment w:val="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p>
        </w:tc>
        <w:tc>
          <w:tcPr>
            <w:tcW w:w="1065" w:type="pct"/>
            <w:noWrap w:val="0"/>
            <w:vAlign w:val="center"/>
          </w:tcPr>
          <w:p w14:paraId="0DAD8157">
            <w:pPr>
              <w:keepNext w:val="0"/>
              <w:keepLines w:val="0"/>
              <w:pageBreakBefore w:val="0"/>
              <w:suppressLineNumbers w:val="0"/>
              <w:kinsoku/>
              <w:wordWrap/>
              <w:overflowPunct/>
              <w:topLinePunct w:val="0"/>
              <w:bidi w:val="0"/>
              <w:adjustRightInd/>
              <w:snapToGrid/>
              <w:spacing w:before="0" w:beforeAutospacing="0" w:after="0" w:afterAutospacing="0" w:line="360" w:lineRule="exact"/>
              <w:ind w:left="0" w:leftChars="0" w:right="0" w:rightChars="0" w:firstLine="0" w:firstLineChars="0"/>
              <w:jc w:val="center"/>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联系方式</w:t>
            </w:r>
          </w:p>
        </w:tc>
        <w:tc>
          <w:tcPr>
            <w:tcW w:w="1767" w:type="pct"/>
            <w:noWrap w:val="0"/>
            <w:vAlign w:val="center"/>
          </w:tcPr>
          <w:p w14:paraId="42B35834">
            <w:pPr>
              <w:keepNext w:val="0"/>
              <w:keepLines w:val="0"/>
              <w:pageBreakBefore w:val="0"/>
              <w:suppressLineNumbers w:val="0"/>
              <w:kinsoku/>
              <w:wordWrap/>
              <w:overflowPunct/>
              <w:topLinePunct w:val="0"/>
              <w:bidi w:val="0"/>
              <w:adjustRightInd/>
              <w:snapToGrid/>
              <w:spacing w:before="0" w:beforeAutospacing="0" w:after="0" w:afterAutospacing="0" w:line="360" w:lineRule="exact"/>
              <w:ind w:left="0" w:leftChars="0" w:right="0" w:rightChars="0" w:firstLine="0" w:firstLineChars="0"/>
              <w:jc w:val="center"/>
              <w:textAlignment w:val="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bookmarkStart w:id="45" w:name="_GoBack"/>
            <w:bookmarkEnd w:id="45"/>
          </w:p>
        </w:tc>
      </w:tr>
      <w:tr w14:paraId="69B35C9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85" w:type="dxa"/>
            <w:bottom w:w="0" w:type="dxa"/>
            <w:right w:w="85" w:type="dxa"/>
          </w:tblCellMar>
        </w:tblPrEx>
        <w:trPr>
          <w:trHeight w:val="482" w:hRule="atLeast"/>
          <w:jc w:val="center"/>
        </w:trPr>
        <w:tc>
          <w:tcPr>
            <w:tcW w:w="1102" w:type="pct"/>
            <w:gridSpan w:val="2"/>
            <w:noWrap w:val="0"/>
            <w:vAlign w:val="center"/>
          </w:tcPr>
          <w:p w14:paraId="6EB07031">
            <w:pPr>
              <w:keepNext w:val="0"/>
              <w:keepLines w:val="0"/>
              <w:pageBreakBefore w:val="0"/>
              <w:suppressLineNumbers w:val="0"/>
              <w:kinsoku/>
              <w:wordWrap/>
              <w:overflowPunct/>
              <w:topLinePunct w:val="0"/>
              <w:bidi w:val="0"/>
              <w:adjustRightInd/>
              <w:snapToGrid/>
              <w:spacing w:before="0" w:beforeAutospacing="0" w:after="0" w:afterAutospacing="0" w:line="360" w:lineRule="exact"/>
              <w:ind w:left="0" w:leftChars="0" w:right="0" w:rightChars="0" w:firstLine="0" w:firstLineChars="0"/>
              <w:jc w:val="center"/>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建设地点</w:t>
            </w:r>
          </w:p>
        </w:tc>
        <w:tc>
          <w:tcPr>
            <w:tcW w:w="3897" w:type="pct"/>
            <w:gridSpan w:val="3"/>
            <w:noWrap w:val="0"/>
            <w:vAlign w:val="center"/>
          </w:tcPr>
          <w:p w14:paraId="6526890D">
            <w:pPr>
              <w:keepNext w:val="0"/>
              <w:keepLines w:val="0"/>
              <w:pageBreakBefore w:val="0"/>
              <w:suppressLineNumbers w:val="0"/>
              <w:kinsoku/>
              <w:wordWrap/>
              <w:overflowPunct/>
              <w:topLinePunct w:val="0"/>
              <w:bidi w:val="0"/>
              <w:adjustRightInd/>
              <w:snapToGrid/>
              <w:spacing w:before="0" w:beforeAutospacing="0" w:after="0" w:afterAutospacing="0" w:line="360" w:lineRule="exact"/>
              <w:ind w:left="0" w:leftChars="0" w:right="0" w:rightChars="0" w:firstLine="0" w:firstLineChars="0"/>
              <w:jc w:val="center"/>
              <w:textAlignment w:val="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cs="Times New Roman"/>
                <w:color w:val="000000" w:themeColor="text1"/>
                <w:sz w:val="24"/>
                <w:szCs w:val="24"/>
                <w:lang w:val="en-US" w:eastAsia="zh-CN"/>
                <w14:textFill>
                  <w14:solidFill>
                    <w14:schemeClr w14:val="tx1"/>
                  </w14:solidFill>
                </w14:textFill>
              </w:rPr>
              <w:t>河南省</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安阳市</w:t>
            </w:r>
            <w:r>
              <w:rPr>
                <w:rFonts w:hint="eastAsia" w:cs="Times New Roman"/>
                <w:color w:val="000000" w:themeColor="text1"/>
                <w:sz w:val="24"/>
                <w:szCs w:val="24"/>
                <w:lang w:val="en-US" w:eastAsia="zh-CN"/>
                <w14:textFill>
                  <w14:solidFill>
                    <w14:schemeClr w14:val="tx1"/>
                  </w14:solidFill>
                </w14:textFill>
              </w:rPr>
              <w:t>汤阴县韩庄镇工兴大道与岳庙街交叉口东南角</w:t>
            </w:r>
          </w:p>
        </w:tc>
      </w:tr>
      <w:tr w14:paraId="29DBB2E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85" w:type="dxa"/>
            <w:bottom w:w="0" w:type="dxa"/>
            <w:right w:w="85" w:type="dxa"/>
          </w:tblCellMar>
        </w:tblPrEx>
        <w:trPr>
          <w:trHeight w:val="770" w:hRule="atLeast"/>
          <w:jc w:val="center"/>
        </w:trPr>
        <w:tc>
          <w:tcPr>
            <w:tcW w:w="1102" w:type="pct"/>
            <w:gridSpan w:val="2"/>
            <w:noWrap w:val="0"/>
            <w:vAlign w:val="center"/>
          </w:tcPr>
          <w:p w14:paraId="52F4C4D4">
            <w:pPr>
              <w:keepNext w:val="0"/>
              <w:keepLines w:val="0"/>
              <w:pageBreakBefore w:val="0"/>
              <w:suppressLineNumbers w:val="0"/>
              <w:kinsoku/>
              <w:wordWrap/>
              <w:overflowPunct/>
              <w:topLinePunct w:val="0"/>
              <w:bidi w:val="0"/>
              <w:adjustRightInd/>
              <w:snapToGrid/>
              <w:spacing w:before="0" w:beforeAutospacing="0" w:after="0" w:afterAutospacing="0" w:line="360" w:lineRule="exact"/>
              <w:ind w:left="0" w:leftChars="0" w:right="0" w:rightChars="0" w:firstLine="0" w:firstLineChars="0"/>
              <w:jc w:val="center"/>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地理坐标</w:t>
            </w:r>
          </w:p>
        </w:tc>
        <w:tc>
          <w:tcPr>
            <w:tcW w:w="3897" w:type="pct"/>
            <w:gridSpan w:val="3"/>
            <w:noWrap w:val="0"/>
            <w:vAlign w:val="center"/>
          </w:tcPr>
          <w:p w14:paraId="4AA18541">
            <w:pPr>
              <w:keepNext w:val="0"/>
              <w:keepLines w:val="0"/>
              <w:pageBreakBefore w:val="0"/>
              <w:suppressLineNumbers w:val="0"/>
              <w:kinsoku/>
              <w:wordWrap/>
              <w:overflowPunct/>
              <w:topLinePunct w:val="0"/>
              <w:bidi w:val="0"/>
              <w:adjustRightInd/>
              <w:snapToGrid/>
              <w:spacing w:before="0" w:beforeAutospacing="0" w:after="0" w:afterAutospacing="0" w:line="360" w:lineRule="exact"/>
              <w:ind w:left="0" w:leftChars="0" w:right="0" w:rightChars="0" w:firstLine="0" w:firstLineChars="0"/>
              <w:jc w:val="center"/>
              <w:textAlignment w:val="auto"/>
              <w:rPr>
                <w:rFonts w:hint="default"/>
                <w:color w:val="000000"/>
                <w:sz w:val="24"/>
                <w:szCs w:val="24"/>
              </w:rPr>
            </w:pPr>
            <w:r>
              <w:rPr>
                <w:rFonts w:hint="default"/>
                <w:color w:val="000000"/>
                <w:sz w:val="24"/>
                <w:szCs w:val="24"/>
              </w:rPr>
              <w:t>（</w:t>
            </w:r>
            <w:r>
              <w:rPr>
                <w:rFonts w:hint="eastAsia"/>
                <w:color w:val="000000"/>
                <w:sz w:val="24"/>
                <w:szCs w:val="24"/>
                <w:lang w:val="en-US" w:eastAsia="zh-CN"/>
              </w:rPr>
              <w:t>东经：</w:t>
            </w:r>
            <w:r>
              <w:rPr>
                <w:rFonts w:hint="default"/>
                <w:color w:val="000000"/>
                <w:sz w:val="24"/>
                <w:szCs w:val="24"/>
                <w:u w:val="single"/>
              </w:rPr>
              <w:t xml:space="preserve">  11</w:t>
            </w:r>
            <w:r>
              <w:rPr>
                <w:rFonts w:hint="eastAsia"/>
                <w:color w:val="000000"/>
                <w:sz w:val="24"/>
                <w:szCs w:val="24"/>
                <w:u w:val="single"/>
                <w:lang w:val="en-US" w:eastAsia="zh-CN"/>
              </w:rPr>
              <w:t>4</w:t>
            </w:r>
            <w:r>
              <w:rPr>
                <w:rFonts w:hint="default"/>
                <w:color w:val="000000"/>
                <w:sz w:val="24"/>
                <w:szCs w:val="24"/>
                <w:u w:val="single"/>
              </w:rPr>
              <w:t xml:space="preserve">  </w:t>
            </w:r>
            <w:r>
              <w:rPr>
                <w:rFonts w:hint="default"/>
                <w:color w:val="000000"/>
                <w:sz w:val="24"/>
                <w:szCs w:val="24"/>
              </w:rPr>
              <w:t>度</w:t>
            </w:r>
            <w:r>
              <w:rPr>
                <w:rFonts w:hint="default"/>
                <w:color w:val="000000"/>
                <w:sz w:val="24"/>
                <w:szCs w:val="24"/>
                <w:u w:val="single"/>
              </w:rPr>
              <w:t xml:space="preserve">  </w:t>
            </w:r>
            <w:r>
              <w:rPr>
                <w:rFonts w:hint="eastAsia"/>
                <w:color w:val="000000"/>
                <w:sz w:val="24"/>
                <w:szCs w:val="24"/>
                <w:u w:val="single"/>
                <w:lang w:val="en-US" w:eastAsia="zh-CN"/>
              </w:rPr>
              <w:t>20</w:t>
            </w:r>
            <w:r>
              <w:rPr>
                <w:rFonts w:hint="default"/>
                <w:color w:val="000000"/>
                <w:sz w:val="24"/>
                <w:szCs w:val="24"/>
                <w:u w:val="single"/>
              </w:rPr>
              <w:t xml:space="preserve">  </w:t>
            </w:r>
            <w:r>
              <w:rPr>
                <w:rFonts w:hint="default"/>
                <w:color w:val="000000"/>
                <w:sz w:val="24"/>
                <w:szCs w:val="24"/>
              </w:rPr>
              <w:t>分</w:t>
            </w:r>
            <w:r>
              <w:rPr>
                <w:rFonts w:hint="default"/>
                <w:color w:val="000000"/>
                <w:sz w:val="24"/>
                <w:szCs w:val="24"/>
                <w:u w:val="single"/>
              </w:rPr>
              <w:t xml:space="preserve">  </w:t>
            </w:r>
            <w:r>
              <w:rPr>
                <w:rFonts w:hint="eastAsia"/>
                <w:color w:val="000000"/>
                <w:sz w:val="24"/>
                <w:szCs w:val="24"/>
                <w:u w:val="single"/>
                <w:lang w:val="en-US" w:eastAsia="zh-CN"/>
              </w:rPr>
              <w:t>48.942</w:t>
            </w:r>
            <w:r>
              <w:rPr>
                <w:rFonts w:hint="default"/>
                <w:color w:val="000000"/>
                <w:sz w:val="24"/>
                <w:szCs w:val="24"/>
                <w:u w:val="single"/>
              </w:rPr>
              <w:t xml:space="preserve">  </w:t>
            </w:r>
            <w:r>
              <w:rPr>
                <w:rFonts w:hint="default"/>
                <w:color w:val="000000"/>
                <w:sz w:val="24"/>
                <w:szCs w:val="24"/>
              </w:rPr>
              <w:t>秒，</w:t>
            </w:r>
          </w:p>
          <w:p w14:paraId="67367F09">
            <w:pPr>
              <w:keepNext w:val="0"/>
              <w:keepLines w:val="0"/>
              <w:pageBreakBefore w:val="0"/>
              <w:suppressLineNumbers w:val="0"/>
              <w:kinsoku/>
              <w:wordWrap/>
              <w:overflowPunct/>
              <w:topLinePunct w:val="0"/>
              <w:bidi w:val="0"/>
              <w:adjustRightInd/>
              <w:snapToGrid/>
              <w:spacing w:before="0" w:beforeAutospacing="0" w:after="0" w:afterAutospacing="0" w:line="360" w:lineRule="exact"/>
              <w:ind w:left="0" w:leftChars="0" w:right="0" w:rightChars="0" w:firstLine="0" w:firstLineChars="0"/>
              <w:jc w:val="center"/>
              <w:textAlignment w:val="auto"/>
              <w:rPr>
                <w:rFonts w:hint="default" w:ascii="Times New Roman" w:hAnsi="Times New Roman" w:cs="Times New Roman"/>
                <w:color w:val="000000" w:themeColor="text1"/>
                <w:sz w:val="24"/>
                <w:szCs w:val="24"/>
                <w14:textFill>
                  <w14:solidFill>
                    <w14:schemeClr w14:val="tx1"/>
                  </w14:solidFill>
                </w14:textFill>
              </w:rPr>
            </w:pPr>
            <w:r>
              <w:rPr>
                <w:rFonts w:hint="eastAsia"/>
                <w:color w:val="000000"/>
                <w:sz w:val="24"/>
                <w:szCs w:val="24"/>
                <w:lang w:val="en-US" w:eastAsia="zh-CN"/>
              </w:rPr>
              <w:t>北纬</w:t>
            </w:r>
            <w:r>
              <w:rPr>
                <w:rFonts w:hint="default"/>
                <w:color w:val="000000"/>
                <w:sz w:val="24"/>
                <w:szCs w:val="24"/>
                <w:u w:val="single"/>
              </w:rPr>
              <w:t xml:space="preserve"> </w:t>
            </w:r>
            <w:r>
              <w:rPr>
                <w:rFonts w:hint="eastAsia"/>
                <w:color w:val="000000"/>
                <w:sz w:val="24"/>
                <w:szCs w:val="24"/>
                <w:u w:val="single"/>
                <w:lang w:val="en-US" w:eastAsia="zh-CN"/>
              </w:rPr>
              <w:t xml:space="preserve"> </w:t>
            </w:r>
            <w:r>
              <w:rPr>
                <w:rFonts w:hint="default"/>
                <w:color w:val="000000"/>
                <w:sz w:val="24"/>
                <w:szCs w:val="24"/>
                <w:u w:val="single"/>
              </w:rPr>
              <w:t>3</w:t>
            </w:r>
            <w:r>
              <w:rPr>
                <w:rFonts w:hint="eastAsia"/>
                <w:color w:val="000000"/>
                <w:sz w:val="24"/>
                <w:szCs w:val="24"/>
                <w:u w:val="single"/>
                <w:lang w:val="en-US" w:eastAsia="zh-CN"/>
              </w:rPr>
              <w:t xml:space="preserve">5 </w:t>
            </w:r>
            <w:r>
              <w:rPr>
                <w:rFonts w:hint="default"/>
                <w:color w:val="000000"/>
                <w:sz w:val="24"/>
                <w:szCs w:val="24"/>
                <w:u w:val="single"/>
              </w:rPr>
              <w:t xml:space="preserve"> </w:t>
            </w:r>
            <w:r>
              <w:rPr>
                <w:rFonts w:hint="default"/>
                <w:color w:val="000000"/>
                <w:sz w:val="24"/>
                <w:szCs w:val="24"/>
              </w:rPr>
              <w:t>度</w:t>
            </w:r>
            <w:r>
              <w:rPr>
                <w:rFonts w:hint="default"/>
                <w:color w:val="000000"/>
                <w:sz w:val="24"/>
                <w:szCs w:val="24"/>
                <w:u w:val="single"/>
              </w:rPr>
              <w:t xml:space="preserve"> </w:t>
            </w:r>
            <w:r>
              <w:rPr>
                <w:rFonts w:hint="eastAsia"/>
                <w:color w:val="000000"/>
                <w:sz w:val="24"/>
                <w:szCs w:val="24"/>
                <w:u w:val="single"/>
                <w:lang w:val="en-US" w:eastAsia="zh-CN"/>
              </w:rPr>
              <w:t xml:space="preserve"> 53 </w:t>
            </w:r>
            <w:r>
              <w:rPr>
                <w:rFonts w:hint="default"/>
                <w:color w:val="000000"/>
                <w:sz w:val="24"/>
                <w:szCs w:val="24"/>
                <w:u w:val="single"/>
              </w:rPr>
              <w:t xml:space="preserve"> </w:t>
            </w:r>
            <w:r>
              <w:rPr>
                <w:rFonts w:hint="default"/>
                <w:color w:val="000000"/>
                <w:sz w:val="24"/>
                <w:szCs w:val="24"/>
              </w:rPr>
              <w:t>分</w:t>
            </w:r>
            <w:r>
              <w:rPr>
                <w:rFonts w:hint="default"/>
                <w:color w:val="000000"/>
                <w:sz w:val="24"/>
                <w:szCs w:val="24"/>
                <w:u w:val="single"/>
              </w:rPr>
              <w:t xml:space="preserve"> </w:t>
            </w:r>
            <w:r>
              <w:rPr>
                <w:rFonts w:hint="eastAsia"/>
                <w:color w:val="000000"/>
                <w:sz w:val="24"/>
                <w:szCs w:val="24"/>
                <w:u w:val="single"/>
                <w:lang w:val="en-US" w:eastAsia="zh-CN"/>
              </w:rPr>
              <w:t xml:space="preserve"> 32.756 </w:t>
            </w:r>
            <w:r>
              <w:rPr>
                <w:rFonts w:hint="default"/>
                <w:color w:val="000000"/>
                <w:sz w:val="24"/>
                <w:szCs w:val="24"/>
                <w:u w:val="single"/>
              </w:rPr>
              <w:t xml:space="preserve"> </w:t>
            </w:r>
            <w:r>
              <w:rPr>
                <w:rFonts w:hint="default"/>
                <w:color w:val="000000"/>
                <w:sz w:val="24"/>
                <w:szCs w:val="24"/>
              </w:rPr>
              <w:t>秒）</w:t>
            </w:r>
          </w:p>
        </w:tc>
      </w:tr>
      <w:tr w14:paraId="35F125A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85" w:type="dxa"/>
            <w:bottom w:w="0" w:type="dxa"/>
            <w:right w:w="85" w:type="dxa"/>
          </w:tblCellMar>
        </w:tblPrEx>
        <w:trPr>
          <w:trHeight w:val="1222" w:hRule="atLeast"/>
          <w:jc w:val="center"/>
        </w:trPr>
        <w:tc>
          <w:tcPr>
            <w:tcW w:w="1102" w:type="pct"/>
            <w:gridSpan w:val="2"/>
            <w:noWrap w:val="0"/>
            <w:vAlign w:val="center"/>
          </w:tcPr>
          <w:p w14:paraId="573CBE54">
            <w:pPr>
              <w:keepNext w:val="0"/>
              <w:keepLines w:val="0"/>
              <w:pageBreakBefore w:val="0"/>
              <w:suppressLineNumbers w:val="0"/>
              <w:kinsoku/>
              <w:wordWrap/>
              <w:overflowPunct/>
              <w:topLinePunct w:val="0"/>
              <w:bidi w:val="0"/>
              <w:adjustRightInd/>
              <w:snapToGrid/>
              <w:spacing w:before="0" w:beforeAutospacing="0" w:after="0" w:afterAutospacing="0" w:line="360" w:lineRule="exact"/>
              <w:ind w:left="0" w:leftChars="0" w:right="0" w:rightChars="0" w:firstLine="0" w:firstLineChars="0"/>
              <w:jc w:val="center"/>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国民经济</w:t>
            </w:r>
          </w:p>
          <w:p w14:paraId="5355FBC8">
            <w:pPr>
              <w:keepNext w:val="0"/>
              <w:keepLines w:val="0"/>
              <w:pageBreakBefore w:val="0"/>
              <w:suppressLineNumbers w:val="0"/>
              <w:kinsoku/>
              <w:wordWrap/>
              <w:overflowPunct/>
              <w:topLinePunct w:val="0"/>
              <w:bidi w:val="0"/>
              <w:adjustRightInd/>
              <w:snapToGrid/>
              <w:spacing w:before="0" w:beforeAutospacing="0" w:after="0" w:afterAutospacing="0" w:line="360" w:lineRule="exact"/>
              <w:ind w:left="0" w:leftChars="0" w:right="0" w:rightChars="0" w:firstLine="0" w:firstLineChars="0"/>
              <w:jc w:val="center"/>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行业类别</w:t>
            </w:r>
          </w:p>
        </w:tc>
        <w:tc>
          <w:tcPr>
            <w:tcW w:w="1065" w:type="pct"/>
            <w:noWrap w:val="0"/>
            <w:vAlign w:val="center"/>
          </w:tcPr>
          <w:p w14:paraId="4DE9197A">
            <w:pPr>
              <w:keepNext w:val="0"/>
              <w:keepLines w:val="0"/>
              <w:pageBreakBefore w:val="0"/>
              <w:suppressLineNumbers w:val="0"/>
              <w:kinsoku/>
              <w:wordWrap/>
              <w:overflowPunct/>
              <w:topLinePunct w:val="0"/>
              <w:bidi w:val="0"/>
              <w:adjustRightInd/>
              <w:snapToGrid/>
              <w:spacing w:before="0" w:beforeAutospacing="0" w:after="0" w:afterAutospacing="0" w:line="360" w:lineRule="exact"/>
              <w:ind w:left="0" w:leftChars="0" w:right="0" w:rightChars="0" w:firstLine="0" w:firstLineChars="0"/>
              <w:jc w:val="center"/>
              <w:textAlignment w:val="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C</w:t>
            </w:r>
            <w:r>
              <w:rPr>
                <w:rFonts w:hint="eastAsia" w:cs="Times New Roman"/>
                <w:color w:val="000000" w:themeColor="text1"/>
                <w:sz w:val="24"/>
                <w:szCs w:val="24"/>
                <w:lang w:val="en-US" w:eastAsia="zh-CN"/>
                <w14:textFill>
                  <w14:solidFill>
                    <w14:schemeClr w14:val="tx1"/>
                  </w14:solidFill>
                </w14:textFill>
              </w:rPr>
              <w:t>2923塑料丝、绳及编织品制造</w:t>
            </w:r>
          </w:p>
        </w:tc>
        <w:tc>
          <w:tcPr>
            <w:tcW w:w="1065" w:type="pct"/>
            <w:noWrap w:val="0"/>
            <w:vAlign w:val="center"/>
          </w:tcPr>
          <w:p w14:paraId="005DA406">
            <w:pPr>
              <w:keepNext w:val="0"/>
              <w:keepLines w:val="0"/>
              <w:pageBreakBefore w:val="0"/>
              <w:suppressLineNumbers w:val="0"/>
              <w:kinsoku/>
              <w:wordWrap/>
              <w:overflowPunct/>
              <w:topLinePunct w:val="0"/>
              <w:bidi w:val="0"/>
              <w:adjustRightInd/>
              <w:snapToGrid/>
              <w:spacing w:before="0" w:beforeAutospacing="0" w:after="0" w:afterAutospacing="0" w:line="360" w:lineRule="exact"/>
              <w:ind w:left="0" w:leftChars="0" w:right="0" w:rightChars="0" w:firstLine="0" w:firstLineChars="0"/>
              <w:jc w:val="center"/>
              <w:textAlignment w:val="auto"/>
              <w:rPr>
                <w:rFonts w:hint="default" w:ascii="Times New Roman" w:hAnsi="Times New Roman" w:cs="Times New Roman"/>
                <w:color w:val="000000" w:themeColor="text1"/>
                <w:sz w:val="24"/>
                <w:szCs w:val="24"/>
                <w14:textFill>
                  <w14:solidFill>
                    <w14:schemeClr w14:val="tx1"/>
                  </w14:solidFill>
                </w14:textFill>
              </w:rPr>
            </w:pPr>
            <w:bookmarkStart w:id="2" w:name="_Hlk49843745"/>
            <w:r>
              <w:rPr>
                <w:rFonts w:hint="default" w:ascii="Times New Roman" w:hAnsi="Times New Roman" w:cs="Times New Roman"/>
                <w:color w:val="000000" w:themeColor="text1"/>
                <w:sz w:val="24"/>
                <w:szCs w:val="24"/>
                <w14:textFill>
                  <w14:solidFill>
                    <w14:schemeClr w14:val="tx1"/>
                  </w14:solidFill>
                </w14:textFill>
              </w:rPr>
              <w:t>建设项目</w:t>
            </w:r>
          </w:p>
          <w:p w14:paraId="1AE9F4EF">
            <w:pPr>
              <w:keepNext w:val="0"/>
              <w:keepLines w:val="0"/>
              <w:pageBreakBefore w:val="0"/>
              <w:suppressLineNumbers w:val="0"/>
              <w:kinsoku/>
              <w:wordWrap/>
              <w:overflowPunct/>
              <w:topLinePunct w:val="0"/>
              <w:bidi w:val="0"/>
              <w:adjustRightInd/>
              <w:snapToGrid/>
              <w:spacing w:before="0" w:beforeAutospacing="0" w:after="0" w:afterAutospacing="0" w:line="360" w:lineRule="exact"/>
              <w:ind w:left="0" w:leftChars="0" w:right="0" w:rightChars="0" w:firstLine="0" w:firstLineChars="0"/>
              <w:jc w:val="center"/>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行业类别</w:t>
            </w:r>
            <w:bookmarkEnd w:id="2"/>
          </w:p>
        </w:tc>
        <w:tc>
          <w:tcPr>
            <w:tcW w:w="1767" w:type="pct"/>
            <w:noWrap w:val="0"/>
            <w:vAlign w:val="center"/>
          </w:tcPr>
          <w:p w14:paraId="6EC50D7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jc w:val="center"/>
              <w:textAlignment w:val="auto"/>
              <w:rPr>
                <w:rFonts w:hint="default" w:ascii="Times New Roman" w:hAnsi="Times New Roman" w:cs="Times New Roman"/>
                <w:color w:val="000000" w:themeColor="text1"/>
                <w:sz w:val="24"/>
                <w:szCs w:val="24"/>
                <w:lang w:val="en-US"/>
                <w14:textFill>
                  <w14:solidFill>
                    <w14:schemeClr w14:val="tx1"/>
                  </w14:solidFill>
                </w14:textFill>
              </w:rPr>
            </w:pPr>
            <w:r>
              <w:rPr>
                <w:rFonts w:hint="eastAsia" w:cs="Times New Roman"/>
                <w:color w:val="000000" w:themeColor="text1"/>
                <w:sz w:val="24"/>
                <w:szCs w:val="24"/>
                <w:lang w:val="en-US" w:eastAsia="zh-CN"/>
                <w14:textFill>
                  <w14:solidFill>
                    <w14:schemeClr w14:val="tx1"/>
                  </w14:solidFill>
                </w14:textFill>
              </w:rPr>
              <w:t>二十六</w:t>
            </w:r>
            <w:r>
              <w:rPr>
                <w:rFonts w:hint="default" w:ascii="Times New Roman" w:hAnsi="Times New Roman" w:cs="Times New Roman"/>
                <w:color w:val="000000" w:themeColor="text1"/>
                <w:sz w:val="24"/>
                <w:szCs w:val="24"/>
                <w:lang w:val="en-US" w:eastAsia="zh-CN"/>
                <w14:textFill>
                  <w14:solidFill>
                    <w14:schemeClr w14:val="tx1"/>
                  </w14:solidFill>
                </w14:textFill>
              </w:rPr>
              <w:t>、</w:t>
            </w:r>
            <w:r>
              <w:rPr>
                <w:rFonts w:hint="eastAsia" w:cs="Times New Roman"/>
                <w:color w:val="000000" w:themeColor="text1"/>
                <w:sz w:val="24"/>
                <w:szCs w:val="24"/>
                <w:lang w:val="en-US" w:eastAsia="zh-CN"/>
                <w14:textFill>
                  <w14:solidFill>
                    <w14:schemeClr w14:val="tx1"/>
                  </w14:solidFill>
                </w14:textFill>
              </w:rPr>
              <w:t>橡胶和塑料制品业29-53.塑料制品业292-其他</w:t>
            </w:r>
          </w:p>
        </w:tc>
      </w:tr>
      <w:tr w14:paraId="67A1F8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85" w:type="dxa"/>
            <w:bottom w:w="0" w:type="dxa"/>
            <w:right w:w="85" w:type="dxa"/>
          </w:tblCellMar>
        </w:tblPrEx>
        <w:trPr>
          <w:trHeight w:val="1417" w:hRule="atLeast"/>
          <w:jc w:val="center"/>
        </w:trPr>
        <w:tc>
          <w:tcPr>
            <w:tcW w:w="1102" w:type="pct"/>
            <w:gridSpan w:val="2"/>
            <w:noWrap w:val="0"/>
            <w:vAlign w:val="center"/>
          </w:tcPr>
          <w:p w14:paraId="189A0203">
            <w:pPr>
              <w:keepNext w:val="0"/>
              <w:keepLines w:val="0"/>
              <w:pageBreakBefore w:val="0"/>
              <w:suppressLineNumbers w:val="0"/>
              <w:kinsoku/>
              <w:wordWrap/>
              <w:overflowPunct/>
              <w:topLinePunct w:val="0"/>
              <w:bidi w:val="0"/>
              <w:adjustRightInd/>
              <w:snapToGrid/>
              <w:spacing w:before="0" w:beforeAutospacing="0" w:after="0" w:afterAutospacing="0" w:line="360" w:lineRule="exact"/>
              <w:ind w:left="0" w:leftChars="0" w:right="0" w:rightChars="0" w:firstLine="0" w:firstLineChars="0"/>
              <w:jc w:val="center"/>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建设性质</w:t>
            </w:r>
          </w:p>
        </w:tc>
        <w:tc>
          <w:tcPr>
            <w:tcW w:w="1065" w:type="pct"/>
            <w:noWrap w:val="0"/>
            <w:vAlign w:val="center"/>
          </w:tcPr>
          <w:p w14:paraId="5FDC78B0">
            <w:pPr>
              <w:keepNext w:val="0"/>
              <w:keepLines w:val="0"/>
              <w:pageBreakBefore w:val="0"/>
              <w:suppressLineNumbers w:val="0"/>
              <w:kinsoku/>
              <w:wordWrap/>
              <w:overflowPunct/>
              <w:topLinePunct w:val="0"/>
              <w:bidi w:val="0"/>
              <w:adjustRightInd/>
              <w:snapToGrid/>
              <w:spacing w:before="0" w:beforeAutospacing="0" w:after="0" w:afterAutospacing="0" w:line="360" w:lineRule="exact"/>
              <w:ind w:left="0" w:leftChars="0" w:right="0" w:rightChars="0" w:firstLine="0" w:firstLineChars="0"/>
              <w:jc w:val="left"/>
              <w:textAlignment w:val="auto"/>
              <w:rPr>
                <w:rFonts w:hint="default" w:ascii="Times New Roman" w:hAnsi="Times New Roman" w:cs="Times New Roman"/>
                <w:color w:val="000000" w:themeColor="text1"/>
                <w:sz w:val="24"/>
                <w:szCs w:val="24"/>
                <w14:textFill>
                  <w14:solidFill>
                    <w14:schemeClr w14:val="tx1"/>
                  </w14:solidFill>
                </w14:textFill>
              </w:rPr>
            </w:pPr>
            <w:r>
              <w:rPr>
                <w:rFonts w:hint="eastAsia" w:cs="Times New Roman"/>
                <w:color w:val="000000" w:themeColor="text1"/>
                <w:sz w:val="24"/>
                <w:szCs w:val="24"/>
                <w:lang w:eastAsia="zh-CN"/>
                <w14:textFill>
                  <w14:solidFill>
                    <w14:schemeClr w14:val="tx1"/>
                  </w14:solidFill>
                </w14:textFill>
              </w:rPr>
              <w:t>☑</w:t>
            </w:r>
            <w:r>
              <w:rPr>
                <w:rFonts w:hint="default" w:ascii="Times New Roman" w:hAnsi="Times New Roman" w:cs="Times New Roman"/>
                <w:color w:val="000000" w:themeColor="text1"/>
                <w:sz w:val="24"/>
                <w:szCs w:val="24"/>
                <w14:textFill>
                  <w14:solidFill>
                    <w14:schemeClr w14:val="tx1"/>
                  </w14:solidFill>
                </w14:textFill>
              </w:rPr>
              <w:t>新建（迁建）</w:t>
            </w:r>
          </w:p>
          <w:p w14:paraId="50FC6310">
            <w:pPr>
              <w:keepNext w:val="0"/>
              <w:keepLines w:val="0"/>
              <w:pageBreakBefore w:val="0"/>
              <w:suppressLineNumbers w:val="0"/>
              <w:kinsoku/>
              <w:wordWrap/>
              <w:overflowPunct/>
              <w:topLinePunct w:val="0"/>
              <w:bidi w:val="0"/>
              <w:adjustRightInd/>
              <w:snapToGrid/>
              <w:spacing w:before="0" w:beforeAutospacing="0" w:after="0" w:afterAutospacing="0" w:line="360" w:lineRule="exact"/>
              <w:ind w:left="0" w:leftChars="0" w:right="0" w:rightChars="0" w:firstLine="0" w:firstLineChars="0"/>
              <w:jc w:val="left"/>
              <w:textAlignment w:val="auto"/>
              <w:rPr>
                <w:rFonts w:hint="default" w:ascii="Times New Roman" w:hAnsi="Times New Roman" w:cs="Times New Roman"/>
                <w:color w:val="000000" w:themeColor="text1"/>
                <w:sz w:val="24"/>
                <w:szCs w:val="24"/>
                <w14:textFill>
                  <w14:solidFill>
                    <w14:schemeClr w14:val="tx1"/>
                  </w14:solidFill>
                </w14:textFill>
              </w:rPr>
            </w:pPr>
            <w:r>
              <w:rPr>
                <w:rFonts w:hint="eastAsia" w:ascii="Times New Roman" w:hAnsi="Times New Roman" w:cs="Times New Roman"/>
                <w:color w:val="000000" w:themeColor="text1"/>
                <w:sz w:val="24"/>
                <w:szCs w:val="24"/>
                <w:lang w:eastAsia="zh-CN"/>
                <w14:textFill>
                  <w14:solidFill>
                    <w14:schemeClr w14:val="tx1"/>
                  </w14:solidFill>
                </w14:textFill>
              </w:rPr>
              <w:sym w:font="Wingdings 2" w:char="00A3"/>
            </w:r>
            <w:r>
              <w:rPr>
                <w:rFonts w:hint="default" w:ascii="Times New Roman" w:hAnsi="Times New Roman" w:cs="Times New Roman"/>
                <w:color w:val="000000" w:themeColor="text1"/>
                <w:sz w:val="24"/>
                <w:szCs w:val="24"/>
                <w14:textFill>
                  <w14:solidFill>
                    <w14:schemeClr w14:val="tx1"/>
                  </w14:solidFill>
                </w14:textFill>
              </w:rPr>
              <w:t>改建</w:t>
            </w:r>
          </w:p>
          <w:p w14:paraId="6F5F6EE2">
            <w:pPr>
              <w:keepNext w:val="0"/>
              <w:keepLines w:val="0"/>
              <w:pageBreakBefore w:val="0"/>
              <w:suppressLineNumbers w:val="0"/>
              <w:kinsoku/>
              <w:wordWrap/>
              <w:overflowPunct/>
              <w:topLinePunct w:val="0"/>
              <w:bidi w:val="0"/>
              <w:adjustRightInd/>
              <w:snapToGrid/>
              <w:spacing w:before="0" w:beforeAutospacing="0" w:after="0" w:afterAutospacing="0" w:line="360" w:lineRule="exact"/>
              <w:ind w:left="0" w:leftChars="0" w:right="0" w:rightChars="0" w:firstLine="0" w:firstLineChars="0"/>
              <w:jc w:val="left"/>
              <w:textAlignment w:val="auto"/>
              <w:rPr>
                <w:rFonts w:hint="default" w:ascii="Times New Roman" w:hAnsi="Times New Roman" w:cs="Times New Roman"/>
                <w:color w:val="000000" w:themeColor="text1"/>
                <w:sz w:val="24"/>
                <w:szCs w:val="24"/>
                <w14:textFill>
                  <w14:solidFill>
                    <w14:schemeClr w14:val="tx1"/>
                  </w14:solidFill>
                </w14:textFill>
              </w:rPr>
            </w:pPr>
            <w:r>
              <w:rPr>
                <w:rFonts w:hint="eastAsia" w:cs="Times New Roman"/>
                <w:color w:val="000000" w:themeColor="text1"/>
                <w:sz w:val="24"/>
                <w:szCs w:val="24"/>
                <w:lang w:eastAsia="zh-CN"/>
                <w14:textFill>
                  <w14:solidFill>
                    <w14:schemeClr w14:val="tx1"/>
                  </w14:solidFill>
                </w14:textFill>
              </w:rPr>
              <w:t>□</w:t>
            </w:r>
            <w:r>
              <w:rPr>
                <w:rFonts w:hint="default" w:ascii="Times New Roman" w:hAnsi="Times New Roman" w:cs="Times New Roman"/>
                <w:color w:val="000000" w:themeColor="text1"/>
                <w:sz w:val="24"/>
                <w:szCs w:val="24"/>
                <w14:textFill>
                  <w14:solidFill>
                    <w14:schemeClr w14:val="tx1"/>
                  </w14:solidFill>
                </w14:textFill>
              </w:rPr>
              <w:t>扩建</w:t>
            </w:r>
          </w:p>
          <w:p w14:paraId="4587BDE3">
            <w:pPr>
              <w:keepNext w:val="0"/>
              <w:keepLines w:val="0"/>
              <w:pageBreakBefore w:val="0"/>
              <w:suppressLineNumbers w:val="0"/>
              <w:kinsoku/>
              <w:wordWrap/>
              <w:overflowPunct/>
              <w:topLinePunct w:val="0"/>
              <w:bidi w:val="0"/>
              <w:adjustRightInd/>
              <w:snapToGrid/>
              <w:spacing w:before="0" w:beforeAutospacing="0" w:after="0" w:afterAutospacing="0" w:line="360" w:lineRule="exact"/>
              <w:ind w:left="0" w:leftChars="0" w:right="0" w:rightChars="0" w:firstLine="0" w:firstLineChars="0"/>
              <w:jc w:val="left"/>
              <w:textAlignment w:val="auto"/>
              <w:rPr>
                <w:rFonts w:hint="default" w:ascii="Times New Roman" w:hAnsi="Times New Roman" w:cs="Times New Roman"/>
                <w:color w:val="000000" w:themeColor="text1"/>
                <w:sz w:val="24"/>
                <w:szCs w:val="24"/>
                <w14:textFill>
                  <w14:solidFill>
                    <w14:schemeClr w14:val="tx1"/>
                  </w14:solidFill>
                </w14:textFill>
              </w:rPr>
            </w:pPr>
            <w:r>
              <w:rPr>
                <w:rFonts w:hint="eastAsia" w:ascii="Times New Roman" w:hAnsi="Times New Roman" w:cs="Times New Roman"/>
                <w:color w:val="000000" w:themeColor="text1"/>
                <w:sz w:val="24"/>
                <w:szCs w:val="24"/>
                <w:lang w:eastAsia="zh-CN"/>
                <w14:textFill>
                  <w14:solidFill>
                    <w14:schemeClr w14:val="tx1"/>
                  </w14:solidFill>
                </w14:textFill>
              </w:rPr>
              <w:sym w:font="Wingdings 2" w:char="00A3"/>
            </w:r>
            <w:r>
              <w:rPr>
                <w:rFonts w:hint="default" w:ascii="Times New Roman" w:hAnsi="Times New Roman" w:cs="Times New Roman"/>
                <w:color w:val="000000" w:themeColor="text1"/>
                <w:sz w:val="24"/>
                <w:szCs w:val="24"/>
                <w14:textFill>
                  <w14:solidFill>
                    <w14:schemeClr w14:val="tx1"/>
                  </w14:solidFill>
                </w14:textFill>
              </w:rPr>
              <w:t>技术改造</w:t>
            </w:r>
          </w:p>
        </w:tc>
        <w:tc>
          <w:tcPr>
            <w:tcW w:w="1065" w:type="pct"/>
            <w:noWrap w:val="0"/>
            <w:vAlign w:val="center"/>
          </w:tcPr>
          <w:p w14:paraId="562A5DB5">
            <w:pPr>
              <w:keepNext w:val="0"/>
              <w:keepLines w:val="0"/>
              <w:pageBreakBefore w:val="0"/>
              <w:suppressLineNumbers w:val="0"/>
              <w:kinsoku/>
              <w:wordWrap/>
              <w:overflowPunct/>
              <w:topLinePunct w:val="0"/>
              <w:bidi w:val="0"/>
              <w:adjustRightInd/>
              <w:snapToGrid/>
              <w:spacing w:before="0" w:beforeAutospacing="0" w:after="0" w:afterAutospacing="0" w:line="360" w:lineRule="exact"/>
              <w:ind w:left="0" w:leftChars="0" w:right="0" w:rightChars="0" w:firstLine="0" w:firstLineChars="0"/>
              <w:jc w:val="center"/>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建设项目</w:t>
            </w:r>
          </w:p>
          <w:p w14:paraId="6387FA85">
            <w:pPr>
              <w:keepNext w:val="0"/>
              <w:keepLines w:val="0"/>
              <w:pageBreakBefore w:val="0"/>
              <w:suppressLineNumbers w:val="0"/>
              <w:kinsoku/>
              <w:wordWrap/>
              <w:overflowPunct/>
              <w:topLinePunct w:val="0"/>
              <w:bidi w:val="0"/>
              <w:adjustRightInd/>
              <w:snapToGrid/>
              <w:spacing w:before="0" w:beforeAutospacing="0" w:after="0" w:afterAutospacing="0" w:line="360" w:lineRule="exact"/>
              <w:ind w:left="0" w:leftChars="0" w:right="0" w:rightChars="0" w:firstLine="0" w:firstLineChars="0"/>
              <w:jc w:val="center"/>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申报情形</w:t>
            </w:r>
          </w:p>
        </w:tc>
        <w:tc>
          <w:tcPr>
            <w:tcW w:w="1767" w:type="pct"/>
            <w:noWrap w:val="0"/>
            <w:vAlign w:val="center"/>
          </w:tcPr>
          <w:p w14:paraId="1CFE614A">
            <w:pPr>
              <w:keepNext w:val="0"/>
              <w:keepLines w:val="0"/>
              <w:pageBreakBefore w:val="0"/>
              <w:suppressLineNumbers w:val="0"/>
              <w:kinsoku/>
              <w:wordWrap/>
              <w:overflowPunct/>
              <w:topLinePunct w:val="0"/>
              <w:bidi w:val="0"/>
              <w:adjustRightInd/>
              <w:snapToGrid/>
              <w:spacing w:before="0" w:beforeAutospacing="0" w:after="0" w:afterAutospacing="0" w:line="360" w:lineRule="exact"/>
              <w:ind w:left="0" w:leftChars="0" w:right="0" w:rightChars="0" w:firstLine="0" w:firstLineChars="0"/>
              <w:jc w:val="left"/>
              <w:textAlignment w:val="auto"/>
              <w:rPr>
                <w:rFonts w:hint="default" w:ascii="Times New Roman" w:hAnsi="Times New Roman" w:cs="Times New Roman"/>
                <w:color w:val="000000" w:themeColor="text1"/>
                <w:sz w:val="24"/>
                <w:szCs w:val="24"/>
                <w14:textFill>
                  <w14:solidFill>
                    <w14:schemeClr w14:val="tx1"/>
                  </w14:solidFill>
                </w14:textFill>
              </w:rPr>
            </w:pPr>
            <w:r>
              <w:rPr>
                <w:rFonts w:hint="eastAsia" w:ascii="Times New Roman" w:hAnsi="Times New Roman" w:cs="Times New Roman"/>
                <w:color w:val="000000" w:themeColor="text1"/>
                <w:sz w:val="24"/>
                <w:szCs w:val="24"/>
                <w:lang w:eastAsia="zh-CN"/>
                <w14:textFill>
                  <w14:solidFill>
                    <w14:schemeClr w14:val="tx1"/>
                  </w14:solidFill>
                </w14:textFill>
              </w:rPr>
              <w:sym w:font="Wingdings 2" w:char="0052"/>
            </w:r>
            <w:r>
              <w:rPr>
                <w:rFonts w:hint="default" w:ascii="Times New Roman" w:hAnsi="Times New Roman" w:cs="Times New Roman"/>
                <w:color w:val="000000" w:themeColor="text1"/>
                <w:sz w:val="24"/>
                <w:szCs w:val="24"/>
                <w14:textFill>
                  <w14:solidFill>
                    <w14:schemeClr w14:val="tx1"/>
                  </w14:solidFill>
                </w14:textFill>
              </w:rPr>
              <w:t xml:space="preserve">首次申报项目             </w:t>
            </w:r>
          </w:p>
          <w:p w14:paraId="43D42ABE">
            <w:pPr>
              <w:keepNext w:val="0"/>
              <w:keepLines w:val="0"/>
              <w:pageBreakBefore w:val="0"/>
              <w:suppressLineNumbers w:val="0"/>
              <w:kinsoku/>
              <w:wordWrap/>
              <w:overflowPunct/>
              <w:topLinePunct w:val="0"/>
              <w:bidi w:val="0"/>
              <w:adjustRightInd/>
              <w:snapToGrid/>
              <w:spacing w:before="0" w:beforeAutospacing="0" w:after="0" w:afterAutospacing="0" w:line="360" w:lineRule="exact"/>
              <w:ind w:left="0" w:leftChars="0" w:right="0" w:rightChars="0" w:firstLine="0" w:firstLineChars="0"/>
              <w:jc w:val="left"/>
              <w:textAlignment w:val="auto"/>
              <w:rPr>
                <w:rFonts w:hint="default" w:ascii="Times New Roman" w:hAnsi="Times New Roman" w:cs="Times New Roman"/>
                <w:color w:val="000000" w:themeColor="text1"/>
                <w:sz w:val="24"/>
                <w:szCs w:val="24"/>
                <w14:textFill>
                  <w14:solidFill>
                    <w14:schemeClr w14:val="tx1"/>
                  </w14:solidFill>
                </w14:textFill>
              </w:rPr>
            </w:pPr>
            <w:r>
              <w:rPr>
                <w:rFonts w:hint="eastAsia" w:ascii="Times New Roman" w:hAnsi="Times New Roman" w:cs="Times New Roman"/>
                <w:color w:val="000000" w:themeColor="text1"/>
                <w:sz w:val="24"/>
                <w:szCs w:val="24"/>
                <w:lang w:eastAsia="zh-CN"/>
                <w14:textFill>
                  <w14:solidFill>
                    <w14:schemeClr w14:val="tx1"/>
                  </w14:solidFill>
                </w14:textFill>
              </w:rPr>
              <w:t>□</w:t>
            </w:r>
            <w:r>
              <w:rPr>
                <w:rFonts w:hint="default" w:ascii="Times New Roman" w:hAnsi="Times New Roman" w:cs="Times New Roman"/>
                <w:color w:val="000000" w:themeColor="text1"/>
                <w:sz w:val="24"/>
                <w:szCs w:val="24"/>
                <w14:textFill>
                  <w14:solidFill>
                    <w14:schemeClr w14:val="tx1"/>
                  </w14:solidFill>
                </w14:textFill>
              </w:rPr>
              <w:t>不予批准后再次申报项目</w:t>
            </w:r>
          </w:p>
          <w:p w14:paraId="25A70375">
            <w:pPr>
              <w:keepNext w:val="0"/>
              <w:keepLines w:val="0"/>
              <w:pageBreakBefore w:val="0"/>
              <w:suppressLineNumbers w:val="0"/>
              <w:kinsoku/>
              <w:wordWrap/>
              <w:overflowPunct/>
              <w:topLinePunct w:val="0"/>
              <w:bidi w:val="0"/>
              <w:adjustRightInd/>
              <w:snapToGrid/>
              <w:spacing w:before="0" w:beforeAutospacing="0" w:after="0" w:afterAutospacing="0" w:line="360" w:lineRule="exact"/>
              <w:ind w:left="0" w:leftChars="0" w:right="0" w:rightChars="0" w:firstLine="0" w:firstLineChars="0"/>
              <w:jc w:val="left"/>
              <w:textAlignment w:val="auto"/>
              <w:rPr>
                <w:rFonts w:hint="default" w:ascii="Times New Roman" w:hAnsi="Times New Roman" w:cs="Times New Roman"/>
                <w:color w:val="000000" w:themeColor="text1"/>
                <w:sz w:val="24"/>
                <w:szCs w:val="24"/>
                <w14:textFill>
                  <w14:solidFill>
                    <w14:schemeClr w14:val="tx1"/>
                  </w14:solidFill>
                </w14:textFill>
              </w:rPr>
            </w:pPr>
            <w:r>
              <w:rPr>
                <w:rFonts w:hint="eastAsia" w:ascii="Times New Roman" w:hAnsi="Times New Roman" w:cs="Times New Roman"/>
                <w:color w:val="000000" w:themeColor="text1"/>
                <w:sz w:val="24"/>
                <w:szCs w:val="24"/>
                <w:lang w:eastAsia="zh-CN"/>
                <w14:textFill>
                  <w14:solidFill>
                    <w14:schemeClr w14:val="tx1"/>
                  </w14:solidFill>
                </w14:textFill>
              </w:rPr>
              <w:t>□</w:t>
            </w:r>
            <w:r>
              <w:rPr>
                <w:rFonts w:hint="default" w:ascii="Times New Roman" w:hAnsi="Times New Roman" w:cs="Times New Roman"/>
                <w:color w:val="000000" w:themeColor="text1"/>
                <w:sz w:val="24"/>
                <w:szCs w:val="24"/>
                <w14:textFill>
                  <w14:solidFill>
                    <w14:schemeClr w14:val="tx1"/>
                  </w14:solidFill>
                </w14:textFill>
              </w:rPr>
              <w:t xml:space="preserve">超五年重新审核项目     </w:t>
            </w:r>
          </w:p>
          <w:p w14:paraId="617D5BD6">
            <w:pPr>
              <w:keepNext w:val="0"/>
              <w:keepLines w:val="0"/>
              <w:pageBreakBefore w:val="0"/>
              <w:suppressLineNumbers w:val="0"/>
              <w:kinsoku/>
              <w:wordWrap/>
              <w:overflowPunct/>
              <w:topLinePunct w:val="0"/>
              <w:bidi w:val="0"/>
              <w:adjustRightInd/>
              <w:snapToGrid/>
              <w:spacing w:before="0" w:beforeAutospacing="0" w:after="0" w:afterAutospacing="0" w:line="360" w:lineRule="exact"/>
              <w:ind w:left="0" w:leftChars="0" w:right="0" w:rightChars="0" w:firstLine="0" w:firstLineChars="0"/>
              <w:jc w:val="left"/>
              <w:textAlignment w:val="auto"/>
              <w:rPr>
                <w:rFonts w:hint="default" w:ascii="Times New Roman" w:hAnsi="Times New Roman" w:cs="Times New Roman"/>
                <w:color w:val="000000" w:themeColor="text1"/>
                <w:sz w:val="24"/>
                <w:szCs w:val="24"/>
                <w14:textFill>
                  <w14:solidFill>
                    <w14:schemeClr w14:val="tx1"/>
                  </w14:solidFill>
                </w14:textFill>
              </w:rPr>
            </w:pPr>
            <w:r>
              <w:rPr>
                <w:rFonts w:hint="eastAsia" w:ascii="Times New Roman" w:hAnsi="Times New Roman" w:cs="Times New Roman"/>
                <w:color w:val="000000" w:themeColor="text1"/>
                <w:sz w:val="24"/>
                <w:szCs w:val="24"/>
                <w:lang w:eastAsia="zh-CN"/>
                <w14:textFill>
                  <w14:solidFill>
                    <w14:schemeClr w14:val="tx1"/>
                  </w14:solidFill>
                </w14:textFill>
              </w:rPr>
              <w:t>□</w:t>
            </w:r>
            <w:r>
              <w:rPr>
                <w:rFonts w:hint="default" w:ascii="Times New Roman" w:hAnsi="Times New Roman" w:cs="Times New Roman"/>
                <w:color w:val="000000" w:themeColor="text1"/>
                <w:sz w:val="24"/>
                <w:szCs w:val="24"/>
                <w14:textFill>
                  <w14:solidFill>
                    <w14:schemeClr w14:val="tx1"/>
                  </w14:solidFill>
                </w14:textFill>
              </w:rPr>
              <w:t>重大变动重新报批项目</w:t>
            </w:r>
          </w:p>
        </w:tc>
      </w:tr>
      <w:tr w14:paraId="6E4C515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85" w:type="dxa"/>
            <w:bottom w:w="0" w:type="dxa"/>
            <w:right w:w="85" w:type="dxa"/>
          </w:tblCellMar>
        </w:tblPrEx>
        <w:trPr>
          <w:trHeight w:val="1159" w:hRule="atLeast"/>
          <w:jc w:val="center"/>
        </w:trPr>
        <w:tc>
          <w:tcPr>
            <w:tcW w:w="1102" w:type="pct"/>
            <w:gridSpan w:val="2"/>
            <w:noWrap w:val="0"/>
            <w:vAlign w:val="center"/>
          </w:tcPr>
          <w:p w14:paraId="1A652D19">
            <w:pPr>
              <w:keepNext w:val="0"/>
              <w:keepLines w:val="0"/>
              <w:pageBreakBefore w:val="0"/>
              <w:suppressLineNumbers w:val="0"/>
              <w:kinsoku/>
              <w:wordWrap/>
              <w:overflowPunct/>
              <w:topLinePunct w:val="0"/>
              <w:bidi w:val="0"/>
              <w:adjustRightInd/>
              <w:snapToGrid/>
              <w:spacing w:before="0" w:beforeAutospacing="0" w:after="0" w:afterAutospacing="0" w:line="360" w:lineRule="exact"/>
              <w:ind w:left="0" w:leftChars="0" w:right="0" w:rightChars="0" w:firstLine="0" w:firstLineChars="0"/>
              <w:jc w:val="center"/>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项目审批（核准/</w:t>
            </w:r>
          </w:p>
          <w:p w14:paraId="0C344695">
            <w:pPr>
              <w:keepNext w:val="0"/>
              <w:keepLines w:val="0"/>
              <w:pageBreakBefore w:val="0"/>
              <w:suppressLineNumbers w:val="0"/>
              <w:kinsoku/>
              <w:wordWrap/>
              <w:overflowPunct/>
              <w:topLinePunct w:val="0"/>
              <w:bidi w:val="0"/>
              <w:adjustRightInd/>
              <w:snapToGrid/>
              <w:spacing w:before="0" w:beforeAutospacing="0" w:after="0" w:afterAutospacing="0" w:line="360" w:lineRule="exact"/>
              <w:ind w:left="0" w:leftChars="0" w:right="0" w:rightChars="0" w:firstLine="0" w:firstLineChars="0"/>
              <w:jc w:val="center"/>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备案）部门（选填）</w:t>
            </w:r>
          </w:p>
        </w:tc>
        <w:tc>
          <w:tcPr>
            <w:tcW w:w="1065" w:type="pct"/>
            <w:noWrap w:val="0"/>
            <w:vAlign w:val="center"/>
          </w:tcPr>
          <w:p w14:paraId="1E86C65D">
            <w:pPr>
              <w:keepNext w:val="0"/>
              <w:keepLines w:val="0"/>
              <w:pageBreakBefore w:val="0"/>
              <w:suppressLineNumbers w:val="0"/>
              <w:kinsoku/>
              <w:wordWrap/>
              <w:overflowPunct/>
              <w:topLinePunct w:val="0"/>
              <w:bidi w:val="0"/>
              <w:adjustRightInd/>
              <w:snapToGrid/>
              <w:spacing w:before="0" w:beforeAutospacing="0" w:after="0" w:afterAutospacing="0" w:line="360" w:lineRule="exact"/>
              <w:ind w:left="0" w:leftChars="0" w:right="0" w:rightChars="0" w:firstLine="0" w:firstLineChars="0"/>
              <w:jc w:val="center"/>
              <w:textAlignment w:val="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cs="Times New Roman"/>
                <w:color w:val="000000" w:themeColor="text1"/>
                <w:sz w:val="24"/>
                <w:szCs w:val="24"/>
                <w:lang w:val="en-US" w:eastAsia="zh-CN"/>
                <w14:textFill>
                  <w14:solidFill>
                    <w14:schemeClr w14:val="tx1"/>
                  </w14:solidFill>
                </w14:textFill>
              </w:rPr>
              <w:t>汤阴县发展和改革委员会</w:t>
            </w:r>
          </w:p>
        </w:tc>
        <w:tc>
          <w:tcPr>
            <w:tcW w:w="1065" w:type="pct"/>
            <w:noWrap w:val="0"/>
            <w:vAlign w:val="center"/>
          </w:tcPr>
          <w:p w14:paraId="498E9DBB">
            <w:pPr>
              <w:keepNext w:val="0"/>
              <w:keepLines w:val="0"/>
              <w:pageBreakBefore w:val="0"/>
              <w:suppressLineNumbers w:val="0"/>
              <w:kinsoku/>
              <w:wordWrap/>
              <w:overflowPunct/>
              <w:topLinePunct w:val="0"/>
              <w:bidi w:val="0"/>
              <w:adjustRightInd/>
              <w:snapToGrid/>
              <w:spacing w:before="0" w:beforeAutospacing="0" w:after="0" w:afterAutospacing="0" w:line="360" w:lineRule="exact"/>
              <w:ind w:left="0" w:leftChars="0" w:right="0" w:rightChars="0" w:firstLine="0" w:firstLineChars="0"/>
              <w:jc w:val="center"/>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项目审批（核准/备案）文号（选填）</w:t>
            </w:r>
          </w:p>
        </w:tc>
        <w:tc>
          <w:tcPr>
            <w:tcW w:w="1767" w:type="pct"/>
            <w:noWrap w:val="0"/>
            <w:vAlign w:val="center"/>
          </w:tcPr>
          <w:p w14:paraId="03CEE389">
            <w:pPr>
              <w:keepNext w:val="0"/>
              <w:keepLines w:val="0"/>
              <w:pageBreakBefore w:val="0"/>
              <w:suppressLineNumbers w:val="0"/>
              <w:kinsoku/>
              <w:wordWrap/>
              <w:overflowPunct/>
              <w:topLinePunct w:val="0"/>
              <w:bidi w:val="0"/>
              <w:adjustRightInd/>
              <w:snapToGrid/>
              <w:spacing w:before="0" w:beforeAutospacing="0" w:after="0" w:afterAutospacing="0" w:line="360" w:lineRule="exact"/>
              <w:ind w:left="0" w:leftChars="0" w:right="0" w:rightChars="0" w:firstLine="0" w:firstLineChars="0"/>
              <w:jc w:val="center"/>
              <w:textAlignment w:val="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cs="Times New Roman"/>
                <w:color w:val="000000" w:themeColor="text1"/>
                <w:sz w:val="24"/>
                <w:szCs w:val="24"/>
                <w:lang w:val="en-US" w:eastAsia="zh-CN"/>
                <w14:textFill>
                  <w14:solidFill>
                    <w14:schemeClr w14:val="tx1"/>
                  </w14:solidFill>
                </w14:textFill>
              </w:rPr>
              <w:t>2509-410523-04-01-334251</w:t>
            </w:r>
          </w:p>
        </w:tc>
      </w:tr>
      <w:tr w14:paraId="360E52F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85" w:type="dxa"/>
            <w:bottom w:w="0" w:type="dxa"/>
            <w:right w:w="85" w:type="dxa"/>
          </w:tblCellMar>
        </w:tblPrEx>
        <w:trPr>
          <w:trHeight w:val="826" w:hRule="atLeast"/>
          <w:jc w:val="center"/>
        </w:trPr>
        <w:tc>
          <w:tcPr>
            <w:tcW w:w="1102" w:type="pct"/>
            <w:gridSpan w:val="2"/>
            <w:noWrap w:val="0"/>
            <w:vAlign w:val="center"/>
          </w:tcPr>
          <w:p w14:paraId="6693B8B0">
            <w:pPr>
              <w:keepNext w:val="0"/>
              <w:keepLines w:val="0"/>
              <w:pageBreakBefore w:val="0"/>
              <w:suppressLineNumbers w:val="0"/>
              <w:kinsoku/>
              <w:wordWrap/>
              <w:overflowPunct/>
              <w:topLinePunct w:val="0"/>
              <w:bidi w:val="0"/>
              <w:adjustRightInd/>
              <w:snapToGrid/>
              <w:spacing w:before="0" w:beforeAutospacing="0" w:after="0" w:afterAutospacing="0" w:line="360" w:lineRule="exact"/>
              <w:ind w:left="0" w:leftChars="0" w:right="0" w:rightChars="0" w:firstLine="0" w:firstLineChars="0"/>
              <w:jc w:val="center"/>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总投资（万元）</w:t>
            </w:r>
          </w:p>
        </w:tc>
        <w:tc>
          <w:tcPr>
            <w:tcW w:w="1065" w:type="pct"/>
            <w:noWrap w:val="0"/>
            <w:vAlign w:val="center"/>
          </w:tcPr>
          <w:p w14:paraId="5DAB11AE">
            <w:pPr>
              <w:keepNext w:val="0"/>
              <w:keepLines w:val="0"/>
              <w:pageBreakBefore w:val="0"/>
              <w:suppressLineNumbers w:val="0"/>
              <w:kinsoku/>
              <w:wordWrap/>
              <w:overflowPunct/>
              <w:topLinePunct w:val="0"/>
              <w:bidi w:val="0"/>
              <w:adjustRightInd/>
              <w:snapToGrid/>
              <w:spacing w:before="0" w:beforeAutospacing="0" w:after="0" w:afterAutospacing="0" w:line="360" w:lineRule="exact"/>
              <w:ind w:left="0" w:leftChars="0" w:right="0" w:rightChars="0" w:firstLine="0" w:firstLineChars="0"/>
              <w:jc w:val="center"/>
              <w:textAlignment w:val="auto"/>
              <w:rPr>
                <w:rFonts w:hint="default" w:ascii="Times New Roman" w:hAnsi="Times New Roman" w:cs="Times New Roman"/>
                <w:color w:val="000000" w:themeColor="text1"/>
                <w:sz w:val="24"/>
                <w:szCs w:val="24"/>
                <w:lang w:val="en-US"/>
                <w14:textFill>
                  <w14:solidFill>
                    <w14:schemeClr w14:val="tx1"/>
                  </w14:solidFill>
                </w14:textFill>
              </w:rPr>
            </w:pPr>
            <w:r>
              <w:rPr>
                <w:rFonts w:hint="eastAsia" w:cs="Times New Roman"/>
                <w:color w:val="000000" w:themeColor="text1"/>
                <w:sz w:val="24"/>
                <w:szCs w:val="24"/>
                <w:lang w:val="en-US" w:eastAsia="zh-CN"/>
                <w14:textFill>
                  <w14:solidFill>
                    <w14:schemeClr w14:val="tx1"/>
                  </w14:solidFill>
                </w14:textFill>
              </w:rPr>
              <w:t>6000</w:t>
            </w:r>
          </w:p>
        </w:tc>
        <w:tc>
          <w:tcPr>
            <w:tcW w:w="1065" w:type="pct"/>
            <w:noWrap w:val="0"/>
            <w:vAlign w:val="center"/>
          </w:tcPr>
          <w:p w14:paraId="5FF38642">
            <w:pPr>
              <w:keepNext w:val="0"/>
              <w:keepLines w:val="0"/>
              <w:pageBreakBefore w:val="0"/>
              <w:suppressLineNumbers w:val="0"/>
              <w:kinsoku/>
              <w:wordWrap/>
              <w:overflowPunct/>
              <w:topLinePunct w:val="0"/>
              <w:bidi w:val="0"/>
              <w:adjustRightInd/>
              <w:snapToGrid/>
              <w:spacing w:before="0" w:beforeAutospacing="0" w:after="0" w:afterAutospacing="0" w:line="360" w:lineRule="exact"/>
              <w:ind w:left="0" w:leftChars="0" w:right="0" w:rightChars="0" w:firstLine="0" w:firstLineChars="0"/>
              <w:jc w:val="center"/>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环保投资</w:t>
            </w:r>
          </w:p>
          <w:p w14:paraId="544C4AF5">
            <w:pPr>
              <w:keepNext w:val="0"/>
              <w:keepLines w:val="0"/>
              <w:pageBreakBefore w:val="0"/>
              <w:suppressLineNumbers w:val="0"/>
              <w:kinsoku/>
              <w:wordWrap/>
              <w:overflowPunct/>
              <w:topLinePunct w:val="0"/>
              <w:bidi w:val="0"/>
              <w:adjustRightInd/>
              <w:snapToGrid/>
              <w:spacing w:before="0" w:beforeAutospacing="0" w:after="0" w:afterAutospacing="0" w:line="360" w:lineRule="exact"/>
              <w:ind w:left="0" w:leftChars="0" w:right="0" w:rightChars="0" w:firstLine="0" w:firstLineChars="0"/>
              <w:jc w:val="center"/>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（万元）</w:t>
            </w:r>
          </w:p>
        </w:tc>
        <w:tc>
          <w:tcPr>
            <w:tcW w:w="1767" w:type="pct"/>
            <w:noWrap w:val="0"/>
            <w:vAlign w:val="center"/>
          </w:tcPr>
          <w:p w14:paraId="6D985B0A">
            <w:pPr>
              <w:keepNext w:val="0"/>
              <w:keepLines w:val="0"/>
              <w:pageBreakBefore w:val="0"/>
              <w:suppressLineNumbers w:val="0"/>
              <w:kinsoku/>
              <w:wordWrap/>
              <w:overflowPunct/>
              <w:topLinePunct w:val="0"/>
              <w:bidi w:val="0"/>
              <w:adjustRightInd/>
              <w:snapToGrid/>
              <w:spacing w:before="0" w:beforeAutospacing="0" w:after="0" w:afterAutospacing="0" w:line="360" w:lineRule="exact"/>
              <w:ind w:left="0" w:leftChars="0" w:right="0" w:rightChars="0" w:firstLine="0" w:firstLineChars="0"/>
              <w:jc w:val="center"/>
              <w:textAlignment w:val="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cs="Times New Roman"/>
                <w:color w:val="000000" w:themeColor="text1"/>
                <w:sz w:val="24"/>
                <w:szCs w:val="24"/>
                <w:lang w:val="en-US" w:eastAsia="zh-CN"/>
                <w14:textFill>
                  <w14:solidFill>
                    <w14:schemeClr w14:val="tx1"/>
                  </w14:solidFill>
                </w14:textFill>
              </w:rPr>
              <w:t>40</w:t>
            </w:r>
          </w:p>
        </w:tc>
      </w:tr>
      <w:tr w14:paraId="614C1B2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85" w:type="dxa"/>
            <w:bottom w:w="0" w:type="dxa"/>
            <w:right w:w="85" w:type="dxa"/>
          </w:tblCellMar>
        </w:tblPrEx>
        <w:trPr>
          <w:trHeight w:val="454" w:hRule="atLeast"/>
          <w:jc w:val="center"/>
        </w:trPr>
        <w:tc>
          <w:tcPr>
            <w:tcW w:w="1102" w:type="pct"/>
            <w:gridSpan w:val="2"/>
            <w:noWrap w:val="0"/>
            <w:vAlign w:val="center"/>
          </w:tcPr>
          <w:p w14:paraId="025680F5">
            <w:pPr>
              <w:keepNext w:val="0"/>
              <w:keepLines w:val="0"/>
              <w:pageBreakBefore w:val="0"/>
              <w:suppressLineNumbers w:val="0"/>
              <w:kinsoku/>
              <w:wordWrap/>
              <w:overflowPunct/>
              <w:topLinePunct w:val="0"/>
              <w:bidi w:val="0"/>
              <w:adjustRightInd/>
              <w:snapToGrid/>
              <w:spacing w:before="0" w:beforeAutospacing="0" w:after="0" w:afterAutospacing="0" w:line="360" w:lineRule="exact"/>
              <w:ind w:left="0" w:leftChars="0" w:right="0" w:rightChars="0" w:firstLine="0" w:firstLineChars="0"/>
              <w:jc w:val="center"/>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环保投资占比（%）</w:t>
            </w:r>
          </w:p>
        </w:tc>
        <w:tc>
          <w:tcPr>
            <w:tcW w:w="1065" w:type="pct"/>
            <w:noWrap w:val="0"/>
            <w:vAlign w:val="center"/>
          </w:tcPr>
          <w:p w14:paraId="6A8BBAD0">
            <w:pPr>
              <w:keepNext w:val="0"/>
              <w:keepLines w:val="0"/>
              <w:pageBreakBefore w:val="0"/>
              <w:suppressLineNumbers w:val="0"/>
              <w:kinsoku/>
              <w:wordWrap/>
              <w:overflowPunct/>
              <w:topLinePunct w:val="0"/>
              <w:bidi w:val="0"/>
              <w:adjustRightInd/>
              <w:snapToGrid/>
              <w:spacing w:before="0" w:beforeAutospacing="0" w:after="0" w:afterAutospacing="0" w:line="360" w:lineRule="exact"/>
              <w:ind w:left="0" w:leftChars="0" w:right="0" w:rightChars="0" w:firstLine="0" w:firstLineChars="0"/>
              <w:jc w:val="center"/>
              <w:textAlignment w:val="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cs="Times New Roman"/>
                <w:color w:val="000000" w:themeColor="text1"/>
                <w:sz w:val="24"/>
                <w:szCs w:val="24"/>
                <w:lang w:val="en-US" w:eastAsia="zh-CN"/>
                <w14:textFill>
                  <w14:solidFill>
                    <w14:schemeClr w14:val="tx1"/>
                  </w14:solidFill>
                </w14:textFill>
              </w:rPr>
              <w:t>0.67</w:t>
            </w:r>
          </w:p>
        </w:tc>
        <w:tc>
          <w:tcPr>
            <w:tcW w:w="1065" w:type="pct"/>
            <w:noWrap w:val="0"/>
            <w:vAlign w:val="center"/>
          </w:tcPr>
          <w:p w14:paraId="258401E9">
            <w:pPr>
              <w:keepNext w:val="0"/>
              <w:keepLines w:val="0"/>
              <w:pageBreakBefore w:val="0"/>
              <w:suppressLineNumbers w:val="0"/>
              <w:kinsoku/>
              <w:wordWrap/>
              <w:overflowPunct/>
              <w:topLinePunct w:val="0"/>
              <w:bidi w:val="0"/>
              <w:adjustRightInd/>
              <w:snapToGrid/>
              <w:spacing w:before="0" w:beforeAutospacing="0" w:after="0" w:afterAutospacing="0" w:line="360" w:lineRule="exact"/>
              <w:ind w:left="0" w:leftChars="0" w:right="0" w:rightChars="0" w:firstLine="0" w:firstLineChars="0"/>
              <w:jc w:val="center"/>
              <w:textAlignment w:val="auto"/>
              <w:rPr>
                <w:rFonts w:hint="eastAsia"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施工工期</w:t>
            </w:r>
            <w:r>
              <w:rPr>
                <w:rFonts w:hint="eastAsia" w:ascii="Times New Roman" w:hAnsi="Times New Roman" w:cs="Times New Roman"/>
                <w:color w:val="000000" w:themeColor="text1"/>
                <w:sz w:val="24"/>
                <w:szCs w:val="24"/>
                <w:lang w:eastAsia="zh-CN"/>
                <w14:textFill>
                  <w14:solidFill>
                    <w14:schemeClr w14:val="tx1"/>
                  </w14:solidFill>
                </w14:textFill>
              </w:rPr>
              <w:t>（</w:t>
            </w:r>
            <w:r>
              <w:rPr>
                <w:rFonts w:hint="eastAsia" w:ascii="Times New Roman" w:hAnsi="Times New Roman" w:cs="Times New Roman"/>
                <w:color w:val="000000" w:themeColor="text1"/>
                <w:sz w:val="24"/>
                <w:szCs w:val="24"/>
                <w:lang w:val="en-US" w:eastAsia="zh-CN"/>
                <w14:textFill>
                  <w14:solidFill>
                    <w14:schemeClr w14:val="tx1"/>
                  </w14:solidFill>
                </w14:textFill>
              </w:rPr>
              <w:t>月</w:t>
            </w:r>
            <w:r>
              <w:rPr>
                <w:rFonts w:hint="eastAsia" w:ascii="Times New Roman" w:hAnsi="Times New Roman" w:cs="Times New Roman"/>
                <w:color w:val="000000" w:themeColor="text1"/>
                <w:sz w:val="24"/>
                <w:szCs w:val="24"/>
                <w:lang w:eastAsia="zh-CN"/>
                <w14:textFill>
                  <w14:solidFill>
                    <w14:schemeClr w14:val="tx1"/>
                  </w14:solidFill>
                </w14:textFill>
              </w:rPr>
              <w:t>）</w:t>
            </w:r>
          </w:p>
        </w:tc>
        <w:tc>
          <w:tcPr>
            <w:tcW w:w="1767" w:type="pct"/>
            <w:noWrap w:val="0"/>
            <w:vAlign w:val="center"/>
          </w:tcPr>
          <w:p w14:paraId="053B9064">
            <w:pPr>
              <w:keepNext w:val="0"/>
              <w:keepLines w:val="0"/>
              <w:pageBreakBefore w:val="0"/>
              <w:suppressLineNumbers w:val="0"/>
              <w:kinsoku/>
              <w:wordWrap/>
              <w:overflowPunct/>
              <w:topLinePunct w:val="0"/>
              <w:bidi w:val="0"/>
              <w:adjustRightInd/>
              <w:snapToGrid/>
              <w:spacing w:before="0" w:beforeAutospacing="0" w:after="0" w:afterAutospacing="0" w:line="360" w:lineRule="exact"/>
              <w:ind w:left="0" w:leftChars="0" w:right="0" w:rightChars="0" w:firstLine="0" w:firstLineChars="0"/>
              <w:jc w:val="center"/>
              <w:textAlignment w:val="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cs="Times New Roman"/>
                <w:color w:val="000000" w:themeColor="text1"/>
                <w:sz w:val="24"/>
                <w:szCs w:val="24"/>
                <w:lang w:val="en-US" w:eastAsia="zh-CN"/>
                <w14:textFill>
                  <w14:solidFill>
                    <w14:schemeClr w14:val="tx1"/>
                  </w14:solidFill>
                </w14:textFill>
              </w:rPr>
              <w:t>6</w:t>
            </w:r>
          </w:p>
        </w:tc>
      </w:tr>
      <w:tr w14:paraId="6287A43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85" w:type="dxa"/>
            <w:bottom w:w="0" w:type="dxa"/>
            <w:right w:w="85" w:type="dxa"/>
          </w:tblCellMar>
        </w:tblPrEx>
        <w:trPr>
          <w:trHeight w:val="853" w:hRule="atLeast"/>
          <w:jc w:val="center"/>
        </w:trPr>
        <w:tc>
          <w:tcPr>
            <w:tcW w:w="1102" w:type="pct"/>
            <w:gridSpan w:val="2"/>
            <w:noWrap w:val="0"/>
            <w:vAlign w:val="center"/>
          </w:tcPr>
          <w:p w14:paraId="0BCC2647">
            <w:pPr>
              <w:keepNext w:val="0"/>
              <w:keepLines w:val="0"/>
              <w:pageBreakBefore w:val="0"/>
              <w:suppressLineNumbers w:val="0"/>
              <w:kinsoku/>
              <w:wordWrap/>
              <w:overflowPunct/>
              <w:topLinePunct w:val="0"/>
              <w:bidi w:val="0"/>
              <w:adjustRightInd/>
              <w:snapToGrid/>
              <w:spacing w:before="0" w:beforeAutospacing="0" w:after="0" w:afterAutospacing="0" w:line="360" w:lineRule="exact"/>
              <w:ind w:left="0" w:leftChars="0" w:right="0" w:rightChars="0" w:firstLine="0" w:firstLineChars="0"/>
              <w:jc w:val="center"/>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是否开工建设</w:t>
            </w:r>
          </w:p>
        </w:tc>
        <w:tc>
          <w:tcPr>
            <w:tcW w:w="1065" w:type="pct"/>
            <w:noWrap w:val="0"/>
            <w:vAlign w:val="center"/>
          </w:tcPr>
          <w:p w14:paraId="6BBEBC2C">
            <w:pPr>
              <w:keepNext w:val="0"/>
              <w:keepLines w:val="0"/>
              <w:pageBreakBefore w:val="0"/>
              <w:suppressLineNumbers w:val="0"/>
              <w:kinsoku/>
              <w:wordWrap/>
              <w:overflowPunct/>
              <w:topLinePunct w:val="0"/>
              <w:bidi w:val="0"/>
              <w:adjustRightInd/>
              <w:snapToGrid/>
              <w:spacing w:before="0" w:beforeAutospacing="0" w:after="0" w:afterAutospacing="0" w:line="360" w:lineRule="exact"/>
              <w:ind w:left="0" w:leftChars="0" w:right="0" w:rightChars="0" w:firstLine="0" w:firstLineChars="0"/>
              <w:textAlignment w:val="auto"/>
              <w:rPr>
                <w:rFonts w:hint="default" w:ascii="Times New Roman" w:hAnsi="Times New Roman" w:cs="Times New Roman"/>
                <w:color w:val="000000" w:themeColor="text1"/>
                <w:sz w:val="24"/>
                <w:szCs w:val="24"/>
                <w14:textFill>
                  <w14:solidFill>
                    <w14:schemeClr w14:val="tx1"/>
                  </w14:solidFill>
                </w14:textFill>
              </w:rPr>
            </w:pPr>
            <w:r>
              <w:rPr>
                <w:rFonts w:hint="eastAsia" w:cs="Times New Roman"/>
                <w:color w:val="000000" w:themeColor="text1"/>
                <w:sz w:val="24"/>
                <w:szCs w:val="24"/>
                <w:lang w:eastAsia="zh-CN"/>
                <w14:textFill>
                  <w14:solidFill>
                    <w14:schemeClr w14:val="tx1"/>
                  </w14:solidFill>
                </w14:textFill>
              </w:rPr>
              <w:sym w:font="Wingdings 2" w:char="0052"/>
            </w:r>
            <w:r>
              <w:rPr>
                <w:rFonts w:hint="default" w:ascii="Times New Roman" w:hAnsi="Times New Roman" w:cs="Times New Roman"/>
                <w:color w:val="000000" w:themeColor="text1"/>
                <w:sz w:val="24"/>
                <w:szCs w:val="24"/>
                <w14:textFill>
                  <w14:solidFill>
                    <w14:schemeClr w14:val="tx1"/>
                  </w14:solidFill>
                </w14:textFill>
              </w:rPr>
              <w:t>否</w:t>
            </w:r>
          </w:p>
          <w:p w14:paraId="07296DF7">
            <w:pPr>
              <w:keepNext w:val="0"/>
              <w:keepLines w:val="0"/>
              <w:pageBreakBefore w:val="0"/>
              <w:suppressLineNumbers w:val="0"/>
              <w:kinsoku/>
              <w:wordWrap/>
              <w:overflowPunct/>
              <w:topLinePunct w:val="0"/>
              <w:bidi w:val="0"/>
              <w:adjustRightInd/>
              <w:snapToGrid/>
              <w:spacing w:before="0" w:beforeAutospacing="0" w:after="0" w:afterAutospacing="0" w:line="360" w:lineRule="exact"/>
              <w:ind w:left="0" w:leftChars="0" w:right="0" w:rightChars="0" w:firstLine="0" w:firstLineChars="0"/>
              <w:textAlignment w:val="auto"/>
              <w:rPr>
                <w:rFonts w:hint="default" w:ascii="Times New Roman" w:hAnsi="Times New Roman" w:eastAsia="宋体" w:cs="Times New Roman"/>
                <w:color w:val="000000" w:themeColor="text1"/>
                <w:sz w:val="24"/>
                <w:szCs w:val="24"/>
                <w:u w:val="single"/>
                <w:lang w:val="en-US" w:eastAsia="zh-CN"/>
                <w14:textFill>
                  <w14:solidFill>
                    <w14:schemeClr w14:val="tx1"/>
                  </w14:solidFill>
                </w14:textFill>
              </w:rPr>
            </w:pPr>
            <w:r>
              <w:rPr>
                <w:rFonts w:hint="eastAsia" w:ascii="Times New Roman" w:hAnsi="Times New Roman" w:cs="Times New Roman"/>
                <w:color w:val="000000" w:themeColor="text1"/>
                <w:sz w:val="24"/>
                <w:szCs w:val="24"/>
                <w:lang w:eastAsia="zh-CN"/>
                <w14:textFill>
                  <w14:solidFill>
                    <w14:schemeClr w14:val="tx1"/>
                  </w14:solidFill>
                </w14:textFill>
              </w:rPr>
              <w:t>□</w:t>
            </w:r>
            <w:r>
              <w:rPr>
                <w:rFonts w:hint="default" w:ascii="Times New Roman" w:hAnsi="Times New Roman" w:cs="Times New Roman"/>
                <w:color w:val="000000" w:themeColor="text1"/>
                <w:sz w:val="24"/>
                <w:szCs w:val="24"/>
                <w14:textFill>
                  <w14:solidFill>
                    <w14:schemeClr w14:val="tx1"/>
                  </w14:solidFill>
                </w14:textFill>
              </w:rPr>
              <w:t>是：</w:t>
            </w:r>
            <w:r>
              <w:rPr>
                <w:rFonts w:hint="eastAsia" w:ascii="Times New Roman" w:hAnsi="Times New Roman" w:cs="Times New Roman"/>
                <w:color w:val="000000" w:themeColor="text1"/>
                <w:sz w:val="24"/>
                <w:szCs w:val="24"/>
                <w:u w:val="single"/>
                <w:lang w:val="en-US" w:eastAsia="zh-CN"/>
                <w14:textFill>
                  <w14:solidFill>
                    <w14:schemeClr w14:val="tx1"/>
                  </w14:solidFill>
                </w14:textFill>
              </w:rPr>
              <w:t xml:space="preserve">        </w:t>
            </w:r>
          </w:p>
        </w:tc>
        <w:tc>
          <w:tcPr>
            <w:tcW w:w="1065" w:type="pct"/>
            <w:noWrap w:val="0"/>
            <w:vAlign w:val="center"/>
          </w:tcPr>
          <w:p w14:paraId="2742A040">
            <w:pPr>
              <w:keepNext w:val="0"/>
              <w:keepLines w:val="0"/>
              <w:pageBreakBefore w:val="0"/>
              <w:suppressLineNumbers w:val="0"/>
              <w:kinsoku/>
              <w:wordWrap/>
              <w:overflowPunct/>
              <w:topLinePunct w:val="0"/>
              <w:bidi w:val="0"/>
              <w:adjustRightInd/>
              <w:snapToGrid/>
              <w:spacing w:before="0" w:beforeAutospacing="0" w:after="0" w:afterAutospacing="0" w:line="360" w:lineRule="exact"/>
              <w:ind w:left="0" w:leftChars="0" w:right="0" w:rightChars="0" w:firstLine="0" w:firstLineChars="0"/>
              <w:jc w:val="center"/>
              <w:textAlignment w:val="auto"/>
              <w:rPr>
                <w:rFonts w:hint="default" w:ascii="Times New Roman" w:hAnsi="Times New Roman" w:cs="Times New Roman"/>
                <w:color w:val="000000" w:themeColor="text1"/>
                <w:spacing w:val="-6"/>
                <w:sz w:val="24"/>
                <w:szCs w:val="24"/>
                <w14:textFill>
                  <w14:solidFill>
                    <w14:schemeClr w14:val="tx1"/>
                  </w14:solidFill>
                </w14:textFill>
              </w:rPr>
            </w:pPr>
            <w:r>
              <w:rPr>
                <w:rFonts w:hint="default" w:ascii="Times New Roman" w:hAnsi="Times New Roman" w:cs="Times New Roman"/>
                <w:color w:val="000000" w:themeColor="text1"/>
                <w:spacing w:val="-6"/>
                <w:sz w:val="24"/>
                <w:szCs w:val="24"/>
                <w14:textFill>
                  <w14:solidFill>
                    <w14:schemeClr w14:val="tx1"/>
                  </w14:solidFill>
                </w14:textFill>
              </w:rPr>
              <w:t>用地（用海）</w:t>
            </w:r>
          </w:p>
          <w:p w14:paraId="62347319">
            <w:pPr>
              <w:keepNext w:val="0"/>
              <w:keepLines w:val="0"/>
              <w:pageBreakBefore w:val="0"/>
              <w:suppressLineNumbers w:val="0"/>
              <w:kinsoku/>
              <w:wordWrap/>
              <w:overflowPunct/>
              <w:topLinePunct w:val="0"/>
              <w:bidi w:val="0"/>
              <w:adjustRightInd/>
              <w:snapToGrid/>
              <w:spacing w:before="0" w:beforeAutospacing="0" w:after="0" w:afterAutospacing="0" w:line="360" w:lineRule="exact"/>
              <w:ind w:left="0" w:leftChars="0" w:right="0" w:rightChars="0" w:firstLine="0" w:firstLineChars="0"/>
              <w:jc w:val="center"/>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pacing w:val="-6"/>
                <w:sz w:val="24"/>
                <w:szCs w:val="24"/>
                <w14:textFill>
                  <w14:solidFill>
                    <w14:schemeClr w14:val="tx1"/>
                  </w14:solidFill>
                </w14:textFill>
              </w:rPr>
              <w:t>面积（m</w:t>
            </w:r>
            <w:r>
              <w:rPr>
                <w:rFonts w:hint="default" w:ascii="Times New Roman" w:hAnsi="Times New Roman" w:cs="Times New Roman"/>
                <w:color w:val="000000" w:themeColor="text1"/>
                <w:spacing w:val="-6"/>
                <w:sz w:val="24"/>
                <w:szCs w:val="24"/>
                <w:vertAlign w:val="superscript"/>
                <w14:textFill>
                  <w14:solidFill>
                    <w14:schemeClr w14:val="tx1"/>
                  </w14:solidFill>
                </w14:textFill>
              </w:rPr>
              <w:t>2</w:t>
            </w:r>
            <w:r>
              <w:rPr>
                <w:rFonts w:hint="default" w:ascii="Times New Roman" w:hAnsi="Times New Roman" w:cs="Times New Roman"/>
                <w:color w:val="000000" w:themeColor="text1"/>
                <w:spacing w:val="-6"/>
                <w:sz w:val="24"/>
                <w:szCs w:val="24"/>
                <w14:textFill>
                  <w14:solidFill>
                    <w14:schemeClr w14:val="tx1"/>
                  </w14:solidFill>
                </w14:textFill>
              </w:rPr>
              <w:t>）</w:t>
            </w:r>
          </w:p>
        </w:tc>
        <w:tc>
          <w:tcPr>
            <w:tcW w:w="1767" w:type="pct"/>
            <w:noWrap w:val="0"/>
            <w:vAlign w:val="center"/>
          </w:tcPr>
          <w:p w14:paraId="2757A748">
            <w:pPr>
              <w:keepNext w:val="0"/>
              <w:keepLines w:val="0"/>
              <w:pageBreakBefore w:val="0"/>
              <w:suppressLineNumbers w:val="0"/>
              <w:kinsoku/>
              <w:wordWrap/>
              <w:overflowPunct/>
              <w:topLinePunct w:val="0"/>
              <w:bidi w:val="0"/>
              <w:adjustRightInd/>
              <w:snapToGrid/>
              <w:spacing w:before="0" w:beforeAutospacing="0" w:after="0" w:afterAutospacing="0" w:line="360" w:lineRule="exact"/>
              <w:ind w:left="0" w:leftChars="0" w:right="0" w:rightChars="0" w:firstLine="0" w:firstLineChars="0"/>
              <w:jc w:val="center"/>
              <w:textAlignment w:val="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cs="Times New Roman"/>
                <w:color w:val="000000" w:themeColor="text1"/>
                <w:sz w:val="24"/>
                <w:szCs w:val="24"/>
                <w:lang w:val="en-US" w:eastAsia="zh-CN"/>
                <w14:textFill>
                  <w14:solidFill>
                    <w14:schemeClr w14:val="tx1"/>
                  </w14:solidFill>
                </w14:textFill>
              </w:rPr>
              <w:t>6000</w:t>
            </w:r>
          </w:p>
        </w:tc>
      </w:tr>
      <w:tr w14:paraId="6CF1BB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85" w:type="dxa"/>
            <w:bottom w:w="0" w:type="dxa"/>
            <w:right w:w="85" w:type="dxa"/>
          </w:tblCellMar>
        </w:tblPrEx>
        <w:trPr>
          <w:trHeight w:val="780" w:hRule="atLeast"/>
          <w:jc w:val="center"/>
        </w:trPr>
        <w:tc>
          <w:tcPr>
            <w:tcW w:w="1102" w:type="pct"/>
            <w:gridSpan w:val="2"/>
            <w:noWrap w:val="0"/>
            <w:vAlign w:val="center"/>
          </w:tcPr>
          <w:p w14:paraId="11C8C11E">
            <w:pPr>
              <w:keepNext w:val="0"/>
              <w:keepLines w:val="0"/>
              <w:pageBreakBefore w:val="0"/>
              <w:suppressLineNumbers w:val="0"/>
              <w:kinsoku/>
              <w:wordWrap/>
              <w:overflowPunct/>
              <w:topLinePunct w:val="0"/>
              <w:autoSpaceDE w:val="0"/>
              <w:autoSpaceDN w:val="0"/>
              <w:bidi w:val="0"/>
              <w:adjustRightInd/>
              <w:snapToGrid/>
              <w:spacing w:before="0" w:beforeAutospacing="0" w:after="0" w:afterAutospacing="0" w:line="360" w:lineRule="exact"/>
              <w:ind w:left="0" w:leftChars="0" w:right="0" w:rightChars="0" w:firstLine="0" w:firstLineChars="0"/>
              <w:jc w:val="center"/>
              <w:textAlignment w:val="auto"/>
              <w:rPr>
                <w:rFonts w:hint="default" w:ascii="Times New Roman" w:hAnsi="Times New Roman" w:cs="Times New Roman"/>
                <w:color w:val="000000" w:themeColor="text1"/>
                <w:kern w:val="0"/>
                <w:sz w:val="24"/>
                <w:szCs w:val="24"/>
                <w14:textFill>
                  <w14:solidFill>
                    <w14:schemeClr w14:val="tx1"/>
                  </w14:solidFill>
                </w14:textFill>
              </w:rPr>
            </w:pPr>
            <w:r>
              <w:rPr>
                <w:rFonts w:hint="default" w:ascii="Times New Roman" w:hAnsi="Times New Roman" w:cs="Times New Roman"/>
                <w:color w:val="000000" w:themeColor="text1"/>
                <w:kern w:val="0"/>
                <w:sz w:val="24"/>
                <w:szCs w:val="24"/>
                <w14:textFill>
                  <w14:solidFill>
                    <w14:schemeClr w14:val="tx1"/>
                  </w14:solidFill>
                </w14:textFill>
              </w:rPr>
              <w:t>专项评价</w:t>
            </w:r>
          </w:p>
          <w:p w14:paraId="32A5D6F3">
            <w:pPr>
              <w:keepNext w:val="0"/>
              <w:keepLines w:val="0"/>
              <w:pageBreakBefore w:val="0"/>
              <w:suppressLineNumbers w:val="0"/>
              <w:kinsoku/>
              <w:wordWrap/>
              <w:overflowPunct/>
              <w:topLinePunct w:val="0"/>
              <w:autoSpaceDE w:val="0"/>
              <w:autoSpaceDN w:val="0"/>
              <w:bidi w:val="0"/>
              <w:adjustRightInd/>
              <w:snapToGrid/>
              <w:spacing w:before="0" w:beforeAutospacing="0" w:after="0" w:afterAutospacing="0" w:line="360" w:lineRule="exact"/>
              <w:ind w:left="0" w:leftChars="0" w:right="0" w:rightChars="0" w:firstLine="0" w:firstLineChars="0"/>
              <w:jc w:val="center"/>
              <w:textAlignment w:val="auto"/>
              <w:rPr>
                <w:rFonts w:hint="default" w:ascii="Times New Roman" w:hAnsi="Times New Roman" w:cs="Times New Roman"/>
                <w:color w:val="000000" w:themeColor="text1"/>
                <w:kern w:val="0"/>
                <w:sz w:val="24"/>
                <w:szCs w:val="24"/>
                <w14:textFill>
                  <w14:solidFill>
                    <w14:schemeClr w14:val="tx1"/>
                  </w14:solidFill>
                </w14:textFill>
              </w:rPr>
            </w:pPr>
            <w:r>
              <w:rPr>
                <w:rFonts w:hint="default" w:ascii="Times New Roman" w:hAnsi="Times New Roman" w:cs="Times New Roman"/>
                <w:color w:val="000000" w:themeColor="text1"/>
                <w:kern w:val="0"/>
                <w:sz w:val="24"/>
                <w:szCs w:val="24"/>
                <w14:textFill>
                  <w14:solidFill>
                    <w14:schemeClr w14:val="tx1"/>
                  </w14:solidFill>
                </w14:textFill>
              </w:rPr>
              <w:t>设置情况</w:t>
            </w:r>
          </w:p>
        </w:tc>
        <w:tc>
          <w:tcPr>
            <w:tcW w:w="3897" w:type="pct"/>
            <w:gridSpan w:val="3"/>
            <w:noWrap w:val="0"/>
            <w:vAlign w:val="center"/>
          </w:tcPr>
          <w:p w14:paraId="2EB2F146">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pPr>
            <w:r>
              <w:rPr>
                <w:rFonts w:hint="eastAsia" w:cs="Times New Roman"/>
                <w:b w:val="0"/>
                <w:bCs w:val="0"/>
                <w:color w:val="000000" w:themeColor="text1"/>
                <w:sz w:val="24"/>
                <w:szCs w:val="24"/>
                <w:lang w:val="en-US" w:eastAsia="zh-CN"/>
                <w14:textFill>
                  <w14:solidFill>
                    <w14:schemeClr w14:val="tx1"/>
                  </w14:solidFill>
                </w14:textFill>
              </w:rPr>
              <w:t>无</w:t>
            </w:r>
          </w:p>
        </w:tc>
      </w:tr>
      <w:tr w14:paraId="45A2B4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85" w:type="dxa"/>
            <w:bottom w:w="0" w:type="dxa"/>
            <w:right w:w="85" w:type="dxa"/>
          </w:tblCellMar>
        </w:tblPrEx>
        <w:trPr>
          <w:trHeight w:val="2288" w:hRule="atLeast"/>
          <w:jc w:val="center"/>
        </w:trPr>
        <w:tc>
          <w:tcPr>
            <w:tcW w:w="1102" w:type="pct"/>
            <w:gridSpan w:val="2"/>
            <w:noWrap w:val="0"/>
            <w:vAlign w:val="center"/>
          </w:tcPr>
          <w:p w14:paraId="14898961">
            <w:pPr>
              <w:keepNext w:val="0"/>
              <w:keepLines w:val="0"/>
              <w:pageBreakBefore w:val="0"/>
              <w:suppressLineNumbers w:val="0"/>
              <w:kinsoku/>
              <w:wordWrap/>
              <w:overflowPunct/>
              <w:topLinePunct w:val="0"/>
              <w:autoSpaceDE w:val="0"/>
              <w:autoSpaceDN w:val="0"/>
              <w:bidi w:val="0"/>
              <w:adjustRightInd/>
              <w:snapToGrid/>
              <w:spacing w:before="0" w:beforeAutospacing="0" w:after="0" w:afterAutospacing="0" w:line="360" w:lineRule="exact"/>
              <w:ind w:left="0" w:leftChars="0" w:right="0" w:rightChars="0" w:firstLine="0" w:firstLineChars="0"/>
              <w:jc w:val="center"/>
              <w:textAlignment w:val="auto"/>
              <w:rPr>
                <w:rFonts w:hint="default" w:ascii="Times New Roman" w:hAnsi="Times New Roman" w:cs="Times New Roman"/>
                <w:color w:val="000000" w:themeColor="text1"/>
                <w:kern w:val="0"/>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规划情况</w:t>
            </w:r>
          </w:p>
        </w:tc>
        <w:tc>
          <w:tcPr>
            <w:tcW w:w="3897" w:type="pct"/>
            <w:gridSpan w:val="3"/>
            <w:noWrap w:val="0"/>
            <w:vAlign w:val="center"/>
          </w:tcPr>
          <w:p w14:paraId="6B6C32DF">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520" w:lineRule="exact"/>
              <w:ind w:left="0" w:right="0"/>
              <w:jc w:val="both"/>
              <w:textAlignment w:val="auto"/>
              <w:rPr>
                <w:rFonts w:hint="default"/>
                <w:sz w:val="24"/>
                <w:szCs w:val="24"/>
                <w:lang w:val="en-US"/>
              </w:rPr>
            </w:pPr>
            <w:r>
              <w:rPr>
                <w:rFonts w:hint="eastAsia" w:ascii="Times New Roman" w:hAnsi="Times New Roman" w:eastAsia="宋体" w:cs="宋体"/>
                <w:b/>
                <w:bCs/>
                <w:kern w:val="2"/>
                <w:sz w:val="24"/>
                <w:szCs w:val="24"/>
                <w:lang w:val="en-US" w:eastAsia="zh-CN" w:bidi="ar"/>
              </w:rPr>
              <w:t>规划名称：</w:t>
            </w:r>
            <w:r>
              <w:rPr>
                <w:rFonts w:hint="eastAsia" w:ascii="Times New Roman" w:hAnsi="Times New Roman" w:eastAsia="宋体" w:cs="宋体"/>
                <w:b w:val="0"/>
                <w:bCs w:val="0"/>
                <w:kern w:val="2"/>
                <w:sz w:val="24"/>
                <w:szCs w:val="24"/>
                <w:lang w:val="en-US" w:eastAsia="zh-CN" w:bidi="ar"/>
              </w:rPr>
              <w:t>《汤阴县产业集聚区发展规划调整方案（2017-2020）》；</w:t>
            </w:r>
          </w:p>
          <w:p w14:paraId="7D5DEEB2">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520" w:lineRule="exact"/>
              <w:ind w:left="0" w:right="0"/>
              <w:jc w:val="both"/>
              <w:textAlignment w:val="auto"/>
              <w:rPr>
                <w:rFonts w:hint="default"/>
                <w:sz w:val="24"/>
                <w:szCs w:val="24"/>
                <w:lang w:val="en-US"/>
              </w:rPr>
            </w:pPr>
            <w:r>
              <w:rPr>
                <w:rFonts w:hint="eastAsia" w:ascii="Times New Roman" w:hAnsi="Times New Roman" w:eastAsia="宋体" w:cs="宋体"/>
                <w:b/>
                <w:bCs/>
                <w:kern w:val="2"/>
                <w:sz w:val="24"/>
                <w:szCs w:val="24"/>
                <w:lang w:val="en-US" w:eastAsia="zh-CN" w:bidi="ar"/>
              </w:rPr>
              <w:t>审批机关：</w:t>
            </w:r>
            <w:r>
              <w:rPr>
                <w:rFonts w:hint="eastAsia" w:ascii="Times New Roman" w:hAnsi="Times New Roman" w:eastAsia="宋体" w:cs="Times New Roman"/>
                <w:kern w:val="2"/>
                <w:sz w:val="24"/>
                <w:szCs w:val="24"/>
                <w:lang w:val="en-US" w:eastAsia="zh-CN" w:bidi="ar"/>
              </w:rPr>
              <w:t>河南省发展和改革委员会</w:t>
            </w:r>
            <w:r>
              <w:rPr>
                <w:rFonts w:hint="eastAsia" w:ascii="Times New Roman" w:hAnsi="Times New Roman" w:eastAsia="宋体" w:cs="宋体"/>
                <w:kern w:val="2"/>
                <w:sz w:val="24"/>
                <w:szCs w:val="24"/>
                <w:lang w:val="en-US" w:eastAsia="zh-CN" w:bidi="ar"/>
              </w:rPr>
              <w:t>；</w:t>
            </w:r>
          </w:p>
          <w:p w14:paraId="15D1AD14">
            <w:pPr>
              <w:keepNext w:val="0"/>
              <w:keepLines w:val="0"/>
              <w:pageBreakBefore w:val="0"/>
              <w:widowControl/>
              <w:suppressLineNumbers w:val="0"/>
              <w:kinsoku/>
              <w:wordWrap/>
              <w:overflowPunct/>
              <w:topLinePunct w:val="0"/>
              <w:bidi w:val="0"/>
              <w:spacing w:before="0" w:beforeAutospacing="0" w:after="0" w:afterAutospacing="0" w:line="520" w:lineRule="exact"/>
              <w:ind w:left="0" w:right="0"/>
              <w:jc w:val="both"/>
              <w:textAlignment w:val="auto"/>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b/>
                <w:bCs/>
                <w:kern w:val="2"/>
                <w:sz w:val="24"/>
                <w:szCs w:val="24"/>
                <w:lang w:val="en-US" w:eastAsia="zh-CN" w:bidi="ar"/>
              </w:rPr>
              <w:t>审批文件名称及文号：</w:t>
            </w:r>
            <w:r>
              <w:rPr>
                <w:rFonts w:hint="eastAsia" w:ascii="Times New Roman" w:hAnsi="Times New Roman" w:eastAsia="宋体" w:cs="Times New Roman"/>
                <w:sz w:val="24"/>
                <w:szCs w:val="24"/>
                <w:lang w:val="en-US" w:eastAsia="zh-CN" w:bidi="ar"/>
              </w:rPr>
              <w:t>《河南省发展和改革委员会关于汤阴县产业集聚区发展规划调整方案的批复》（豫发改工业〔</w:t>
            </w:r>
            <w:r>
              <w:rPr>
                <w:rFonts w:hint="default" w:ascii="Times New Roman" w:hAnsi="Times New Roman" w:eastAsia="宋体" w:cs="Times New Roman"/>
                <w:sz w:val="24"/>
                <w:szCs w:val="24"/>
                <w:lang w:val="en-US" w:eastAsia="zh-CN" w:bidi="ar"/>
              </w:rPr>
              <w:t>2012</w:t>
            </w:r>
            <w:r>
              <w:rPr>
                <w:rFonts w:hint="eastAsia" w:ascii="Times New Roman" w:hAnsi="Times New Roman" w:eastAsia="宋体" w:cs="Times New Roman"/>
                <w:sz w:val="24"/>
                <w:szCs w:val="24"/>
                <w:lang w:val="en-US" w:eastAsia="zh-CN" w:bidi="ar"/>
              </w:rPr>
              <w:t>〕</w:t>
            </w:r>
            <w:r>
              <w:rPr>
                <w:rFonts w:hint="default" w:ascii="Times New Roman" w:hAnsi="Times New Roman" w:eastAsia="宋体" w:cs="Times New Roman"/>
                <w:sz w:val="24"/>
                <w:szCs w:val="24"/>
                <w:lang w:val="en-US" w:eastAsia="zh-CN" w:bidi="ar"/>
              </w:rPr>
              <w:t>1076</w:t>
            </w:r>
            <w:r>
              <w:rPr>
                <w:rFonts w:hint="eastAsia" w:ascii="Times New Roman" w:hAnsi="Times New Roman" w:eastAsia="宋体" w:cs="Times New Roman"/>
                <w:sz w:val="24"/>
                <w:szCs w:val="24"/>
                <w:lang w:val="en-US" w:eastAsia="zh-CN" w:bidi="ar"/>
              </w:rPr>
              <w:t>号）</w:t>
            </w:r>
            <w:r>
              <w:rPr>
                <w:rFonts w:hint="eastAsia" w:ascii="Times New Roman" w:hAnsi="Times New Roman" w:eastAsia="宋体" w:cs="Times New Roman"/>
                <w:kern w:val="2"/>
                <w:sz w:val="24"/>
                <w:szCs w:val="24"/>
                <w:lang w:val="en-US" w:eastAsia="zh-CN" w:bidi="ar"/>
              </w:rPr>
              <w:t>。</w:t>
            </w:r>
          </w:p>
        </w:tc>
      </w:tr>
      <w:tr w14:paraId="3008BA5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85" w:type="dxa"/>
            <w:bottom w:w="0" w:type="dxa"/>
            <w:right w:w="85" w:type="dxa"/>
          </w:tblCellMar>
        </w:tblPrEx>
        <w:trPr>
          <w:trHeight w:val="3446" w:hRule="atLeast"/>
          <w:jc w:val="center"/>
        </w:trPr>
        <w:tc>
          <w:tcPr>
            <w:tcW w:w="1102" w:type="pct"/>
            <w:gridSpan w:val="2"/>
            <w:noWrap w:val="0"/>
            <w:vAlign w:val="center"/>
          </w:tcPr>
          <w:p w14:paraId="45B29763">
            <w:pPr>
              <w:keepNext w:val="0"/>
              <w:keepLines w:val="0"/>
              <w:pageBreakBefore w:val="0"/>
              <w:suppressLineNumbers w:val="0"/>
              <w:kinsoku/>
              <w:wordWrap/>
              <w:overflowPunct/>
              <w:topLinePunct w:val="0"/>
              <w:bidi w:val="0"/>
              <w:adjustRightInd/>
              <w:snapToGrid/>
              <w:spacing w:before="0" w:beforeAutospacing="0" w:after="0" w:afterAutospacing="0" w:line="360" w:lineRule="exact"/>
              <w:ind w:left="0" w:leftChars="0" w:right="0" w:rightChars="0" w:firstLine="0" w:firstLineChars="0"/>
              <w:jc w:val="center"/>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规划环境影响</w:t>
            </w:r>
          </w:p>
          <w:p w14:paraId="12890928">
            <w:pPr>
              <w:keepNext w:val="0"/>
              <w:keepLines w:val="0"/>
              <w:pageBreakBefore w:val="0"/>
              <w:suppressLineNumbers w:val="0"/>
              <w:kinsoku/>
              <w:wordWrap/>
              <w:overflowPunct/>
              <w:topLinePunct w:val="0"/>
              <w:bidi w:val="0"/>
              <w:adjustRightInd/>
              <w:snapToGrid/>
              <w:spacing w:before="0" w:beforeAutospacing="0" w:after="0" w:afterAutospacing="0" w:line="360" w:lineRule="exact"/>
              <w:ind w:left="0" w:leftChars="0" w:right="0" w:rightChars="0" w:firstLine="0" w:firstLineChars="0"/>
              <w:jc w:val="center"/>
              <w:textAlignment w:val="auto"/>
              <w:rPr>
                <w:rFonts w:hint="default" w:ascii="Times New Roman" w:hAnsi="Times New Roman" w:cs="Times New Roman"/>
                <w:color w:val="000000" w:themeColor="text1"/>
                <w:kern w:val="0"/>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评价情况</w:t>
            </w:r>
          </w:p>
        </w:tc>
        <w:tc>
          <w:tcPr>
            <w:tcW w:w="3897" w:type="pct"/>
            <w:gridSpan w:val="3"/>
            <w:noWrap w:val="0"/>
            <w:vAlign w:val="center"/>
          </w:tcPr>
          <w:p w14:paraId="4B8616A7">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520" w:lineRule="exact"/>
              <w:ind w:left="0" w:right="0"/>
              <w:jc w:val="both"/>
              <w:textAlignment w:val="auto"/>
              <w:rPr>
                <w:rFonts w:hint="default" w:ascii="Times New Roman" w:hAnsi="Times New Roman" w:cs="Times New Roman"/>
                <w:sz w:val="24"/>
                <w:szCs w:val="24"/>
                <w:lang w:val="en-US"/>
              </w:rPr>
            </w:pPr>
            <w:r>
              <w:rPr>
                <w:rFonts w:hint="default" w:ascii="Times New Roman" w:hAnsi="Times New Roman" w:eastAsia="宋体" w:cs="Times New Roman"/>
                <w:b/>
                <w:bCs/>
                <w:kern w:val="2"/>
                <w:sz w:val="24"/>
                <w:szCs w:val="24"/>
                <w:lang w:val="en-US" w:eastAsia="zh-CN" w:bidi="ar"/>
              </w:rPr>
              <w:t>规划环境影响评价文件名称：</w:t>
            </w:r>
            <w:r>
              <w:rPr>
                <w:rFonts w:hint="eastAsia" w:ascii="Times New Roman" w:hAnsi="Times New Roman" w:eastAsia="宋体" w:cs="Times New Roman"/>
                <w:sz w:val="24"/>
                <w:szCs w:val="24"/>
                <w:lang w:val="en-US" w:eastAsia="zh-CN" w:bidi="ar"/>
              </w:rPr>
              <w:t>《汤阴县产业集聚区发展规划调整方案（</w:t>
            </w:r>
            <w:r>
              <w:rPr>
                <w:rFonts w:hint="default" w:ascii="Times New Roman" w:hAnsi="Times New Roman" w:eastAsia="宋体" w:cs="Times New Roman"/>
                <w:sz w:val="24"/>
                <w:szCs w:val="24"/>
                <w:lang w:val="en-US" w:eastAsia="zh-CN" w:bidi="ar"/>
              </w:rPr>
              <w:t>2017-2020</w:t>
            </w:r>
            <w:r>
              <w:rPr>
                <w:rFonts w:hint="eastAsia" w:ascii="Times New Roman" w:hAnsi="Times New Roman" w:eastAsia="宋体" w:cs="Times New Roman"/>
                <w:sz w:val="24"/>
                <w:szCs w:val="24"/>
                <w:lang w:val="en-US" w:eastAsia="zh-CN" w:bidi="ar"/>
              </w:rPr>
              <w:t>）环境影响报告书》</w:t>
            </w:r>
            <w:r>
              <w:rPr>
                <w:rFonts w:hint="default" w:ascii="Times New Roman" w:hAnsi="Times New Roman" w:eastAsia="宋体" w:cs="Times New Roman"/>
                <w:kern w:val="2"/>
                <w:sz w:val="24"/>
                <w:szCs w:val="24"/>
                <w:lang w:val="en-US" w:eastAsia="zh-CN" w:bidi="ar"/>
              </w:rPr>
              <w:t>；</w:t>
            </w:r>
          </w:p>
          <w:p w14:paraId="4C84D04B">
            <w:pPr>
              <w:pStyle w:val="21"/>
              <w:keepNext w:val="0"/>
              <w:keepLines w:val="0"/>
              <w:pageBreakBefore w:val="0"/>
              <w:widowControl/>
              <w:suppressLineNumbers w:val="0"/>
              <w:kinsoku/>
              <w:wordWrap/>
              <w:overflowPunct/>
              <w:topLinePunct w:val="0"/>
              <w:autoSpaceDE w:val="0"/>
              <w:autoSpaceDN w:val="0"/>
              <w:bidi w:val="0"/>
              <w:spacing w:before="0" w:beforeAutospacing="0" w:after="0" w:afterAutospacing="0" w:line="520" w:lineRule="exact"/>
              <w:ind w:left="0" w:right="0"/>
              <w:jc w:val="both"/>
              <w:textAlignment w:val="auto"/>
              <w:rPr>
                <w:rFonts w:hint="default" w:ascii="Times New Roman" w:hAnsi="Times New Roman" w:cs="Times New Roman"/>
                <w:kern w:val="0"/>
                <w:sz w:val="24"/>
                <w:szCs w:val="24"/>
                <w:lang w:val="en-US"/>
              </w:rPr>
            </w:pPr>
            <w:r>
              <w:rPr>
                <w:rFonts w:hint="default" w:ascii="Times New Roman" w:hAnsi="Times New Roman" w:eastAsia="宋体" w:cs="Times New Roman"/>
                <w:b/>
                <w:bCs w:val="0"/>
                <w:kern w:val="0"/>
                <w:sz w:val="24"/>
                <w:szCs w:val="24"/>
                <w:lang w:eastAsia="zh-CN"/>
              </w:rPr>
              <w:t>审查机关：</w:t>
            </w:r>
            <w:r>
              <w:rPr>
                <w:rFonts w:hint="eastAsia" w:ascii="Times New Roman" w:hAnsi="Times New Roman" w:eastAsia="宋体" w:cs="Times New Roman"/>
                <w:sz w:val="24"/>
                <w:szCs w:val="24"/>
                <w:lang w:val="en-US" w:eastAsia="zh-CN" w:bidi="ar"/>
              </w:rPr>
              <w:t>河南省环境保护厅</w:t>
            </w:r>
            <w:r>
              <w:rPr>
                <w:rFonts w:hint="eastAsia" w:ascii="Times New Roman" w:hAnsi="Times New Roman" w:eastAsia="宋体" w:cs="Times New Roman"/>
                <w:kern w:val="0"/>
                <w:sz w:val="24"/>
                <w:szCs w:val="24"/>
                <w:lang w:eastAsia="zh-CN"/>
              </w:rPr>
              <w:t>；</w:t>
            </w:r>
          </w:p>
          <w:p w14:paraId="734429F9">
            <w:pPr>
              <w:keepNext w:val="0"/>
              <w:keepLines w:val="0"/>
              <w:pageBreakBefore w:val="0"/>
              <w:widowControl/>
              <w:suppressLineNumbers w:val="0"/>
              <w:kinsoku/>
              <w:wordWrap/>
              <w:overflowPunct/>
              <w:topLinePunct w:val="0"/>
              <w:bidi w:val="0"/>
              <w:spacing w:before="0" w:beforeAutospacing="0" w:after="0" w:afterAutospacing="0" w:line="520" w:lineRule="exact"/>
              <w:ind w:left="0" w:right="0"/>
              <w:jc w:val="both"/>
              <w:textAlignment w:val="auto"/>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bCs w:val="0"/>
                <w:kern w:val="2"/>
                <w:sz w:val="24"/>
                <w:szCs w:val="24"/>
                <w:lang w:val="en-US" w:eastAsia="zh-CN" w:bidi="ar"/>
              </w:rPr>
              <w:t>审查文件</w:t>
            </w:r>
            <w:r>
              <w:rPr>
                <w:rFonts w:hint="eastAsia" w:ascii="Times New Roman" w:hAnsi="Times New Roman" w:eastAsia="宋体" w:cs="Times New Roman"/>
                <w:b/>
                <w:bCs w:val="0"/>
                <w:kern w:val="2"/>
                <w:sz w:val="24"/>
                <w:szCs w:val="24"/>
                <w:lang w:val="en-US" w:eastAsia="zh-CN" w:bidi="ar"/>
              </w:rPr>
              <w:t>名称</w:t>
            </w:r>
            <w:r>
              <w:rPr>
                <w:rFonts w:hint="default" w:ascii="Times New Roman" w:hAnsi="Times New Roman" w:eastAsia="宋体" w:cs="Times New Roman"/>
                <w:b/>
                <w:bCs w:val="0"/>
                <w:kern w:val="2"/>
                <w:sz w:val="24"/>
                <w:szCs w:val="24"/>
                <w:lang w:val="en-US" w:eastAsia="zh-CN" w:bidi="ar"/>
              </w:rPr>
              <w:t>及文号：</w:t>
            </w:r>
            <w:r>
              <w:rPr>
                <w:rFonts w:hint="eastAsia" w:ascii="Times New Roman" w:hAnsi="Times New Roman" w:eastAsia="宋体" w:cs="Times New Roman"/>
                <w:sz w:val="24"/>
                <w:szCs w:val="24"/>
                <w:lang w:val="en-US" w:eastAsia="zh-CN" w:bidi="ar"/>
              </w:rPr>
              <w:t>《河南省环境保护厅关于汤阴县产业集聚区发展规划调整方案（</w:t>
            </w:r>
            <w:r>
              <w:rPr>
                <w:rFonts w:hint="default" w:ascii="Times New Roman" w:hAnsi="Times New Roman" w:eastAsia="宋体" w:cs="Times New Roman"/>
                <w:sz w:val="24"/>
                <w:szCs w:val="24"/>
                <w:lang w:val="en-US" w:eastAsia="zh-CN" w:bidi="ar"/>
              </w:rPr>
              <w:t>2017-2020</w:t>
            </w:r>
            <w:r>
              <w:rPr>
                <w:rFonts w:hint="eastAsia" w:ascii="Times New Roman" w:hAnsi="Times New Roman" w:eastAsia="宋体" w:cs="Times New Roman"/>
                <w:sz w:val="24"/>
                <w:szCs w:val="24"/>
                <w:lang w:val="en-US" w:eastAsia="zh-CN" w:bidi="ar"/>
              </w:rPr>
              <w:t>）环境影响报告书的审查意见》（</w:t>
            </w:r>
            <w:r>
              <w:rPr>
                <w:rFonts w:hint="eastAsia" w:ascii="Times New Roman" w:hAnsi="Times New Roman" w:eastAsia="宋体" w:cs="Times New Roman"/>
                <w:kern w:val="2"/>
                <w:sz w:val="24"/>
                <w:szCs w:val="24"/>
                <w:lang w:val="en-US" w:eastAsia="zh-CN" w:bidi="ar"/>
              </w:rPr>
              <w:t>豫环函〔</w:t>
            </w:r>
            <w:r>
              <w:rPr>
                <w:rFonts w:hint="default" w:ascii="Times New Roman" w:hAnsi="Times New Roman" w:eastAsia="宋体" w:cs="Times New Roman"/>
                <w:kern w:val="2"/>
                <w:sz w:val="24"/>
                <w:szCs w:val="24"/>
                <w:lang w:val="en-US" w:eastAsia="zh-CN" w:bidi="ar"/>
              </w:rPr>
              <w:t>2017</w:t>
            </w:r>
            <w:r>
              <w:rPr>
                <w:rFonts w:hint="eastAsia" w:ascii="Times New Roman" w:hAnsi="Times New Roman" w:eastAsia="宋体" w:cs="Times New Roman"/>
                <w:kern w:val="2"/>
                <w:sz w:val="24"/>
                <w:szCs w:val="24"/>
                <w:lang w:val="en-US" w:eastAsia="zh-CN" w:bidi="ar"/>
              </w:rPr>
              <w:t>〕</w:t>
            </w:r>
            <w:r>
              <w:rPr>
                <w:rFonts w:hint="default" w:ascii="Times New Roman" w:hAnsi="Times New Roman" w:eastAsia="宋体" w:cs="Times New Roman"/>
                <w:kern w:val="2"/>
                <w:sz w:val="24"/>
                <w:szCs w:val="24"/>
                <w:lang w:val="en-US" w:eastAsia="zh-CN" w:bidi="ar"/>
              </w:rPr>
              <w:t>251</w:t>
            </w:r>
            <w:r>
              <w:rPr>
                <w:rFonts w:hint="eastAsia" w:ascii="Times New Roman" w:hAnsi="Times New Roman" w:eastAsia="宋体" w:cs="Times New Roman"/>
                <w:kern w:val="2"/>
                <w:sz w:val="24"/>
                <w:szCs w:val="24"/>
                <w:lang w:val="en-US" w:eastAsia="zh-CN" w:bidi="ar"/>
              </w:rPr>
              <w:t>号</w:t>
            </w:r>
            <w:r>
              <w:rPr>
                <w:rFonts w:hint="eastAsia" w:ascii="Times New Roman" w:hAnsi="Times New Roman" w:eastAsia="宋体" w:cs="Times New Roman"/>
                <w:sz w:val="24"/>
                <w:szCs w:val="24"/>
                <w:lang w:val="en-US" w:eastAsia="zh-CN" w:bidi="ar"/>
              </w:rPr>
              <w:t>）</w:t>
            </w:r>
            <w:r>
              <w:rPr>
                <w:rFonts w:hint="default" w:ascii="Times New Roman" w:hAnsi="Times New Roman" w:eastAsia="宋体" w:cs="Times New Roman"/>
                <w:kern w:val="2"/>
                <w:sz w:val="24"/>
                <w:szCs w:val="24"/>
                <w:lang w:val="en-US" w:eastAsia="zh-CN" w:bidi="ar"/>
              </w:rPr>
              <w:t>。</w:t>
            </w:r>
          </w:p>
        </w:tc>
      </w:tr>
      <w:tr w14:paraId="59BD8A7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85" w:type="dxa"/>
            <w:bottom w:w="0" w:type="dxa"/>
            <w:right w:w="85" w:type="dxa"/>
          </w:tblCellMar>
        </w:tblPrEx>
        <w:trPr>
          <w:trHeight w:val="8788" w:hRule="atLeast"/>
          <w:jc w:val="center"/>
        </w:trPr>
        <w:tc>
          <w:tcPr>
            <w:tcW w:w="1102" w:type="pct"/>
            <w:gridSpan w:val="2"/>
            <w:noWrap w:val="0"/>
            <w:vAlign w:val="center"/>
          </w:tcPr>
          <w:p w14:paraId="68547EE4">
            <w:pPr>
              <w:keepNext w:val="0"/>
              <w:keepLines w:val="0"/>
              <w:pageBreakBefore w:val="0"/>
              <w:suppressLineNumbers w:val="0"/>
              <w:kinsoku/>
              <w:wordWrap/>
              <w:overflowPunct/>
              <w:topLinePunct w:val="0"/>
              <w:autoSpaceDE w:val="0"/>
              <w:autoSpaceDN w:val="0"/>
              <w:bidi w:val="0"/>
              <w:adjustRightInd/>
              <w:snapToGrid/>
              <w:spacing w:before="0" w:beforeAutospacing="0" w:after="0" w:afterAutospacing="0" w:line="360" w:lineRule="exact"/>
              <w:ind w:left="0" w:leftChars="0" w:right="0" w:rightChars="0" w:firstLine="0" w:firstLineChars="0"/>
              <w:jc w:val="center"/>
              <w:textAlignment w:val="auto"/>
              <w:rPr>
                <w:rFonts w:hint="default" w:ascii="Times New Roman" w:hAnsi="Times New Roman" w:cs="Times New Roman"/>
                <w:color w:val="000000" w:themeColor="text1"/>
                <w:kern w:val="0"/>
                <w:sz w:val="24"/>
                <w:szCs w:val="24"/>
                <w14:textFill>
                  <w14:solidFill>
                    <w14:schemeClr w14:val="tx1"/>
                  </w14:solidFill>
                </w14:textFill>
              </w:rPr>
            </w:pPr>
            <w:r>
              <w:rPr>
                <w:rFonts w:hint="default" w:ascii="Times New Roman" w:hAnsi="Times New Roman" w:cs="Times New Roman"/>
                <w:color w:val="000000" w:themeColor="text1"/>
                <w:kern w:val="0"/>
                <w:sz w:val="24"/>
                <w:szCs w:val="24"/>
                <w14:textFill>
                  <w14:solidFill>
                    <w14:schemeClr w14:val="tx1"/>
                  </w14:solidFill>
                </w14:textFill>
              </w:rPr>
              <w:t>规划及规划环境</w:t>
            </w:r>
          </w:p>
          <w:p w14:paraId="41CDA74F">
            <w:pPr>
              <w:keepNext w:val="0"/>
              <w:keepLines w:val="0"/>
              <w:pageBreakBefore w:val="0"/>
              <w:suppressLineNumbers w:val="0"/>
              <w:kinsoku/>
              <w:wordWrap/>
              <w:overflowPunct/>
              <w:topLinePunct w:val="0"/>
              <w:autoSpaceDE w:val="0"/>
              <w:autoSpaceDN w:val="0"/>
              <w:bidi w:val="0"/>
              <w:adjustRightInd/>
              <w:snapToGrid/>
              <w:spacing w:before="0" w:beforeAutospacing="0" w:after="0" w:afterAutospacing="0" w:line="360" w:lineRule="exact"/>
              <w:ind w:left="0" w:leftChars="0" w:right="0" w:rightChars="0" w:firstLine="0" w:firstLineChars="0"/>
              <w:jc w:val="center"/>
              <w:textAlignment w:val="auto"/>
              <w:rPr>
                <w:rFonts w:hint="default" w:ascii="Times New Roman" w:hAnsi="Times New Roman" w:cs="Times New Roman"/>
                <w:color w:val="000000" w:themeColor="text1"/>
                <w:kern w:val="0"/>
                <w:sz w:val="24"/>
                <w:szCs w:val="24"/>
                <w14:textFill>
                  <w14:solidFill>
                    <w14:schemeClr w14:val="tx1"/>
                  </w14:solidFill>
                </w14:textFill>
              </w:rPr>
            </w:pPr>
            <w:r>
              <w:rPr>
                <w:rFonts w:hint="default" w:ascii="Times New Roman" w:hAnsi="Times New Roman" w:cs="Times New Roman"/>
                <w:color w:val="000000" w:themeColor="text1"/>
                <w:kern w:val="0"/>
                <w:sz w:val="24"/>
                <w:szCs w:val="24"/>
                <w14:textFill>
                  <w14:solidFill>
                    <w14:schemeClr w14:val="tx1"/>
                  </w14:solidFill>
                </w14:textFill>
              </w:rPr>
              <w:t>影响评价符合性分析</w:t>
            </w:r>
          </w:p>
        </w:tc>
        <w:tc>
          <w:tcPr>
            <w:tcW w:w="3897" w:type="pct"/>
            <w:gridSpan w:val="3"/>
            <w:noWrap w:val="0"/>
            <w:vAlign w:val="center"/>
          </w:tcPr>
          <w:p w14:paraId="7273972B">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520" w:lineRule="exact"/>
              <w:ind w:left="0" w:right="0" w:firstLine="482" w:firstLineChars="200"/>
              <w:jc w:val="both"/>
              <w:textAlignment w:val="auto"/>
              <w:rPr>
                <w:rFonts w:hint="eastAsia" w:ascii="宋体" w:hAnsi="宋体" w:eastAsia="宋体" w:cs="宋体"/>
                <w:sz w:val="24"/>
                <w:szCs w:val="24"/>
                <w:lang w:val="en-US"/>
              </w:rPr>
            </w:pPr>
            <w:r>
              <w:rPr>
                <w:rFonts w:hint="default" w:ascii="Times New Roman" w:hAnsi="Times New Roman" w:eastAsia="宋体" w:cs="Times New Roman"/>
                <w:b/>
                <w:bCs/>
                <w:kern w:val="2"/>
                <w:sz w:val="24"/>
                <w:szCs w:val="24"/>
                <w:lang w:val="en-US" w:eastAsia="zh-CN" w:bidi="ar"/>
              </w:rPr>
              <w:t>1.</w:t>
            </w:r>
            <w:r>
              <w:rPr>
                <w:rFonts w:hint="eastAsia" w:ascii="宋体" w:hAnsi="宋体" w:eastAsia="宋体" w:cs="宋体"/>
                <w:b/>
                <w:bCs/>
                <w:kern w:val="2"/>
                <w:sz w:val="24"/>
                <w:szCs w:val="24"/>
                <w:lang w:val="en-US" w:eastAsia="zh-CN" w:bidi="ar"/>
              </w:rPr>
              <w:t>与汤阴县产业集聚区规划符合性分析</w:t>
            </w:r>
          </w:p>
          <w:p w14:paraId="50A9B6B9">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520" w:lineRule="exact"/>
              <w:ind w:left="0" w:right="0" w:firstLine="480" w:firstLineChars="200"/>
              <w:jc w:val="both"/>
              <w:textAlignment w:val="auto"/>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汤阴县产业集聚区成立于</w:t>
            </w:r>
            <w:r>
              <w:rPr>
                <w:rFonts w:hint="default" w:ascii="Times New Roman" w:hAnsi="Times New Roman" w:eastAsia="宋体" w:cs="Times New Roman"/>
                <w:kern w:val="2"/>
                <w:sz w:val="24"/>
                <w:szCs w:val="24"/>
                <w:lang w:val="en-US" w:eastAsia="zh-CN" w:bidi="ar"/>
              </w:rPr>
              <w:t>2007</w:t>
            </w:r>
            <w:r>
              <w:rPr>
                <w:rFonts w:hint="eastAsia" w:ascii="宋体" w:hAnsi="宋体" w:eastAsia="宋体" w:cs="宋体"/>
                <w:kern w:val="2"/>
                <w:sz w:val="24"/>
                <w:szCs w:val="24"/>
                <w:lang w:val="en-US" w:eastAsia="zh-CN" w:bidi="ar"/>
              </w:rPr>
              <w:t>年，</w:t>
            </w:r>
            <w:r>
              <w:rPr>
                <w:rFonts w:hint="default" w:ascii="Times New Roman" w:hAnsi="Times New Roman" w:eastAsia="宋体" w:cs="Times New Roman"/>
                <w:kern w:val="2"/>
                <w:sz w:val="24"/>
                <w:szCs w:val="24"/>
                <w:lang w:val="en-US" w:eastAsia="zh-CN" w:bidi="ar"/>
              </w:rPr>
              <w:t>2009</w:t>
            </w:r>
            <w:r>
              <w:rPr>
                <w:rFonts w:hint="eastAsia" w:ascii="宋体" w:hAnsi="宋体" w:eastAsia="宋体" w:cs="宋体"/>
                <w:kern w:val="2"/>
                <w:sz w:val="24"/>
                <w:szCs w:val="24"/>
                <w:lang w:val="en-US" w:eastAsia="zh-CN" w:bidi="ar"/>
              </w:rPr>
              <w:t>年被批准为首批</w:t>
            </w:r>
            <w:r>
              <w:rPr>
                <w:rFonts w:hint="default" w:ascii="Times New Roman" w:hAnsi="Times New Roman" w:eastAsia="宋体" w:cs="Times New Roman"/>
                <w:kern w:val="2"/>
                <w:sz w:val="24"/>
                <w:szCs w:val="24"/>
                <w:lang w:val="en-US" w:eastAsia="zh-CN" w:bidi="ar"/>
              </w:rPr>
              <w:t>180</w:t>
            </w:r>
            <w:r>
              <w:rPr>
                <w:rFonts w:hint="eastAsia" w:ascii="宋体" w:hAnsi="宋体" w:eastAsia="宋体" w:cs="宋体"/>
                <w:kern w:val="2"/>
                <w:sz w:val="24"/>
                <w:szCs w:val="24"/>
                <w:lang w:val="en-US" w:eastAsia="zh-CN" w:bidi="ar"/>
              </w:rPr>
              <w:t>家省级产业集聚区之一。《汤阴县产业集聚区总体发展规划</w:t>
            </w:r>
            <w:r>
              <w:rPr>
                <w:rFonts w:hint="eastAsia" w:ascii="Times New Roman" w:hAnsi="Times New Roman" w:eastAsia="宋体" w:cs="宋体"/>
                <w:kern w:val="2"/>
                <w:sz w:val="24"/>
                <w:szCs w:val="24"/>
                <w:lang w:val="en-US" w:eastAsia="zh-CN" w:bidi="ar"/>
              </w:rPr>
              <w:t>（</w:t>
            </w:r>
            <w:r>
              <w:rPr>
                <w:rFonts w:hint="default" w:ascii="Times New Roman" w:hAnsi="Times New Roman" w:eastAsia="宋体" w:cs="Times New Roman"/>
                <w:kern w:val="2"/>
                <w:sz w:val="24"/>
                <w:szCs w:val="24"/>
                <w:lang w:val="en-US" w:eastAsia="zh-CN" w:bidi="ar"/>
              </w:rPr>
              <w:t>2009~2020</w:t>
            </w:r>
            <w:r>
              <w:rPr>
                <w:rFonts w:hint="eastAsia" w:ascii="Times New Roman" w:hAnsi="Times New Roman" w:eastAsia="宋体" w:cs="宋体"/>
                <w:kern w:val="2"/>
                <w:sz w:val="24"/>
                <w:szCs w:val="24"/>
                <w:lang w:val="en-US" w:eastAsia="zh-CN" w:bidi="ar"/>
              </w:rPr>
              <w:t>）</w:t>
            </w:r>
            <w:r>
              <w:rPr>
                <w:rFonts w:hint="eastAsia" w:ascii="宋体" w:hAnsi="宋体" w:eastAsia="宋体" w:cs="宋体"/>
                <w:kern w:val="2"/>
                <w:sz w:val="24"/>
                <w:szCs w:val="24"/>
                <w:lang w:val="en-US" w:eastAsia="zh-CN" w:bidi="ar"/>
              </w:rPr>
              <w:t>》编制于</w:t>
            </w:r>
            <w:r>
              <w:rPr>
                <w:rFonts w:hint="default" w:ascii="Times New Roman" w:hAnsi="Times New Roman" w:eastAsia="宋体" w:cs="Times New Roman"/>
                <w:kern w:val="2"/>
                <w:sz w:val="24"/>
                <w:szCs w:val="24"/>
                <w:lang w:val="en-US" w:eastAsia="zh-CN" w:bidi="ar"/>
              </w:rPr>
              <w:t>2009</w:t>
            </w:r>
            <w:r>
              <w:rPr>
                <w:rFonts w:hint="eastAsia" w:ascii="宋体" w:hAnsi="宋体" w:eastAsia="宋体" w:cs="宋体"/>
                <w:kern w:val="2"/>
                <w:sz w:val="24"/>
                <w:szCs w:val="24"/>
                <w:lang w:val="en-US" w:eastAsia="zh-CN" w:bidi="ar"/>
              </w:rPr>
              <w:t>年，河南省环保厅以豫环审</w:t>
            </w:r>
            <w:r>
              <w:rPr>
                <w:rFonts w:hint="default" w:ascii="Times New Roman" w:hAnsi="Times New Roman" w:eastAsia="宋体" w:cs="Times New Roman"/>
                <w:kern w:val="2"/>
                <w:sz w:val="24"/>
                <w:szCs w:val="24"/>
                <w:lang w:val="en-US" w:eastAsia="zh-CN" w:bidi="ar"/>
              </w:rPr>
              <w:t>[2010]44</w:t>
            </w:r>
            <w:r>
              <w:rPr>
                <w:rFonts w:hint="eastAsia" w:ascii="宋体" w:hAnsi="宋体" w:eastAsia="宋体" w:cs="宋体"/>
                <w:kern w:val="2"/>
                <w:sz w:val="24"/>
                <w:szCs w:val="24"/>
                <w:lang w:val="en-US" w:eastAsia="zh-CN" w:bidi="ar"/>
              </w:rPr>
              <w:t>号文通过了其规划环评审查。集聚区原规划面积</w:t>
            </w:r>
            <w:r>
              <w:rPr>
                <w:rFonts w:hint="default" w:ascii="Times New Roman" w:hAnsi="Times New Roman" w:eastAsia="宋体" w:cs="Times New Roman"/>
                <w:kern w:val="2"/>
                <w:sz w:val="24"/>
                <w:szCs w:val="24"/>
                <w:lang w:val="en-US" w:eastAsia="zh-CN" w:bidi="ar"/>
              </w:rPr>
              <w:t>17.2km</w:t>
            </w:r>
            <w:r>
              <w:rPr>
                <w:rFonts w:hint="default" w:ascii="Times New Roman" w:hAnsi="Times New Roman" w:eastAsia="宋体" w:cs="Times New Roman"/>
                <w:kern w:val="2"/>
                <w:sz w:val="24"/>
                <w:szCs w:val="24"/>
                <w:vertAlign w:val="superscript"/>
                <w:lang w:val="en-US" w:eastAsia="zh-CN" w:bidi="ar"/>
              </w:rPr>
              <w:t>2</w:t>
            </w:r>
            <w:r>
              <w:rPr>
                <w:rFonts w:hint="eastAsia" w:ascii="宋体" w:hAnsi="宋体" w:eastAsia="宋体" w:cs="宋体"/>
                <w:kern w:val="2"/>
                <w:sz w:val="24"/>
                <w:szCs w:val="24"/>
                <w:lang w:val="en-US" w:eastAsia="zh-CN" w:bidi="ar"/>
              </w:rPr>
              <w:t>，发展定位为“河南省级现代食品制造基地，豫北区域商贸物流服务基地，安阳市级医药制造基地，汤阴县级城市生活服务中心”。</w:t>
            </w:r>
          </w:p>
          <w:p w14:paraId="038048D6">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520" w:lineRule="exact"/>
              <w:ind w:left="0" w:right="0" w:firstLine="480" w:firstLineChars="200"/>
              <w:jc w:val="both"/>
              <w:textAlignment w:val="auto"/>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但是，随着汤阴县中心城区的不断发展，原规划集聚区北部片区在规划实施过程中逐渐以商贸、物流、房地产等三产配套服务产业发展为主，工业企业建设项目则入驻较少。且在新一轮的《汤阴县城市总体规划》中，将原集聚区北部片区规划为汤阴县新城区</w:t>
            </w:r>
            <w:r>
              <w:rPr>
                <w:rFonts w:hint="eastAsia" w:ascii="Times New Roman" w:hAnsi="Times New Roman" w:eastAsia="宋体" w:cs="宋体"/>
                <w:kern w:val="2"/>
                <w:sz w:val="24"/>
                <w:szCs w:val="24"/>
                <w:lang w:val="en-US" w:eastAsia="zh-CN" w:bidi="ar"/>
              </w:rPr>
              <w:t>，</w:t>
            </w:r>
            <w:r>
              <w:rPr>
                <w:rFonts w:hint="eastAsia" w:ascii="宋体" w:hAnsi="宋体" w:eastAsia="宋体" w:cs="宋体"/>
                <w:kern w:val="2"/>
                <w:sz w:val="24"/>
                <w:szCs w:val="24"/>
                <w:lang w:val="en-US" w:eastAsia="zh-CN" w:bidi="ar"/>
              </w:rPr>
              <w:t>并作为汤阴县的特色商业区和文化产业园，用于发展行政办公、商业、文化娱乐、住宅等配套服务设施。此外，原集聚区规划的东部片区占地面积为相对较小，随着规划的实施，大部分企业却集中落户在东部片区，造成东部片区用地日趋紧张，未能实现产业集聚区在空间布局上的均衡发展，也不利于当地招商引资及项目的落地。</w:t>
            </w:r>
          </w:p>
          <w:p w14:paraId="768E69A9">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520" w:lineRule="exact"/>
              <w:ind w:left="0" w:right="0" w:firstLine="480" w:firstLineChars="200"/>
              <w:jc w:val="both"/>
              <w:textAlignment w:val="auto"/>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基于以上情况，汤阴县人民政府于</w:t>
            </w:r>
            <w:r>
              <w:rPr>
                <w:rFonts w:hint="default" w:ascii="Times New Roman" w:hAnsi="Times New Roman" w:eastAsia="宋体" w:cs="Times New Roman"/>
                <w:kern w:val="2"/>
                <w:sz w:val="24"/>
                <w:szCs w:val="24"/>
                <w:lang w:val="en-US" w:eastAsia="zh-CN" w:bidi="ar"/>
              </w:rPr>
              <w:t>2012</w:t>
            </w:r>
            <w:r>
              <w:rPr>
                <w:rFonts w:hint="eastAsia" w:ascii="宋体" w:hAnsi="宋体" w:eastAsia="宋体" w:cs="宋体"/>
                <w:kern w:val="2"/>
                <w:sz w:val="24"/>
                <w:szCs w:val="24"/>
                <w:lang w:val="en-US" w:eastAsia="zh-CN" w:bidi="ar"/>
              </w:rPr>
              <w:t>年申请对《汤阴县产业集聚区总体发展规划</w:t>
            </w:r>
            <w:r>
              <w:rPr>
                <w:rFonts w:hint="eastAsia" w:ascii="Times New Roman" w:hAnsi="Times New Roman" w:eastAsia="宋体" w:cs="宋体"/>
                <w:kern w:val="2"/>
                <w:sz w:val="24"/>
                <w:szCs w:val="24"/>
                <w:lang w:val="en-US" w:eastAsia="zh-CN" w:bidi="ar"/>
              </w:rPr>
              <w:t>（</w:t>
            </w:r>
            <w:r>
              <w:rPr>
                <w:rFonts w:hint="default" w:ascii="Times New Roman" w:hAnsi="Times New Roman" w:eastAsia="宋体" w:cs="Times New Roman"/>
                <w:kern w:val="2"/>
                <w:sz w:val="24"/>
                <w:szCs w:val="24"/>
                <w:lang w:val="en-US" w:eastAsia="zh-CN" w:bidi="ar"/>
              </w:rPr>
              <w:t>2009~2020</w:t>
            </w:r>
            <w:r>
              <w:rPr>
                <w:rFonts w:hint="eastAsia" w:ascii="Times New Roman" w:hAnsi="Times New Roman" w:eastAsia="宋体" w:cs="宋体"/>
                <w:kern w:val="2"/>
                <w:sz w:val="24"/>
                <w:szCs w:val="24"/>
                <w:lang w:val="en-US" w:eastAsia="zh-CN" w:bidi="ar"/>
              </w:rPr>
              <w:t>）</w:t>
            </w:r>
            <w:r>
              <w:rPr>
                <w:rFonts w:hint="eastAsia" w:ascii="宋体" w:hAnsi="宋体" w:eastAsia="宋体" w:cs="宋体"/>
                <w:kern w:val="2"/>
                <w:sz w:val="24"/>
                <w:szCs w:val="24"/>
                <w:lang w:val="en-US" w:eastAsia="zh-CN" w:bidi="ar"/>
              </w:rPr>
              <w:t>》进行调整。同年</w:t>
            </w:r>
            <w:r>
              <w:rPr>
                <w:rFonts w:hint="default" w:ascii="Times New Roman" w:hAnsi="Times New Roman" w:eastAsia="宋体" w:cs="Times New Roman"/>
                <w:kern w:val="2"/>
                <w:sz w:val="24"/>
                <w:szCs w:val="24"/>
                <w:lang w:val="en-US" w:eastAsia="zh-CN" w:bidi="ar"/>
              </w:rPr>
              <w:t>7</w:t>
            </w:r>
            <w:r>
              <w:rPr>
                <w:rFonts w:hint="eastAsia" w:ascii="宋体" w:hAnsi="宋体" w:eastAsia="宋体" w:cs="宋体"/>
                <w:kern w:val="2"/>
                <w:sz w:val="24"/>
                <w:szCs w:val="24"/>
                <w:lang w:val="en-US" w:eastAsia="zh-CN" w:bidi="ar"/>
              </w:rPr>
              <w:t>月，河南省发展和改革委员会发布《河南省发展和改革委员会关于汤阴县产业集聚区发展规划调整方案的批复》</w:t>
            </w:r>
            <w:r>
              <w:rPr>
                <w:rFonts w:hint="eastAsia" w:ascii="Times New Roman" w:hAnsi="Times New Roman" w:eastAsia="宋体" w:cs="宋体"/>
                <w:kern w:val="2"/>
                <w:sz w:val="24"/>
                <w:szCs w:val="24"/>
                <w:lang w:val="en-US" w:eastAsia="zh-CN" w:bidi="ar"/>
              </w:rPr>
              <w:t>（</w:t>
            </w:r>
            <w:r>
              <w:rPr>
                <w:rFonts w:hint="eastAsia" w:ascii="宋体" w:hAnsi="宋体" w:eastAsia="宋体" w:cs="宋体"/>
                <w:kern w:val="2"/>
                <w:sz w:val="24"/>
                <w:szCs w:val="24"/>
                <w:lang w:val="en-US" w:eastAsia="zh-CN" w:bidi="ar"/>
              </w:rPr>
              <w:t>豫发改工业</w:t>
            </w:r>
            <w:r>
              <w:rPr>
                <w:rFonts w:hint="default" w:ascii="Times New Roman" w:hAnsi="Times New Roman" w:eastAsia="宋体" w:cs="Times New Roman"/>
                <w:kern w:val="2"/>
                <w:sz w:val="24"/>
                <w:szCs w:val="24"/>
                <w:lang w:val="en-US" w:eastAsia="zh-CN" w:bidi="ar"/>
              </w:rPr>
              <w:t>[2012]1076</w:t>
            </w:r>
            <w:r>
              <w:rPr>
                <w:rFonts w:hint="eastAsia" w:ascii="宋体" w:hAnsi="宋体" w:eastAsia="宋体" w:cs="宋体"/>
                <w:kern w:val="2"/>
                <w:sz w:val="24"/>
                <w:szCs w:val="24"/>
                <w:lang w:val="en-US" w:eastAsia="zh-CN" w:bidi="ar"/>
              </w:rPr>
              <w:t>号</w:t>
            </w:r>
            <w:r>
              <w:rPr>
                <w:rFonts w:hint="eastAsia" w:ascii="Times New Roman" w:hAnsi="Times New Roman" w:eastAsia="宋体" w:cs="宋体"/>
                <w:kern w:val="2"/>
                <w:sz w:val="24"/>
                <w:szCs w:val="24"/>
                <w:lang w:val="en-US" w:eastAsia="zh-CN" w:bidi="ar"/>
              </w:rPr>
              <w:t>）</w:t>
            </w:r>
            <w:r>
              <w:rPr>
                <w:rFonts w:hint="eastAsia" w:ascii="宋体" w:hAnsi="宋体" w:eastAsia="宋体" w:cs="宋体"/>
                <w:kern w:val="2"/>
                <w:sz w:val="24"/>
                <w:szCs w:val="24"/>
                <w:lang w:val="en-US" w:eastAsia="zh-CN" w:bidi="ar"/>
              </w:rPr>
              <w:t>，同意对汤阴县产业集聚区发展规划进行调整。</w:t>
            </w:r>
          </w:p>
          <w:p w14:paraId="3BEC1850">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520" w:lineRule="exact"/>
              <w:ind w:left="0" w:right="0" w:firstLine="480" w:firstLineChars="200"/>
              <w:jc w:val="both"/>
              <w:textAlignment w:val="auto"/>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汤阴县产业集聚区管理委员会委托郑州大学环境技术咨询工程公司编制完成了《汤阴县产业集聚区发展规划调整方案</w:t>
            </w:r>
            <w:r>
              <w:rPr>
                <w:rFonts w:hint="eastAsia" w:ascii="Times New Roman" w:hAnsi="Times New Roman" w:eastAsia="宋体" w:cs="宋体"/>
                <w:kern w:val="2"/>
                <w:sz w:val="24"/>
                <w:szCs w:val="24"/>
                <w:lang w:val="en-US" w:eastAsia="zh-CN" w:bidi="ar"/>
              </w:rPr>
              <w:t>（</w:t>
            </w:r>
            <w:r>
              <w:rPr>
                <w:rFonts w:hint="default" w:ascii="Times New Roman" w:hAnsi="Times New Roman" w:eastAsia="宋体" w:cs="Times New Roman"/>
                <w:kern w:val="2"/>
                <w:sz w:val="24"/>
                <w:szCs w:val="24"/>
                <w:lang w:val="en-US" w:eastAsia="zh-CN" w:bidi="ar"/>
              </w:rPr>
              <w:t>2017-2020</w:t>
            </w:r>
            <w:r>
              <w:rPr>
                <w:rFonts w:hint="eastAsia" w:ascii="Times New Roman" w:hAnsi="Times New Roman" w:eastAsia="宋体" w:cs="宋体"/>
                <w:kern w:val="2"/>
                <w:sz w:val="24"/>
                <w:szCs w:val="24"/>
                <w:lang w:val="en-US" w:eastAsia="zh-CN" w:bidi="ar"/>
              </w:rPr>
              <w:t>）</w:t>
            </w:r>
            <w:r>
              <w:rPr>
                <w:rFonts w:hint="eastAsia" w:ascii="宋体" w:hAnsi="宋体" w:eastAsia="宋体" w:cs="宋体"/>
                <w:kern w:val="2"/>
                <w:sz w:val="24"/>
                <w:szCs w:val="24"/>
                <w:lang w:val="en-US" w:eastAsia="zh-CN" w:bidi="ar"/>
              </w:rPr>
              <w:t>环境影响报告书》，并取得了河南省环保厅的批复。根据《汤阴县产业集聚区发展规划调整方案</w:t>
            </w:r>
            <w:r>
              <w:rPr>
                <w:rFonts w:hint="eastAsia" w:ascii="Times New Roman" w:hAnsi="Times New Roman" w:eastAsia="宋体" w:cs="宋体"/>
                <w:kern w:val="2"/>
                <w:sz w:val="24"/>
                <w:szCs w:val="24"/>
                <w:lang w:val="en-US" w:eastAsia="zh-CN" w:bidi="ar"/>
              </w:rPr>
              <w:t>（</w:t>
            </w:r>
            <w:r>
              <w:rPr>
                <w:rFonts w:hint="default" w:ascii="Times New Roman" w:hAnsi="Times New Roman" w:eastAsia="宋体" w:cs="Times New Roman"/>
                <w:kern w:val="2"/>
                <w:sz w:val="24"/>
                <w:szCs w:val="24"/>
                <w:lang w:val="en-US" w:eastAsia="zh-CN" w:bidi="ar"/>
              </w:rPr>
              <w:t>2017-2020</w:t>
            </w:r>
            <w:r>
              <w:rPr>
                <w:rFonts w:hint="eastAsia" w:ascii="Times New Roman" w:hAnsi="Times New Roman" w:eastAsia="宋体" w:cs="宋体"/>
                <w:kern w:val="2"/>
                <w:sz w:val="24"/>
                <w:szCs w:val="24"/>
                <w:lang w:val="en-US" w:eastAsia="zh-CN" w:bidi="ar"/>
              </w:rPr>
              <w:t>）</w:t>
            </w:r>
            <w:r>
              <w:rPr>
                <w:rFonts w:hint="eastAsia" w:ascii="宋体" w:hAnsi="宋体" w:eastAsia="宋体" w:cs="宋体"/>
                <w:kern w:val="2"/>
                <w:sz w:val="24"/>
                <w:szCs w:val="24"/>
                <w:lang w:val="en-US" w:eastAsia="zh-CN" w:bidi="ar"/>
              </w:rPr>
              <w:t>环境影响报告书》的相关内容，集聚区基本情况如下所示：</w:t>
            </w:r>
          </w:p>
          <w:p w14:paraId="0359243B">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520" w:lineRule="exact"/>
              <w:ind w:left="0" w:right="0" w:firstLine="480" w:firstLineChars="200"/>
              <w:jc w:val="both"/>
              <w:textAlignment w:val="auto"/>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w:t>
            </w:r>
            <w:r>
              <w:rPr>
                <w:rFonts w:hint="default" w:ascii="Times New Roman" w:hAnsi="Times New Roman" w:eastAsia="宋体" w:cs="Times New Roman"/>
                <w:kern w:val="2"/>
                <w:sz w:val="24"/>
                <w:szCs w:val="24"/>
                <w:lang w:val="en-US" w:eastAsia="zh-CN" w:bidi="ar"/>
              </w:rPr>
              <w:t>1</w:t>
            </w:r>
            <w:r>
              <w:rPr>
                <w:rFonts w:hint="eastAsia" w:ascii="宋体" w:hAnsi="宋体" w:eastAsia="宋体" w:cs="宋体"/>
                <w:kern w:val="2"/>
                <w:sz w:val="24"/>
                <w:szCs w:val="24"/>
                <w:lang w:val="en-US" w:eastAsia="zh-CN" w:bidi="ar"/>
              </w:rPr>
              <w:t>）规划范围：东至徐伏路</w:t>
            </w:r>
            <w:r>
              <w:rPr>
                <w:rFonts w:hint="default" w:ascii="Times New Roman" w:hAnsi="Times New Roman" w:eastAsia="宋体" w:cs="Times New Roman"/>
                <w:kern w:val="2"/>
                <w:sz w:val="24"/>
                <w:szCs w:val="24"/>
                <w:lang w:val="en-US" w:eastAsia="zh-CN" w:bidi="ar"/>
              </w:rPr>
              <w:t>-</w:t>
            </w:r>
            <w:r>
              <w:rPr>
                <w:rFonts w:hint="eastAsia" w:ascii="宋体" w:hAnsi="宋体" w:eastAsia="宋体" w:cs="宋体"/>
                <w:kern w:val="2"/>
                <w:sz w:val="24"/>
                <w:szCs w:val="24"/>
                <w:lang w:val="en-US" w:eastAsia="zh-CN" w:bidi="ar"/>
              </w:rPr>
              <w:t>汤伏路一线，西至</w:t>
            </w:r>
            <w:r>
              <w:rPr>
                <w:rFonts w:hint="default" w:ascii="Times New Roman" w:hAnsi="Times New Roman" w:eastAsia="宋体" w:cs="Times New Roman"/>
                <w:kern w:val="2"/>
                <w:sz w:val="24"/>
                <w:szCs w:val="24"/>
                <w:lang w:val="en-US" w:eastAsia="zh-CN" w:bidi="ar"/>
              </w:rPr>
              <w:t>107</w:t>
            </w:r>
            <w:r>
              <w:rPr>
                <w:rFonts w:hint="eastAsia" w:ascii="宋体" w:hAnsi="宋体" w:eastAsia="宋体" w:cs="宋体"/>
                <w:kern w:val="2"/>
                <w:sz w:val="24"/>
                <w:szCs w:val="24"/>
                <w:lang w:val="en-US" w:eastAsia="zh-CN" w:bidi="ar"/>
              </w:rPr>
              <w:t>国道，南至制造四路向东</w:t>
            </w:r>
            <w:r>
              <w:rPr>
                <w:rFonts w:hint="default" w:ascii="Times New Roman" w:hAnsi="Times New Roman" w:eastAsia="宋体" w:cs="Times New Roman"/>
                <w:kern w:val="2"/>
                <w:sz w:val="24"/>
                <w:szCs w:val="24"/>
                <w:lang w:val="en-US" w:eastAsia="zh-CN" w:bidi="ar"/>
              </w:rPr>
              <w:t>1.5km</w:t>
            </w:r>
            <w:r>
              <w:rPr>
                <w:rFonts w:hint="eastAsia" w:ascii="宋体" w:hAnsi="宋体" w:eastAsia="宋体" w:cs="宋体"/>
                <w:kern w:val="2"/>
                <w:sz w:val="24"/>
                <w:szCs w:val="24"/>
                <w:lang w:val="en-US" w:eastAsia="zh-CN" w:bidi="ar"/>
              </w:rPr>
              <w:t>向北取直接晋豫鲁铁路大通道，北至工横三街</w:t>
            </w:r>
            <w:r>
              <w:rPr>
                <w:rFonts w:hint="default" w:ascii="Times New Roman" w:hAnsi="Times New Roman" w:eastAsia="宋体" w:cs="Times New Roman"/>
                <w:kern w:val="2"/>
                <w:sz w:val="24"/>
                <w:szCs w:val="24"/>
                <w:lang w:val="en-US" w:eastAsia="zh-CN" w:bidi="ar"/>
              </w:rPr>
              <w:t>-</w:t>
            </w:r>
            <w:r>
              <w:rPr>
                <w:rFonts w:hint="eastAsia" w:ascii="宋体" w:hAnsi="宋体" w:eastAsia="宋体" w:cs="宋体"/>
                <w:kern w:val="2"/>
                <w:sz w:val="24"/>
                <w:szCs w:val="24"/>
                <w:lang w:val="en-US" w:eastAsia="zh-CN" w:bidi="ar"/>
              </w:rPr>
              <w:t>精忠路</w:t>
            </w:r>
            <w:r>
              <w:rPr>
                <w:rFonts w:hint="default" w:ascii="Times New Roman" w:hAnsi="Times New Roman" w:eastAsia="宋体" w:cs="Times New Roman"/>
                <w:kern w:val="2"/>
                <w:sz w:val="24"/>
                <w:szCs w:val="24"/>
                <w:lang w:val="en-US" w:eastAsia="zh-CN" w:bidi="ar"/>
              </w:rPr>
              <w:t>-02</w:t>
            </w:r>
            <w:r>
              <w:rPr>
                <w:rFonts w:hint="eastAsia" w:ascii="宋体" w:hAnsi="宋体" w:eastAsia="宋体" w:cs="宋体"/>
                <w:kern w:val="2"/>
                <w:sz w:val="24"/>
                <w:szCs w:val="24"/>
                <w:lang w:val="en-US" w:eastAsia="zh-CN" w:bidi="ar"/>
              </w:rPr>
              <w:t>省道一线，总规划面积</w:t>
            </w:r>
            <w:r>
              <w:rPr>
                <w:rFonts w:hint="default" w:ascii="Times New Roman" w:hAnsi="Times New Roman" w:eastAsia="宋体" w:cs="Times New Roman"/>
                <w:kern w:val="2"/>
                <w:sz w:val="24"/>
                <w:szCs w:val="24"/>
                <w:lang w:val="en-US" w:eastAsia="zh-CN" w:bidi="ar"/>
              </w:rPr>
              <w:t>23.4km</w:t>
            </w:r>
            <w:r>
              <w:rPr>
                <w:rFonts w:hint="default" w:ascii="Times New Roman" w:hAnsi="Times New Roman" w:eastAsia="宋体" w:cs="Times New Roman"/>
                <w:kern w:val="2"/>
                <w:sz w:val="24"/>
                <w:szCs w:val="24"/>
                <w:vertAlign w:val="superscript"/>
                <w:lang w:val="en-US" w:eastAsia="zh-CN" w:bidi="ar"/>
              </w:rPr>
              <w:t>2</w:t>
            </w:r>
            <w:r>
              <w:rPr>
                <w:rFonts w:hint="eastAsia" w:ascii="宋体" w:hAnsi="宋体" w:eastAsia="宋体" w:cs="宋体"/>
                <w:kern w:val="2"/>
                <w:sz w:val="24"/>
                <w:szCs w:val="24"/>
                <w:lang w:val="en-US" w:eastAsia="zh-CN" w:bidi="ar"/>
              </w:rPr>
              <w:t>。</w:t>
            </w:r>
          </w:p>
          <w:p w14:paraId="2759987F">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520" w:lineRule="exact"/>
              <w:ind w:left="0" w:right="0" w:firstLine="480" w:firstLineChars="200"/>
              <w:jc w:val="both"/>
              <w:textAlignment w:val="auto"/>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w:t>
            </w:r>
            <w:r>
              <w:rPr>
                <w:rFonts w:hint="default" w:ascii="Times New Roman" w:hAnsi="Times New Roman" w:eastAsia="宋体" w:cs="Times New Roman"/>
                <w:kern w:val="2"/>
                <w:sz w:val="24"/>
                <w:szCs w:val="24"/>
                <w:lang w:val="en-US" w:eastAsia="zh-CN" w:bidi="ar"/>
              </w:rPr>
              <w:t>2</w:t>
            </w:r>
            <w:r>
              <w:rPr>
                <w:rFonts w:hint="eastAsia" w:ascii="宋体" w:hAnsi="宋体" w:eastAsia="宋体" w:cs="宋体"/>
                <w:kern w:val="2"/>
                <w:sz w:val="24"/>
                <w:szCs w:val="24"/>
                <w:lang w:val="en-US" w:eastAsia="zh-CN" w:bidi="ar"/>
              </w:rPr>
              <w:t>）规划期限：</w:t>
            </w:r>
            <w:r>
              <w:rPr>
                <w:rFonts w:hint="default" w:ascii="Times New Roman" w:hAnsi="Times New Roman" w:eastAsia="宋体" w:cs="Times New Roman"/>
                <w:kern w:val="2"/>
                <w:sz w:val="24"/>
                <w:szCs w:val="24"/>
                <w:lang w:val="en-US" w:eastAsia="zh-CN" w:bidi="ar"/>
              </w:rPr>
              <w:t>2017-2020</w:t>
            </w:r>
            <w:r>
              <w:rPr>
                <w:rFonts w:hint="eastAsia" w:ascii="宋体" w:hAnsi="宋体" w:eastAsia="宋体" w:cs="宋体"/>
                <w:kern w:val="2"/>
                <w:sz w:val="24"/>
                <w:szCs w:val="24"/>
                <w:lang w:val="en-US" w:eastAsia="zh-CN" w:bidi="ar"/>
              </w:rPr>
              <w:t>年。</w:t>
            </w:r>
          </w:p>
          <w:p w14:paraId="0F9FB2E5">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520" w:lineRule="exact"/>
              <w:ind w:left="0" w:right="0" w:firstLine="480" w:firstLineChars="200"/>
              <w:jc w:val="both"/>
              <w:textAlignment w:val="auto"/>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w:t>
            </w:r>
            <w:r>
              <w:rPr>
                <w:rFonts w:hint="default" w:ascii="Times New Roman" w:hAnsi="Times New Roman" w:eastAsia="宋体" w:cs="Times New Roman"/>
                <w:kern w:val="2"/>
                <w:sz w:val="24"/>
                <w:szCs w:val="24"/>
                <w:lang w:val="en-US" w:eastAsia="zh-CN" w:bidi="ar"/>
              </w:rPr>
              <w:t>3</w:t>
            </w:r>
            <w:r>
              <w:rPr>
                <w:rFonts w:hint="eastAsia" w:ascii="宋体" w:hAnsi="宋体" w:eastAsia="宋体" w:cs="宋体"/>
                <w:kern w:val="2"/>
                <w:sz w:val="24"/>
                <w:szCs w:val="24"/>
                <w:lang w:val="en-US" w:eastAsia="zh-CN" w:bidi="ar"/>
              </w:rPr>
              <w:t>）发展定位：中原经济区食品加工基地</w:t>
            </w:r>
            <w:r>
              <w:rPr>
                <w:rFonts w:hint="eastAsia" w:ascii="Times New Roman" w:hAnsi="Times New Roman" w:eastAsia="宋体" w:cs="宋体"/>
                <w:kern w:val="2"/>
                <w:sz w:val="24"/>
                <w:szCs w:val="24"/>
                <w:lang w:val="en-US" w:eastAsia="zh-CN" w:bidi="ar"/>
              </w:rPr>
              <w:t>；</w:t>
            </w:r>
            <w:r>
              <w:rPr>
                <w:rFonts w:hint="eastAsia" w:ascii="宋体" w:hAnsi="宋体" w:eastAsia="宋体" w:cs="宋体"/>
                <w:kern w:val="2"/>
                <w:sz w:val="24"/>
                <w:szCs w:val="24"/>
                <w:lang w:val="en-US" w:eastAsia="zh-CN" w:bidi="ar"/>
              </w:rPr>
              <w:t>河南省级生物医药基地；豫北区域商贸物流基地。</w:t>
            </w:r>
          </w:p>
          <w:p w14:paraId="5B02AA87">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520" w:lineRule="exact"/>
              <w:ind w:left="0" w:right="0" w:firstLine="480" w:firstLineChars="200"/>
              <w:jc w:val="both"/>
              <w:textAlignment w:val="auto"/>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w:t>
            </w:r>
            <w:r>
              <w:rPr>
                <w:rFonts w:hint="default" w:ascii="Times New Roman" w:hAnsi="Times New Roman" w:eastAsia="宋体" w:cs="Times New Roman"/>
                <w:kern w:val="2"/>
                <w:sz w:val="24"/>
                <w:szCs w:val="24"/>
                <w:lang w:val="en-US" w:eastAsia="zh-CN" w:bidi="ar"/>
              </w:rPr>
              <w:t>4</w:t>
            </w:r>
            <w:r>
              <w:rPr>
                <w:rFonts w:hint="eastAsia" w:ascii="宋体" w:hAnsi="宋体" w:eastAsia="宋体" w:cs="宋体"/>
                <w:kern w:val="2"/>
                <w:sz w:val="24"/>
                <w:szCs w:val="24"/>
                <w:lang w:val="en-US" w:eastAsia="zh-CN" w:bidi="ar"/>
              </w:rPr>
              <w:t>）主导产业：以食品加工为主导产业、以医药产业为战略产业。</w:t>
            </w:r>
          </w:p>
          <w:p w14:paraId="48E60CE0">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520" w:lineRule="exact"/>
              <w:ind w:left="0" w:right="0" w:firstLine="480" w:firstLineChars="200"/>
              <w:jc w:val="both"/>
              <w:textAlignment w:val="auto"/>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w:t>
            </w:r>
            <w:r>
              <w:rPr>
                <w:rFonts w:hint="default" w:ascii="Times New Roman" w:hAnsi="Times New Roman" w:eastAsia="宋体" w:cs="Times New Roman"/>
                <w:kern w:val="2"/>
                <w:sz w:val="24"/>
                <w:szCs w:val="24"/>
                <w:lang w:val="en-US" w:eastAsia="zh-CN" w:bidi="ar"/>
              </w:rPr>
              <w:t>5</w:t>
            </w:r>
            <w:r>
              <w:rPr>
                <w:rFonts w:hint="eastAsia" w:ascii="宋体" w:hAnsi="宋体" w:eastAsia="宋体" w:cs="宋体"/>
                <w:kern w:val="2"/>
                <w:sz w:val="24"/>
                <w:szCs w:val="24"/>
                <w:lang w:val="en-US" w:eastAsia="zh-CN" w:bidi="ar"/>
              </w:rPr>
              <w:t>）产业空间布局</w:t>
            </w:r>
          </w:p>
          <w:p w14:paraId="48B76F50">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520" w:lineRule="exact"/>
              <w:ind w:left="0" w:right="0" w:firstLine="480" w:firstLineChars="200"/>
              <w:jc w:val="both"/>
              <w:textAlignment w:val="auto"/>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汤阴县产业集聚区空间布局结构为结合集聚区产业布局，确定用地布局结构为：“一心、五区”。</w:t>
            </w:r>
          </w:p>
          <w:p w14:paraId="22B100F0">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520" w:lineRule="exact"/>
              <w:ind w:left="0" w:right="0" w:firstLine="480" w:firstLineChars="200"/>
              <w:jc w:val="both"/>
              <w:textAlignment w:val="auto"/>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一心：结合众品大道、金秋路交叉口现状集聚区管委会等服务设施，建设综合服务中心，依托商务、商业设施和居住片区，规划形成集商业服务、文化体育等功能的综合服务中心；</w:t>
            </w:r>
          </w:p>
          <w:p w14:paraId="7002722D">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520" w:lineRule="exact"/>
              <w:ind w:left="0" w:right="0" w:firstLine="480" w:firstLineChars="200"/>
              <w:jc w:val="both"/>
              <w:textAlignment w:val="auto"/>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五区：与产业布局相对应的医药工业区、两个食品工业区、制造产业区和仓储物流区。</w:t>
            </w:r>
          </w:p>
          <w:p w14:paraId="71C049D7">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520" w:lineRule="exact"/>
              <w:ind w:left="0" w:right="0" w:firstLine="480" w:firstLineChars="200"/>
              <w:jc w:val="both"/>
              <w:textAlignment w:val="auto"/>
              <w:rPr>
                <w:rFonts w:hint="default" w:ascii="宋体" w:hAnsi="宋体" w:eastAsia="宋体" w:cs="宋体"/>
                <w:sz w:val="24"/>
                <w:szCs w:val="24"/>
                <w:highlight w:val="red"/>
                <w:lang w:val="en-US"/>
              </w:rPr>
            </w:pPr>
            <w:r>
              <w:rPr>
                <w:rFonts w:hint="default" w:ascii="Times New Roman" w:hAnsi="Times New Roman" w:eastAsia="宋体" w:cs="Times New Roman"/>
                <w:kern w:val="2"/>
                <w:sz w:val="24"/>
                <w:szCs w:val="24"/>
                <w:highlight w:val="none"/>
                <w:lang w:val="en-US" w:eastAsia="zh-CN" w:bidi="ar"/>
              </w:rPr>
              <w:t>项目产品为</w:t>
            </w:r>
            <w:r>
              <w:rPr>
                <w:rFonts w:hint="default" w:ascii="Times New Roman" w:hAnsi="Times New Roman" w:cs="Times New Roman"/>
                <w:kern w:val="2"/>
                <w:sz w:val="24"/>
                <w:szCs w:val="24"/>
                <w:highlight w:val="none"/>
                <w:lang w:val="en-US" w:eastAsia="zh-CN" w:bidi="ar"/>
              </w:rPr>
              <w:t>PE布</w:t>
            </w:r>
            <w:r>
              <w:rPr>
                <w:rFonts w:hint="default" w:ascii="Times New Roman" w:hAnsi="Times New Roman" w:eastAsia="宋体" w:cs="Times New Roman"/>
                <w:kern w:val="2"/>
                <w:sz w:val="24"/>
                <w:szCs w:val="24"/>
                <w:highlight w:val="none"/>
                <w:lang w:val="en-US" w:eastAsia="zh-CN" w:bidi="ar"/>
              </w:rPr>
              <w:t>，主要用于仓储防护与运输遮盖、包装领域、农业灌溉等方面</w:t>
            </w:r>
            <w:r>
              <w:rPr>
                <w:rFonts w:hint="default" w:ascii="Times New Roman" w:hAnsi="Times New Roman" w:cs="Times New Roman"/>
                <w:kern w:val="2"/>
                <w:sz w:val="24"/>
                <w:szCs w:val="24"/>
                <w:highlight w:val="none"/>
                <w:lang w:val="en-US" w:eastAsia="zh-CN" w:bidi="ar"/>
              </w:rPr>
              <w:t>，</w:t>
            </w:r>
            <w:r>
              <w:rPr>
                <w:rFonts w:hint="default" w:ascii="Times New Roman" w:hAnsi="Times New Roman" w:eastAsia="宋体" w:cs="Times New Roman"/>
                <w:kern w:val="0"/>
                <w:sz w:val="24"/>
                <w:szCs w:val="24"/>
                <w:highlight w:val="none"/>
                <w:lang w:val="en-US" w:eastAsia="zh-CN" w:bidi="ar"/>
              </w:rPr>
              <w:t>属于园区主导产业的配套链条行业，</w:t>
            </w:r>
            <w:r>
              <w:rPr>
                <w:rFonts w:hint="default" w:ascii="Times New Roman" w:hAnsi="Times New Roman" w:cs="Times New Roman"/>
                <w:kern w:val="0"/>
                <w:sz w:val="24"/>
                <w:szCs w:val="24"/>
                <w:highlight w:val="none"/>
                <w:lang w:val="en-US" w:eastAsia="zh-CN" w:bidi="ar"/>
              </w:rPr>
              <w:t>不属于园区内负面清单行业。</w:t>
            </w:r>
            <w:r>
              <w:rPr>
                <w:rFonts w:hint="eastAsia" w:cs="Times New Roman"/>
                <w:kern w:val="0"/>
                <w:sz w:val="24"/>
                <w:szCs w:val="24"/>
                <w:highlight w:val="none"/>
                <w:lang w:val="en-US" w:eastAsia="zh-CN" w:bidi="ar"/>
              </w:rPr>
              <w:t>企业与汤阴县人民政府签订了协议书，同意项目建设。</w:t>
            </w:r>
          </w:p>
          <w:p w14:paraId="6C22FC31">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520" w:lineRule="exact"/>
              <w:ind w:left="0" w:right="0" w:firstLine="482" w:firstLineChars="200"/>
              <w:jc w:val="both"/>
              <w:textAlignment w:val="auto"/>
              <w:rPr>
                <w:rFonts w:hint="eastAsia" w:ascii="宋体" w:hAnsi="宋体" w:eastAsia="宋体" w:cs="宋体"/>
                <w:b/>
                <w:bCs/>
                <w:sz w:val="24"/>
                <w:szCs w:val="24"/>
                <w:lang w:val="en-US"/>
              </w:rPr>
            </w:pPr>
            <w:r>
              <w:rPr>
                <w:rFonts w:hint="default" w:ascii="Times New Roman" w:hAnsi="Times New Roman" w:eastAsia="宋体" w:cs="Times New Roman"/>
                <w:b/>
                <w:bCs/>
                <w:kern w:val="2"/>
                <w:sz w:val="24"/>
                <w:szCs w:val="24"/>
                <w:lang w:val="en-US" w:eastAsia="zh-CN" w:bidi="ar"/>
              </w:rPr>
              <w:t>2.</w:t>
            </w:r>
            <w:r>
              <w:rPr>
                <w:rFonts w:hint="eastAsia" w:ascii="宋体" w:hAnsi="宋体" w:eastAsia="宋体" w:cs="宋体"/>
                <w:b/>
                <w:bCs/>
                <w:kern w:val="2"/>
                <w:sz w:val="24"/>
                <w:szCs w:val="24"/>
                <w:lang w:val="en-US" w:eastAsia="zh-CN" w:bidi="ar"/>
              </w:rPr>
              <w:t>与汤阴县产业集聚区规划环评符合性分析</w:t>
            </w:r>
          </w:p>
          <w:p w14:paraId="2CE75F75">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520" w:lineRule="exact"/>
              <w:ind w:left="0" w:right="0" w:firstLine="480" w:firstLineChars="200"/>
              <w:jc w:val="both"/>
              <w:textAlignment w:val="auto"/>
              <w:rPr>
                <w:rFonts w:hint="eastAsia" w:ascii="宋体" w:hAnsi="宋体" w:eastAsia="宋体" w:cs="宋体"/>
                <w:kern w:val="0"/>
                <w:sz w:val="24"/>
                <w:szCs w:val="24"/>
                <w:lang w:val="en-US"/>
              </w:rPr>
            </w:pPr>
            <w:r>
              <w:rPr>
                <w:rFonts w:hint="eastAsia" w:ascii="宋体" w:hAnsi="宋体" w:eastAsia="宋体" w:cs="宋体"/>
                <w:kern w:val="0"/>
                <w:sz w:val="24"/>
                <w:szCs w:val="24"/>
                <w:lang w:val="en-US" w:eastAsia="zh-CN" w:bidi="ar"/>
              </w:rPr>
              <w:t>依据</w:t>
            </w:r>
            <w:r>
              <w:rPr>
                <w:rFonts w:hint="eastAsia" w:ascii="宋体" w:hAnsi="宋体" w:eastAsia="宋体" w:cs="宋体"/>
                <w:kern w:val="2"/>
                <w:sz w:val="24"/>
                <w:szCs w:val="24"/>
                <w:lang w:val="en-US" w:eastAsia="zh-CN" w:bidi="ar"/>
              </w:rPr>
              <w:t>《汤阴县产业集聚区发展规划调整方案（</w:t>
            </w:r>
            <w:r>
              <w:rPr>
                <w:rFonts w:hint="default" w:ascii="Times New Roman" w:hAnsi="Times New Roman" w:eastAsia="宋体" w:cs="Times New Roman"/>
                <w:kern w:val="2"/>
                <w:sz w:val="24"/>
                <w:szCs w:val="24"/>
                <w:lang w:val="en-US" w:eastAsia="zh-CN" w:bidi="ar"/>
              </w:rPr>
              <w:t>2017-2020</w:t>
            </w:r>
            <w:r>
              <w:rPr>
                <w:rFonts w:hint="eastAsia" w:ascii="宋体" w:hAnsi="宋体" w:eastAsia="宋体" w:cs="宋体"/>
                <w:kern w:val="2"/>
                <w:sz w:val="24"/>
                <w:szCs w:val="24"/>
                <w:lang w:val="en-US" w:eastAsia="zh-CN" w:bidi="ar"/>
              </w:rPr>
              <w:t>）环境影响报告书》</w:t>
            </w:r>
            <w:r>
              <w:rPr>
                <w:rFonts w:hint="eastAsia" w:ascii="宋体" w:hAnsi="宋体" w:eastAsia="宋体" w:cs="宋体"/>
                <w:kern w:val="0"/>
                <w:sz w:val="24"/>
                <w:szCs w:val="24"/>
                <w:lang w:val="en-US" w:eastAsia="zh-CN" w:bidi="ar"/>
              </w:rPr>
              <w:t>，汤阴县产业集聚区环境准入负面清单见下表。</w:t>
            </w:r>
          </w:p>
          <w:p w14:paraId="30775F2B">
            <w:pPr>
              <w:keepNext w:val="0"/>
              <w:keepLines w:val="0"/>
              <w:pageBreakBefore w:val="0"/>
              <w:widowControl/>
              <w:numPr>
                <w:ilvl w:val="0"/>
                <w:numId w:val="0"/>
              </w:numPr>
              <w:suppressLineNumbers w:val="0"/>
              <w:kinsoku/>
              <w:wordWrap/>
              <w:overflowPunct/>
              <w:topLinePunct w:val="0"/>
              <w:autoSpaceDE/>
              <w:autoSpaceDN/>
              <w:bidi w:val="0"/>
              <w:adjustRightInd w:val="0"/>
              <w:snapToGrid/>
              <w:spacing w:before="0" w:beforeAutospacing="0" w:after="0" w:afterAutospacing="0" w:line="520" w:lineRule="exact"/>
              <w:ind w:left="0" w:right="0"/>
              <w:jc w:val="center"/>
              <w:textAlignment w:val="auto"/>
              <w:rPr>
                <w:rFonts w:hint="eastAsia" w:ascii="Times New Roman" w:hAnsi="Times New Roman" w:eastAsia="黑体" w:cs="Times New Roman"/>
                <w:b w:val="0"/>
                <w:bCs w:val="0"/>
                <w:color w:val="000000" w:themeColor="text1"/>
                <w:sz w:val="24"/>
                <w:szCs w:val="24"/>
                <w:highlight w:val="none"/>
                <w:lang w:val="en-US" w:eastAsia="zh-CN"/>
                <w14:textFill>
                  <w14:solidFill>
                    <w14:schemeClr w14:val="tx1"/>
                  </w14:solidFill>
                </w14:textFill>
              </w:rPr>
            </w:pPr>
            <w:r>
              <w:rPr>
                <w:rFonts w:hint="eastAsia" w:ascii="Times New Roman" w:hAnsi="Times New Roman" w:eastAsia="黑体" w:cs="Times New Roman"/>
                <w:b w:val="0"/>
                <w:bCs w:val="0"/>
                <w:color w:val="000000" w:themeColor="text1"/>
                <w:sz w:val="24"/>
                <w:szCs w:val="24"/>
                <w:highlight w:val="none"/>
                <w:lang w:val="en-US" w:eastAsia="zh-CN"/>
                <w14:textFill>
                  <w14:solidFill>
                    <w14:schemeClr w14:val="tx1"/>
                  </w14:solidFill>
                </w14:textFill>
              </w:rPr>
              <w:t>表</w:t>
            </w:r>
            <w:r>
              <w:rPr>
                <w:rFonts w:hint="default" w:ascii="Times New Roman" w:hAnsi="Times New Roman" w:eastAsia="黑体" w:cs="Times New Roman"/>
                <w:b w:val="0"/>
                <w:bCs w:val="0"/>
                <w:color w:val="000000" w:themeColor="text1"/>
                <w:sz w:val="24"/>
                <w:szCs w:val="24"/>
                <w:highlight w:val="none"/>
                <w:lang w:val="en-US" w:eastAsia="zh-CN"/>
                <w14:textFill>
                  <w14:solidFill>
                    <w14:schemeClr w14:val="tx1"/>
                  </w14:solidFill>
                </w14:textFill>
              </w:rPr>
              <w:t xml:space="preserve">1-1  </w:t>
            </w:r>
            <w:r>
              <w:rPr>
                <w:rFonts w:hint="eastAsia" w:ascii="Times New Roman" w:hAnsi="Times New Roman" w:eastAsia="黑体" w:cs="Times New Roman"/>
                <w:b w:val="0"/>
                <w:bCs w:val="0"/>
                <w:color w:val="000000" w:themeColor="text1"/>
                <w:sz w:val="24"/>
                <w:szCs w:val="24"/>
                <w:highlight w:val="none"/>
                <w:lang w:val="en-US" w:eastAsia="zh-CN"/>
                <w14:textFill>
                  <w14:solidFill>
                    <w14:schemeClr w14:val="tx1"/>
                  </w14:solidFill>
                </w14:textFill>
              </w:rPr>
              <w:t>汤阴县产业集聚区环境准入负面清单</w:t>
            </w:r>
          </w:p>
          <w:tbl>
            <w:tblPr>
              <w:tblStyle w:val="92"/>
              <w:tblW w:w="5000" w:type="pct"/>
              <w:tblInd w:w="0" w:type="dxa"/>
              <w:tblBorders>
                <w:top w:val="single" w:color="auto" w:sz="4" w:space="0"/>
                <w:left w:val="none" w:color="auto" w:sz="4" w:space="0"/>
                <w:bottom w:val="single" w:color="auto" w:sz="4" w:space="0"/>
                <w:right w:val="non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611"/>
              <w:gridCol w:w="3255"/>
              <w:gridCol w:w="2212"/>
              <w:gridCol w:w="689"/>
            </w:tblGrid>
            <w:tr w14:paraId="29DE9781">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0" w:hRule="atLeast"/>
              </w:trPr>
              <w:tc>
                <w:tcPr>
                  <w:tcW w:w="451" w:type="pct"/>
                  <w:tcBorders>
                    <w:top w:val="single" w:color="auto" w:sz="4" w:space="0"/>
                    <w:left w:val="nil"/>
                    <w:bottom w:val="single" w:color="auto" w:sz="4" w:space="0"/>
                    <w:right w:val="single" w:color="auto" w:sz="4" w:space="0"/>
                  </w:tcBorders>
                  <w:shd w:val="clear" w:color="auto" w:fill="auto"/>
                  <w:vAlign w:val="center"/>
                </w:tcPr>
                <w:p w14:paraId="05EC508F">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eastAsia" w:ascii="宋体" w:hAnsi="宋体" w:eastAsia="宋体" w:cs="宋体"/>
                      <w:b w:val="0"/>
                      <w:bCs/>
                      <w:kern w:val="0"/>
                      <w:szCs w:val="21"/>
                      <w:lang w:val="en-US"/>
                    </w:rPr>
                  </w:pPr>
                  <w:r>
                    <w:rPr>
                      <w:rFonts w:hint="eastAsia" w:ascii="宋体" w:hAnsi="宋体" w:eastAsia="宋体" w:cs="宋体"/>
                      <w:b w:val="0"/>
                      <w:bCs/>
                      <w:kern w:val="0"/>
                      <w:sz w:val="21"/>
                      <w:szCs w:val="24"/>
                      <w:lang w:val="en-US" w:eastAsia="zh-CN" w:bidi="ar"/>
                    </w:rPr>
                    <w:t>类别</w:t>
                  </w:r>
                </w:p>
              </w:tc>
              <w:tc>
                <w:tcPr>
                  <w:tcW w:w="2404" w:type="pct"/>
                  <w:tcBorders>
                    <w:top w:val="single" w:color="auto" w:sz="4" w:space="0"/>
                    <w:left w:val="single" w:color="auto" w:sz="4" w:space="0"/>
                    <w:bottom w:val="single" w:color="auto" w:sz="4" w:space="0"/>
                    <w:right w:val="single" w:color="auto" w:sz="4" w:space="0"/>
                  </w:tcBorders>
                  <w:shd w:val="clear" w:color="auto" w:fill="auto"/>
                  <w:vAlign w:val="center"/>
                </w:tcPr>
                <w:p w14:paraId="608BB289">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eastAsia" w:ascii="宋体" w:hAnsi="宋体" w:eastAsia="宋体" w:cs="宋体"/>
                      <w:b w:val="0"/>
                      <w:bCs/>
                      <w:kern w:val="0"/>
                      <w:szCs w:val="21"/>
                      <w:lang w:val="en-US"/>
                    </w:rPr>
                  </w:pPr>
                  <w:r>
                    <w:rPr>
                      <w:rFonts w:hint="eastAsia" w:ascii="宋体" w:hAnsi="宋体" w:eastAsia="宋体" w:cs="宋体"/>
                      <w:b w:val="0"/>
                      <w:bCs/>
                      <w:kern w:val="0"/>
                      <w:sz w:val="21"/>
                      <w:szCs w:val="24"/>
                      <w:lang w:val="en-US" w:eastAsia="zh-CN" w:bidi="ar"/>
                    </w:rPr>
                    <w:t>负面清单</w:t>
                  </w:r>
                </w:p>
              </w:tc>
              <w:tc>
                <w:tcPr>
                  <w:tcW w:w="1634" w:type="pct"/>
                  <w:tcBorders>
                    <w:top w:val="single" w:color="auto" w:sz="4" w:space="0"/>
                    <w:left w:val="single" w:color="auto" w:sz="4" w:space="0"/>
                    <w:bottom w:val="single" w:color="auto" w:sz="4" w:space="0"/>
                    <w:right w:val="single" w:color="auto" w:sz="4" w:space="0"/>
                  </w:tcBorders>
                  <w:shd w:val="clear" w:color="auto" w:fill="auto"/>
                  <w:vAlign w:val="center"/>
                </w:tcPr>
                <w:p w14:paraId="77A4B22D">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default"/>
                      <w:b w:val="0"/>
                      <w:bCs/>
                      <w:kern w:val="0"/>
                      <w:szCs w:val="21"/>
                      <w:lang w:val="en-US"/>
                    </w:rPr>
                  </w:pPr>
                  <w:r>
                    <w:rPr>
                      <w:rFonts w:hint="eastAsia" w:ascii="宋体" w:hAnsi="宋体" w:eastAsia="宋体" w:cs="宋体"/>
                      <w:b w:val="0"/>
                      <w:bCs/>
                      <w:kern w:val="0"/>
                      <w:sz w:val="21"/>
                      <w:szCs w:val="24"/>
                      <w:lang w:val="en-US" w:eastAsia="zh-CN" w:bidi="ar"/>
                    </w:rPr>
                    <w:t>本项目情况</w:t>
                  </w:r>
                </w:p>
              </w:tc>
              <w:tc>
                <w:tcPr>
                  <w:tcW w:w="509" w:type="pct"/>
                  <w:tcBorders>
                    <w:top w:val="single" w:color="auto" w:sz="4" w:space="0"/>
                    <w:left w:val="single" w:color="auto" w:sz="4" w:space="0"/>
                    <w:bottom w:val="single" w:color="auto" w:sz="4" w:space="0"/>
                    <w:right w:val="nil"/>
                  </w:tcBorders>
                  <w:shd w:val="clear" w:color="auto" w:fill="auto"/>
                  <w:vAlign w:val="center"/>
                </w:tcPr>
                <w:p w14:paraId="5F8581C3">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default"/>
                      <w:b w:val="0"/>
                      <w:bCs/>
                      <w:kern w:val="0"/>
                      <w:szCs w:val="21"/>
                      <w:lang w:val="en-US"/>
                    </w:rPr>
                  </w:pPr>
                  <w:r>
                    <w:rPr>
                      <w:rFonts w:hint="eastAsia" w:ascii="宋体" w:hAnsi="宋体" w:eastAsia="宋体" w:cs="宋体"/>
                      <w:b w:val="0"/>
                      <w:bCs/>
                      <w:kern w:val="0"/>
                      <w:sz w:val="21"/>
                      <w:szCs w:val="24"/>
                      <w:lang w:val="en-US" w:eastAsia="zh-CN" w:bidi="ar"/>
                    </w:rPr>
                    <w:t>相符性</w:t>
                  </w:r>
                </w:p>
              </w:tc>
            </w:tr>
            <w:tr w14:paraId="554120D9">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0" w:hRule="atLeast"/>
              </w:trPr>
              <w:tc>
                <w:tcPr>
                  <w:tcW w:w="451" w:type="pct"/>
                  <w:vMerge w:val="restart"/>
                  <w:tcBorders>
                    <w:top w:val="nil"/>
                    <w:left w:val="nil"/>
                    <w:bottom w:val="single" w:color="auto" w:sz="4" w:space="0"/>
                    <w:right w:val="single" w:color="auto" w:sz="4" w:space="0"/>
                  </w:tcBorders>
                  <w:shd w:val="clear" w:color="auto" w:fill="auto"/>
                  <w:vAlign w:val="center"/>
                </w:tcPr>
                <w:p w14:paraId="773DB7B1">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eastAsia" w:ascii="宋体" w:hAnsi="宋体" w:eastAsia="宋体" w:cs="宋体"/>
                      <w:kern w:val="0"/>
                      <w:szCs w:val="21"/>
                      <w:lang w:val="en-US"/>
                    </w:rPr>
                  </w:pPr>
                  <w:r>
                    <w:rPr>
                      <w:rFonts w:hint="eastAsia" w:ascii="宋体" w:hAnsi="宋体" w:eastAsia="宋体" w:cs="宋体"/>
                      <w:kern w:val="0"/>
                      <w:sz w:val="21"/>
                      <w:szCs w:val="24"/>
                      <w:lang w:val="en-US" w:eastAsia="zh-CN" w:bidi="ar"/>
                    </w:rPr>
                    <w:t>管理要求</w:t>
                  </w:r>
                </w:p>
              </w:tc>
              <w:tc>
                <w:tcPr>
                  <w:tcW w:w="2404" w:type="pct"/>
                  <w:tcBorders>
                    <w:top w:val="single" w:color="auto" w:sz="4" w:space="0"/>
                    <w:left w:val="single" w:color="auto" w:sz="4" w:space="0"/>
                    <w:bottom w:val="single" w:color="auto" w:sz="4" w:space="0"/>
                    <w:right w:val="single" w:color="auto" w:sz="4" w:space="0"/>
                  </w:tcBorders>
                  <w:shd w:val="clear" w:color="auto" w:fill="auto"/>
                  <w:vAlign w:val="center"/>
                </w:tcPr>
                <w:p w14:paraId="5F86B2C0">
                  <w:pPr>
                    <w:pStyle w:val="21"/>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exact"/>
                    <w:ind w:left="0" w:right="0"/>
                    <w:jc w:val="center"/>
                    <w:textAlignment w:val="auto"/>
                    <w:rPr>
                      <w:rFonts w:hint="default" w:ascii="Times New Roman" w:hAnsi="Times New Roman" w:cs="Times New Roman"/>
                    </w:rPr>
                  </w:pPr>
                  <w:r>
                    <w:rPr>
                      <w:rFonts w:hint="default" w:ascii="宋体" w:hAnsi="Times New Roman" w:eastAsia="Times New Roman" w:cs="Times New Roman"/>
                      <w:kern w:val="0"/>
                      <w:sz w:val="21"/>
                      <w:szCs w:val="20"/>
                      <w:lang w:val="en-US" w:eastAsia="zh-CN" w:bidi="ar"/>
                    </w:rPr>
                    <w:t>禁止入驻国家产业结构调整指导目录淘汰、限制类项目。</w:t>
                  </w:r>
                </w:p>
              </w:tc>
              <w:tc>
                <w:tcPr>
                  <w:tcW w:w="1634" w:type="pct"/>
                  <w:tcBorders>
                    <w:top w:val="single" w:color="auto" w:sz="4" w:space="0"/>
                    <w:left w:val="single" w:color="auto" w:sz="4" w:space="0"/>
                    <w:bottom w:val="single" w:color="auto" w:sz="4" w:space="0"/>
                    <w:right w:val="single" w:color="auto" w:sz="4" w:space="0"/>
                  </w:tcBorders>
                  <w:shd w:val="clear" w:color="auto" w:fill="auto"/>
                  <w:vAlign w:val="center"/>
                </w:tcPr>
                <w:p w14:paraId="51365717">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eastAsia" w:ascii="宋体" w:hAnsi="宋体" w:eastAsia="宋体" w:cs="宋体"/>
                      <w:kern w:val="0"/>
                      <w:szCs w:val="21"/>
                      <w:lang w:val="en-US"/>
                    </w:rPr>
                  </w:pPr>
                  <w:r>
                    <w:rPr>
                      <w:rFonts w:hint="eastAsia" w:ascii="宋体" w:hAnsi="宋体" w:eastAsia="宋体" w:cs="宋体"/>
                      <w:kern w:val="2"/>
                      <w:sz w:val="21"/>
                      <w:szCs w:val="24"/>
                      <w:lang w:val="en-US" w:eastAsia="zh-CN" w:bidi="ar"/>
                    </w:rPr>
                    <w:t>项目不属于《产业结构调整指导目录（</w:t>
                  </w:r>
                  <w:r>
                    <w:rPr>
                      <w:rFonts w:hint="default" w:ascii="Times New Roman" w:hAnsi="Times New Roman" w:eastAsia="宋体" w:cs="Times New Roman"/>
                      <w:kern w:val="2"/>
                      <w:sz w:val="21"/>
                      <w:szCs w:val="24"/>
                      <w:lang w:val="en-US" w:eastAsia="zh-CN" w:bidi="ar"/>
                    </w:rPr>
                    <w:t>20</w:t>
                  </w:r>
                  <w:r>
                    <w:rPr>
                      <w:rFonts w:hint="eastAsia" w:ascii="Times New Roman" w:hAnsi="Times New Roman" w:eastAsia="宋体" w:cs="Times New Roman"/>
                      <w:kern w:val="2"/>
                      <w:sz w:val="21"/>
                      <w:szCs w:val="24"/>
                      <w:lang w:val="en-US" w:eastAsia="zh-CN" w:bidi="ar"/>
                    </w:rPr>
                    <w:t>24</w:t>
                  </w:r>
                  <w:r>
                    <w:rPr>
                      <w:rFonts w:hint="eastAsia" w:ascii="宋体" w:hAnsi="宋体" w:eastAsia="宋体" w:cs="宋体"/>
                      <w:kern w:val="2"/>
                      <w:sz w:val="21"/>
                      <w:szCs w:val="24"/>
                      <w:lang w:val="en-US" w:eastAsia="zh-CN" w:bidi="ar"/>
                    </w:rPr>
                    <w:t>年本）》中淘汰类、限制类。</w:t>
                  </w:r>
                </w:p>
              </w:tc>
              <w:tc>
                <w:tcPr>
                  <w:tcW w:w="509" w:type="pct"/>
                  <w:tcBorders>
                    <w:top w:val="single" w:color="auto" w:sz="4" w:space="0"/>
                    <w:left w:val="single" w:color="auto" w:sz="4" w:space="0"/>
                    <w:bottom w:val="single" w:color="auto" w:sz="4" w:space="0"/>
                    <w:right w:val="nil"/>
                  </w:tcBorders>
                  <w:shd w:val="clear" w:color="auto" w:fill="auto"/>
                  <w:vAlign w:val="center"/>
                </w:tcPr>
                <w:p w14:paraId="64BB1597">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eastAsia" w:ascii="宋体" w:hAnsi="宋体" w:eastAsia="宋体" w:cs="宋体"/>
                      <w:kern w:val="0"/>
                      <w:szCs w:val="21"/>
                      <w:lang w:val="en-US"/>
                    </w:rPr>
                  </w:pPr>
                  <w:r>
                    <w:rPr>
                      <w:rFonts w:hint="eastAsia" w:ascii="宋体" w:hAnsi="宋体" w:eastAsia="宋体" w:cs="宋体"/>
                      <w:kern w:val="0"/>
                      <w:sz w:val="21"/>
                      <w:szCs w:val="24"/>
                      <w:lang w:val="en-US" w:eastAsia="zh-CN" w:bidi="ar"/>
                    </w:rPr>
                    <w:t>相符</w:t>
                  </w:r>
                </w:p>
              </w:tc>
            </w:tr>
            <w:tr w14:paraId="583D2A56">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0" w:hRule="atLeast"/>
              </w:trPr>
              <w:tc>
                <w:tcPr>
                  <w:tcW w:w="451" w:type="pct"/>
                  <w:vMerge w:val="continue"/>
                  <w:tcBorders>
                    <w:top w:val="nil"/>
                    <w:left w:val="nil"/>
                    <w:bottom w:val="single" w:color="auto" w:sz="4" w:space="0"/>
                    <w:right w:val="single" w:color="auto" w:sz="4" w:space="0"/>
                  </w:tcBorders>
                  <w:shd w:val="clear" w:color="auto" w:fill="auto"/>
                  <w:vAlign w:val="center"/>
                </w:tcPr>
                <w:p w14:paraId="163C8876">
                  <w:pPr>
                    <w:keepNext w:val="0"/>
                    <w:keepLines w:val="0"/>
                    <w:pageBreakBefore w:val="0"/>
                    <w:suppressLineNumbers w:val="0"/>
                    <w:kinsoku/>
                    <w:wordWrap/>
                    <w:overflowPunct/>
                    <w:topLinePunct w:val="0"/>
                    <w:bidi w:val="0"/>
                    <w:spacing w:before="0" w:beforeLines="0" w:beforeAutospacing="0" w:after="0" w:afterAutospacing="0" w:line="360" w:lineRule="exact"/>
                    <w:ind w:left="0" w:right="0"/>
                    <w:textAlignment w:val="auto"/>
                    <w:rPr>
                      <w:rFonts w:hint="default" w:ascii="Times New Roman" w:hAnsi="Times New Roman" w:cs="Times New Roman"/>
                      <w:sz w:val="20"/>
                      <w:szCs w:val="20"/>
                    </w:rPr>
                  </w:pPr>
                </w:p>
              </w:tc>
              <w:tc>
                <w:tcPr>
                  <w:tcW w:w="2404" w:type="pct"/>
                  <w:tcBorders>
                    <w:top w:val="single" w:color="auto" w:sz="4" w:space="0"/>
                    <w:left w:val="single" w:color="auto" w:sz="4" w:space="0"/>
                    <w:bottom w:val="single" w:color="auto" w:sz="4" w:space="0"/>
                    <w:right w:val="single" w:color="auto" w:sz="4" w:space="0"/>
                  </w:tcBorders>
                  <w:shd w:val="clear" w:color="auto" w:fill="auto"/>
                  <w:vAlign w:val="center"/>
                </w:tcPr>
                <w:p w14:paraId="7F2F2CF4">
                  <w:pPr>
                    <w:pStyle w:val="21"/>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exact"/>
                    <w:ind w:left="0" w:right="0"/>
                    <w:jc w:val="center"/>
                    <w:textAlignment w:val="auto"/>
                    <w:rPr>
                      <w:rFonts w:hint="default" w:ascii="Times New Roman" w:hAnsi="Times New Roman" w:cs="Times New Roman"/>
                    </w:rPr>
                  </w:pPr>
                  <w:r>
                    <w:rPr>
                      <w:rFonts w:hint="default" w:ascii="宋体" w:hAnsi="Times New Roman" w:eastAsia="Times New Roman" w:cs="Times New Roman"/>
                      <w:kern w:val="0"/>
                      <w:sz w:val="21"/>
                      <w:szCs w:val="20"/>
                      <w:lang w:val="en-US" w:eastAsia="zh-CN" w:bidi="ar"/>
                    </w:rPr>
                    <w:t>禁止投资建设列入禁止用地目录、限制用地目录的项目。</w:t>
                  </w:r>
                </w:p>
              </w:tc>
              <w:tc>
                <w:tcPr>
                  <w:tcW w:w="1634" w:type="pct"/>
                  <w:tcBorders>
                    <w:top w:val="single" w:color="auto" w:sz="4" w:space="0"/>
                    <w:left w:val="single" w:color="auto" w:sz="4" w:space="0"/>
                    <w:bottom w:val="single" w:color="auto" w:sz="4" w:space="0"/>
                    <w:right w:val="single" w:color="auto" w:sz="4" w:space="0"/>
                  </w:tcBorders>
                  <w:shd w:val="clear" w:color="auto" w:fill="auto"/>
                  <w:vAlign w:val="center"/>
                </w:tcPr>
                <w:p w14:paraId="6E3D99ED">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eastAsia" w:ascii="宋体" w:hAnsi="宋体" w:eastAsia="宋体" w:cs="宋体"/>
                      <w:szCs w:val="21"/>
                      <w:lang w:val="en-US"/>
                    </w:rPr>
                  </w:pPr>
                  <w:r>
                    <w:rPr>
                      <w:rFonts w:hint="eastAsia" w:ascii="宋体" w:hAnsi="宋体" w:eastAsia="宋体" w:cs="宋体"/>
                      <w:kern w:val="2"/>
                      <w:sz w:val="21"/>
                      <w:szCs w:val="24"/>
                      <w:lang w:val="en-US" w:eastAsia="zh-CN" w:bidi="ar"/>
                    </w:rPr>
                    <w:t>不属于禁止用地目录、限制用地目录的项目。</w:t>
                  </w:r>
                </w:p>
              </w:tc>
              <w:tc>
                <w:tcPr>
                  <w:tcW w:w="509" w:type="pct"/>
                  <w:tcBorders>
                    <w:top w:val="single" w:color="auto" w:sz="4" w:space="0"/>
                    <w:left w:val="single" w:color="auto" w:sz="4" w:space="0"/>
                    <w:bottom w:val="single" w:color="auto" w:sz="4" w:space="0"/>
                    <w:right w:val="nil"/>
                  </w:tcBorders>
                  <w:shd w:val="clear" w:color="auto" w:fill="auto"/>
                  <w:vAlign w:val="center"/>
                </w:tcPr>
                <w:p w14:paraId="02A2AFA7">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eastAsia" w:ascii="宋体" w:hAnsi="宋体" w:eastAsia="宋体" w:cs="宋体"/>
                      <w:kern w:val="0"/>
                      <w:szCs w:val="21"/>
                      <w:lang w:val="en-US"/>
                    </w:rPr>
                  </w:pPr>
                  <w:r>
                    <w:rPr>
                      <w:rFonts w:hint="eastAsia" w:ascii="宋体" w:hAnsi="宋体" w:eastAsia="宋体" w:cs="宋体"/>
                      <w:kern w:val="0"/>
                      <w:sz w:val="21"/>
                      <w:szCs w:val="24"/>
                      <w:lang w:val="en-US" w:eastAsia="zh-CN" w:bidi="ar"/>
                    </w:rPr>
                    <w:t>相符</w:t>
                  </w:r>
                </w:p>
              </w:tc>
            </w:tr>
            <w:tr w14:paraId="4BE21CFF">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51" w:type="pct"/>
                  <w:vMerge w:val="continue"/>
                  <w:tcBorders>
                    <w:top w:val="nil"/>
                    <w:left w:val="nil"/>
                    <w:bottom w:val="single" w:color="auto" w:sz="4" w:space="0"/>
                    <w:right w:val="single" w:color="auto" w:sz="4" w:space="0"/>
                  </w:tcBorders>
                  <w:shd w:val="clear" w:color="auto" w:fill="auto"/>
                  <w:vAlign w:val="center"/>
                </w:tcPr>
                <w:p w14:paraId="2772ED0F">
                  <w:pPr>
                    <w:keepNext w:val="0"/>
                    <w:keepLines w:val="0"/>
                    <w:pageBreakBefore w:val="0"/>
                    <w:suppressLineNumbers w:val="0"/>
                    <w:kinsoku/>
                    <w:wordWrap/>
                    <w:overflowPunct/>
                    <w:topLinePunct w:val="0"/>
                    <w:bidi w:val="0"/>
                    <w:spacing w:before="0" w:beforeLines="0" w:beforeAutospacing="0" w:after="0" w:afterAutospacing="0" w:line="360" w:lineRule="exact"/>
                    <w:ind w:left="0" w:right="0"/>
                    <w:textAlignment w:val="auto"/>
                    <w:rPr>
                      <w:rFonts w:hint="default" w:ascii="Times New Roman" w:hAnsi="Times New Roman" w:cs="Times New Roman"/>
                      <w:sz w:val="20"/>
                      <w:szCs w:val="20"/>
                    </w:rPr>
                  </w:pPr>
                </w:p>
              </w:tc>
              <w:tc>
                <w:tcPr>
                  <w:tcW w:w="2404" w:type="pct"/>
                  <w:tcBorders>
                    <w:top w:val="single" w:color="auto" w:sz="4" w:space="0"/>
                    <w:left w:val="single" w:color="auto" w:sz="4" w:space="0"/>
                    <w:bottom w:val="single" w:color="auto" w:sz="4" w:space="0"/>
                    <w:right w:val="single" w:color="auto" w:sz="4" w:space="0"/>
                  </w:tcBorders>
                  <w:shd w:val="clear" w:color="auto" w:fill="auto"/>
                  <w:vAlign w:val="center"/>
                </w:tcPr>
                <w:p w14:paraId="381361C5">
                  <w:pPr>
                    <w:pStyle w:val="21"/>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exact"/>
                    <w:ind w:left="0" w:right="0"/>
                    <w:jc w:val="center"/>
                    <w:textAlignment w:val="auto"/>
                    <w:rPr>
                      <w:rFonts w:hint="default" w:ascii="Times New Roman" w:hAnsi="Times New Roman" w:cs="Times New Roman"/>
                    </w:rPr>
                  </w:pPr>
                  <w:r>
                    <w:rPr>
                      <w:rFonts w:hint="default" w:ascii="宋体" w:hAnsi="Times New Roman" w:eastAsia="Times New Roman" w:cs="Times New Roman"/>
                      <w:kern w:val="0"/>
                      <w:sz w:val="21"/>
                      <w:szCs w:val="20"/>
                      <w:lang w:val="en-US" w:eastAsia="zh-CN" w:bidi="ar"/>
                    </w:rPr>
                    <w:t>禁止建设《国务院关于化解产能严重过剩矛盾的指导意见》（国发〔</w:t>
                  </w:r>
                  <w:r>
                    <w:rPr>
                      <w:rFonts w:hint="default" w:ascii="Times New Roman" w:hAnsi="Times New Roman" w:eastAsia="Times New Roman" w:cs="Times New Roman"/>
                      <w:kern w:val="0"/>
                      <w:sz w:val="21"/>
                      <w:szCs w:val="20"/>
                      <w:lang w:val="en-US" w:eastAsia="zh-CN" w:bidi="ar"/>
                    </w:rPr>
                    <w:t>2013</w:t>
                  </w:r>
                  <w:r>
                    <w:rPr>
                      <w:rFonts w:hint="default" w:ascii="宋体" w:hAnsi="Times New Roman" w:eastAsia="Times New Roman" w:cs="Times New Roman"/>
                      <w:kern w:val="0"/>
                      <w:sz w:val="21"/>
                      <w:szCs w:val="20"/>
                      <w:lang w:val="en-US" w:eastAsia="zh-CN" w:bidi="ar"/>
                    </w:rPr>
                    <w:t>〕</w:t>
                  </w:r>
                  <w:r>
                    <w:rPr>
                      <w:rFonts w:hint="default" w:ascii="Times New Roman" w:hAnsi="Times New Roman" w:eastAsia="Times New Roman" w:cs="Times New Roman"/>
                      <w:kern w:val="0"/>
                      <w:sz w:val="21"/>
                      <w:szCs w:val="20"/>
                      <w:lang w:val="en-US" w:eastAsia="zh-CN" w:bidi="ar"/>
                    </w:rPr>
                    <w:t>41</w:t>
                  </w:r>
                  <w:r>
                    <w:rPr>
                      <w:rFonts w:hint="default" w:ascii="宋体" w:hAnsi="Times New Roman" w:eastAsia="Times New Roman" w:cs="Times New Roman"/>
                      <w:kern w:val="0"/>
                      <w:sz w:val="21"/>
                      <w:szCs w:val="20"/>
                      <w:lang w:val="en-US" w:eastAsia="zh-CN" w:bidi="ar"/>
                    </w:rPr>
                    <w:t>号）明确产能严重过剩行业的新增产能项目。</w:t>
                  </w:r>
                </w:p>
              </w:tc>
              <w:tc>
                <w:tcPr>
                  <w:tcW w:w="1634" w:type="pct"/>
                  <w:tcBorders>
                    <w:top w:val="single" w:color="auto" w:sz="4" w:space="0"/>
                    <w:left w:val="single" w:color="auto" w:sz="4" w:space="0"/>
                    <w:bottom w:val="single" w:color="auto" w:sz="4" w:space="0"/>
                    <w:right w:val="single" w:color="auto" w:sz="4" w:space="0"/>
                  </w:tcBorders>
                  <w:shd w:val="clear" w:color="auto" w:fill="auto"/>
                  <w:vAlign w:val="center"/>
                </w:tcPr>
                <w:p w14:paraId="5E04EF46">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eastAsia" w:ascii="宋体" w:hAnsi="宋体" w:eastAsia="宋体" w:cs="宋体"/>
                      <w:szCs w:val="21"/>
                      <w:lang w:val="en-US"/>
                    </w:rPr>
                  </w:pPr>
                  <w:r>
                    <w:rPr>
                      <w:rFonts w:hint="eastAsia" w:ascii="宋体" w:hAnsi="宋体" w:eastAsia="宋体" w:cs="宋体"/>
                      <w:kern w:val="2"/>
                      <w:sz w:val="21"/>
                      <w:szCs w:val="24"/>
                      <w:lang w:val="en-US" w:eastAsia="zh-CN" w:bidi="ar"/>
                    </w:rPr>
                    <w:t>不属于产能严重过剩行业。</w:t>
                  </w:r>
                </w:p>
              </w:tc>
              <w:tc>
                <w:tcPr>
                  <w:tcW w:w="509" w:type="pct"/>
                  <w:tcBorders>
                    <w:top w:val="single" w:color="auto" w:sz="4" w:space="0"/>
                    <w:left w:val="single" w:color="auto" w:sz="4" w:space="0"/>
                    <w:bottom w:val="single" w:color="auto" w:sz="4" w:space="0"/>
                    <w:right w:val="nil"/>
                  </w:tcBorders>
                  <w:shd w:val="clear" w:color="auto" w:fill="auto"/>
                  <w:vAlign w:val="center"/>
                </w:tcPr>
                <w:p w14:paraId="60DA1F60">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eastAsia" w:ascii="宋体" w:hAnsi="宋体" w:eastAsia="宋体" w:cs="宋体"/>
                      <w:kern w:val="0"/>
                      <w:szCs w:val="21"/>
                      <w:lang w:val="en-US"/>
                    </w:rPr>
                  </w:pPr>
                  <w:r>
                    <w:rPr>
                      <w:rFonts w:hint="eastAsia" w:ascii="宋体" w:hAnsi="宋体" w:eastAsia="宋体" w:cs="宋体"/>
                      <w:kern w:val="0"/>
                      <w:sz w:val="21"/>
                      <w:szCs w:val="24"/>
                      <w:lang w:val="en-US" w:eastAsia="zh-CN" w:bidi="ar"/>
                    </w:rPr>
                    <w:t>相符</w:t>
                  </w:r>
                </w:p>
              </w:tc>
            </w:tr>
            <w:tr w14:paraId="3B93E4BD">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51" w:type="pct"/>
                  <w:vMerge w:val="continue"/>
                  <w:tcBorders>
                    <w:top w:val="nil"/>
                    <w:left w:val="nil"/>
                    <w:bottom w:val="single" w:color="auto" w:sz="4" w:space="0"/>
                    <w:right w:val="single" w:color="auto" w:sz="4" w:space="0"/>
                  </w:tcBorders>
                  <w:shd w:val="clear" w:color="auto" w:fill="auto"/>
                  <w:vAlign w:val="center"/>
                </w:tcPr>
                <w:p w14:paraId="508330B5">
                  <w:pPr>
                    <w:keepNext w:val="0"/>
                    <w:keepLines w:val="0"/>
                    <w:pageBreakBefore w:val="0"/>
                    <w:suppressLineNumbers w:val="0"/>
                    <w:kinsoku/>
                    <w:wordWrap/>
                    <w:overflowPunct/>
                    <w:topLinePunct w:val="0"/>
                    <w:bidi w:val="0"/>
                    <w:spacing w:before="0" w:beforeLines="0" w:beforeAutospacing="0" w:after="0" w:afterAutospacing="0" w:line="360" w:lineRule="exact"/>
                    <w:ind w:left="0" w:right="0"/>
                    <w:textAlignment w:val="auto"/>
                    <w:rPr>
                      <w:rFonts w:hint="default" w:ascii="Times New Roman" w:hAnsi="Times New Roman" w:cs="Times New Roman"/>
                      <w:sz w:val="20"/>
                      <w:szCs w:val="20"/>
                    </w:rPr>
                  </w:pPr>
                </w:p>
              </w:tc>
              <w:tc>
                <w:tcPr>
                  <w:tcW w:w="2404" w:type="pct"/>
                  <w:tcBorders>
                    <w:top w:val="single" w:color="auto" w:sz="4" w:space="0"/>
                    <w:left w:val="single" w:color="auto" w:sz="4" w:space="0"/>
                    <w:bottom w:val="single" w:color="auto" w:sz="4" w:space="0"/>
                    <w:right w:val="single" w:color="auto" w:sz="4" w:space="0"/>
                  </w:tcBorders>
                  <w:shd w:val="clear" w:color="auto" w:fill="auto"/>
                  <w:vAlign w:val="center"/>
                </w:tcPr>
                <w:p w14:paraId="7C8FF590">
                  <w:pPr>
                    <w:pStyle w:val="21"/>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exact"/>
                    <w:ind w:left="0" w:right="0"/>
                    <w:jc w:val="center"/>
                    <w:textAlignment w:val="auto"/>
                    <w:rPr>
                      <w:rFonts w:hint="default" w:ascii="Times New Roman" w:hAnsi="Times New Roman" w:cs="Times New Roman"/>
                    </w:rPr>
                  </w:pPr>
                  <w:r>
                    <w:rPr>
                      <w:rFonts w:hint="default" w:ascii="宋体" w:hAnsi="Times New Roman" w:eastAsia="Times New Roman" w:cs="Times New Roman"/>
                      <w:kern w:val="0"/>
                      <w:sz w:val="21"/>
                      <w:szCs w:val="20"/>
                      <w:lang w:val="en-US" w:eastAsia="zh-CN" w:bidi="ar"/>
                    </w:rPr>
                    <w:t>禁止入驻投资强度较小，不能满足《河南省人民政府关于进一步加强节约集约用地的意见》（豫政</w:t>
                  </w:r>
                  <w:r>
                    <w:rPr>
                      <w:rFonts w:hint="default" w:ascii="Times New Roman" w:hAnsi="Times New Roman" w:eastAsia="Times New Roman" w:cs="Times New Roman"/>
                      <w:kern w:val="0"/>
                      <w:sz w:val="21"/>
                      <w:szCs w:val="20"/>
                      <w:lang w:val="en-US" w:eastAsia="zh-CN" w:bidi="ar"/>
                    </w:rPr>
                    <w:t>[2015]66</w:t>
                  </w:r>
                  <w:r>
                    <w:rPr>
                      <w:rFonts w:hint="default" w:ascii="宋体" w:hAnsi="Times New Roman" w:eastAsia="Times New Roman" w:cs="Times New Roman"/>
                      <w:kern w:val="0"/>
                      <w:sz w:val="21"/>
                      <w:szCs w:val="20"/>
                      <w:lang w:val="en-US" w:eastAsia="zh-CN" w:bidi="ar"/>
                    </w:rPr>
                    <w:t>号）文件要求的建设项目。</w:t>
                  </w:r>
                </w:p>
              </w:tc>
              <w:tc>
                <w:tcPr>
                  <w:tcW w:w="1634" w:type="pct"/>
                  <w:tcBorders>
                    <w:top w:val="single" w:color="auto" w:sz="4" w:space="0"/>
                    <w:left w:val="single" w:color="auto" w:sz="4" w:space="0"/>
                    <w:bottom w:val="single" w:color="auto" w:sz="4" w:space="0"/>
                    <w:right w:val="single" w:color="auto" w:sz="4" w:space="0"/>
                  </w:tcBorders>
                  <w:shd w:val="clear" w:color="auto" w:fill="auto"/>
                  <w:vAlign w:val="center"/>
                </w:tcPr>
                <w:p w14:paraId="3B94EE06">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eastAsia" w:ascii="宋体" w:hAnsi="宋体" w:eastAsia="宋体" w:cs="宋体"/>
                      <w:kern w:val="0"/>
                      <w:szCs w:val="21"/>
                      <w:lang w:val="en-US"/>
                    </w:rPr>
                  </w:pPr>
                  <w:r>
                    <w:rPr>
                      <w:rFonts w:hint="default" w:ascii="宋体" w:hAnsi="Times New Roman" w:eastAsia="Times New Roman" w:cs="Times New Roman"/>
                      <w:kern w:val="0"/>
                      <w:sz w:val="21"/>
                      <w:szCs w:val="20"/>
                      <w:lang w:val="en-US" w:eastAsia="zh-CN" w:bidi="ar"/>
                    </w:rPr>
                    <w:t>豫政</w:t>
                  </w:r>
                  <w:r>
                    <w:rPr>
                      <w:rFonts w:hint="default" w:ascii="Times New Roman" w:hAnsi="Times New Roman" w:eastAsia="Times New Roman" w:cs="Times New Roman"/>
                      <w:kern w:val="0"/>
                      <w:sz w:val="21"/>
                      <w:szCs w:val="20"/>
                      <w:lang w:val="en-US" w:eastAsia="zh-CN" w:bidi="ar"/>
                    </w:rPr>
                    <w:t>[2015]66</w:t>
                  </w:r>
                  <w:r>
                    <w:rPr>
                      <w:rFonts w:hint="default" w:ascii="宋体" w:hAnsi="Times New Roman" w:eastAsia="Times New Roman" w:cs="Times New Roman"/>
                      <w:kern w:val="0"/>
                      <w:sz w:val="21"/>
                      <w:szCs w:val="20"/>
                      <w:lang w:val="en-US" w:eastAsia="zh-CN" w:bidi="ar"/>
                    </w:rPr>
                    <w:t>号</w:t>
                  </w:r>
                  <w:r>
                    <w:rPr>
                      <w:rFonts w:hint="eastAsia" w:ascii="宋体" w:eastAsia="Times New Roman" w:cs="Times New Roman"/>
                      <w:kern w:val="0"/>
                      <w:sz w:val="21"/>
                      <w:szCs w:val="20"/>
                      <w:lang w:val="en-US" w:eastAsia="zh-CN" w:bidi="ar"/>
                    </w:rPr>
                    <w:t>文件失效</w:t>
                  </w:r>
                  <w:r>
                    <w:rPr>
                      <w:rFonts w:hint="eastAsia" w:ascii="Times New Roman" w:hAnsi="Times New Roman" w:eastAsia="宋体" w:cs="宋体"/>
                      <w:kern w:val="2"/>
                      <w:sz w:val="21"/>
                      <w:szCs w:val="21"/>
                      <w:lang w:val="en-US" w:eastAsia="zh-CN" w:bidi="ar"/>
                    </w:rPr>
                    <w:t>。</w:t>
                  </w:r>
                </w:p>
              </w:tc>
              <w:tc>
                <w:tcPr>
                  <w:tcW w:w="509" w:type="pct"/>
                  <w:tcBorders>
                    <w:top w:val="single" w:color="auto" w:sz="4" w:space="0"/>
                    <w:left w:val="single" w:color="auto" w:sz="4" w:space="0"/>
                    <w:bottom w:val="single" w:color="auto" w:sz="4" w:space="0"/>
                    <w:right w:val="nil"/>
                  </w:tcBorders>
                  <w:shd w:val="clear" w:color="auto" w:fill="auto"/>
                  <w:vAlign w:val="center"/>
                </w:tcPr>
                <w:p w14:paraId="4DD8D1E0">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default"/>
                      <w:kern w:val="0"/>
                      <w:szCs w:val="21"/>
                      <w:lang w:val="en-US"/>
                    </w:rPr>
                  </w:pPr>
                  <w:r>
                    <w:rPr>
                      <w:rFonts w:hint="default" w:ascii="Times New Roman" w:hAnsi="Times New Roman" w:eastAsia="宋体" w:cs="Times New Roman"/>
                      <w:kern w:val="0"/>
                      <w:sz w:val="21"/>
                      <w:szCs w:val="24"/>
                      <w:lang w:val="en-US" w:eastAsia="zh-CN" w:bidi="ar"/>
                    </w:rPr>
                    <w:t>/</w:t>
                  </w:r>
                </w:p>
              </w:tc>
            </w:tr>
            <w:tr w14:paraId="2241E011">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51" w:type="pct"/>
                  <w:vMerge w:val="continue"/>
                  <w:tcBorders>
                    <w:top w:val="nil"/>
                    <w:left w:val="nil"/>
                    <w:bottom w:val="single" w:color="auto" w:sz="4" w:space="0"/>
                    <w:right w:val="single" w:color="auto" w:sz="4" w:space="0"/>
                  </w:tcBorders>
                  <w:shd w:val="clear" w:color="auto" w:fill="auto"/>
                  <w:vAlign w:val="center"/>
                </w:tcPr>
                <w:p w14:paraId="418D9632">
                  <w:pPr>
                    <w:keepNext w:val="0"/>
                    <w:keepLines w:val="0"/>
                    <w:pageBreakBefore w:val="0"/>
                    <w:suppressLineNumbers w:val="0"/>
                    <w:kinsoku/>
                    <w:wordWrap/>
                    <w:overflowPunct/>
                    <w:topLinePunct w:val="0"/>
                    <w:bidi w:val="0"/>
                    <w:spacing w:before="0" w:beforeLines="0" w:beforeAutospacing="0" w:after="0" w:afterAutospacing="0" w:line="360" w:lineRule="exact"/>
                    <w:ind w:left="0" w:right="0"/>
                    <w:textAlignment w:val="auto"/>
                    <w:rPr>
                      <w:rFonts w:hint="default" w:ascii="Times New Roman" w:hAnsi="Times New Roman" w:cs="Times New Roman"/>
                      <w:sz w:val="20"/>
                      <w:szCs w:val="20"/>
                    </w:rPr>
                  </w:pPr>
                </w:p>
              </w:tc>
              <w:tc>
                <w:tcPr>
                  <w:tcW w:w="2404" w:type="pct"/>
                  <w:tcBorders>
                    <w:top w:val="single" w:color="auto" w:sz="4" w:space="0"/>
                    <w:left w:val="single" w:color="auto" w:sz="4" w:space="0"/>
                    <w:bottom w:val="single" w:color="auto" w:sz="4" w:space="0"/>
                    <w:right w:val="single" w:color="auto" w:sz="4" w:space="0"/>
                  </w:tcBorders>
                  <w:shd w:val="clear" w:color="auto" w:fill="auto"/>
                  <w:vAlign w:val="center"/>
                </w:tcPr>
                <w:p w14:paraId="682A5513">
                  <w:pPr>
                    <w:pStyle w:val="21"/>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exact"/>
                    <w:ind w:left="0" w:right="0"/>
                    <w:jc w:val="center"/>
                    <w:textAlignment w:val="auto"/>
                    <w:rPr>
                      <w:rFonts w:hint="default" w:ascii="Times New Roman" w:hAnsi="Times New Roman" w:cs="Times New Roman"/>
                    </w:rPr>
                  </w:pPr>
                  <w:r>
                    <w:rPr>
                      <w:rFonts w:hint="default" w:ascii="宋体" w:hAnsi="Times New Roman" w:eastAsia="Times New Roman" w:cs="Times New Roman"/>
                      <w:kern w:val="0"/>
                      <w:sz w:val="21"/>
                      <w:szCs w:val="20"/>
                      <w:lang w:val="en-US" w:eastAsia="zh-CN" w:bidi="ar"/>
                    </w:rPr>
                    <w:t>禁止入驻煤化工、石油化工、制浆造纸、水泥、陶瓷、农药、制革及毛皮鞣制等高水耗、高能耗、污染排放量较大的行业。</w:t>
                  </w:r>
                </w:p>
              </w:tc>
              <w:tc>
                <w:tcPr>
                  <w:tcW w:w="1634" w:type="pct"/>
                  <w:tcBorders>
                    <w:top w:val="single" w:color="auto" w:sz="4" w:space="0"/>
                    <w:left w:val="single" w:color="auto" w:sz="4" w:space="0"/>
                    <w:bottom w:val="single" w:color="auto" w:sz="4" w:space="0"/>
                    <w:right w:val="single" w:color="auto" w:sz="4" w:space="0"/>
                  </w:tcBorders>
                  <w:shd w:val="clear" w:color="auto" w:fill="auto"/>
                  <w:vAlign w:val="center"/>
                </w:tcPr>
                <w:p w14:paraId="7478E4BE">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eastAsia" w:ascii="宋体" w:hAnsi="宋体" w:eastAsia="宋体" w:cs="宋体"/>
                      <w:kern w:val="0"/>
                      <w:szCs w:val="21"/>
                      <w:lang w:val="en-US"/>
                    </w:rPr>
                  </w:pPr>
                  <w:r>
                    <w:rPr>
                      <w:rFonts w:hint="eastAsia" w:ascii="宋体" w:hAnsi="宋体" w:eastAsia="宋体" w:cs="宋体"/>
                      <w:kern w:val="0"/>
                      <w:sz w:val="21"/>
                      <w:szCs w:val="24"/>
                      <w:lang w:val="en-US" w:eastAsia="zh-CN" w:bidi="ar"/>
                    </w:rPr>
                    <w:t>不属于以上行业项目。</w:t>
                  </w:r>
                </w:p>
              </w:tc>
              <w:tc>
                <w:tcPr>
                  <w:tcW w:w="509" w:type="pct"/>
                  <w:tcBorders>
                    <w:top w:val="single" w:color="auto" w:sz="4" w:space="0"/>
                    <w:left w:val="single" w:color="auto" w:sz="4" w:space="0"/>
                    <w:bottom w:val="single" w:color="auto" w:sz="4" w:space="0"/>
                    <w:right w:val="nil"/>
                  </w:tcBorders>
                  <w:shd w:val="clear" w:color="auto" w:fill="auto"/>
                  <w:vAlign w:val="center"/>
                </w:tcPr>
                <w:p w14:paraId="3DC66534">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eastAsia" w:ascii="宋体" w:hAnsi="宋体" w:eastAsia="宋体" w:cs="宋体"/>
                      <w:kern w:val="0"/>
                      <w:szCs w:val="21"/>
                      <w:lang w:val="en-US"/>
                    </w:rPr>
                  </w:pPr>
                  <w:r>
                    <w:rPr>
                      <w:rFonts w:hint="eastAsia" w:ascii="宋体" w:hAnsi="宋体" w:eastAsia="宋体" w:cs="宋体"/>
                      <w:kern w:val="0"/>
                      <w:sz w:val="21"/>
                      <w:szCs w:val="24"/>
                      <w:lang w:val="en-US" w:eastAsia="zh-CN" w:bidi="ar"/>
                    </w:rPr>
                    <w:t>相符</w:t>
                  </w:r>
                </w:p>
              </w:tc>
            </w:tr>
            <w:tr w14:paraId="0D1A4D27">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51" w:type="pct"/>
                  <w:vMerge w:val="continue"/>
                  <w:tcBorders>
                    <w:top w:val="nil"/>
                    <w:left w:val="nil"/>
                    <w:bottom w:val="single" w:color="auto" w:sz="4" w:space="0"/>
                    <w:right w:val="single" w:color="auto" w:sz="4" w:space="0"/>
                  </w:tcBorders>
                  <w:shd w:val="clear" w:color="auto" w:fill="auto"/>
                  <w:vAlign w:val="center"/>
                </w:tcPr>
                <w:p w14:paraId="5D394F58">
                  <w:pPr>
                    <w:keepNext w:val="0"/>
                    <w:keepLines w:val="0"/>
                    <w:pageBreakBefore w:val="0"/>
                    <w:suppressLineNumbers w:val="0"/>
                    <w:kinsoku/>
                    <w:wordWrap/>
                    <w:overflowPunct/>
                    <w:topLinePunct w:val="0"/>
                    <w:bidi w:val="0"/>
                    <w:spacing w:before="0" w:beforeLines="0" w:beforeAutospacing="0" w:after="0" w:afterAutospacing="0" w:line="360" w:lineRule="exact"/>
                    <w:ind w:left="0" w:right="0"/>
                    <w:textAlignment w:val="auto"/>
                    <w:rPr>
                      <w:rFonts w:hint="default" w:ascii="Times New Roman" w:hAnsi="Times New Roman" w:cs="Times New Roman"/>
                      <w:sz w:val="20"/>
                      <w:szCs w:val="20"/>
                    </w:rPr>
                  </w:pPr>
                </w:p>
              </w:tc>
              <w:tc>
                <w:tcPr>
                  <w:tcW w:w="2404" w:type="pct"/>
                  <w:tcBorders>
                    <w:top w:val="single" w:color="auto" w:sz="4" w:space="0"/>
                    <w:left w:val="single" w:color="auto" w:sz="4" w:space="0"/>
                    <w:bottom w:val="single" w:color="auto" w:sz="4" w:space="0"/>
                    <w:right w:val="single" w:color="auto" w:sz="4" w:space="0"/>
                  </w:tcBorders>
                  <w:shd w:val="clear" w:color="auto" w:fill="auto"/>
                  <w:vAlign w:val="center"/>
                </w:tcPr>
                <w:p w14:paraId="054E11F4">
                  <w:pPr>
                    <w:pStyle w:val="21"/>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exact"/>
                    <w:ind w:left="0" w:right="0"/>
                    <w:jc w:val="center"/>
                    <w:textAlignment w:val="auto"/>
                    <w:rPr>
                      <w:rFonts w:hint="default" w:ascii="Times New Roman" w:hAnsi="Times New Roman" w:cs="Times New Roman"/>
                    </w:rPr>
                  </w:pPr>
                  <w:r>
                    <w:rPr>
                      <w:rFonts w:hint="default" w:ascii="宋体" w:hAnsi="Times New Roman" w:eastAsia="Times New Roman" w:cs="Times New Roman"/>
                      <w:kern w:val="0"/>
                      <w:sz w:val="21"/>
                      <w:szCs w:val="20"/>
                      <w:lang w:val="en-US" w:eastAsia="zh-CN" w:bidi="ar"/>
                    </w:rPr>
                    <w:t>禁止引进三废处理技术不成熟、经济不可行的项目。</w:t>
                  </w:r>
                </w:p>
              </w:tc>
              <w:tc>
                <w:tcPr>
                  <w:tcW w:w="1634" w:type="pct"/>
                  <w:tcBorders>
                    <w:top w:val="single" w:color="auto" w:sz="4" w:space="0"/>
                    <w:left w:val="single" w:color="auto" w:sz="4" w:space="0"/>
                    <w:bottom w:val="single" w:color="auto" w:sz="4" w:space="0"/>
                    <w:right w:val="single" w:color="auto" w:sz="4" w:space="0"/>
                  </w:tcBorders>
                  <w:shd w:val="clear" w:color="auto" w:fill="auto"/>
                  <w:vAlign w:val="center"/>
                </w:tcPr>
                <w:p w14:paraId="3607D707">
                  <w:pPr>
                    <w:pStyle w:val="21"/>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exact"/>
                    <w:ind w:left="0" w:right="0"/>
                    <w:jc w:val="center"/>
                    <w:textAlignment w:val="auto"/>
                    <w:rPr>
                      <w:rFonts w:hint="default"/>
                    </w:rPr>
                  </w:pPr>
                  <w:r>
                    <w:rPr>
                      <w:rFonts w:hint="default" w:ascii="宋体" w:hAnsi="Times New Roman" w:eastAsia="Times New Roman" w:cs="Times New Roman"/>
                      <w:kern w:val="0"/>
                      <w:sz w:val="21"/>
                      <w:szCs w:val="20"/>
                      <w:lang w:val="en-US" w:eastAsia="zh-CN" w:bidi="ar"/>
                    </w:rPr>
                    <w:t>本项目采用的三废处理技术均技术成熟、经济可行。</w:t>
                  </w:r>
                </w:p>
              </w:tc>
              <w:tc>
                <w:tcPr>
                  <w:tcW w:w="509" w:type="pct"/>
                  <w:tcBorders>
                    <w:top w:val="single" w:color="auto" w:sz="4" w:space="0"/>
                    <w:left w:val="single" w:color="auto" w:sz="4" w:space="0"/>
                    <w:bottom w:val="single" w:color="auto" w:sz="4" w:space="0"/>
                    <w:right w:val="nil"/>
                  </w:tcBorders>
                  <w:shd w:val="clear" w:color="auto" w:fill="auto"/>
                  <w:vAlign w:val="center"/>
                </w:tcPr>
                <w:p w14:paraId="0917AE04">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eastAsia" w:ascii="宋体" w:hAnsi="宋体" w:eastAsia="宋体" w:cs="宋体"/>
                      <w:kern w:val="0"/>
                      <w:szCs w:val="21"/>
                      <w:lang w:val="en-US"/>
                    </w:rPr>
                  </w:pPr>
                  <w:r>
                    <w:rPr>
                      <w:rFonts w:hint="eastAsia" w:ascii="宋体" w:hAnsi="宋体" w:eastAsia="宋体" w:cs="宋体"/>
                      <w:kern w:val="0"/>
                      <w:sz w:val="21"/>
                      <w:szCs w:val="24"/>
                      <w:lang w:val="en-US" w:eastAsia="zh-CN" w:bidi="ar"/>
                    </w:rPr>
                    <w:t>相符</w:t>
                  </w:r>
                </w:p>
              </w:tc>
            </w:tr>
            <w:tr w14:paraId="2941AEA3">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51" w:type="pct"/>
                  <w:vMerge w:val="continue"/>
                  <w:tcBorders>
                    <w:top w:val="nil"/>
                    <w:left w:val="nil"/>
                    <w:bottom w:val="single" w:color="auto" w:sz="4" w:space="0"/>
                    <w:right w:val="single" w:color="auto" w:sz="4" w:space="0"/>
                  </w:tcBorders>
                  <w:shd w:val="clear" w:color="auto" w:fill="auto"/>
                  <w:vAlign w:val="center"/>
                </w:tcPr>
                <w:p w14:paraId="64FB96E4">
                  <w:pPr>
                    <w:keepNext w:val="0"/>
                    <w:keepLines w:val="0"/>
                    <w:pageBreakBefore w:val="0"/>
                    <w:suppressLineNumbers w:val="0"/>
                    <w:kinsoku/>
                    <w:wordWrap/>
                    <w:overflowPunct/>
                    <w:topLinePunct w:val="0"/>
                    <w:bidi w:val="0"/>
                    <w:spacing w:before="0" w:beforeLines="0" w:beforeAutospacing="0" w:after="0" w:afterAutospacing="0" w:line="360" w:lineRule="exact"/>
                    <w:ind w:left="0" w:right="0"/>
                    <w:textAlignment w:val="auto"/>
                    <w:rPr>
                      <w:rFonts w:hint="default" w:ascii="Times New Roman" w:hAnsi="Times New Roman" w:cs="Times New Roman"/>
                      <w:sz w:val="20"/>
                      <w:szCs w:val="20"/>
                    </w:rPr>
                  </w:pPr>
                </w:p>
              </w:tc>
              <w:tc>
                <w:tcPr>
                  <w:tcW w:w="2404" w:type="pct"/>
                  <w:tcBorders>
                    <w:top w:val="single" w:color="auto" w:sz="4" w:space="0"/>
                    <w:left w:val="single" w:color="auto" w:sz="4" w:space="0"/>
                    <w:bottom w:val="single" w:color="auto" w:sz="4" w:space="0"/>
                    <w:right w:val="single" w:color="auto" w:sz="4" w:space="0"/>
                  </w:tcBorders>
                  <w:shd w:val="clear" w:color="auto" w:fill="auto"/>
                  <w:vAlign w:val="center"/>
                </w:tcPr>
                <w:p w14:paraId="6F103A29">
                  <w:pPr>
                    <w:pStyle w:val="21"/>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exact"/>
                    <w:ind w:left="0" w:right="0"/>
                    <w:jc w:val="center"/>
                    <w:textAlignment w:val="auto"/>
                    <w:rPr>
                      <w:rFonts w:hint="default" w:ascii="Times New Roman" w:hAnsi="Times New Roman" w:cs="Times New Roman"/>
                    </w:rPr>
                  </w:pPr>
                  <w:r>
                    <w:rPr>
                      <w:rFonts w:hint="default" w:ascii="宋体" w:hAnsi="Times New Roman" w:eastAsia="Times New Roman" w:cs="Times New Roman"/>
                      <w:kern w:val="0"/>
                      <w:sz w:val="21"/>
                      <w:szCs w:val="20"/>
                      <w:lang w:val="en-US" w:eastAsia="zh-CN" w:bidi="ar"/>
                    </w:rPr>
                    <w:t>禁止新增非集中供热性质的燃煤锅炉。</w:t>
                  </w:r>
                </w:p>
              </w:tc>
              <w:tc>
                <w:tcPr>
                  <w:tcW w:w="1634" w:type="pct"/>
                  <w:tcBorders>
                    <w:top w:val="single" w:color="auto" w:sz="4" w:space="0"/>
                    <w:left w:val="single" w:color="auto" w:sz="4" w:space="0"/>
                    <w:bottom w:val="single" w:color="auto" w:sz="4" w:space="0"/>
                    <w:right w:val="single" w:color="auto" w:sz="4" w:space="0"/>
                  </w:tcBorders>
                  <w:shd w:val="clear" w:color="auto" w:fill="auto"/>
                  <w:vAlign w:val="center"/>
                </w:tcPr>
                <w:p w14:paraId="55158864">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eastAsia" w:ascii="宋体" w:hAnsi="宋体" w:eastAsia="宋体" w:cs="宋体"/>
                      <w:kern w:val="0"/>
                      <w:szCs w:val="21"/>
                      <w:lang w:val="en-US"/>
                    </w:rPr>
                  </w:pPr>
                  <w:r>
                    <w:rPr>
                      <w:rFonts w:hint="eastAsia" w:ascii="宋体" w:hAnsi="宋体" w:eastAsia="宋体" w:cs="宋体"/>
                      <w:kern w:val="0"/>
                      <w:sz w:val="21"/>
                      <w:szCs w:val="24"/>
                      <w:lang w:val="en-US" w:eastAsia="zh-CN" w:bidi="ar"/>
                    </w:rPr>
                    <w:t>不涉及锅炉。</w:t>
                  </w:r>
                </w:p>
              </w:tc>
              <w:tc>
                <w:tcPr>
                  <w:tcW w:w="509" w:type="pct"/>
                  <w:tcBorders>
                    <w:top w:val="single" w:color="auto" w:sz="4" w:space="0"/>
                    <w:left w:val="single" w:color="auto" w:sz="4" w:space="0"/>
                    <w:bottom w:val="single" w:color="auto" w:sz="4" w:space="0"/>
                    <w:right w:val="nil"/>
                  </w:tcBorders>
                  <w:shd w:val="clear" w:color="auto" w:fill="auto"/>
                  <w:vAlign w:val="center"/>
                </w:tcPr>
                <w:p w14:paraId="758D038D">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eastAsia" w:ascii="宋体" w:hAnsi="宋体" w:eastAsia="宋体" w:cs="宋体"/>
                      <w:kern w:val="0"/>
                      <w:szCs w:val="21"/>
                      <w:lang w:val="en-US"/>
                    </w:rPr>
                  </w:pPr>
                  <w:r>
                    <w:rPr>
                      <w:rFonts w:hint="eastAsia" w:ascii="宋体" w:hAnsi="宋体" w:eastAsia="宋体" w:cs="宋体"/>
                      <w:kern w:val="0"/>
                      <w:sz w:val="21"/>
                      <w:szCs w:val="24"/>
                      <w:lang w:val="en-US" w:eastAsia="zh-CN" w:bidi="ar"/>
                    </w:rPr>
                    <w:t>相符</w:t>
                  </w:r>
                </w:p>
              </w:tc>
            </w:tr>
            <w:tr w14:paraId="6082F6C2">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451" w:type="pct"/>
                  <w:vMerge w:val="continue"/>
                  <w:tcBorders>
                    <w:top w:val="nil"/>
                    <w:left w:val="nil"/>
                    <w:bottom w:val="single" w:color="auto" w:sz="4" w:space="0"/>
                    <w:right w:val="single" w:color="auto" w:sz="4" w:space="0"/>
                  </w:tcBorders>
                  <w:shd w:val="clear" w:color="auto" w:fill="auto"/>
                  <w:vAlign w:val="center"/>
                </w:tcPr>
                <w:p w14:paraId="28C18D03">
                  <w:pPr>
                    <w:keepNext w:val="0"/>
                    <w:keepLines w:val="0"/>
                    <w:pageBreakBefore w:val="0"/>
                    <w:suppressLineNumbers w:val="0"/>
                    <w:kinsoku/>
                    <w:wordWrap/>
                    <w:overflowPunct/>
                    <w:topLinePunct w:val="0"/>
                    <w:bidi w:val="0"/>
                    <w:spacing w:before="0" w:beforeLines="0" w:beforeAutospacing="0" w:after="0" w:afterAutospacing="0" w:line="360" w:lineRule="exact"/>
                    <w:ind w:left="0" w:right="0"/>
                    <w:textAlignment w:val="auto"/>
                    <w:rPr>
                      <w:rFonts w:hint="default" w:ascii="Times New Roman" w:hAnsi="Times New Roman" w:cs="Times New Roman"/>
                      <w:sz w:val="20"/>
                      <w:szCs w:val="20"/>
                    </w:rPr>
                  </w:pPr>
                </w:p>
              </w:tc>
              <w:tc>
                <w:tcPr>
                  <w:tcW w:w="2404" w:type="pct"/>
                  <w:tcBorders>
                    <w:top w:val="single" w:color="auto" w:sz="4" w:space="0"/>
                    <w:left w:val="single" w:color="auto" w:sz="4" w:space="0"/>
                    <w:bottom w:val="single" w:color="auto" w:sz="4" w:space="0"/>
                    <w:right w:val="single" w:color="auto" w:sz="4" w:space="0"/>
                  </w:tcBorders>
                  <w:shd w:val="clear" w:color="auto" w:fill="auto"/>
                  <w:vAlign w:val="center"/>
                </w:tcPr>
                <w:p w14:paraId="3ED67963">
                  <w:pPr>
                    <w:pStyle w:val="21"/>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exact"/>
                    <w:ind w:left="0" w:right="0"/>
                    <w:jc w:val="center"/>
                    <w:textAlignment w:val="auto"/>
                    <w:rPr>
                      <w:rFonts w:hint="default" w:ascii="Times New Roman" w:hAnsi="Times New Roman" w:cs="Times New Roman"/>
                    </w:rPr>
                  </w:pPr>
                  <w:r>
                    <w:rPr>
                      <w:rFonts w:hint="default" w:ascii="宋体" w:hAnsi="Times New Roman" w:eastAsia="Times New Roman" w:cs="Times New Roman"/>
                      <w:kern w:val="0"/>
                      <w:sz w:val="21"/>
                      <w:szCs w:val="20"/>
                      <w:lang w:val="en-US" w:eastAsia="zh-CN" w:bidi="ar"/>
                    </w:rPr>
                    <w:t>禁止入驻低于国家二级清洁生产标准要求的建设项目。</w:t>
                  </w:r>
                </w:p>
              </w:tc>
              <w:tc>
                <w:tcPr>
                  <w:tcW w:w="1634" w:type="pct"/>
                  <w:tcBorders>
                    <w:top w:val="single" w:color="auto" w:sz="4" w:space="0"/>
                    <w:left w:val="single" w:color="auto" w:sz="4" w:space="0"/>
                    <w:bottom w:val="single" w:color="auto" w:sz="4" w:space="0"/>
                    <w:right w:val="single" w:color="auto" w:sz="4" w:space="0"/>
                  </w:tcBorders>
                  <w:shd w:val="clear" w:color="auto" w:fill="auto"/>
                  <w:vAlign w:val="center"/>
                </w:tcPr>
                <w:p w14:paraId="45887A13">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eastAsia" w:ascii="宋体" w:hAnsi="宋体" w:eastAsia="宋体" w:cs="宋体"/>
                      <w:kern w:val="0"/>
                      <w:szCs w:val="21"/>
                      <w:lang w:val="en-US"/>
                    </w:rPr>
                  </w:pPr>
                  <w:r>
                    <w:rPr>
                      <w:rFonts w:hint="eastAsia" w:ascii="宋体" w:hAnsi="宋体" w:eastAsia="宋体" w:cs="宋体"/>
                      <w:kern w:val="0"/>
                      <w:sz w:val="21"/>
                      <w:szCs w:val="24"/>
                      <w:lang w:val="en-US" w:eastAsia="zh-CN" w:bidi="ar"/>
                    </w:rPr>
                    <w:t>项目能耗电耗水平较低、不含有毒有害原辅材料、严格控制污染物排放，</w:t>
                  </w:r>
                  <w:r>
                    <w:rPr>
                      <w:rFonts w:hint="eastAsia" w:ascii="Times New Roman" w:hAnsi="Times New Roman" w:eastAsia="宋体" w:cs="Times New Roman"/>
                      <w:kern w:val="2"/>
                      <w:sz w:val="21"/>
                      <w:szCs w:val="21"/>
                      <w:lang w:val="en-US" w:eastAsia="zh-CN" w:bidi="ar"/>
                    </w:rPr>
                    <w:t>达到同行业国内先进水平。</w:t>
                  </w:r>
                </w:p>
              </w:tc>
              <w:tc>
                <w:tcPr>
                  <w:tcW w:w="509" w:type="pct"/>
                  <w:tcBorders>
                    <w:top w:val="single" w:color="auto" w:sz="4" w:space="0"/>
                    <w:left w:val="single" w:color="auto" w:sz="4" w:space="0"/>
                    <w:bottom w:val="single" w:color="auto" w:sz="4" w:space="0"/>
                    <w:right w:val="nil"/>
                  </w:tcBorders>
                  <w:shd w:val="clear" w:color="auto" w:fill="auto"/>
                  <w:vAlign w:val="center"/>
                </w:tcPr>
                <w:p w14:paraId="42FB05A5">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相符</w:t>
                  </w:r>
                </w:p>
              </w:tc>
            </w:tr>
            <w:tr w14:paraId="38CF335B">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51" w:type="pct"/>
                  <w:vMerge w:val="continue"/>
                  <w:tcBorders>
                    <w:top w:val="nil"/>
                    <w:left w:val="nil"/>
                    <w:bottom w:val="single" w:color="auto" w:sz="4" w:space="0"/>
                    <w:right w:val="single" w:color="auto" w:sz="4" w:space="0"/>
                  </w:tcBorders>
                  <w:shd w:val="clear" w:color="auto" w:fill="auto"/>
                  <w:vAlign w:val="center"/>
                </w:tcPr>
                <w:p w14:paraId="20F6E0FF">
                  <w:pPr>
                    <w:keepNext w:val="0"/>
                    <w:keepLines w:val="0"/>
                    <w:pageBreakBefore w:val="0"/>
                    <w:suppressLineNumbers w:val="0"/>
                    <w:kinsoku/>
                    <w:wordWrap/>
                    <w:overflowPunct/>
                    <w:topLinePunct w:val="0"/>
                    <w:bidi w:val="0"/>
                    <w:spacing w:before="0" w:beforeLines="0" w:beforeAutospacing="0" w:after="0" w:afterAutospacing="0" w:line="360" w:lineRule="exact"/>
                    <w:ind w:left="0" w:right="0"/>
                    <w:textAlignment w:val="auto"/>
                    <w:rPr>
                      <w:rFonts w:hint="default" w:ascii="Times New Roman" w:hAnsi="Times New Roman" w:cs="Times New Roman"/>
                      <w:sz w:val="20"/>
                      <w:szCs w:val="20"/>
                    </w:rPr>
                  </w:pPr>
                </w:p>
              </w:tc>
              <w:tc>
                <w:tcPr>
                  <w:tcW w:w="2404" w:type="pct"/>
                  <w:tcBorders>
                    <w:top w:val="single" w:color="auto" w:sz="4" w:space="0"/>
                    <w:left w:val="single" w:color="auto" w:sz="4" w:space="0"/>
                    <w:bottom w:val="single" w:color="auto" w:sz="4" w:space="0"/>
                    <w:right w:val="single" w:color="auto" w:sz="4" w:space="0"/>
                  </w:tcBorders>
                  <w:shd w:val="clear" w:color="auto" w:fill="auto"/>
                  <w:vAlign w:val="center"/>
                </w:tcPr>
                <w:p w14:paraId="0F728657">
                  <w:pPr>
                    <w:pStyle w:val="21"/>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exact"/>
                    <w:ind w:left="0" w:right="0"/>
                    <w:jc w:val="center"/>
                    <w:textAlignment w:val="auto"/>
                    <w:rPr>
                      <w:rFonts w:hint="default" w:ascii="Times New Roman" w:hAnsi="Times New Roman" w:cs="Times New Roman"/>
                    </w:rPr>
                  </w:pPr>
                  <w:r>
                    <w:rPr>
                      <w:rFonts w:hint="default" w:ascii="宋体" w:hAnsi="Times New Roman" w:eastAsia="Times New Roman" w:cs="Times New Roman"/>
                      <w:kern w:val="0"/>
                      <w:sz w:val="21"/>
                      <w:szCs w:val="20"/>
                      <w:lang w:val="en-US" w:eastAsia="zh-CN" w:bidi="ar"/>
                    </w:rPr>
                    <w:t>禁止污染严重，破坏自然生态和损害人体健康，公众反对意愿强烈的项目。</w:t>
                  </w:r>
                </w:p>
              </w:tc>
              <w:tc>
                <w:tcPr>
                  <w:tcW w:w="1634" w:type="pct"/>
                  <w:tcBorders>
                    <w:top w:val="single" w:color="auto" w:sz="4" w:space="0"/>
                    <w:left w:val="single" w:color="auto" w:sz="4" w:space="0"/>
                    <w:bottom w:val="single" w:color="auto" w:sz="4" w:space="0"/>
                    <w:right w:val="single" w:color="auto" w:sz="4" w:space="0"/>
                  </w:tcBorders>
                  <w:shd w:val="clear" w:color="auto" w:fill="auto"/>
                  <w:vAlign w:val="center"/>
                </w:tcPr>
                <w:p w14:paraId="4EE06D1D">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eastAsia" w:ascii="宋体" w:hAnsi="宋体" w:eastAsia="宋体" w:cs="宋体"/>
                      <w:kern w:val="0"/>
                      <w:szCs w:val="21"/>
                      <w:lang w:val="en-US"/>
                    </w:rPr>
                  </w:pPr>
                  <w:r>
                    <w:rPr>
                      <w:rFonts w:hint="eastAsia" w:ascii="宋体" w:hAnsi="宋体" w:eastAsia="宋体" w:cs="宋体"/>
                      <w:kern w:val="2"/>
                      <w:sz w:val="21"/>
                      <w:szCs w:val="24"/>
                      <w:lang w:val="en-US" w:eastAsia="zh-CN" w:bidi="ar"/>
                    </w:rPr>
                    <w:t>本项目污染较小，对自然生态和人体健康影响较小。</w:t>
                  </w:r>
                </w:p>
              </w:tc>
              <w:tc>
                <w:tcPr>
                  <w:tcW w:w="509" w:type="pct"/>
                  <w:tcBorders>
                    <w:top w:val="single" w:color="auto" w:sz="4" w:space="0"/>
                    <w:left w:val="single" w:color="auto" w:sz="4" w:space="0"/>
                    <w:bottom w:val="single" w:color="auto" w:sz="4" w:space="0"/>
                    <w:right w:val="nil"/>
                  </w:tcBorders>
                  <w:shd w:val="clear" w:color="auto" w:fill="auto"/>
                  <w:vAlign w:val="center"/>
                </w:tcPr>
                <w:p w14:paraId="04BB8DEE">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eastAsia" w:ascii="宋体" w:hAnsi="宋体" w:eastAsia="宋体" w:cs="宋体"/>
                      <w:kern w:val="0"/>
                      <w:szCs w:val="21"/>
                      <w:lang w:val="en-US"/>
                    </w:rPr>
                  </w:pPr>
                  <w:r>
                    <w:rPr>
                      <w:rFonts w:hint="eastAsia" w:ascii="宋体" w:hAnsi="宋体" w:eastAsia="宋体" w:cs="宋体"/>
                      <w:kern w:val="0"/>
                      <w:sz w:val="21"/>
                      <w:szCs w:val="24"/>
                      <w:lang w:val="en-US" w:eastAsia="zh-CN" w:bidi="ar"/>
                    </w:rPr>
                    <w:t>相符</w:t>
                  </w:r>
                </w:p>
              </w:tc>
            </w:tr>
            <w:tr w14:paraId="29F03D37">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0" w:hRule="atLeast"/>
              </w:trPr>
              <w:tc>
                <w:tcPr>
                  <w:tcW w:w="451" w:type="pct"/>
                  <w:vMerge w:val="restart"/>
                  <w:tcBorders>
                    <w:top w:val="nil"/>
                    <w:left w:val="nil"/>
                    <w:bottom w:val="single" w:color="auto" w:sz="4" w:space="0"/>
                    <w:right w:val="single" w:color="auto" w:sz="4" w:space="0"/>
                  </w:tcBorders>
                  <w:shd w:val="clear" w:color="auto" w:fill="auto"/>
                  <w:vAlign w:val="center"/>
                </w:tcPr>
                <w:p w14:paraId="1533AD34">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eastAsia" w:ascii="宋体" w:hAnsi="宋体" w:eastAsia="宋体" w:cs="宋体"/>
                      <w:kern w:val="0"/>
                      <w:szCs w:val="21"/>
                      <w:lang w:val="en-US"/>
                    </w:rPr>
                  </w:pPr>
                  <w:r>
                    <w:rPr>
                      <w:rFonts w:hint="eastAsia" w:ascii="宋体" w:hAnsi="宋体" w:eastAsia="宋体" w:cs="宋体"/>
                      <w:kern w:val="0"/>
                      <w:sz w:val="21"/>
                      <w:szCs w:val="24"/>
                      <w:lang w:val="en-US" w:eastAsia="zh-CN" w:bidi="ar"/>
                    </w:rPr>
                    <w:t>医药行业</w:t>
                  </w:r>
                </w:p>
              </w:tc>
              <w:tc>
                <w:tcPr>
                  <w:tcW w:w="2404" w:type="pct"/>
                  <w:tcBorders>
                    <w:top w:val="single" w:color="auto" w:sz="4" w:space="0"/>
                    <w:left w:val="single" w:color="auto" w:sz="4" w:space="0"/>
                    <w:bottom w:val="single" w:color="auto" w:sz="4" w:space="0"/>
                    <w:right w:val="single" w:color="auto" w:sz="4" w:space="0"/>
                  </w:tcBorders>
                  <w:shd w:val="clear" w:color="auto" w:fill="auto"/>
                  <w:vAlign w:val="center"/>
                </w:tcPr>
                <w:p w14:paraId="75757B7D">
                  <w:pPr>
                    <w:pStyle w:val="21"/>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exact"/>
                    <w:ind w:left="0" w:right="0"/>
                    <w:jc w:val="center"/>
                    <w:textAlignment w:val="auto"/>
                    <w:rPr>
                      <w:rFonts w:hint="default" w:ascii="Times New Roman" w:hAnsi="Times New Roman" w:cs="Times New Roman"/>
                    </w:rPr>
                  </w:pPr>
                  <w:r>
                    <w:rPr>
                      <w:rFonts w:hint="default" w:ascii="宋体" w:hAnsi="Times New Roman" w:eastAsia="Times New Roman" w:cs="Times New Roman"/>
                      <w:kern w:val="0"/>
                      <w:sz w:val="21"/>
                      <w:szCs w:val="20"/>
                      <w:lang w:val="en-US" w:eastAsia="zh-CN" w:bidi="ar"/>
                    </w:rPr>
                    <w:t>禁止入驻呋喃唑酮、氢化可的松、盐酸赛庚啶等排水量较大的化学合成类制药项目。</w:t>
                  </w:r>
                </w:p>
              </w:tc>
              <w:tc>
                <w:tcPr>
                  <w:tcW w:w="1634" w:type="pct"/>
                  <w:vMerge w:val="restart"/>
                  <w:tcBorders>
                    <w:top w:val="nil"/>
                    <w:left w:val="single" w:color="auto" w:sz="4" w:space="0"/>
                    <w:bottom w:val="single" w:color="auto" w:sz="4" w:space="0"/>
                    <w:right w:val="single" w:color="auto" w:sz="4" w:space="0"/>
                  </w:tcBorders>
                  <w:shd w:val="clear" w:color="auto" w:fill="auto"/>
                  <w:vAlign w:val="center"/>
                </w:tcPr>
                <w:p w14:paraId="09943523">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eastAsia" w:ascii="宋体" w:hAnsi="宋体" w:eastAsia="宋体" w:cs="宋体"/>
                      <w:kern w:val="0"/>
                      <w:szCs w:val="21"/>
                      <w:lang w:val="en-US"/>
                    </w:rPr>
                  </w:pPr>
                  <w:r>
                    <w:rPr>
                      <w:rFonts w:hint="eastAsia" w:ascii="宋体" w:hAnsi="宋体" w:eastAsia="宋体" w:cs="宋体"/>
                      <w:kern w:val="0"/>
                      <w:sz w:val="21"/>
                      <w:szCs w:val="24"/>
                      <w:lang w:val="en-US" w:eastAsia="zh-CN" w:bidi="ar"/>
                    </w:rPr>
                    <w:t>项目</w:t>
                  </w:r>
                  <w:r>
                    <w:rPr>
                      <w:rFonts w:hint="eastAsia" w:ascii="宋体" w:hAnsi="宋体" w:eastAsia="宋体" w:cs="宋体"/>
                      <w:bCs/>
                      <w:kern w:val="0"/>
                      <w:sz w:val="21"/>
                      <w:szCs w:val="24"/>
                      <w:lang w:val="en-US" w:eastAsia="zh-CN" w:bidi="ar"/>
                    </w:rPr>
                    <w:t>不属于医药行业。</w:t>
                  </w:r>
                </w:p>
              </w:tc>
              <w:tc>
                <w:tcPr>
                  <w:tcW w:w="509" w:type="pct"/>
                  <w:vMerge w:val="restart"/>
                  <w:tcBorders>
                    <w:top w:val="nil"/>
                    <w:left w:val="single" w:color="auto" w:sz="4" w:space="0"/>
                    <w:bottom w:val="single" w:color="auto" w:sz="4" w:space="0"/>
                    <w:right w:val="nil"/>
                  </w:tcBorders>
                  <w:shd w:val="clear" w:color="auto" w:fill="auto"/>
                  <w:vAlign w:val="center"/>
                </w:tcPr>
                <w:p w14:paraId="4FB9FA6C">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eastAsia" w:ascii="宋体" w:hAnsi="宋体" w:eastAsia="宋体" w:cs="宋体"/>
                      <w:kern w:val="0"/>
                      <w:szCs w:val="21"/>
                      <w:lang w:val="en-US"/>
                    </w:rPr>
                  </w:pPr>
                  <w:r>
                    <w:rPr>
                      <w:rFonts w:hint="eastAsia" w:ascii="宋体" w:hAnsi="宋体" w:eastAsia="宋体" w:cs="宋体"/>
                      <w:kern w:val="0"/>
                      <w:sz w:val="21"/>
                      <w:szCs w:val="24"/>
                      <w:lang w:val="en-US" w:eastAsia="zh-CN" w:bidi="ar"/>
                    </w:rPr>
                    <w:t>/</w:t>
                  </w:r>
                </w:p>
              </w:tc>
            </w:tr>
            <w:tr w14:paraId="17D79DEC">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51" w:type="pct"/>
                  <w:vMerge w:val="continue"/>
                  <w:tcBorders>
                    <w:top w:val="nil"/>
                    <w:left w:val="nil"/>
                    <w:bottom w:val="single" w:color="auto" w:sz="4" w:space="0"/>
                    <w:right w:val="single" w:color="auto" w:sz="4" w:space="0"/>
                  </w:tcBorders>
                  <w:shd w:val="clear" w:color="auto" w:fill="auto"/>
                  <w:vAlign w:val="center"/>
                </w:tcPr>
                <w:p w14:paraId="525C2406">
                  <w:pPr>
                    <w:keepNext w:val="0"/>
                    <w:keepLines w:val="0"/>
                    <w:pageBreakBefore w:val="0"/>
                    <w:suppressLineNumbers w:val="0"/>
                    <w:kinsoku/>
                    <w:wordWrap/>
                    <w:overflowPunct/>
                    <w:topLinePunct w:val="0"/>
                    <w:bidi w:val="0"/>
                    <w:spacing w:before="0" w:beforeLines="0" w:beforeAutospacing="0" w:after="0" w:afterAutospacing="0" w:line="360" w:lineRule="exact"/>
                    <w:ind w:left="0" w:right="0"/>
                    <w:textAlignment w:val="auto"/>
                    <w:rPr>
                      <w:rFonts w:hint="default" w:ascii="Times New Roman" w:hAnsi="Times New Roman" w:cs="Times New Roman"/>
                      <w:sz w:val="20"/>
                      <w:szCs w:val="20"/>
                    </w:rPr>
                  </w:pPr>
                </w:p>
              </w:tc>
              <w:tc>
                <w:tcPr>
                  <w:tcW w:w="2404" w:type="pct"/>
                  <w:tcBorders>
                    <w:top w:val="single" w:color="auto" w:sz="4" w:space="0"/>
                    <w:left w:val="single" w:color="auto" w:sz="4" w:space="0"/>
                    <w:bottom w:val="single" w:color="auto" w:sz="4" w:space="0"/>
                    <w:right w:val="single" w:color="auto" w:sz="4" w:space="0"/>
                  </w:tcBorders>
                  <w:shd w:val="clear" w:color="auto" w:fill="auto"/>
                  <w:vAlign w:val="center"/>
                </w:tcPr>
                <w:p w14:paraId="0A6F04C3">
                  <w:pPr>
                    <w:pStyle w:val="21"/>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exact"/>
                    <w:ind w:left="0" w:right="0"/>
                    <w:jc w:val="center"/>
                    <w:textAlignment w:val="auto"/>
                    <w:rPr>
                      <w:rFonts w:hint="default" w:ascii="Times New Roman" w:hAnsi="Times New Roman" w:cs="Times New Roman"/>
                    </w:rPr>
                  </w:pPr>
                  <w:r>
                    <w:rPr>
                      <w:rFonts w:hint="default" w:ascii="宋体" w:hAnsi="Times New Roman" w:eastAsia="Times New Roman" w:cs="Times New Roman"/>
                      <w:kern w:val="0"/>
                      <w:sz w:val="21"/>
                      <w:szCs w:val="20"/>
                      <w:lang w:val="en-US" w:eastAsia="zh-CN" w:bidi="ar"/>
                    </w:rPr>
                    <w:t>禁止入驻氨基糖苷类抗生素、多肽类抗生素、β</w:t>
                  </w:r>
                  <w:r>
                    <w:rPr>
                      <w:rFonts w:hint="eastAsia" w:ascii="宋体" w:hAnsi="Times New Roman" w:eastAsia="Times New Roman" w:cs="Times New Roman"/>
                      <w:kern w:val="0"/>
                      <w:sz w:val="21"/>
                      <w:szCs w:val="20"/>
                      <w:lang w:val="en-US" w:eastAsia="zh-CN" w:bidi="ar"/>
                    </w:rPr>
                    <w:t>-</w:t>
                  </w:r>
                  <w:r>
                    <w:rPr>
                      <w:rFonts w:hint="default" w:ascii="宋体" w:hAnsi="Times New Roman" w:eastAsia="Times New Roman" w:cs="Times New Roman"/>
                      <w:kern w:val="0"/>
                      <w:sz w:val="21"/>
                      <w:szCs w:val="20"/>
                      <w:lang w:val="en-US" w:eastAsia="zh-CN" w:bidi="ar"/>
                    </w:rPr>
                    <w:t>内酰胺类抗生素、洁霉素、阿霉素、利福霉素等排水量较大的发酵类制药项目。</w:t>
                  </w:r>
                </w:p>
              </w:tc>
              <w:tc>
                <w:tcPr>
                  <w:tcW w:w="1634" w:type="pct"/>
                  <w:vMerge w:val="continue"/>
                  <w:tcBorders>
                    <w:top w:val="nil"/>
                    <w:left w:val="single" w:color="auto" w:sz="4" w:space="0"/>
                    <w:bottom w:val="single" w:color="auto" w:sz="4" w:space="0"/>
                    <w:right w:val="single" w:color="auto" w:sz="4" w:space="0"/>
                  </w:tcBorders>
                  <w:shd w:val="clear" w:color="auto" w:fill="auto"/>
                  <w:vAlign w:val="center"/>
                </w:tcPr>
                <w:p w14:paraId="0AE70463">
                  <w:pPr>
                    <w:keepNext w:val="0"/>
                    <w:keepLines w:val="0"/>
                    <w:pageBreakBefore w:val="0"/>
                    <w:suppressLineNumbers w:val="0"/>
                    <w:kinsoku/>
                    <w:wordWrap/>
                    <w:overflowPunct/>
                    <w:topLinePunct w:val="0"/>
                    <w:bidi w:val="0"/>
                    <w:spacing w:before="0" w:beforeLines="0" w:beforeAutospacing="0" w:after="0" w:afterAutospacing="0" w:line="360" w:lineRule="exact"/>
                    <w:ind w:left="0" w:right="0"/>
                    <w:textAlignment w:val="auto"/>
                    <w:rPr>
                      <w:rFonts w:hint="default" w:ascii="Times New Roman" w:hAnsi="Times New Roman" w:cs="Times New Roman"/>
                      <w:sz w:val="20"/>
                      <w:szCs w:val="20"/>
                    </w:rPr>
                  </w:pPr>
                </w:p>
              </w:tc>
              <w:tc>
                <w:tcPr>
                  <w:tcW w:w="509" w:type="pct"/>
                  <w:vMerge w:val="continue"/>
                  <w:tcBorders>
                    <w:top w:val="nil"/>
                    <w:left w:val="single" w:color="auto" w:sz="4" w:space="0"/>
                    <w:bottom w:val="single" w:color="auto" w:sz="4" w:space="0"/>
                    <w:right w:val="nil"/>
                  </w:tcBorders>
                  <w:shd w:val="clear" w:color="auto" w:fill="auto"/>
                  <w:vAlign w:val="center"/>
                </w:tcPr>
                <w:p w14:paraId="638C92BE">
                  <w:pPr>
                    <w:keepNext w:val="0"/>
                    <w:keepLines w:val="0"/>
                    <w:pageBreakBefore w:val="0"/>
                    <w:suppressLineNumbers w:val="0"/>
                    <w:kinsoku/>
                    <w:wordWrap/>
                    <w:overflowPunct/>
                    <w:topLinePunct w:val="0"/>
                    <w:bidi w:val="0"/>
                    <w:spacing w:before="0" w:beforeLines="0" w:beforeAutospacing="0" w:after="0" w:afterAutospacing="0" w:line="360" w:lineRule="exact"/>
                    <w:ind w:left="0" w:right="0"/>
                    <w:textAlignment w:val="auto"/>
                    <w:rPr>
                      <w:rFonts w:hint="default" w:ascii="Times New Roman" w:hAnsi="Times New Roman" w:cs="Times New Roman"/>
                      <w:sz w:val="20"/>
                      <w:szCs w:val="20"/>
                    </w:rPr>
                  </w:pPr>
                </w:p>
              </w:tc>
            </w:tr>
            <w:tr w14:paraId="519A51FC">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cantSplit/>
                <w:trHeight w:val="5152" w:hRule="atLeast"/>
              </w:trPr>
              <w:tc>
                <w:tcPr>
                  <w:tcW w:w="451" w:type="pct"/>
                  <w:vMerge w:val="continue"/>
                  <w:tcBorders>
                    <w:top w:val="nil"/>
                    <w:left w:val="nil"/>
                    <w:bottom w:val="single" w:color="auto" w:sz="4" w:space="0"/>
                    <w:right w:val="single" w:color="auto" w:sz="4" w:space="0"/>
                  </w:tcBorders>
                  <w:shd w:val="clear" w:color="auto" w:fill="auto"/>
                  <w:vAlign w:val="center"/>
                </w:tcPr>
                <w:p w14:paraId="1228530D">
                  <w:pPr>
                    <w:keepNext w:val="0"/>
                    <w:keepLines w:val="0"/>
                    <w:pageBreakBefore w:val="0"/>
                    <w:suppressLineNumbers w:val="0"/>
                    <w:kinsoku/>
                    <w:wordWrap/>
                    <w:overflowPunct/>
                    <w:topLinePunct w:val="0"/>
                    <w:bidi w:val="0"/>
                    <w:spacing w:before="0" w:beforeLines="0" w:beforeAutospacing="0" w:after="0" w:afterAutospacing="0" w:line="360" w:lineRule="exact"/>
                    <w:ind w:left="0" w:right="0"/>
                    <w:textAlignment w:val="auto"/>
                    <w:rPr>
                      <w:rFonts w:hint="default" w:ascii="Times New Roman" w:hAnsi="Times New Roman" w:cs="Times New Roman"/>
                      <w:sz w:val="20"/>
                      <w:szCs w:val="20"/>
                    </w:rPr>
                  </w:pPr>
                </w:p>
              </w:tc>
              <w:tc>
                <w:tcPr>
                  <w:tcW w:w="2404" w:type="pct"/>
                  <w:tcBorders>
                    <w:top w:val="single" w:color="auto" w:sz="4" w:space="0"/>
                    <w:left w:val="single" w:color="auto" w:sz="4" w:space="0"/>
                    <w:bottom w:val="single" w:color="auto" w:sz="4" w:space="0"/>
                    <w:right w:val="single" w:color="auto" w:sz="4" w:space="0"/>
                  </w:tcBorders>
                  <w:shd w:val="clear" w:color="auto" w:fill="auto"/>
                  <w:vAlign w:val="center"/>
                </w:tcPr>
                <w:p w14:paraId="3AAC7179">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both"/>
                    <w:textAlignment w:val="auto"/>
                    <w:rPr>
                      <w:rFonts w:hint="default"/>
                      <w:szCs w:val="21"/>
                      <w:lang w:val="en-US"/>
                    </w:rPr>
                  </w:pPr>
                  <w:r>
                    <w:rPr>
                      <w:rFonts w:hint="eastAsia" w:ascii="Times New Roman" w:hAnsi="Times New Roman" w:eastAsia="宋体" w:cs="宋体"/>
                      <w:kern w:val="2"/>
                      <w:sz w:val="21"/>
                      <w:szCs w:val="21"/>
                      <w:lang w:val="en-US" w:eastAsia="zh-CN" w:bidi="ar"/>
                    </w:rPr>
                    <w:t>禁止入驻采用重污染工艺的制药类项目，包括：</w:t>
                  </w:r>
                </w:p>
                <w:p w14:paraId="496AC51E">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both"/>
                    <w:textAlignment w:val="auto"/>
                    <w:rPr>
                      <w:rFonts w:hint="default"/>
                      <w:szCs w:val="21"/>
                      <w:lang w:val="en-US"/>
                    </w:rPr>
                  </w:pPr>
                  <w:r>
                    <w:rPr>
                      <w:rFonts w:hint="default" w:ascii="Times New Roman" w:hAnsi="Times New Roman" w:eastAsia="宋体" w:cs="Times New Roman"/>
                      <w:kern w:val="2"/>
                      <w:sz w:val="21"/>
                      <w:szCs w:val="21"/>
                      <w:lang w:val="en-US" w:eastAsia="zh-CN" w:bidi="ar"/>
                    </w:rPr>
                    <w:t>①</w:t>
                  </w:r>
                  <w:r>
                    <w:rPr>
                      <w:rFonts w:hint="eastAsia" w:ascii="Times New Roman" w:hAnsi="Times New Roman" w:eastAsia="宋体" w:cs="宋体"/>
                      <w:kern w:val="2"/>
                      <w:sz w:val="21"/>
                      <w:szCs w:val="21"/>
                      <w:lang w:val="en-US" w:eastAsia="zh-CN" w:bidi="ar"/>
                    </w:rPr>
                    <w:t>禁止入驻采用化学法工艺生产阿莫西林的项目；</w:t>
                  </w:r>
                </w:p>
                <w:p w14:paraId="28E8413E">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both"/>
                    <w:textAlignment w:val="auto"/>
                    <w:rPr>
                      <w:rFonts w:hint="default"/>
                      <w:szCs w:val="21"/>
                      <w:lang w:val="en-US"/>
                    </w:rPr>
                  </w:pPr>
                  <w:r>
                    <w:rPr>
                      <w:rFonts w:hint="default" w:ascii="Times New Roman" w:hAnsi="Times New Roman" w:eastAsia="宋体" w:cs="Times New Roman"/>
                      <w:kern w:val="2"/>
                      <w:sz w:val="21"/>
                      <w:szCs w:val="21"/>
                      <w:lang w:val="en-US" w:eastAsia="zh-CN" w:bidi="ar"/>
                    </w:rPr>
                    <w:t>②</w:t>
                  </w:r>
                  <w:r>
                    <w:rPr>
                      <w:rFonts w:hint="eastAsia" w:ascii="Times New Roman" w:hAnsi="Times New Roman" w:eastAsia="宋体" w:cs="宋体"/>
                      <w:kern w:val="2"/>
                      <w:sz w:val="21"/>
                      <w:szCs w:val="21"/>
                      <w:lang w:val="en-US" w:eastAsia="zh-CN" w:bidi="ar"/>
                    </w:rPr>
                    <w:t>禁止入驻采用植物提取工艺生产盐酸小檗碱（盐磺酸黄连素）的项目；</w:t>
                  </w:r>
                </w:p>
                <w:p w14:paraId="60E52443">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both"/>
                    <w:textAlignment w:val="auto"/>
                    <w:rPr>
                      <w:rFonts w:hint="default"/>
                      <w:szCs w:val="21"/>
                      <w:lang w:val="en-US"/>
                    </w:rPr>
                  </w:pPr>
                  <w:r>
                    <w:rPr>
                      <w:rFonts w:hint="default" w:ascii="Times New Roman" w:hAnsi="Times New Roman" w:eastAsia="宋体" w:cs="Times New Roman"/>
                      <w:kern w:val="2"/>
                      <w:sz w:val="21"/>
                      <w:szCs w:val="21"/>
                      <w:lang w:val="en-US" w:eastAsia="zh-CN" w:bidi="ar"/>
                    </w:rPr>
                    <w:t>③</w:t>
                  </w:r>
                  <w:r>
                    <w:rPr>
                      <w:rFonts w:hint="eastAsia" w:ascii="Times New Roman" w:hAnsi="Times New Roman" w:eastAsia="宋体" w:cs="宋体"/>
                      <w:kern w:val="2"/>
                      <w:sz w:val="21"/>
                      <w:szCs w:val="21"/>
                      <w:lang w:val="en-US" w:eastAsia="zh-CN" w:bidi="ar"/>
                    </w:rPr>
                    <w:t>禁止入驻采用钠硼氢工艺生产泛昔洛韦中间体酰化物的项目；</w:t>
                  </w:r>
                </w:p>
                <w:p w14:paraId="4D8EDA25">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both"/>
                    <w:textAlignment w:val="auto"/>
                    <w:rPr>
                      <w:rFonts w:hint="default"/>
                      <w:szCs w:val="21"/>
                      <w:lang w:val="en-US"/>
                    </w:rPr>
                  </w:pPr>
                  <w:r>
                    <w:rPr>
                      <w:rFonts w:hint="default" w:ascii="Times New Roman" w:hAnsi="Times New Roman" w:eastAsia="宋体" w:cs="Times New Roman"/>
                      <w:kern w:val="2"/>
                      <w:sz w:val="21"/>
                      <w:szCs w:val="21"/>
                      <w:lang w:val="en-US" w:eastAsia="zh-CN" w:bidi="ar"/>
                    </w:rPr>
                    <w:t>④</w:t>
                  </w:r>
                  <w:r>
                    <w:rPr>
                      <w:rFonts w:hint="eastAsia" w:ascii="Times New Roman" w:hAnsi="Times New Roman" w:eastAsia="宋体" w:cs="宋体"/>
                      <w:kern w:val="2"/>
                      <w:sz w:val="21"/>
                      <w:szCs w:val="21"/>
                      <w:lang w:val="en-US" w:eastAsia="zh-CN" w:bidi="ar"/>
                    </w:rPr>
                    <w:t>禁止入驻采用甲醛氧化工艺生产氨基比林的项目；</w:t>
                  </w:r>
                </w:p>
                <w:p w14:paraId="339E55D8">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both"/>
                    <w:textAlignment w:val="auto"/>
                    <w:rPr>
                      <w:rFonts w:hint="default"/>
                      <w:szCs w:val="21"/>
                      <w:lang w:val="en-US"/>
                    </w:rPr>
                  </w:pPr>
                  <w:r>
                    <w:rPr>
                      <w:rFonts w:hint="default" w:ascii="Times New Roman" w:hAnsi="Times New Roman" w:eastAsia="宋体" w:cs="Times New Roman"/>
                      <w:kern w:val="2"/>
                      <w:sz w:val="21"/>
                      <w:szCs w:val="21"/>
                      <w:lang w:val="en-US" w:eastAsia="zh-CN" w:bidi="ar"/>
                    </w:rPr>
                    <w:t>⑤</w:t>
                  </w:r>
                  <w:r>
                    <w:rPr>
                      <w:rFonts w:hint="eastAsia" w:ascii="Times New Roman" w:hAnsi="Times New Roman" w:eastAsia="宋体" w:cs="宋体"/>
                      <w:kern w:val="2"/>
                      <w:sz w:val="21"/>
                      <w:szCs w:val="21"/>
                      <w:lang w:val="en-US" w:eastAsia="zh-CN" w:bidi="ar"/>
                    </w:rPr>
                    <w:t>禁止入驻采用丙炔醇法工艺生产磺胺嘧啶的项目；</w:t>
                  </w:r>
                </w:p>
                <w:p w14:paraId="5E07D665">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both"/>
                    <w:textAlignment w:val="auto"/>
                    <w:rPr>
                      <w:rFonts w:hint="default"/>
                      <w:szCs w:val="21"/>
                      <w:lang w:val="en-US"/>
                    </w:rPr>
                  </w:pPr>
                  <w:r>
                    <w:rPr>
                      <w:rFonts w:hint="default" w:ascii="Times New Roman" w:hAnsi="Times New Roman" w:eastAsia="宋体" w:cs="Times New Roman"/>
                      <w:kern w:val="2"/>
                      <w:sz w:val="21"/>
                      <w:szCs w:val="21"/>
                      <w:lang w:val="en-US" w:eastAsia="zh-CN" w:bidi="ar"/>
                    </w:rPr>
                    <w:t>⑥</w:t>
                  </w:r>
                  <w:r>
                    <w:rPr>
                      <w:rFonts w:hint="eastAsia" w:ascii="Times New Roman" w:hAnsi="Times New Roman" w:eastAsia="宋体" w:cs="宋体"/>
                      <w:kern w:val="2"/>
                      <w:sz w:val="21"/>
                      <w:szCs w:val="21"/>
                      <w:lang w:val="en-US" w:eastAsia="zh-CN" w:bidi="ar"/>
                    </w:rPr>
                    <w:t>禁止入驻采用传统工艺生产叶酸的项目；</w:t>
                  </w:r>
                </w:p>
                <w:p w14:paraId="7F66F480">
                  <w:pPr>
                    <w:pStyle w:val="21"/>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exact"/>
                    <w:ind w:left="0" w:right="0"/>
                    <w:jc w:val="both"/>
                    <w:textAlignment w:val="auto"/>
                    <w:rPr>
                      <w:rFonts w:hint="default" w:ascii="Times New Roman" w:hAnsi="Times New Roman" w:cs="Times New Roman"/>
                    </w:rPr>
                  </w:pPr>
                  <w:r>
                    <w:rPr>
                      <w:rFonts w:hint="default" w:ascii="Times New Roman" w:hAnsi="Times New Roman" w:eastAsia="Times New Roman" w:cs="Times New Roman"/>
                      <w:kern w:val="0"/>
                      <w:sz w:val="21"/>
                      <w:szCs w:val="21"/>
                      <w:lang w:val="en-US" w:eastAsia="zh-CN" w:bidi="ar"/>
                    </w:rPr>
                    <w:t>⑦禁止入驻采用溶剂法工艺生产中药橡胶膏剂的项目。</w:t>
                  </w:r>
                </w:p>
              </w:tc>
              <w:tc>
                <w:tcPr>
                  <w:tcW w:w="1634" w:type="pct"/>
                  <w:vMerge w:val="continue"/>
                  <w:tcBorders>
                    <w:top w:val="nil"/>
                    <w:left w:val="single" w:color="auto" w:sz="4" w:space="0"/>
                    <w:bottom w:val="single" w:color="auto" w:sz="4" w:space="0"/>
                    <w:right w:val="single" w:color="auto" w:sz="4" w:space="0"/>
                  </w:tcBorders>
                  <w:shd w:val="clear" w:color="auto" w:fill="auto"/>
                  <w:vAlign w:val="center"/>
                </w:tcPr>
                <w:p w14:paraId="0CA704FC">
                  <w:pPr>
                    <w:keepNext w:val="0"/>
                    <w:keepLines w:val="0"/>
                    <w:pageBreakBefore w:val="0"/>
                    <w:suppressLineNumbers w:val="0"/>
                    <w:kinsoku/>
                    <w:wordWrap/>
                    <w:overflowPunct/>
                    <w:topLinePunct w:val="0"/>
                    <w:bidi w:val="0"/>
                    <w:spacing w:before="0" w:beforeLines="0" w:beforeAutospacing="0" w:after="0" w:afterAutospacing="0" w:line="360" w:lineRule="exact"/>
                    <w:ind w:left="0" w:right="0"/>
                    <w:textAlignment w:val="auto"/>
                    <w:rPr>
                      <w:rFonts w:hint="default" w:ascii="Times New Roman" w:hAnsi="Times New Roman" w:cs="Times New Roman"/>
                      <w:sz w:val="20"/>
                      <w:szCs w:val="20"/>
                    </w:rPr>
                  </w:pPr>
                </w:p>
              </w:tc>
              <w:tc>
                <w:tcPr>
                  <w:tcW w:w="509" w:type="pct"/>
                  <w:vMerge w:val="continue"/>
                  <w:tcBorders>
                    <w:top w:val="nil"/>
                    <w:left w:val="single" w:color="auto" w:sz="4" w:space="0"/>
                    <w:bottom w:val="single" w:color="auto" w:sz="4" w:space="0"/>
                    <w:right w:val="nil"/>
                  </w:tcBorders>
                  <w:shd w:val="clear" w:color="auto" w:fill="auto"/>
                  <w:vAlign w:val="center"/>
                </w:tcPr>
                <w:p w14:paraId="62CD1E8F">
                  <w:pPr>
                    <w:keepNext w:val="0"/>
                    <w:keepLines w:val="0"/>
                    <w:pageBreakBefore w:val="0"/>
                    <w:suppressLineNumbers w:val="0"/>
                    <w:kinsoku/>
                    <w:wordWrap/>
                    <w:overflowPunct/>
                    <w:topLinePunct w:val="0"/>
                    <w:bidi w:val="0"/>
                    <w:spacing w:before="0" w:beforeLines="0" w:beforeAutospacing="0" w:after="0" w:afterAutospacing="0" w:line="360" w:lineRule="exact"/>
                    <w:ind w:left="0" w:right="0"/>
                    <w:textAlignment w:val="auto"/>
                    <w:rPr>
                      <w:rFonts w:hint="default" w:ascii="Times New Roman" w:hAnsi="Times New Roman" w:cs="Times New Roman"/>
                      <w:sz w:val="20"/>
                      <w:szCs w:val="20"/>
                    </w:rPr>
                  </w:pPr>
                </w:p>
              </w:tc>
            </w:tr>
            <w:tr w14:paraId="5466A3B7">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2147" w:hRule="atLeast"/>
              </w:trPr>
              <w:tc>
                <w:tcPr>
                  <w:tcW w:w="451" w:type="pct"/>
                  <w:tcBorders>
                    <w:top w:val="nil"/>
                    <w:left w:val="nil"/>
                    <w:bottom w:val="single" w:color="auto" w:sz="4" w:space="0"/>
                    <w:right w:val="single" w:color="auto" w:sz="4" w:space="0"/>
                  </w:tcBorders>
                  <w:shd w:val="clear" w:color="auto" w:fill="auto"/>
                  <w:vAlign w:val="center"/>
                </w:tcPr>
                <w:p w14:paraId="7610336E">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eastAsia" w:ascii="宋体" w:hAnsi="宋体" w:eastAsia="宋体" w:cs="宋体"/>
                      <w:kern w:val="0"/>
                      <w:szCs w:val="21"/>
                      <w:lang w:val="en-US"/>
                    </w:rPr>
                  </w:pPr>
                  <w:r>
                    <w:rPr>
                      <w:rFonts w:hint="eastAsia" w:ascii="宋体" w:hAnsi="宋体" w:eastAsia="宋体" w:cs="宋体"/>
                      <w:kern w:val="0"/>
                      <w:sz w:val="21"/>
                      <w:szCs w:val="24"/>
                      <w:lang w:val="en-US" w:eastAsia="zh-CN" w:bidi="ar"/>
                    </w:rPr>
                    <w:t>食品行业</w:t>
                  </w:r>
                </w:p>
              </w:tc>
              <w:tc>
                <w:tcPr>
                  <w:tcW w:w="2404" w:type="pct"/>
                  <w:tcBorders>
                    <w:top w:val="single" w:color="auto" w:sz="4" w:space="0"/>
                    <w:left w:val="single" w:color="auto" w:sz="4" w:space="0"/>
                    <w:bottom w:val="single" w:color="auto" w:sz="4" w:space="0"/>
                    <w:right w:val="single" w:color="auto" w:sz="4" w:space="0"/>
                  </w:tcBorders>
                  <w:shd w:val="clear" w:color="auto" w:fill="auto"/>
                  <w:vAlign w:val="center"/>
                </w:tcPr>
                <w:p w14:paraId="4D293957">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both"/>
                    <w:textAlignment w:val="auto"/>
                    <w:rPr>
                      <w:rFonts w:hint="default"/>
                      <w:szCs w:val="21"/>
                      <w:lang w:val="en-US"/>
                    </w:rPr>
                  </w:pPr>
                  <w:r>
                    <w:rPr>
                      <w:rFonts w:hint="eastAsia" w:ascii="Times New Roman" w:hAnsi="Times New Roman" w:eastAsia="宋体" w:cs="宋体"/>
                      <w:kern w:val="2"/>
                      <w:sz w:val="21"/>
                      <w:szCs w:val="21"/>
                      <w:lang w:val="en-US" w:eastAsia="zh-CN" w:bidi="ar"/>
                    </w:rPr>
                    <w:t>禁止入驻采用重污染工艺的食品类项目：</w:t>
                  </w:r>
                </w:p>
                <w:p w14:paraId="66CDAE1C">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both"/>
                    <w:textAlignment w:val="auto"/>
                    <w:rPr>
                      <w:rFonts w:hint="default"/>
                      <w:szCs w:val="21"/>
                      <w:lang w:val="en-US"/>
                    </w:rPr>
                  </w:pPr>
                  <w:r>
                    <w:rPr>
                      <w:rFonts w:hint="default" w:ascii="Times New Roman" w:hAnsi="Times New Roman" w:eastAsia="宋体" w:cs="Times New Roman"/>
                      <w:kern w:val="2"/>
                      <w:sz w:val="21"/>
                      <w:szCs w:val="21"/>
                      <w:lang w:val="en-US" w:eastAsia="zh-CN" w:bidi="ar"/>
                    </w:rPr>
                    <w:t>①</w:t>
                  </w:r>
                  <w:r>
                    <w:rPr>
                      <w:rFonts w:hint="eastAsia" w:ascii="Times New Roman" w:hAnsi="Times New Roman" w:eastAsia="宋体" w:cs="宋体"/>
                      <w:kern w:val="2"/>
                      <w:sz w:val="21"/>
                      <w:szCs w:val="21"/>
                      <w:lang w:val="en-US" w:eastAsia="zh-CN" w:bidi="ar"/>
                    </w:rPr>
                    <w:t>禁止入驻采用毛发水解法工艺生产小品种氨基酸的项目；</w:t>
                  </w:r>
                </w:p>
                <w:p w14:paraId="65016C2A">
                  <w:pPr>
                    <w:pStyle w:val="21"/>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exact"/>
                    <w:ind w:left="0" w:right="0"/>
                    <w:jc w:val="both"/>
                    <w:textAlignment w:val="auto"/>
                    <w:rPr>
                      <w:rFonts w:hint="default" w:ascii="Times New Roman" w:hAnsi="Times New Roman" w:cs="Times New Roman"/>
                    </w:rPr>
                  </w:pPr>
                  <w:r>
                    <w:rPr>
                      <w:rFonts w:hint="default" w:ascii="Times New Roman" w:hAnsi="Times New Roman" w:eastAsia="Times New Roman" w:cs="Times New Roman"/>
                      <w:kern w:val="0"/>
                      <w:sz w:val="21"/>
                      <w:szCs w:val="21"/>
                      <w:lang w:val="en-US" w:eastAsia="zh-CN" w:bidi="ar"/>
                    </w:rPr>
                    <w:t>②禁止入驻采用一次浓缩结晶工艺生产衣康酸的项目。</w:t>
                  </w:r>
                </w:p>
              </w:tc>
              <w:tc>
                <w:tcPr>
                  <w:tcW w:w="1634" w:type="pct"/>
                  <w:tcBorders>
                    <w:top w:val="nil"/>
                    <w:left w:val="single" w:color="auto" w:sz="4" w:space="0"/>
                    <w:bottom w:val="single" w:color="auto" w:sz="4" w:space="0"/>
                    <w:right w:val="single" w:color="auto" w:sz="4" w:space="0"/>
                  </w:tcBorders>
                  <w:shd w:val="clear" w:color="auto" w:fill="auto"/>
                  <w:vAlign w:val="center"/>
                </w:tcPr>
                <w:p w14:paraId="0D978784">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default"/>
                      <w:kern w:val="0"/>
                      <w:szCs w:val="21"/>
                      <w:lang w:val="en-US"/>
                    </w:rPr>
                  </w:pPr>
                  <w:r>
                    <w:rPr>
                      <w:rFonts w:hint="eastAsia" w:ascii="宋体" w:hAnsi="宋体" w:eastAsia="宋体" w:cs="宋体"/>
                      <w:kern w:val="0"/>
                      <w:sz w:val="21"/>
                      <w:szCs w:val="24"/>
                      <w:lang w:val="en-US" w:eastAsia="zh-CN" w:bidi="ar"/>
                    </w:rPr>
                    <w:t>项目</w:t>
                  </w:r>
                  <w:r>
                    <w:rPr>
                      <w:rFonts w:hint="eastAsia" w:ascii="宋体" w:hAnsi="宋体" w:eastAsia="宋体" w:cs="宋体"/>
                      <w:bCs/>
                      <w:kern w:val="0"/>
                      <w:sz w:val="21"/>
                      <w:szCs w:val="24"/>
                      <w:lang w:val="en-US" w:eastAsia="zh-CN" w:bidi="ar"/>
                    </w:rPr>
                    <w:t>不属于食品行业。</w:t>
                  </w:r>
                </w:p>
              </w:tc>
              <w:tc>
                <w:tcPr>
                  <w:tcW w:w="509" w:type="pct"/>
                  <w:tcBorders>
                    <w:top w:val="nil"/>
                    <w:left w:val="single" w:color="auto" w:sz="4" w:space="0"/>
                    <w:bottom w:val="single" w:color="auto" w:sz="4" w:space="0"/>
                    <w:right w:val="nil"/>
                  </w:tcBorders>
                  <w:shd w:val="clear" w:color="auto" w:fill="auto"/>
                  <w:vAlign w:val="center"/>
                </w:tcPr>
                <w:p w14:paraId="51121304">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eastAsia" w:ascii="宋体" w:hAnsi="宋体" w:eastAsia="宋体" w:cs="宋体"/>
                      <w:kern w:val="0"/>
                      <w:szCs w:val="21"/>
                      <w:lang w:val="en-US"/>
                    </w:rPr>
                  </w:pPr>
                  <w:r>
                    <w:rPr>
                      <w:rFonts w:hint="eastAsia" w:ascii="宋体" w:hAnsi="宋体" w:eastAsia="宋体" w:cs="宋体"/>
                      <w:kern w:val="0"/>
                      <w:sz w:val="21"/>
                      <w:szCs w:val="24"/>
                      <w:lang w:val="en-US" w:eastAsia="zh-CN" w:bidi="ar"/>
                    </w:rPr>
                    <w:t>/</w:t>
                  </w:r>
                </w:p>
              </w:tc>
            </w:tr>
            <w:tr w14:paraId="6BAA06B1">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451" w:type="pct"/>
                  <w:vMerge w:val="restart"/>
                  <w:tcBorders>
                    <w:top w:val="nil"/>
                    <w:left w:val="nil"/>
                    <w:bottom w:val="single" w:color="auto" w:sz="4" w:space="0"/>
                    <w:right w:val="single" w:color="auto" w:sz="4" w:space="0"/>
                  </w:tcBorders>
                  <w:shd w:val="clear" w:color="auto" w:fill="auto"/>
                  <w:vAlign w:val="center"/>
                </w:tcPr>
                <w:p w14:paraId="1F2792E6">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eastAsia" w:ascii="宋体" w:hAnsi="宋体" w:eastAsia="宋体" w:cs="宋体"/>
                      <w:kern w:val="0"/>
                      <w:szCs w:val="21"/>
                      <w:lang w:val="en-US"/>
                    </w:rPr>
                  </w:pPr>
                  <w:r>
                    <w:rPr>
                      <w:rFonts w:hint="eastAsia" w:ascii="宋体" w:hAnsi="宋体" w:eastAsia="宋体" w:cs="宋体"/>
                      <w:kern w:val="0"/>
                      <w:sz w:val="21"/>
                      <w:szCs w:val="24"/>
                      <w:lang w:val="en-US" w:eastAsia="zh-CN" w:bidi="ar"/>
                    </w:rPr>
                    <w:t>加工制造</w:t>
                  </w:r>
                </w:p>
              </w:tc>
              <w:tc>
                <w:tcPr>
                  <w:tcW w:w="2404" w:type="pct"/>
                  <w:tcBorders>
                    <w:top w:val="single" w:color="auto" w:sz="4" w:space="0"/>
                    <w:left w:val="single" w:color="auto" w:sz="4" w:space="0"/>
                    <w:bottom w:val="single" w:color="auto" w:sz="4" w:space="0"/>
                    <w:right w:val="single" w:color="auto" w:sz="4" w:space="0"/>
                  </w:tcBorders>
                  <w:shd w:val="clear" w:color="auto" w:fill="auto"/>
                  <w:vAlign w:val="center"/>
                </w:tcPr>
                <w:p w14:paraId="3F15076F">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exact"/>
                    <w:ind w:left="0" w:right="0"/>
                    <w:jc w:val="center"/>
                    <w:textAlignment w:val="auto"/>
                    <w:rPr>
                      <w:rFonts w:hint="eastAsia" w:ascii="宋体" w:hAnsi="宋体" w:eastAsia="宋体" w:cs="宋体"/>
                      <w:szCs w:val="21"/>
                      <w:lang w:val="en-US"/>
                    </w:rPr>
                  </w:pPr>
                  <w:r>
                    <w:rPr>
                      <w:rFonts w:hint="eastAsia" w:ascii="宋体" w:hAnsi="宋体" w:eastAsia="宋体" w:cs="宋体"/>
                      <w:kern w:val="2"/>
                      <w:sz w:val="21"/>
                      <w:szCs w:val="24"/>
                      <w:lang w:val="en-US" w:eastAsia="zh-CN" w:bidi="ar"/>
                    </w:rPr>
                    <w:t>禁止入驻钢铁、铁合金等行业。已经入驻的应禁止其生产规模继续扩大。</w:t>
                  </w:r>
                </w:p>
              </w:tc>
              <w:tc>
                <w:tcPr>
                  <w:tcW w:w="1634" w:type="pct"/>
                  <w:vMerge w:val="restart"/>
                  <w:tcBorders>
                    <w:top w:val="nil"/>
                    <w:left w:val="single" w:color="auto" w:sz="4" w:space="0"/>
                    <w:bottom w:val="single" w:color="auto" w:sz="4" w:space="0"/>
                    <w:right w:val="single" w:color="auto" w:sz="4" w:space="0"/>
                  </w:tcBorders>
                  <w:shd w:val="clear" w:color="auto" w:fill="auto"/>
                  <w:vAlign w:val="center"/>
                </w:tcPr>
                <w:p w14:paraId="36902222">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eastAsia" w:ascii="宋体" w:hAnsi="宋体" w:eastAsia="宋体" w:cs="宋体"/>
                      <w:kern w:val="0"/>
                      <w:szCs w:val="21"/>
                      <w:lang w:val="en-US"/>
                    </w:rPr>
                  </w:pPr>
                  <w:r>
                    <w:rPr>
                      <w:rFonts w:hint="eastAsia" w:ascii="宋体" w:hAnsi="宋体" w:eastAsia="宋体" w:cs="宋体"/>
                      <w:kern w:val="0"/>
                      <w:sz w:val="21"/>
                      <w:szCs w:val="24"/>
                      <w:lang w:val="en-US" w:eastAsia="zh-CN" w:bidi="ar"/>
                    </w:rPr>
                    <w:t>项目不属于加工制造中禁止行业。</w:t>
                  </w:r>
                </w:p>
              </w:tc>
              <w:tc>
                <w:tcPr>
                  <w:tcW w:w="509" w:type="pct"/>
                  <w:vMerge w:val="restart"/>
                  <w:tcBorders>
                    <w:top w:val="nil"/>
                    <w:left w:val="single" w:color="auto" w:sz="4" w:space="0"/>
                    <w:bottom w:val="single" w:color="auto" w:sz="4" w:space="0"/>
                    <w:right w:val="nil"/>
                  </w:tcBorders>
                  <w:shd w:val="clear" w:color="auto" w:fill="auto"/>
                  <w:vAlign w:val="center"/>
                </w:tcPr>
                <w:p w14:paraId="1615A1D9">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default"/>
                      <w:kern w:val="0"/>
                      <w:szCs w:val="21"/>
                      <w:lang w:val="en-US"/>
                    </w:rPr>
                  </w:pPr>
                  <w:r>
                    <w:rPr>
                      <w:rFonts w:hint="eastAsia" w:ascii="宋体" w:hAnsi="宋体" w:eastAsia="宋体" w:cs="宋体"/>
                      <w:kern w:val="0"/>
                      <w:sz w:val="21"/>
                      <w:szCs w:val="24"/>
                      <w:lang w:val="en-US" w:eastAsia="zh-CN" w:bidi="ar"/>
                    </w:rPr>
                    <w:t>相符</w:t>
                  </w:r>
                </w:p>
              </w:tc>
            </w:tr>
            <w:tr w14:paraId="6E8CFB93">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657" w:hRule="atLeast"/>
              </w:trPr>
              <w:tc>
                <w:tcPr>
                  <w:tcW w:w="451" w:type="pct"/>
                  <w:vMerge w:val="continue"/>
                  <w:tcBorders>
                    <w:top w:val="nil"/>
                    <w:left w:val="nil"/>
                    <w:bottom w:val="single" w:color="auto" w:sz="4" w:space="0"/>
                    <w:right w:val="single" w:color="auto" w:sz="4" w:space="0"/>
                  </w:tcBorders>
                  <w:shd w:val="clear" w:color="auto" w:fill="auto"/>
                  <w:vAlign w:val="center"/>
                </w:tcPr>
                <w:p w14:paraId="473EA13A">
                  <w:pPr>
                    <w:keepNext w:val="0"/>
                    <w:keepLines w:val="0"/>
                    <w:pageBreakBefore w:val="0"/>
                    <w:suppressLineNumbers w:val="0"/>
                    <w:kinsoku/>
                    <w:wordWrap/>
                    <w:overflowPunct/>
                    <w:topLinePunct w:val="0"/>
                    <w:bidi w:val="0"/>
                    <w:spacing w:before="0" w:beforeLines="0" w:beforeAutospacing="0" w:after="0" w:afterAutospacing="0" w:line="360" w:lineRule="exact"/>
                    <w:ind w:left="0" w:right="0"/>
                    <w:textAlignment w:val="auto"/>
                    <w:rPr>
                      <w:rFonts w:hint="default" w:ascii="Times New Roman" w:hAnsi="Times New Roman" w:cs="Times New Roman"/>
                      <w:sz w:val="20"/>
                      <w:szCs w:val="20"/>
                    </w:rPr>
                  </w:pPr>
                </w:p>
              </w:tc>
              <w:tc>
                <w:tcPr>
                  <w:tcW w:w="2404" w:type="pct"/>
                  <w:tcBorders>
                    <w:top w:val="single" w:color="auto" w:sz="4" w:space="0"/>
                    <w:left w:val="single" w:color="auto" w:sz="4" w:space="0"/>
                    <w:bottom w:val="single" w:color="auto" w:sz="4" w:space="0"/>
                    <w:right w:val="single" w:color="auto" w:sz="4" w:space="0"/>
                  </w:tcBorders>
                  <w:shd w:val="clear" w:color="auto" w:fill="auto"/>
                  <w:vAlign w:val="center"/>
                </w:tcPr>
                <w:p w14:paraId="3D046779">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exact"/>
                    <w:ind w:left="0" w:right="0"/>
                    <w:jc w:val="center"/>
                    <w:textAlignment w:val="auto"/>
                    <w:rPr>
                      <w:rFonts w:hint="eastAsia" w:ascii="宋体" w:hAnsi="宋体" w:eastAsia="宋体" w:cs="宋体"/>
                      <w:szCs w:val="21"/>
                      <w:lang w:val="en-US"/>
                    </w:rPr>
                  </w:pPr>
                  <w:r>
                    <w:rPr>
                      <w:rFonts w:hint="eastAsia" w:ascii="宋体" w:hAnsi="宋体" w:eastAsia="宋体" w:cs="宋体"/>
                      <w:kern w:val="2"/>
                      <w:sz w:val="21"/>
                      <w:szCs w:val="24"/>
                      <w:lang w:val="en-US" w:eastAsia="zh-CN" w:bidi="ar"/>
                    </w:rPr>
                    <w:t>禁止入驻未达到</w:t>
                  </w:r>
                  <w:r>
                    <w:rPr>
                      <w:rFonts w:hint="default" w:ascii="Times New Roman" w:hAnsi="Times New Roman" w:eastAsia="宋体" w:cs="Times New Roman"/>
                      <w:snapToGrid w:val="0"/>
                      <w:kern w:val="2"/>
                      <w:sz w:val="21"/>
                      <w:szCs w:val="24"/>
                      <w:lang w:val="en-US" w:eastAsia="zh-CN" w:bidi="ar"/>
                    </w:rPr>
                    <w:t xml:space="preserve"> </w:t>
                  </w:r>
                  <w:r>
                    <w:rPr>
                      <w:rFonts w:hint="eastAsia" w:ascii="宋体" w:hAnsi="宋体" w:eastAsia="宋体" w:cs="宋体"/>
                      <w:kern w:val="2"/>
                      <w:sz w:val="21"/>
                      <w:szCs w:val="24"/>
                      <w:lang w:val="en-US" w:eastAsia="zh-CN" w:bidi="ar"/>
                    </w:rPr>
                    <w:t>《电镀行业清洁生产评价指标体系》（国家发改委、环保部、工信部公告</w:t>
                  </w:r>
                  <w:r>
                    <w:rPr>
                      <w:rFonts w:hint="default" w:ascii="Times New Roman" w:hAnsi="Times New Roman" w:eastAsia="宋体" w:cs="Times New Roman"/>
                      <w:kern w:val="2"/>
                      <w:sz w:val="21"/>
                      <w:szCs w:val="24"/>
                      <w:lang w:val="en-US" w:eastAsia="zh-CN" w:bidi="ar"/>
                    </w:rPr>
                    <w:t xml:space="preserve"> 2015</w:t>
                  </w:r>
                  <w:r>
                    <w:rPr>
                      <w:rFonts w:hint="eastAsia" w:ascii="宋体" w:hAnsi="宋体" w:eastAsia="宋体" w:cs="宋体"/>
                      <w:kern w:val="2"/>
                      <w:sz w:val="21"/>
                      <w:szCs w:val="24"/>
                      <w:lang w:val="en-US" w:eastAsia="zh-CN" w:bidi="ar"/>
                    </w:rPr>
                    <w:t>年第</w:t>
                  </w:r>
                  <w:r>
                    <w:rPr>
                      <w:rFonts w:hint="default" w:ascii="Times New Roman" w:hAnsi="Times New Roman" w:eastAsia="宋体" w:cs="Times New Roman"/>
                      <w:kern w:val="2"/>
                      <w:sz w:val="21"/>
                      <w:szCs w:val="24"/>
                      <w:lang w:val="en-US" w:eastAsia="zh-CN" w:bidi="ar"/>
                    </w:rPr>
                    <w:t>25</w:t>
                  </w:r>
                  <w:r>
                    <w:rPr>
                      <w:rFonts w:hint="eastAsia" w:ascii="宋体" w:hAnsi="宋体" w:eastAsia="宋体" w:cs="宋体"/>
                      <w:kern w:val="2"/>
                      <w:sz w:val="21"/>
                      <w:szCs w:val="24"/>
                      <w:lang w:val="en-US" w:eastAsia="zh-CN" w:bidi="ar"/>
                    </w:rPr>
                    <w:t>号）综合评价指数Ⅰ级要求的新建、扩建的电镀项目。</w:t>
                  </w:r>
                </w:p>
              </w:tc>
              <w:tc>
                <w:tcPr>
                  <w:tcW w:w="1634" w:type="pct"/>
                  <w:vMerge w:val="continue"/>
                  <w:tcBorders>
                    <w:top w:val="nil"/>
                    <w:left w:val="single" w:color="auto" w:sz="4" w:space="0"/>
                    <w:bottom w:val="single" w:color="auto" w:sz="4" w:space="0"/>
                    <w:right w:val="single" w:color="auto" w:sz="4" w:space="0"/>
                  </w:tcBorders>
                  <w:shd w:val="clear" w:color="auto" w:fill="auto"/>
                  <w:vAlign w:val="center"/>
                </w:tcPr>
                <w:p w14:paraId="26C983F2">
                  <w:pPr>
                    <w:keepNext w:val="0"/>
                    <w:keepLines w:val="0"/>
                    <w:pageBreakBefore w:val="0"/>
                    <w:suppressLineNumbers w:val="0"/>
                    <w:kinsoku/>
                    <w:wordWrap/>
                    <w:overflowPunct/>
                    <w:topLinePunct w:val="0"/>
                    <w:bidi w:val="0"/>
                    <w:spacing w:before="0" w:beforeLines="0" w:beforeAutospacing="0" w:after="0" w:afterAutospacing="0" w:line="360" w:lineRule="exact"/>
                    <w:ind w:left="0" w:right="0"/>
                    <w:textAlignment w:val="auto"/>
                    <w:rPr>
                      <w:rFonts w:hint="default" w:ascii="Times New Roman" w:hAnsi="Times New Roman" w:cs="Times New Roman"/>
                      <w:sz w:val="20"/>
                      <w:szCs w:val="20"/>
                    </w:rPr>
                  </w:pPr>
                </w:p>
              </w:tc>
              <w:tc>
                <w:tcPr>
                  <w:tcW w:w="509" w:type="pct"/>
                  <w:vMerge w:val="continue"/>
                  <w:tcBorders>
                    <w:top w:val="nil"/>
                    <w:left w:val="single" w:color="auto" w:sz="4" w:space="0"/>
                    <w:bottom w:val="single" w:color="auto" w:sz="4" w:space="0"/>
                    <w:right w:val="nil"/>
                  </w:tcBorders>
                  <w:shd w:val="clear" w:color="auto" w:fill="auto"/>
                  <w:vAlign w:val="center"/>
                </w:tcPr>
                <w:p w14:paraId="2CAE0E61">
                  <w:pPr>
                    <w:keepNext w:val="0"/>
                    <w:keepLines w:val="0"/>
                    <w:pageBreakBefore w:val="0"/>
                    <w:suppressLineNumbers w:val="0"/>
                    <w:kinsoku/>
                    <w:wordWrap/>
                    <w:overflowPunct/>
                    <w:topLinePunct w:val="0"/>
                    <w:bidi w:val="0"/>
                    <w:spacing w:before="0" w:beforeLines="0" w:beforeAutospacing="0" w:after="0" w:afterAutospacing="0" w:line="360" w:lineRule="exact"/>
                    <w:ind w:left="0" w:right="0"/>
                    <w:textAlignment w:val="auto"/>
                    <w:rPr>
                      <w:rFonts w:hint="default" w:ascii="Times New Roman" w:hAnsi="Times New Roman" w:cs="Times New Roman"/>
                      <w:sz w:val="20"/>
                      <w:szCs w:val="20"/>
                    </w:rPr>
                  </w:pPr>
                </w:p>
              </w:tc>
            </w:tr>
            <w:tr w14:paraId="5239D321">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1265" w:hRule="atLeast"/>
              </w:trPr>
              <w:tc>
                <w:tcPr>
                  <w:tcW w:w="451" w:type="pct"/>
                  <w:vMerge w:val="continue"/>
                  <w:tcBorders>
                    <w:top w:val="nil"/>
                    <w:left w:val="nil"/>
                    <w:bottom w:val="single" w:color="auto" w:sz="4" w:space="0"/>
                    <w:right w:val="single" w:color="auto" w:sz="4" w:space="0"/>
                  </w:tcBorders>
                  <w:shd w:val="clear" w:color="auto" w:fill="auto"/>
                  <w:vAlign w:val="center"/>
                </w:tcPr>
                <w:p w14:paraId="2541FE92">
                  <w:pPr>
                    <w:keepNext w:val="0"/>
                    <w:keepLines w:val="0"/>
                    <w:pageBreakBefore w:val="0"/>
                    <w:suppressLineNumbers w:val="0"/>
                    <w:kinsoku/>
                    <w:wordWrap/>
                    <w:overflowPunct/>
                    <w:topLinePunct w:val="0"/>
                    <w:bidi w:val="0"/>
                    <w:spacing w:before="0" w:beforeLines="0" w:beforeAutospacing="0" w:after="0" w:afterAutospacing="0" w:line="360" w:lineRule="exact"/>
                    <w:ind w:left="0" w:right="0"/>
                    <w:textAlignment w:val="auto"/>
                    <w:rPr>
                      <w:rFonts w:hint="default" w:ascii="Times New Roman" w:hAnsi="Times New Roman" w:cs="Times New Roman"/>
                      <w:sz w:val="20"/>
                      <w:szCs w:val="20"/>
                    </w:rPr>
                  </w:pPr>
                </w:p>
              </w:tc>
              <w:tc>
                <w:tcPr>
                  <w:tcW w:w="2404" w:type="pct"/>
                  <w:tcBorders>
                    <w:top w:val="single" w:color="auto" w:sz="4" w:space="0"/>
                    <w:left w:val="single" w:color="auto" w:sz="4" w:space="0"/>
                    <w:bottom w:val="single" w:color="auto" w:sz="4" w:space="0"/>
                    <w:right w:val="single" w:color="auto" w:sz="4" w:space="0"/>
                  </w:tcBorders>
                  <w:shd w:val="clear" w:color="auto" w:fill="auto"/>
                  <w:vAlign w:val="center"/>
                </w:tcPr>
                <w:p w14:paraId="4A3DAE3C">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exact"/>
                    <w:ind w:left="0" w:right="0"/>
                    <w:jc w:val="center"/>
                    <w:textAlignment w:val="auto"/>
                    <w:rPr>
                      <w:rFonts w:hint="eastAsia" w:ascii="宋体" w:hAnsi="宋体" w:eastAsia="宋体" w:cs="宋体"/>
                      <w:szCs w:val="21"/>
                      <w:lang w:val="en-US"/>
                    </w:rPr>
                  </w:pPr>
                  <w:r>
                    <w:rPr>
                      <w:rFonts w:hint="eastAsia" w:ascii="宋体" w:hAnsi="宋体" w:eastAsia="宋体" w:cs="宋体"/>
                      <w:kern w:val="2"/>
                      <w:sz w:val="21"/>
                      <w:szCs w:val="24"/>
                      <w:lang w:val="en-US" w:eastAsia="zh-CN" w:bidi="ar"/>
                    </w:rPr>
                    <w:t>禁止入驻含重点控制重金属铬、镍、铅、镉的电镀废水没有全部回用的含电镀工段的项目。</w:t>
                  </w:r>
                </w:p>
              </w:tc>
              <w:tc>
                <w:tcPr>
                  <w:tcW w:w="1634" w:type="pct"/>
                  <w:vMerge w:val="continue"/>
                  <w:tcBorders>
                    <w:top w:val="nil"/>
                    <w:left w:val="single" w:color="auto" w:sz="4" w:space="0"/>
                    <w:bottom w:val="single" w:color="auto" w:sz="4" w:space="0"/>
                    <w:right w:val="single" w:color="auto" w:sz="4" w:space="0"/>
                  </w:tcBorders>
                  <w:shd w:val="clear" w:color="auto" w:fill="auto"/>
                  <w:vAlign w:val="center"/>
                </w:tcPr>
                <w:p w14:paraId="6A812284">
                  <w:pPr>
                    <w:keepNext w:val="0"/>
                    <w:keepLines w:val="0"/>
                    <w:pageBreakBefore w:val="0"/>
                    <w:suppressLineNumbers w:val="0"/>
                    <w:kinsoku/>
                    <w:wordWrap/>
                    <w:overflowPunct/>
                    <w:topLinePunct w:val="0"/>
                    <w:bidi w:val="0"/>
                    <w:spacing w:before="0" w:beforeLines="0" w:beforeAutospacing="0" w:after="0" w:afterAutospacing="0" w:line="360" w:lineRule="exact"/>
                    <w:ind w:left="0" w:right="0"/>
                    <w:textAlignment w:val="auto"/>
                    <w:rPr>
                      <w:rFonts w:hint="default" w:ascii="Times New Roman" w:hAnsi="Times New Roman" w:cs="Times New Roman"/>
                      <w:sz w:val="20"/>
                      <w:szCs w:val="20"/>
                    </w:rPr>
                  </w:pPr>
                </w:p>
              </w:tc>
              <w:tc>
                <w:tcPr>
                  <w:tcW w:w="509" w:type="pct"/>
                  <w:vMerge w:val="continue"/>
                  <w:tcBorders>
                    <w:top w:val="nil"/>
                    <w:left w:val="single" w:color="auto" w:sz="4" w:space="0"/>
                    <w:bottom w:val="single" w:color="auto" w:sz="4" w:space="0"/>
                    <w:right w:val="nil"/>
                  </w:tcBorders>
                  <w:shd w:val="clear" w:color="auto" w:fill="auto"/>
                  <w:vAlign w:val="center"/>
                </w:tcPr>
                <w:p w14:paraId="0CE0946A">
                  <w:pPr>
                    <w:keepNext w:val="0"/>
                    <w:keepLines w:val="0"/>
                    <w:pageBreakBefore w:val="0"/>
                    <w:suppressLineNumbers w:val="0"/>
                    <w:kinsoku/>
                    <w:wordWrap/>
                    <w:overflowPunct/>
                    <w:topLinePunct w:val="0"/>
                    <w:bidi w:val="0"/>
                    <w:spacing w:before="0" w:beforeLines="0" w:beforeAutospacing="0" w:after="0" w:afterAutospacing="0" w:line="360" w:lineRule="exact"/>
                    <w:ind w:left="0" w:right="0"/>
                    <w:textAlignment w:val="auto"/>
                    <w:rPr>
                      <w:rFonts w:hint="default" w:ascii="Times New Roman" w:hAnsi="Times New Roman" w:cs="Times New Roman"/>
                      <w:sz w:val="20"/>
                      <w:szCs w:val="20"/>
                    </w:rPr>
                  </w:pPr>
                </w:p>
              </w:tc>
            </w:tr>
            <w:tr w14:paraId="7CC9AB06">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0" w:hRule="atLeast"/>
              </w:trPr>
              <w:tc>
                <w:tcPr>
                  <w:tcW w:w="451" w:type="pct"/>
                  <w:tcBorders>
                    <w:top w:val="single" w:color="auto" w:sz="4" w:space="0"/>
                    <w:left w:val="nil"/>
                    <w:bottom w:val="single" w:color="auto" w:sz="4" w:space="0"/>
                    <w:right w:val="single" w:color="auto" w:sz="4" w:space="0"/>
                  </w:tcBorders>
                  <w:shd w:val="clear" w:color="auto" w:fill="auto"/>
                  <w:vAlign w:val="center"/>
                </w:tcPr>
                <w:p w14:paraId="6E6F8853">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eastAsia" w:ascii="宋体" w:hAnsi="宋体" w:eastAsia="宋体" w:cs="宋体"/>
                      <w:kern w:val="0"/>
                      <w:szCs w:val="21"/>
                      <w:lang w:val="en-US"/>
                    </w:rPr>
                  </w:pPr>
                  <w:r>
                    <w:rPr>
                      <w:rFonts w:hint="eastAsia" w:ascii="宋体" w:hAnsi="宋体" w:eastAsia="宋体" w:cs="宋体"/>
                      <w:kern w:val="0"/>
                      <w:sz w:val="21"/>
                      <w:szCs w:val="24"/>
                      <w:lang w:val="en-US" w:eastAsia="zh-CN" w:bidi="ar"/>
                    </w:rPr>
                    <w:t>其他</w:t>
                  </w:r>
                </w:p>
              </w:tc>
              <w:tc>
                <w:tcPr>
                  <w:tcW w:w="2404" w:type="pct"/>
                  <w:tcBorders>
                    <w:top w:val="single" w:color="auto" w:sz="4" w:space="0"/>
                    <w:left w:val="single" w:color="auto" w:sz="4" w:space="0"/>
                    <w:bottom w:val="single" w:color="auto" w:sz="4" w:space="0"/>
                    <w:right w:val="single" w:color="auto" w:sz="4" w:space="0"/>
                  </w:tcBorders>
                  <w:shd w:val="clear" w:color="auto" w:fill="auto"/>
                  <w:vAlign w:val="center"/>
                </w:tcPr>
                <w:p w14:paraId="6E3E90E6">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exact"/>
                    <w:ind w:left="0" w:right="0"/>
                    <w:jc w:val="both"/>
                    <w:textAlignment w:val="auto"/>
                    <w:rPr>
                      <w:rFonts w:hint="default"/>
                      <w:szCs w:val="21"/>
                      <w:lang w:val="en-US"/>
                    </w:rPr>
                  </w:pPr>
                  <w:r>
                    <w:rPr>
                      <w:rFonts w:hint="eastAsia" w:ascii="宋体" w:hAnsi="宋体" w:eastAsia="宋体" w:cs="宋体"/>
                      <w:kern w:val="2"/>
                      <w:sz w:val="21"/>
                      <w:szCs w:val="24"/>
                      <w:lang w:val="en-US" w:eastAsia="zh-CN" w:bidi="ar"/>
                    </w:rPr>
                    <w:t>在产业集聚区内涉及南水北调二级保护范围的区域，划定为南水北调二级保护范围限制建设区，要求在该区域内：</w:t>
                  </w:r>
                </w:p>
                <w:p w14:paraId="60409AF3">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exact"/>
                    <w:ind w:left="0" w:right="0"/>
                    <w:jc w:val="both"/>
                    <w:textAlignment w:val="auto"/>
                    <w:rPr>
                      <w:rFonts w:hint="default"/>
                      <w:szCs w:val="21"/>
                      <w:lang w:val="en-US"/>
                    </w:rPr>
                  </w:pPr>
                  <w:r>
                    <w:rPr>
                      <w:rFonts w:hint="eastAsia" w:ascii="宋体" w:hAnsi="宋体" w:eastAsia="宋体" w:cs="宋体"/>
                      <w:kern w:val="2"/>
                      <w:sz w:val="21"/>
                      <w:szCs w:val="24"/>
                      <w:lang w:val="en-US" w:eastAsia="zh-CN" w:bidi="ar"/>
                    </w:rPr>
                    <w:t>①禁止向环境排放废水、废渣类污染物；②禁止新建、扩建污染较重的废水排污口，设置医疗废水排污口；③禁止新建、扩建污染重的化工、电镀、皮革加工、造纸、印染、生物发酵、选矿、冶炼、炼焦、炼油和规模化禽畜养殖以及其他污染重的建设项目；④禁止设置生活垃圾、医疗垃圾、工业危险废物等集中转运、堆放、填埋和焚烧设施</w:t>
                  </w:r>
                  <w:r>
                    <w:rPr>
                      <w:rFonts w:hint="eastAsia" w:ascii="Times New Roman" w:hAnsi="Times New Roman" w:eastAsia="宋体" w:cs="宋体"/>
                      <w:kern w:val="2"/>
                      <w:sz w:val="21"/>
                      <w:szCs w:val="24"/>
                      <w:lang w:val="en-US" w:eastAsia="zh-CN" w:bidi="ar"/>
                    </w:rPr>
                    <w:t>；</w:t>
                  </w:r>
                  <w:r>
                    <w:rPr>
                      <w:rFonts w:hint="eastAsia" w:ascii="宋体" w:hAnsi="宋体" w:eastAsia="宋体" w:cs="宋体"/>
                      <w:kern w:val="2"/>
                      <w:sz w:val="21"/>
                      <w:szCs w:val="24"/>
                      <w:lang w:val="en-US" w:eastAsia="zh-CN" w:bidi="ar"/>
                    </w:rPr>
                    <w:t>⑤禁止设置危险品转运和贮存设施、新建加油站及油库；⑥禁止使用不符合国家有关农药安全使用和环保规定、标准的高毒和高残留农药；⑦禁止将不符合《生活饮用水卫生标准（</w:t>
                  </w:r>
                  <w:r>
                    <w:rPr>
                      <w:rFonts w:hint="default" w:ascii="Times New Roman" w:hAnsi="Times New Roman" w:eastAsia="宋体" w:cs="Times New Roman"/>
                      <w:kern w:val="2"/>
                      <w:sz w:val="21"/>
                      <w:szCs w:val="24"/>
                      <w:lang w:val="en-US" w:eastAsia="zh-CN" w:bidi="ar"/>
                    </w:rPr>
                    <w:t>GB5749-2006</w:t>
                  </w:r>
                  <w:r>
                    <w:rPr>
                      <w:rFonts w:hint="eastAsia" w:ascii="宋体" w:hAnsi="宋体" w:eastAsia="宋体" w:cs="宋体"/>
                      <w:kern w:val="2"/>
                      <w:sz w:val="21"/>
                      <w:szCs w:val="24"/>
                      <w:lang w:val="en-US" w:eastAsia="zh-CN" w:bidi="ar"/>
                    </w:rPr>
                    <w:t>）》和有关规定的水人工直接回灌补给地下水；⑧禁止采取地下灌注方式处理废水；⑨禁止建立公共墓地和掩埋动物尸体；⑩禁止利用沟渠、渗坑、渗井、裂隙、溶洞以及漫流等方式排放工业废水、医疗废水和其他有毒有害废水；</w:t>
                  </w:r>
                  <w:r>
                    <w:rPr>
                      <w:rFonts w:hint="eastAsia" w:ascii="MS Mincho" w:hAnsi="MS Mincho" w:eastAsia="MS Mincho" w:cs="MS Mincho"/>
                      <w:kern w:val="2"/>
                      <w:sz w:val="21"/>
                      <w:szCs w:val="24"/>
                      <w:lang w:val="en-US" w:eastAsia="zh-CN" w:bidi="ar"/>
                    </w:rPr>
                    <w:t>⑪</w:t>
                  </w:r>
                  <w:r>
                    <w:rPr>
                      <w:rFonts w:hint="eastAsia" w:ascii="宋体" w:hAnsi="宋体" w:eastAsia="宋体" w:cs="宋体"/>
                      <w:kern w:val="2"/>
                      <w:sz w:val="21"/>
                      <w:szCs w:val="24"/>
                      <w:lang w:val="en-US" w:eastAsia="zh-CN" w:bidi="ar"/>
                    </w:rPr>
                    <w:t>禁止将剧毒、持久性和放射性废物以及含有重金属废物等危险废物直接倾倒或埋入地下。已排放、倾倒和填埋的，按国家环保有关法律、法规的规定，在限期内进行治理。</w:t>
                  </w:r>
                </w:p>
              </w:tc>
              <w:tc>
                <w:tcPr>
                  <w:tcW w:w="1634" w:type="pct"/>
                  <w:tcBorders>
                    <w:top w:val="single" w:color="auto" w:sz="4" w:space="0"/>
                    <w:left w:val="single" w:color="auto" w:sz="4" w:space="0"/>
                    <w:bottom w:val="single" w:color="auto" w:sz="4" w:space="0"/>
                    <w:right w:val="single" w:color="auto" w:sz="4" w:space="0"/>
                  </w:tcBorders>
                  <w:shd w:val="clear" w:color="auto" w:fill="auto"/>
                  <w:vAlign w:val="center"/>
                </w:tcPr>
                <w:p w14:paraId="2CD5F597">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eastAsia" w:ascii="宋体" w:hAnsi="宋体" w:eastAsia="宋体" w:cs="宋体"/>
                      <w:szCs w:val="21"/>
                      <w:lang w:val="en-US"/>
                    </w:rPr>
                  </w:pPr>
                  <w:r>
                    <w:rPr>
                      <w:rFonts w:hint="eastAsia" w:ascii="宋体" w:hAnsi="宋体" w:eastAsia="宋体" w:cs="宋体"/>
                      <w:kern w:val="2"/>
                      <w:sz w:val="21"/>
                      <w:szCs w:val="24"/>
                      <w:lang w:val="en-US" w:eastAsia="zh-CN" w:bidi="ar"/>
                    </w:rPr>
                    <w:t>本项目向西距离南水北调中线工程约</w:t>
                  </w:r>
                  <w:r>
                    <w:rPr>
                      <w:rFonts w:hint="eastAsia" w:ascii="Times New Roman" w:hAnsi="Times New Roman" w:eastAsia="宋体" w:cs="Times New Roman"/>
                      <w:kern w:val="2"/>
                      <w:sz w:val="21"/>
                      <w:szCs w:val="24"/>
                      <w:lang w:val="en-US" w:eastAsia="zh-CN" w:bidi="ar"/>
                    </w:rPr>
                    <w:t>2260</w:t>
                  </w:r>
                  <w:r>
                    <w:rPr>
                      <w:rFonts w:hint="default" w:ascii="Times New Roman" w:hAnsi="Times New Roman" w:eastAsia="宋体" w:cs="Times New Roman"/>
                      <w:kern w:val="2"/>
                      <w:sz w:val="21"/>
                      <w:szCs w:val="24"/>
                      <w:lang w:val="en-US" w:eastAsia="zh-CN" w:bidi="ar"/>
                    </w:rPr>
                    <w:t>m</w:t>
                  </w:r>
                  <w:r>
                    <w:rPr>
                      <w:rFonts w:hint="eastAsia" w:ascii="宋体" w:hAnsi="宋体" w:eastAsia="宋体" w:cs="宋体"/>
                      <w:kern w:val="2"/>
                      <w:sz w:val="21"/>
                      <w:szCs w:val="24"/>
                      <w:lang w:val="en-US" w:eastAsia="zh-CN" w:bidi="ar"/>
                    </w:rPr>
                    <w:t>，不在其一级保护区和二级保护区范围内。</w:t>
                  </w:r>
                </w:p>
              </w:tc>
              <w:tc>
                <w:tcPr>
                  <w:tcW w:w="509" w:type="pct"/>
                  <w:tcBorders>
                    <w:top w:val="single" w:color="auto" w:sz="4" w:space="0"/>
                    <w:left w:val="single" w:color="auto" w:sz="4" w:space="0"/>
                    <w:bottom w:val="single" w:color="auto" w:sz="4" w:space="0"/>
                    <w:right w:val="nil"/>
                  </w:tcBorders>
                  <w:shd w:val="clear" w:color="auto" w:fill="auto"/>
                  <w:vAlign w:val="center"/>
                </w:tcPr>
                <w:p w14:paraId="0477200C">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eastAsia" w:ascii="宋体" w:hAnsi="宋体" w:eastAsia="宋体" w:cs="宋体"/>
                      <w:kern w:val="0"/>
                      <w:szCs w:val="21"/>
                      <w:lang w:val="en-US"/>
                    </w:rPr>
                  </w:pPr>
                  <w:r>
                    <w:rPr>
                      <w:rFonts w:hint="eastAsia" w:ascii="宋体" w:hAnsi="宋体" w:eastAsia="宋体" w:cs="宋体"/>
                      <w:kern w:val="0"/>
                      <w:sz w:val="21"/>
                      <w:szCs w:val="24"/>
                      <w:lang w:val="en-US" w:eastAsia="zh-CN" w:bidi="ar"/>
                    </w:rPr>
                    <w:t>相符</w:t>
                  </w:r>
                </w:p>
              </w:tc>
            </w:tr>
          </w:tbl>
          <w:p w14:paraId="70BCD203">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520" w:lineRule="exact"/>
              <w:ind w:left="0" w:right="0" w:firstLine="480" w:firstLineChars="200"/>
              <w:jc w:val="both"/>
              <w:textAlignment w:val="auto"/>
              <w:rPr>
                <w:rFonts w:hint="eastAsia" w:ascii="宋体" w:hAnsi="宋体" w:eastAsia="宋体" w:cs="宋体"/>
                <w:kern w:val="0"/>
                <w:sz w:val="24"/>
                <w:szCs w:val="24"/>
                <w:lang w:val="en-US"/>
              </w:rPr>
            </w:pPr>
            <w:r>
              <w:rPr>
                <w:rFonts w:hint="eastAsia" w:ascii="宋体" w:hAnsi="宋体" w:eastAsia="宋体" w:cs="宋体"/>
                <w:kern w:val="0"/>
                <w:sz w:val="24"/>
                <w:szCs w:val="24"/>
                <w:lang w:val="en-US" w:eastAsia="zh-CN" w:bidi="ar"/>
              </w:rPr>
              <w:t>依据</w:t>
            </w:r>
            <w:r>
              <w:rPr>
                <w:rFonts w:hint="eastAsia" w:ascii="宋体" w:hAnsi="宋体" w:eastAsia="宋体" w:cs="宋体"/>
                <w:kern w:val="2"/>
                <w:sz w:val="24"/>
                <w:szCs w:val="24"/>
                <w:lang w:val="en-US" w:eastAsia="zh-CN" w:bidi="ar"/>
              </w:rPr>
              <w:t>《汤阴县产业集聚区发展规划调整方案（</w:t>
            </w:r>
            <w:r>
              <w:rPr>
                <w:rFonts w:hint="default" w:ascii="Times New Roman" w:hAnsi="Times New Roman" w:eastAsia="宋体" w:cs="Times New Roman"/>
                <w:kern w:val="2"/>
                <w:sz w:val="24"/>
                <w:szCs w:val="24"/>
                <w:lang w:val="en-US" w:eastAsia="zh-CN" w:bidi="ar"/>
              </w:rPr>
              <w:t>2017-2020</w:t>
            </w:r>
            <w:r>
              <w:rPr>
                <w:rFonts w:hint="eastAsia" w:ascii="宋体" w:hAnsi="宋体" w:eastAsia="宋体" w:cs="宋体"/>
                <w:kern w:val="2"/>
                <w:sz w:val="24"/>
                <w:szCs w:val="24"/>
                <w:lang w:val="en-US" w:eastAsia="zh-CN" w:bidi="ar"/>
              </w:rPr>
              <w:t>）环境影响报告书》</w:t>
            </w:r>
            <w:r>
              <w:rPr>
                <w:rFonts w:hint="eastAsia" w:ascii="宋体" w:hAnsi="宋体" w:eastAsia="宋体" w:cs="宋体"/>
                <w:kern w:val="0"/>
                <w:sz w:val="24"/>
                <w:szCs w:val="24"/>
                <w:lang w:val="en-US" w:eastAsia="zh-CN" w:bidi="ar"/>
              </w:rPr>
              <w:t>，汤阴县产业集聚区环境准入条件见下表。</w:t>
            </w:r>
          </w:p>
          <w:p w14:paraId="1438B311">
            <w:pPr>
              <w:keepNext w:val="0"/>
              <w:keepLines w:val="0"/>
              <w:pageBreakBefore w:val="0"/>
              <w:widowControl/>
              <w:numPr>
                <w:ilvl w:val="0"/>
                <w:numId w:val="0"/>
              </w:numPr>
              <w:suppressLineNumbers w:val="0"/>
              <w:kinsoku/>
              <w:wordWrap/>
              <w:overflowPunct/>
              <w:topLinePunct w:val="0"/>
              <w:autoSpaceDE/>
              <w:autoSpaceDN/>
              <w:bidi w:val="0"/>
              <w:adjustRightInd w:val="0"/>
              <w:snapToGrid/>
              <w:spacing w:before="0" w:beforeAutospacing="0" w:after="0" w:afterAutospacing="0" w:line="520" w:lineRule="exact"/>
              <w:ind w:left="0" w:right="0"/>
              <w:jc w:val="center"/>
              <w:textAlignment w:val="auto"/>
              <w:rPr>
                <w:rFonts w:hint="eastAsia" w:ascii="Times New Roman" w:hAnsi="Times New Roman" w:eastAsia="黑体" w:cs="Times New Roman"/>
                <w:b w:val="0"/>
                <w:bCs w:val="0"/>
                <w:color w:val="000000" w:themeColor="text1"/>
                <w:sz w:val="24"/>
                <w:szCs w:val="24"/>
                <w:highlight w:val="none"/>
                <w:lang w:val="en-US" w:eastAsia="zh-CN"/>
                <w14:textFill>
                  <w14:solidFill>
                    <w14:schemeClr w14:val="tx1"/>
                  </w14:solidFill>
                </w14:textFill>
              </w:rPr>
            </w:pPr>
            <w:r>
              <w:rPr>
                <w:rFonts w:hint="eastAsia" w:ascii="Times New Roman" w:hAnsi="Times New Roman" w:eastAsia="黑体" w:cs="Times New Roman"/>
                <w:b w:val="0"/>
                <w:bCs w:val="0"/>
                <w:color w:val="000000" w:themeColor="text1"/>
                <w:sz w:val="24"/>
                <w:szCs w:val="24"/>
                <w:highlight w:val="none"/>
                <w:lang w:val="en-US" w:eastAsia="zh-CN"/>
                <w14:textFill>
                  <w14:solidFill>
                    <w14:schemeClr w14:val="tx1"/>
                  </w14:solidFill>
                </w14:textFill>
              </w:rPr>
              <w:t>表1-2  汤阴县产业集聚区环境准入条件</w:t>
            </w:r>
          </w:p>
          <w:tbl>
            <w:tblPr>
              <w:tblStyle w:val="92"/>
              <w:tblW w:w="5000"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684"/>
              <w:gridCol w:w="436"/>
              <w:gridCol w:w="3269"/>
              <w:gridCol w:w="1582"/>
              <w:gridCol w:w="796"/>
            </w:tblGrid>
            <w:tr w14:paraId="082F545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23" w:hRule="atLeast"/>
              </w:trPr>
              <w:tc>
                <w:tcPr>
                  <w:tcW w:w="505" w:type="pct"/>
                  <w:tcBorders>
                    <w:tl2br w:val="nil"/>
                    <w:tr2bl w:val="nil"/>
                  </w:tcBorders>
                  <w:shd w:val="clear" w:color="auto" w:fill="auto"/>
                  <w:vAlign w:val="center"/>
                </w:tcPr>
                <w:p w14:paraId="14FE65B5">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eastAsia" w:ascii="宋体" w:hAnsi="宋体" w:eastAsia="宋体" w:cs="宋体"/>
                      <w:b w:val="0"/>
                      <w:bCs/>
                      <w:kern w:val="0"/>
                      <w:szCs w:val="21"/>
                      <w:lang w:val="en-US"/>
                    </w:rPr>
                  </w:pPr>
                  <w:r>
                    <w:rPr>
                      <w:rFonts w:hint="eastAsia" w:ascii="宋体" w:hAnsi="宋体" w:eastAsia="宋体" w:cs="宋体"/>
                      <w:b w:val="0"/>
                      <w:bCs/>
                      <w:kern w:val="0"/>
                      <w:sz w:val="21"/>
                      <w:szCs w:val="24"/>
                      <w:lang w:val="en-US" w:eastAsia="zh-CN" w:bidi="ar"/>
                    </w:rPr>
                    <w:t>类别</w:t>
                  </w:r>
                </w:p>
              </w:tc>
              <w:tc>
                <w:tcPr>
                  <w:tcW w:w="2737" w:type="pct"/>
                  <w:gridSpan w:val="2"/>
                  <w:tcBorders>
                    <w:tl2br w:val="nil"/>
                    <w:tr2bl w:val="nil"/>
                  </w:tcBorders>
                  <w:shd w:val="clear" w:color="auto" w:fill="auto"/>
                  <w:vAlign w:val="center"/>
                </w:tcPr>
                <w:p w14:paraId="61BDCDEE">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eastAsia" w:ascii="宋体" w:hAnsi="宋体" w:eastAsia="宋体" w:cs="宋体"/>
                      <w:b w:val="0"/>
                      <w:bCs/>
                      <w:kern w:val="0"/>
                      <w:szCs w:val="21"/>
                      <w:lang w:val="en-US"/>
                    </w:rPr>
                  </w:pPr>
                  <w:r>
                    <w:rPr>
                      <w:rFonts w:hint="eastAsia" w:ascii="宋体" w:hAnsi="宋体" w:eastAsia="宋体" w:cs="宋体"/>
                      <w:b w:val="0"/>
                      <w:bCs/>
                      <w:kern w:val="0"/>
                      <w:sz w:val="21"/>
                      <w:szCs w:val="24"/>
                      <w:lang w:val="en-US" w:eastAsia="zh-CN" w:bidi="ar"/>
                    </w:rPr>
                    <w:t>环境准入条件</w:t>
                  </w:r>
                </w:p>
              </w:tc>
              <w:tc>
                <w:tcPr>
                  <w:tcW w:w="1169" w:type="pct"/>
                  <w:tcBorders>
                    <w:tl2br w:val="nil"/>
                    <w:tr2bl w:val="nil"/>
                  </w:tcBorders>
                  <w:shd w:val="clear" w:color="auto" w:fill="auto"/>
                  <w:vAlign w:val="center"/>
                </w:tcPr>
                <w:p w14:paraId="10545536">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default"/>
                      <w:b w:val="0"/>
                      <w:bCs/>
                      <w:kern w:val="0"/>
                      <w:szCs w:val="21"/>
                      <w:lang w:val="en-US"/>
                    </w:rPr>
                  </w:pPr>
                  <w:r>
                    <w:rPr>
                      <w:rFonts w:hint="eastAsia" w:ascii="宋体" w:hAnsi="宋体" w:eastAsia="宋体" w:cs="宋体"/>
                      <w:b w:val="0"/>
                      <w:bCs/>
                      <w:kern w:val="0"/>
                      <w:sz w:val="21"/>
                      <w:szCs w:val="24"/>
                      <w:lang w:val="en-US" w:eastAsia="zh-CN" w:bidi="ar"/>
                    </w:rPr>
                    <w:t>本项目情况</w:t>
                  </w:r>
                </w:p>
              </w:tc>
              <w:tc>
                <w:tcPr>
                  <w:tcW w:w="588" w:type="pct"/>
                  <w:tcBorders>
                    <w:tl2br w:val="nil"/>
                    <w:tr2bl w:val="nil"/>
                  </w:tcBorders>
                  <w:shd w:val="clear" w:color="auto" w:fill="auto"/>
                  <w:vAlign w:val="center"/>
                </w:tcPr>
                <w:p w14:paraId="0C295873">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default"/>
                      <w:b w:val="0"/>
                      <w:bCs/>
                      <w:kern w:val="0"/>
                      <w:szCs w:val="21"/>
                      <w:lang w:val="en-US"/>
                    </w:rPr>
                  </w:pPr>
                  <w:r>
                    <w:rPr>
                      <w:rFonts w:hint="eastAsia" w:ascii="宋体" w:hAnsi="宋体" w:eastAsia="宋体" w:cs="宋体"/>
                      <w:b w:val="0"/>
                      <w:bCs/>
                      <w:kern w:val="0"/>
                      <w:sz w:val="21"/>
                      <w:szCs w:val="24"/>
                      <w:lang w:val="en-US" w:eastAsia="zh-CN" w:bidi="ar"/>
                    </w:rPr>
                    <w:t>相符性</w:t>
                  </w:r>
                </w:p>
              </w:tc>
            </w:tr>
            <w:tr w14:paraId="6C66E77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23" w:hRule="atLeast"/>
              </w:trPr>
              <w:tc>
                <w:tcPr>
                  <w:tcW w:w="505" w:type="pct"/>
                  <w:vMerge w:val="restart"/>
                  <w:tcBorders>
                    <w:tl2br w:val="nil"/>
                    <w:tr2bl w:val="nil"/>
                  </w:tcBorders>
                  <w:shd w:val="clear" w:color="auto" w:fill="auto"/>
                  <w:vAlign w:val="center"/>
                </w:tcPr>
                <w:p w14:paraId="3C65B337">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eastAsia" w:ascii="宋体" w:hAnsi="宋体" w:eastAsia="宋体" w:cs="宋体"/>
                      <w:b w:val="0"/>
                      <w:bCs/>
                      <w:kern w:val="0"/>
                      <w:szCs w:val="21"/>
                      <w:lang w:val="en-US"/>
                    </w:rPr>
                  </w:pPr>
                  <w:r>
                    <w:rPr>
                      <w:rFonts w:hint="eastAsia" w:ascii="宋体" w:hAnsi="宋体" w:eastAsia="宋体" w:cs="宋体"/>
                      <w:b w:val="0"/>
                      <w:bCs/>
                      <w:kern w:val="0"/>
                      <w:sz w:val="21"/>
                      <w:szCs w:val="24"/>
                      <w:lang w:val="en-US" w:eastAsia="zh-CN" w:bidi="ar"/>
                    </w:rPr>
                    <w:t>鼓励类</w:t>
                  </w:r>
                </w:p>
              </w:tc>
              <w:tc>
                <w:tcPr>
                  <w:tcW w:w="2737" w:type="pct"/>
                  <w:gridSpan w:val="2"/>
                  <w:tcBorders>
                    <w:tl2br w:val="nil"/>
                    <w:tr2bl w:val="nil"/>
                  </w:tcBorders>
                  <w:shd w:val="clear" w:color="auto" w:fill="auto"/>
                  <w:vAlign w:val="center"/>
                </w:tcPr>
                <w:p w14:paraId="7D722388">
                  <w:pPr>
                    <w:pStyle w:val="21"/>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exact"/>
                    <w:ind w:left="0" w:right="0"/>
                    <w:jc w:val="center"/>
                    <w:textAlignment w:val="auto"/>
                    <w:rPr>
                      <w:rFonts w:hint="default" w:ascii="Times New Roman" w:hAnsi="Times New Roman" w:cs="Times New Roman"/>
                      <w:b w:val="0"/>
                      <w:bCs/>
                    </w:rPr>
                  </w:pPr>
                  <w:r>
                    <w:rPr>
                      <w:rFonts w:hint="default" w:ascii="宋体" w:hAnsi="Times New Roman" w:eastAsia="Times New Roman" w:cs="Times New Roman"/>
                      <w:b w:val="0"/>
                      <w:bCs/>
                      <w:kern w:val="0"/>
                      <w:sz w:val="21"/>
                      <w:szCs w:val="20"/>
                      <w:lang w:val="en-US" w:eastAsia="zh-CN" w:bidi="ar"/>
                    </w:rPr>
                    <w:t>鼓励符合集聚区产业定位且列入国家产业结构调整指导目录鼓励类的项目入驻；</w:t>
                  </w:r>
                </w:p>
              </w:tc>
              <w:tc>
                <w:tcPr>
                  <w:tcW w:w="1169" w:type="pct"/>
                  <w:vMerge w:val="restart"/>
                  <w:tcBorders>
                    <w:tl2br w:val="nil"/>
                    <w:tr2bl w:val="nil"/>
                  </w:tcBorders>
                  <w:shd w:val="clear" w:color="auto" w:fill="auto"/>
                  <w:vAlign w:val="center"/>
                </w:tcPr>
                <w:p w14:paraId="313DD0AB">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eastAsia" w:ascii="宋体" w:hAnsi="宋体" w:eastAsia="宋体" w:cs="宋体"/>
                      <w:b w:val="0"/>
                      <w:bCs/>
                      <w:kern w:val="0"/>
                      <w:szCs w:val="21"/>
                      <w:lang w:val="en-US"/>
                    </w:rPr>
                  </w:pPr>
                  <w:r>
                    <w:rPr>
                      <w:rFonts w:hint="eastAsia" w:ascii="宋体" w:hAnsi="宋体" w:eastAsia="宋体" w:cs="宋体"/>
                      <w:b w:val="0"/>
                      <w:bCs/>
                      <w:kern w:val="2"/>
                      <w:sz w:val="21"/>
                      <w:szCs w:val="24"/>
                      <w:lang w:val="en-US" w:eastAsia="zh-CN" w:bidi="ar"/>
                    </w:rPr>
                    <w:t>不属于鼓励类项目。</w:t>
                  </w:r>
                </w:p>
              </w:tc>
              <w:tc>
                <w:tcPr>
                  <w:tcW w:w="588" w:type="pct"/>
                  <w:vMerge w:val="restart"/>
                  <w:tcBorders>
                    <w:tl2br w:val="nil"/>
                    <w:tr2bl w:val="nil"/>
                  </w:tcBorders>
                  <w:shd w:val="clear" w:color="auto" w:fill="auto"/>
                  <w:vAlign w:val="center"/>
                </w:tcPr>
                <w:p w14:paraId="3EF7F7DB">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eastAsia" w:ascii="宋体" w:hAnsi="宋体" w:eastAsia="宋体" w:cs="宋体"/>
                      <w:b w:val="0"/>
                      <w:bCs/>
                      <w:kern w:val="0"/>
                      <w:szCs w:val="21"/>
                      <w:lang w:val="en-US"/>
                    </w:rPr>
                  </w:pPr>
                  <w:r>
                    <w:rPr>
                      <w:rFonts w:hint="default" w:ascii="Times New Roman" w:hAnsi="Times New Roman" w:eastAsia="宋体" w:cs="Times New Roman"/>
                      <w:b w:val="0"/>
                      <w:bCs/>
                      <w:kern w:val="0"/>
                      <w:sz w:val="21"/>
                      <w:szCs w:val="24"/>
                      <w:lang w:val="en-US" w:eastAsia="zh-CN" w:bidi="ar"/>
                    </w:rPr>
                    <w:t>/</w:t>
                  </w:r>
                </w:p>
              </w:tc>
            </w:tr>
            <w:tr w14:paraId="1E2831A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23" w:hRule="atLeast"/>
              </w:trPr>
              <w:tc>
                <w:tcPr>
                  <w:tcW w:w="505" w:type="pct"/>
                  <w:vMerge w:val="continue"/>
                  <w:tcBorders>
                    <w:tl2br w:val="nil"/>
                    <w:tr2bl w:val="nil"/>
                  </w:tcBorders>
                  <w:shd w:val="clear" w:color="auto" w:fill="auto"/>
                  <w:vAlign w:val="center"/>
                </w:tcPr>
                <w:p w14:paraId="73104DCE">
                  <w:pPr>
                    <w:keepNext w:val="0"/>
                    <w:keepLines w:val="0"/>
                    <w:pageBreakBefore w:val="0"/>
                    <w:suppressLineNumbers w:val="0"/>
                    <w:kinsoku/>
                    <w:wordWrap/>
                    <w:overflowPunct/>
                    <w:topLinePunct w:val="0"/>
                    <w:bidi w:val="0"/>
                    <w:spacing w:before="0" w:beforeLines="0" w:beforeAutospacing="0" w:after="0" w:afterAutospacing="0" w:line="360" w:lineRule="exact"/>
                    <w:ind w:left="0" w:right="0"/>
                    <w:textAlignment w:val="auto"/>
                    <w:rPr>
                      <w:rFonts w:hint="default" w:ascii="Times New Roman" w:hAnsi="Times New Roman" w:cs="Times New Roman"/>
                      <w:b w:val="0"/>
                      <w:bCs/>
                      <w:sz w:val="20"/>
                      <w:szCs w:val="20"/>
                    </w:rPr>
                  </w:pPr>
                </w:p>
              </w:tc>
              <w:tc>
                <w:tcPr>
                  <w:tcW w:w="2737" w:type="pct"/>
                  <w:gridSpan w:val="2"/>
                  <w:tcBorders>
                    <w:tl2br w:val="nil"/>
                    <w:tr2bl w:val="nil"/>
                  </w:tcBorders>
                  <w:shd w:val="clear" w:color="auto" w:fill="auto"/>
                  <w:vAlign w:val="center"/>
                </w:tcPr>
                <w:p w14:paraId="226C382E">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exact"/>
                    <w:ind w:left="0" w:right="0"/>
                    <w:jc w:val="center"/>
                    <w:textAlignment w:val="auto"/>
                    <w:rPr>
                      <w:rFonts w:hint="eastAsia" w:ascii="宋体" w:hAnsi="宋体" w:eastAsia="宋体" w:cs="宋体"/>
                      <w:b w:val="0"/>
                      <w:bCs/>
                      <w:szCs w:val="21"/>
                      <w:lang w:val="en-US"/>
                    </w:rPr>
                  </w:pPr>
                  <w:r>
                    <w:rPr>
                      <w:rFonts w:hint="eastAsia" w:ascii="宋体" w:hAnsi="宋体" w:eastAsia="宋体" w:cs="宋体"/>
                      <w:b w:val="0"/>
                      <w:bCs/>
                      <w:kern w:val="2"/>
                      <w:sz w:val="21"/>
                      <w:szCs w:val="24"/>
                      <w:lang w:val="en-US" w:eastAsia="zh-CN" w:bidi="ar"/>
                    </w:rPr>
                    <w:t>鼓励有利于集聚区产业链条延伸的项目、市政基础设施入驻；</w:t>
                  </w:r>
                </w:p>
              </w:tc>
              <w:tc>
                <w:tcPr>
                  <w:tcW w:w="1169" w:type="pct"/>
                  <w:vMerge w:val="continue"/>
                  <w:tcBorders>
                    <w:tl2br w:val="nil"/>
                    <w:tr2bl w:val="nil"/>
                  </w:tcBorders>
                  <w:shd w:val="clear" w:color="auto" w:fill="auto"/>
                  <w:vAlign w:val="center"/>
                </w:tcPr>
                <w:p w14:paraId="474835D4">
                  <w:pPr>
                    <w:keepNext w:val="0"/>
                    <w:keepLines w:val="0"/>
                    <w:pageBreakBefore w:val="0"/>
                    <w:suppressLineNumbers w:val="0"/>
                    <w:kinsoku/>
                    <w:wordWrap/>
                    <w:overflowPunct/>
                    <w:topLinePunct w:val="0"/>
                    <w:bidi w:val="0"/>
                    <w:spacing w:before="0" w:beforeLines="0" w:beforeAutospacing="0" w:after="0" w:afterAutospacing="0" w:line="360" w:lineRule="exact"/>
                    <w:ind w:left="0" w:right="0"/>
                    <w:textAlignment w:val="auto"/>
                    <w:rPr>
                      <w:rFonts w:hint="default" w:ascii="Times New Roman" w:hAnsi="Times New Roman" w:cs="Times New Roman"/>
                      <w:b w:val="0"/>
                      <w:bCs/>
                      <w:sz w:val="20"/>
                      <w:szCs w:val="20"/>
                    </w:rPr>
                  </w:pPr>
                </w:p>
              </w:tc>
              <w:tc>
                <w:tcPr>
                  <w:tcW w:w="588" w:type="pct"/>
                  <w:vMerge w:val="continue"/>
                  <w:tcBorders>
                    <w:tl2br w:val="nil"/>
                    <w:tr2bl w:val="nil"/>
                  </w:tcBorders>
                  <w:shd w:val="clear" w:color="auto" w:fill="auto"/>
                  <w:vAlign w:val="center"/>
                </w:tcPr>
                <w:p w14:paraId="3AEEBDFA">
                  <w:pPr>
                    <w:keepNext w:val="0"/>
                    <w:keepLines w:val="0"/>
                    <w:pageBreakBefore w:val="0"/>
                    <w:suppressLineNumbers w:val="0"/>
                    <w:kinsoku/>
                    <w:wordWrap/>
                    <w:overflowPunct/>
                    <w:topLinePunct w:val="0"/>
                    <w:bidi w:val="0"/>
                    <w:spacing w:before="0" w:beforeLines="0" w:beforeAutospacing="0" w:after="0" w:afterAutospacing="0" w:line="360" w:lineRule="exact"/>
                    <w:ind w:left="0" w:right="0"/>
                    <w:textAlignment w:val="auto"/>
                    <w:rPr>
                      <w:rFonts w:hint="default" w:ascii="Times New Roman" w:hAnsi="Times New Roman" w:cs="Times New Roman"/>
                      <w:b w:val="0"/>
                      <w:bCs/>
                      <w:sz w:val="20"/>
                      <w:szCs w:val="20"/>
                    </w:rPr>
                  </w:pPr>
                </w:p>
              </w:tc>
            </w:tr>
            <w:tr w14:paraId="45DDB93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505" w:type="pct"/>
                  <w:vMerge w:val="continue"/>
                  <w:tcBorders>
                    <w:tl2br w:val="nil"/>
                    <w:tr2bl w:val="nil"/>
                  </w:tcBorders>
                  <w:shd w:val="clear" w:color="auto" w:fill="auto"/>
                  <w:vAlign w:val="center"/>
                </w:tcPr>
                <w:p w14:paraId="0E925BB5">
                  <w:pPr>
                    <w:keepNext w:val="0"/>
                    <w:keepLines w:val="0"/>
                    <w:pageBreakBefore w:val="0"/>
                    <w:suppressLineNumbers w:val="0"/>
                    <w:kinsoku/>
                    <w:wordWrap/>
                    <w:overflowPunct/>
                    <w:topLinePunct w:val="0"/>
                    <w:bidi w:val="0"/>
                    <w:spacing w:before="0" w:beforeLines="0" w:beforeAutospacing="0" w:after="0" w:afterAutospacing="0" w:line="360" w:lineRule="exact"/>
                    <w:ind w:left="0" w:right="0"/>
                    <w:textAlignment w:val="auto"/>
                    <w:rPr>
                      <w:rFonts w:hint="default" w:ascii="Times New Roman" w:hAnsi="Times New Roman" w:cs="Times New Roman"/>
                      <w:b w:val="0"/>
                      <w:bCs/>
                      <w:sz w:val="20"/>
                      <w:szCs w:val="20"/>
                    </w:rPr>
                  </w:pPr>
                </w:p>
              </w:tc>
              <w:tc>
                <w:tcPr>
                  <w:tcW w:w="2737" w:type="pct"/>
                  <w:gridSpan w:val="2"/>
                  <w:tcBorders>
                    <w:tl2br w:val="nil"/>
                    <w:tr2bl w:val="nil"/>
                  </w:tcBorders>
                  <w:shd w:val="clear" w:color="auto" w:fill="auto"/>
                  <w:vAlign w:val="center"/>
                </w:tcPr>
                <w:p w14:paraId="1884547E">
                  <w:pPr>
                    <w:pStyle w:val="21"/>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exact"/>
                    <w:ind w:left="0" w:right="0"/>
                    <w:jc w:val="center"/>
                    <w:textAlignment w:val="auto"/>
                    <w:rPr>
                      <w:rFonts w:hint="default" w:ascii="Times New Roman" w:hAnsi="Times New Roman" w:cs="Times New Roman"/>
                      <w:b w:val="0"/>
                      <w:bCs/>
                    </w:rPr>
                  </w:pPr>
                  <w:r>
                    <w:rPr>
                      <w:rFonts w:hint="default" w:ascii="宋体" w:hAnsi="Times New Roman" w:eastAsia="Times New Roman" w:cs="Times New Roman"/>
                      <w:b w:val="0"/>
                      <w:bCs/>
                      <w:kern w:val="0"/>
                      <w:sz w:val="21"/>
                      <w:szCs w:val="20"/>
                      <w:lang w:val="en-US" w:eastAsia="zh-CN" w:bidi="ar"/>
                    </w:rPr>
                    <w:t>鼓励利用集聚区产生的固废综合利用项目入驻；</w:t>
                  </w:r>
                </w:p>
              </w:tc>
              <w:tc>
                <w:tcPr>
                  <w:tcW w:w="1169" w:type="pct"/>
                  <w:vMerge w:val="continue"/>
                  <w:tcBorders>
                    <w:tl2br w:val="nil"/>
                    <w:tr2bl w:val="nil"/>
                  </w:tcBorders>
                  <w:shd w:val="clear" w:color="auto" w:fill="auto"/>
                  <w:vAlign w:val="center"/>
                </w:tcPr>
                <w:p w14:paraId="52BD86C2">
                  <w:pPr>
                    <w:keepNext w:val="0"/>
                    <w:keepLines w:val="0"/>
                    <w:pageBreakBefore w:val="0"/>
                    <w:suppressLineNumbers w:val="0"/>
                    <w:kinsoku/>
                    <w:wordWrap/>
                    <w:overflowPunct/>
                    <w:topLinePunct w:val="0"/>
                    <w:bidi w:val="0"/>
                    <w:spacing w:before="0" w:beforeLines="0" w:beforeAutospacing="0" w:after="0" w:afterAutospacing="0" w:line="360" w:lineRule="exact"/>
                    <w:ind w:left="0" w:right="0"/>
                    <w:textAlignment w:val="auto"/>
                    <w:rPr>
                      <w:rFonts w:hint="default" w:ascii="Times New Roman" w:hAnsi="Times New Roman" w:cs="Times New Roman"/>
                      <w:b w:val="0"/>
                      <w:bCs/>
                      <w:sz w:val="20"/>
                      <w:szCs w:val="20"/>
                    </w:rPr>
                  </w:pPr>
                </w:p>
              </w:tc>
              <w:tc>
                <w:tcPr>
                  <w:tcW w:w="588" w:type="pct"/>
                  <w:vMerge w:val="continue"/>
                  <w:tcBorders>
                    <w:tl2br w:val="nil"/>
                    <w:tr2bl w:val="nil"/>
                  </w:tcBorders>
                  <w:shd w:val="clear" w:color="auto" w:fill="auto"/>
                  <w:vAlign w:val="center"/>
                </w:tcPr>
                <w:p w14:paraId="00F8D74B">
                  <w:pPr>
                    <w:keepNext w:val="0"/>
                    <w:keepLines w:val="0"/>
                    <w:pageBreakBefore w:val="0"/>
                    <w:suppressLineNumbers w:val="0"/>
                    <w:kinsoku/>
                    <w:wordWrap/>
                    <w:overflowPunct/>
                    <w:topLinePunct w:val="0"/>
                    <w:bidi w:val="0"/>
                    <w:spacing w:before="0" w:beforeLines="0" w:beforeAutospacing="0" w:after="0" w:afterAutospacing="0" w:line="360" w:lineRule="exact"/>
                    <w:ind w:left="0" w:right="0"/>
                    <w:textAlignment w:val="auto"/>
                    <w:rPr>
                      <w:rFonts w:hint="default" w:ascii="Times New Roman" w:hAnsi="Times New Roman" w:cs="Times New Roman"/>
                      <w:b w:val="0"/>
                      <w:bCs/>
                      <w:sz w:val="20"/>
                      <w:szCs w:val="20"/>
                    </w:rPr>
                  </w:pPr>
                </w:p>
              </w:tc>
            </w:tr>
            <w:tr w14:paraId="1BACFF4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505" w:type="pct"/>
                  <w:vMerge w:val="continue"/>
                  <w:tcBorders>
                    <w:tl2br w:val="nil"/>
                    <w:tr2bl w:val="nil"/>
                  </w:tcBorders>
                  <w:shd w:val="clear" w:color="auto" w:fill="auto"/>
                  <w:vAlign w:val="center"/>
                </w:tcPr>
                <w:p w14:paraId="468B621E">
                  <w:pPr>
                    <w:keepNext w:val="0"/>
                    <w:keepLines w:val="0"/>
                    <w:pageBreakBefore w:val="0"/>
                    <w:suppressLineNumbers w:val="0"/>
                    <w:kinsoku/>
                    <w:wordWrap/>
                    <w:overflowPunct/>
                    <w:topLinePunct w:val="0"/>
                    <w:bidi w:val="0"/>
                    <w:spacing w:before="0" w:beforeLines="0" w:beforeAutospacing="0" w:after="0" w:afterAutospacing="0" w:line="360" w:lineRule="exact"/>
                    <w:ind w:left="0" w:right="0"/>
                    <w:textAlignment w:val="auto"/>
                    <w:rPr>
                      <w:rFonts w:hint="default" w:ascii="Times New Roman" w:hAnsi="Times New Roman" w:cs="Times New Roman"/>
                      <w:b w:val="0"/>
                      <w:bCs/>
                      <w:sz w:val="20"/>
                      <w:szCs w:val="20"/>
                    </w:rPr>
                  </w:pPr>
                </w:p>
              </w:tc>
              <w:tc>
                <w:tcPr>
                  <w:tcW w:w="2737" w:type="pct"/>
                  <w:gridSpan w:val="2"/>
                  <w:tcBorders>
                    <w:tl2br w:val="nil"/>
                    <w:tr2bl w:val="nil"/>
                  </w:tcBorders>
                  <w:shd w:val="clear" w:color="auto" w:fill="auto"/>
                  <w:vAlign w:val="center"/>
                </w:tcPr>
                <w:p w14:paraId="461BF534">
                  <w:pPr>
                    <w:pStyle w:val="21"/>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exact"/>
                    <w:ind w:left="0" w:right="0"/>
                    <w:jc w:val="center"/>
                    <w:textAlignment w:val="auto"/>
                    <w:rPr>
                      <w:rFonts w:hint="default"/>
                      <w:b w:val="0"/>
                      <w:bCs/>
                    </w:rPr>
                  </w:pPr>
                  <w:r>
                    <w:rPr>
                      <w:rFonts w:hint="default" w:ascii="宋体" w:hAnsi="Times New Roman" w:eastAsia="Times New Roman" w:cs="Times New Roman"/>
                      <w:b w:val="0"/>
                      <w:bCs/>
                      <w:kern w:val="0"/>
                      <w:sz w:val="21"/>
                      <w:szCs w:val="20"/>
                      <w:lang w:val="en-US" w:eastAsia="zh-CN" w:bidi="ar"/>
                    </w:rPr>
                    <w:t>鼓励有利于节能减排的技术改造项目入驻；</w:t>
                  </w:r>
                </w:p>
              </w:tc>
              <w:tc>
                <w:tcPr>
                  <w:tcW w:w="1169" w:type="pct"/>
                  <w:vMerge w:val="continue"/>
                  <w:tcBorders>
                    <w:tl2br w:val="nil"/>
                    <w:tr2bl w:val="nil"/>
                  </w:tcBorders>
                  <w:shd w:val="clear" w:color="auto" w:fill="auto"/>
                  <w:vAlign w:val="center"/>
                </w:tcPr>
                <w:p w14:paraId="682E9FA8">
                  <w:pPr>
                    <w:keepNext w:val="0"/>
                    <w:keepLines w:val="0"/>
                    <w:pageBreakBefore w:val="0"/>
                    <w:suppressLineNumbers w:val="0"/>
                    <w:kinsoku/>
                    <w:wordWrap/>
                    <w:overflowPunct/>
                    <w:topLinePunct w:val="0"/>
                    <w:bidi w:val="0"/>
                    <w:spacing w:before="0" w:beforeLines="0" w:beforeAutospacing="0" w:after="0" w:afterAutospacing="0" w:line="360" w:lineRule="exact"/>
                    <w:ind w:left="0" w:right="0"/>
                    <w:textAlignment w:val="auto"/>
                    <w:rPr>
                      <w:rFonts w:hint="default" w:ascii="Times New Roman" w:hAnsi="Times New Roman" w:cs="Times New Roman"/>
                      <w:b w:val="0"/>
                      <w:bCs/>
                      <w:sz w:val="20"/>
                      <w:szCs w:val="20"/>
                    </w:rPr>
                  </w:pPr>
                </w:p>
              </w:tc>
              <w:tc>
                <w:tcPr>
                  <w:tcW w:w="588" w:type="pct"/>
                  <w:vMerge w:val="continue"/>
                  <w:tcBorders>
                    <w:tl2br w:val="nil"/>
                    <w:tr2bl w:val="nil"/>
                  </w:tcBorders>
                  <w:shd w:val="clear" w:color="auto" w:fill="auto"/>
                  <w:vAlign w:val="center"/>
                </w:tcPr>
                <w:p w14:paraId="57ADC3F9">
                  <w:pPr>
                    <w:keepNext w:val="0"/>
                    <w:keepLines w:val="0"/>
                    <w:pageBreakBefore w:val="0"/>
                    <w:suppressLineNumbers w:val="0"/>
                    <w:kinsoku/>
                    <w:wordWrap/>
                    <w:overflowPunct/>
                    <w:topLinePunct w:val="0"/>
                    <w:bidi w:val="0"/>
                    <w:spacing w:before="0" w:beforeLines="0" w:beforeAutospacing="0" w:after="0" w:afterAutospacing="0" w:line="360" w:lineRule="exact"/>
                    <w:ind w:left="0" w:right="0"/>
                    <w:textAlignment w:val="auto"/>
                    <w:rPr>
                      <w:rFonts w:hint="default" w:ascii="Times New Roman" w:hAnsi="Times New Roman" w:cs="Times New Roman"/>
                      <w:b w:val="0"/>
                      <w:bCs/>
                      <w:sz w:val="20"/>
                      <w:szCs w:val="20"/>
                    </w:rPr>
                  </w:pPr>
                </w:p>
              </w:tc>
            </w:tr>
            <w:tr w14:paraId="013B686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23" w:hRule="atLeast"/>
              </w:trPr>
              <w:tc>
                <w:tcPr>
                  <w:tcW w:w="505" w:type="pct"/>
                  <w:vMerge w:val="continue"/>
                  <w:tcBorders>
                    <w:tl2br w:val="nil"/>
                    <w:tr2bl w:val="nil"/>
                  </w:tcBorders>
                  <w:shd w:val="clear" w:color="auto" w:fill="auto"/>
                  <w:vAlign w:val="center"/>
                </w:tcPr>
                <w:p w14:paraId="28173AA9">
                  <w:pPr>
                    <w:keepNext w:val="0"/>
                    <w:keepLines w:val="0"/>
                    <w:pageBreakBefore w:val="0"/>
                    <w:suppressLineNumbers w:val="0"/>
                    <w:kinsoku/>
                    <w:wordWrap/>
                    <w:overflowPunct/>
                    <w:topLinePunct w:val="0"/>
                    <w:bidi w:val="0"/>
                    <w:spacing w:before="0" w:beforeLines="0" w:beforeAutospacing="0" w:after="0" w:afterAutospacing="0" w:line="360" w:lineRule="exact"/>
                    <w:ind w:left="0" w:right="0"/>
                    <w:textAlignment w:val="auto"/>
                    <w:rPr>
                      <w:rFonts w:hint="default" w:ascii="Times New Roman" w:hAnsi="Times New Roman" w:cs="Times New Roman"/>
                      <w:b w:val="0"/>
                      <w:bCs/>
                      <w:sz w:val="20"/>
                      <w:szCs w:val="20"/>
                    </w:rPr>
                  </w:pPr>
                </w:p>
              </w:tc>
              <w:tc>
                <w:tcPr>
                  <w:tcW w:w="2737" w:type="pct"/>
                  <w:gridSpan w:val="2"/>
                  <w:tcBorders>
                    <w:tl2br w:val="nil"/>
                    <w:tr2bl w:val="nil"/>
                  </w:tcBorders>
                  <w:shd w:val="clear" w:color="auto" w:fill="auto"/>
                  <w:vAlign w:val="center"/>
                </w:tcPr>
                <w:p w14:paraId="35A59B9B">
                  <w:pPr>
                    <w:pStyle w:val="21"/>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exact"/>
                    <w:ind w:left="0" w:right="0"/>
                    <w:jc w:val="center"/>
                    <w:textAlignment w:val="auto"/>
                    <w:rPr>
                      <w:rFonts w:hint="default" w:ascii="Times New Roman" w:hAnsi="Times New Roman" w:cs="Times New Roman"/>
                      <w:b w:val="0"/>
                      <w:bCs/>
                    </w:rPr>
                  </w:pPr>
                  <w:r>
                    <w:rPr>
                      <w:rFonts w:hint="default" w:ascii="宋体" w:hAnsi="Times New Roman" w:eastAsia="Times New Roman" w:cs="Times New Roman"/>
                      <w:b w:val="0"/>
                      <w:bCs/>
                      <w:kern w:val="0"/>
                      <w:sz w:val="21"/>
                      <w:szCs w:val="20"/>
                      <w:lang w:val="en-US" w:eastAsia="zh-CN" w:bidi="ar"/>
                    </w:rPr>
                    <w:t>鼓励利于消耗中水的项目入驻；</w:t>
                  </w:r>
                </w:p>
              </w:tc>
              <w:tc>
                <w:tcPr>
                  <w:tcW w:w="1169" w:type="pct"/>
                  <w:vMerge w:val="continue"/>
                  <w:tcBorders>
                    <w:tl2br w:val="nil"/>
                    <w:tr2bl w:val="nil"/>
                  </w:tcBorders>
                  <w:shd w:val="clear" w:color="auto" w:fill="auto"/>
                  <w:vAlign w:val="center"/>
                </w:tcPr>
                <w:p w14:paraId="0A988158">
                  <w:pPr>
                    <w:keepNext w:val="0"/>
                    <w:keepLines w:val="0"/>
                    <w:pageBreakBefore w:val="0"/>
                    <w:suppressLineNumbers w:val="0"/>
                    <w:kinsoku/>
                    <w:wordWrap/>
                    <w:overflowPunct/>
                    <w:topLinePunct w:val="0"/>
                    <w:bidi w:val="0"/>
                    <w:spacing w:before="0" w:beforeLines="0" w:beforeAutospacing="0" w:after="0" w:afterAutospacing="0" w:line="360" w:lineRule="exact"/>
                    <w:ind w:left="0" w:right="0"/>
                    <w:textAlignment w:val="auto"/>
                    <w:rPr>
                      <w:rFonts w:hint="default" w:ascii="Times New Roman" w:hAnsi="Times New Roman" w:cs="Times New Roman"/>
                      <w:b w:val="0"/>
                      <w:bCs/>
                      <w:sz w:val="20"/>
                      <w:szCs w:val="20"/>
                    </w:rPr>
                  </w:pPr>
                </w:p>
              </w:tc>
              <w:tc>
                <w:tcPr>
                  <w:tcW w:w="588" w:type="pct"/>
                  <w:vMerge w:val="continue"/>
                  <w:tcBorders>
                    <w:tl2br w:val="nil"/>
                    <w:tr2bl w:val="nil"/>
                  </w:tcBorders>
                  <w:shd w:val="clear" w:color="auto" w:fill="auto"/>
                  <w:vAlign w:val="center"/>
                </w:tcPr>
                <w:p w14:paraId="0DC78FDD">
                  <w:pPr>
                    <w:keepNext w:val="0"/>
                    <w:keepLines w:val="0"/>
                    <w:pageBreakBefore w:val="0"/>
                    <w:suppressLineNumbers w:val="0"/>
                    <w:kinsoku/>
                    <w:wordWrap/>
                    <w:overflowPunct/>
                    <w:topLinePunct w:val="0"/>
                    <w:bidi w:val="0"/>
                    <w:spacing w:before="0" w:beforeLines="0" w:beforeAutospacing="0" w:after="0" w:afterAutospacing="0" w:line="360" w:lineRule="exact"/>
                    <w:ind w:left="0" w:right="0"/>
                    <w:textAlignment w:val="auto"/>
                    <w:rPr>
                      <w:rFonts w:hint="default" w:ascii="Times New Roman" w:hAnsi="Times New Roman" w:cs="Times New Roman"/>
                      <w:b w:val="0"/>
                      <w:bCs/>
                      <w:sz w:val="20"/>
                      <w:szCs w:val="20"/>
                    </w:rPr>
                  </w:pPr>
                </w:p>
              </w:tc>
            </w:tr>
            <w:tr w14:paraId="56C2406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505" w:type="pct"/>
                  <w:vMerge w:val="continue"/>
                  <w:tcBorders>
                    <w:tl2br w:val="nil"/>
                    <w:tr2bl w:val="nil"/>
                  </w:tcBorders>
                  <w:shd w:val="clear" w:color="auto" w:fill="auto"/>
                  <w:vAlign w:val="center"/>
                </w:tcPr>
                <w:p w14:paraId="2350484C">
                  <w:pPr>
                    <w:keepNext w:val="0"/>
                    <w:keepLines w:val="0"/>
                    <w:pageBreakBefore w:val="0"/>
                    <w:suppressLineNumbers w:val="0"/>
                    <w:kinsoku/>
                    <w:wordWrap/>
                    <w:overflowPunct/>
                    <w:topLinePunct w:val="0"/>
                    <w:bidi w:val="0"/>
                    <w:spacing w:before="0" w:beforeLines="0" w:beforeAutospacing="0" w:after="0" w:afterAutospacing="0" w:line="360" w:lineRule="exact"/>
                    <w:ind w:left="0" w:right="0"/>
                    <w:textAlignment w:val="auto"/>
                    <w:rPr>
                      <w:rFonts w:hint="default" w:ascii="Times New Roman" w:hAnsi="Times New Roman" w:cs="Times New Roman"/>
                      <w:b w:val="0"/>
                      <w:bCs/>
                      <w:sz w:val="20"/>
                      <w:szCs w:val="20"/>
                    </w:rPr>
                  </w:pPr>
                </w:p>
              </w:tc>
              <w:tc>
                <w:tcPr>
                  <w:tcW w:w="2737" w:type="pct"/>
                  <w:gridSpan w:val="2"/>
                  <w:tcBorders>
                    <w:tl2br w:val="nil"/>
                    <w:tr2bl w:val="nil"/>
                  </w:tcBorders>
                  <w:shd w:val="clear" w:color="auto" w:fill="auto"/>
                  <w:vAlign w:val="center"/>
                </w:tcPr>
                <w:p w14:paraId="78A806DA">
                  <w:pPr>
                    <w:pStyle w:val="21"/>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exact"/>
                    <w:ind w:left="0" w:right="0"/>
                    <w:jc w:val="center"/>
                    <w:textAlignment w:val="auto"/>
                    <w:rPr>
                      <w:rFonts w:hint="default" w:ascii="Times New Roman" w:hAnsi="Times New Roman" w:cs="Times New Roman"/>
                      <w:b w:val="0"/>
                      <w:bCs/>
                    </w:rPr>
                  </w:pPr>
                  <w:r>
                    <w:rPr>
                      <w:rFonts w:hint="default" w:ascii="宋体" w:hAnsi="Times New Roman" w:eastAsia="Times New Roman" w:cs="Times New Roman"/>
                      <w:b w:val="0"/>
                      <w:bCs/>
                      <w:kern w:val="0"/>
                      <w:sz w:val="21"/>
                      <w:szCs w:val="20"/>
                      <w:lang w:val="en-US" w:eastAsia="zh-CN" w:bidi="ar"/>
                    </w:rPr>
                    <w:t>鼓励现有符合产业定位的高能耗、高水耗企业的清洁生产、技术升级改造；</w:t>
                  </w:r>
                </w:p>
              </w:tc>
              <w:tc>
                <w:tcPr>
                  <w:tcW w:w="1169" w:type="pct"/>
                  <w:vMerge w:val="continue"/>
                  <w:tcBorders>
                    <w:tl2br w:val="nil"/>
                    <w:tr2bl w:val="nil"/>
                  </w:tcBorders>
                  <w:shd w:val="clear" w:color="auto" w:fill="auto"/>
                  <w:vAlign w:val="center"/>
                </w:tcPr>
                <w:p w14:paraId="73EF7290">
                  <w:pPr>
                    <w:keepNext w:val="0"/>
                    <w:keepLines w:val="0"/>
                    <w:pageBreakBefore w:val="0"/>
                    <w:suppressLineNumbers w:val="0"/>
                    <w:kinsoku/>
                    <w:wordWrap/>
                    <w:overflowPunct/>
                    <w:topLinePunct w:val="0"/>
                    <w:bidi w:val="0"/>
                    <w:spacing w:before="0" w:beforeLines="0" w:beforeAutospacing="0" w:after="0" w:afterAutospacing="0" w:line="360" w:lineRule="exact"/>
                    <w:ind w:left="0" w:right="0"/>
                    <w:textAlignment w:val="auto"/>
                    <w:rPr>
                      <w:rFonts w:hint="default" w:ascii="Times New Roman" w:hAnsi="Times New Roman" w:cs="Times New Roman"/>
                      <w:b w:val="0"/>
                      <w:bCs/>
                      <w:sz w:val="20"/>
                      <w:szCs w:val="20"/>
                    </w:rPr>
                  </w:pPr>
                </w:p>
              </w:tc>
              <w:tc>
                <w:tcPr>
                  <w:tcW w:w="588" w:type="pct"/>
                  <w:vMerge w:val="continue"/>
                  <w:tcBorders>
                    <w:tl2br w:val="nil"/>
                    <w:tr2bl w:val="nil"/>
                  </w:tcBorders>
                  <w:shd w:val="clear" w:color="auto" w:fill="auto"/>
                  <w:vAlign w:val="center"/>
                </w:tcPr>
                <w:p w14:paraId="7C95C81A">
                  <w:pPr>
                    <w:keepNext w:val="0"/>
                    <w:keepLines w:val="0"/>
                    <w:pageBreakBefore w:val="0"/>
                    <w:suppressLineNumbers w:val="0"/>
                    <w:kinsoku/>
                    <w:wordWrap/>
                    <w:overflowPunct/>
                    <w:topLinePunct w:val="0"/>
                    <w:bidi w:val="0"/>
                    <w:spacing w:before="0" w:beforeLines="0" w:beforeAutospacing="0" w:after="0" w:afterAutospacing="0" w:line="360" w:lineRule="exact"/>
                    <w:ind w:left="0" w:right="0"/>
                    <w:textAlignment w:val="auto"/>
                    <w:rPr>
                      <w:rFonts w:hint="default" w:ascii="Times New Roman" w:hAnsi="Times New Roman" w:cs="Times New Roman"/>
                      <w:b w:val="0"/>
                      <w:bCs/>
                      <w:sz w:val="20"/>
                      <w:szCs w:val="20"/>
                    </w:rPr>
                  </w:pPr>
                </w:p>
              </w:tc>
            </w:tr>
            <w:tr w14:paraId="4F60D5F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505" w:type="pct"/>
                  <w:vMerge w:val="continue"/>
                  <w:tcBorders>
                    <w:tl2br w:val="nil"/>
                    <w:tr2bl w:val="nil"/>
                  </w:tcBorders>
                  <w:shd w:val="clear" w:color="auto" w:fill="auto"/>
                  <w:vAlign w:val="center"/>
                </w:tcPr>
                <w:p w14:paraId="299CBE35">
                  <w:pPr>
                    <w:keepNext w:val="0"/>
                    <w:keepLines w:val="0"/>
                    <w:pageBreakBefore w:val="0"/>
                    <w:suppressLineNumbers w:val="0"/>
                    <w:kinsoku/>
                    <w:wordWrap/>
                    <w:overflowPunct/>
                    <w:topLinePunct w:val="0"/>
                    <w:bidi w:val="0"/>
                    <w:spacing w:before="0" w:beforeLines="0" w:beforeAutospacing="0" w:after="0" w:afterAutospacing="0" w:line="360" w:lineRule="exact"/>
                    <w:ind w:left="0" w:right="0"/>
                    <w:textAlignment w:val="auto"/>
                    <w:rPr>
                      <w:rFonts w:hint="default" w:ascii="Times New Roman" w:hAnsi="Times New Roman" w:cs="Times New Roman"/>
                      <w:b w:val="0"/>
                      <w:bCs/>
                      <w:sz w:val="20"/>
                      <w:szCs w:val="20"/>
                    </w:rPr>
                  </w:pPr>
                </w:p>
              </w:tc>
              <w:tc>
                <w:tcPr>
                  <w:tcW w:w="2737" w:type="pct"/>
                  <w:gridSpan w:val="2"/>
                  <w:tcBorders>
                    <w:tl2br w:val="nil"/>
                    <w:tr2bl w:val="nil"/>
                  </w:tcBorders>
                  <w:shd w:val="clear" w:color="auto" w:fill="auto"/>
                  <w:vAlign w:val="center"/>
                </w:tcPr>
                <w:p w14:paraId="31BFDE28">
                  <w:pPr>
                    <w:pStyle w:val="21"/>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exact"/>
                    <w:ind w:left="0" w:right="0"/>
                    <w:jc w:val="center"/>
                    <w:textAlignment w:val="auto"/>
                    <w:rPr>
                      <w:rFonts w:hint="default" w:ascii="Times New Roman" w:hAnsi="Times New Roman" w:cs="Times New Roman"/>
                      <w:b w:val="0"/>
                      <w:bCs/>
                    </w:rPr>
                  </w:pPr>
                  <w:r>
                    <w:rPr>
                      <w:rFonts w:hint="default" w:ascii="宋体" w:hAnsi="Times New Roman" w:eastAsia="Times New Roman" w:cs="Times New Roman"/>
                      <w:b w:val="0"/>
                      <w:bCs/>
                      <w:kern w:val="0"/>
                      <w:sz w:val="21"/>
                      <w:szCs w:val="20"/>
                      <w:lang w:val="en-US" w:eastAsia="zh-CN" w:bidi="ar"/>
                    </w:rPr>
                    <w:t>鼓励符合国家产业政策和集聚区产业定位的退城入园项目。</w:t>
                  </w:r>
                </w:p>
              </w:tc>
              <w:tc>
                <w:tcPr>
                  <w:tcW w:w="1169" w:type="pct"/>
                  <w:vMerge w:val="continue"/>
                  <w:tcBorders>
                    <w:tl2br w:val="nil"/>
                    <w:tr2bl w:val="nil"/>
                  </w:tcBorders>
                  <w:shd w:val="clear" w:color="auto" w:fill="auto"/>
                  <w:vAlign w:val="center"/>
                </w:tcPr>
                <w:p w14:paraId="336EB75A">
                  <w:pPr>
                    <w:keepNext w:val="0"/>
                    <w:keepLines w:val="0"/>
                    <w:pageBreakBefore w:val="0"/>
                    <w:suppressLineNumbers w:val="0"/>
                    <w:kinsoku/>
                    <w:wordWrap/>
                    <w:overflowPunct/>
                    <w:topLinePunct w:val="0"/>
                    <w:bidi w:val="0"/>
                    <w:spacing w:before="0" w:beforeLines="0" w:beforeAutospacing="0" w:after="0" w:afterAutospacing="0" w:line="360" w:lineRule="exact"/>
                    <w:ind w:left="0" w:right="0"/>
                    <w:textAlignment w:val="auto"/>
                    <w:rPr>
                      <w:rFonts w:hint="default" w:ascii="Times New Roman" w:hAnsi="Times New Roman" w:cs="Times New Roman"/>
                      <w:b w:val="0"/>
                      <w:bCs/>
                      <w:sz w:val="20"/>
                      <w:szCs w:val="20"/>
                    </w:rPr>
                  </w:pPr>
                </w:p>
              </w:tc>
              <w:tc>
                <w:tcPr>
                  <w:tcW w:w="588" w:type="pct"/>
                  <w:vMerge w:val="continue"/>
                  <w:tcBorders>
                    <w:tl2br w:val="nil"/>
                    <w:tr2bl w:val="nil"/>
                  </w:tcBorders>
                  <w:shd w:val="clear" w:color="auto" w:fill="auto"/>
                  <w:vAlign w:val="center"/>
                </w:tcPr>
                <w:p w14:paraId="65F1DF6B">
                  <w:pPr>
                    <w:keepNext w:val="0"/>
                    <w:keepLines w:val="0"/>
                    <w:pageBreakBefore w:val="0"/>
                    <w:suppressLineNumbers w:val="0"/>
                    <w:kinsoku/>
                    <w:wordWrap/>
                    <w:overflowPunct/>
                    <w:topLinePunct w:val="0"/>
                    <w:bidi w:val="0"/>
                    <w:spacing w:before="0" w:beforeLines="0" w:beforeAutospacing="0" w:after="0" w:afterAutospacing="0" w:line="360" w:lineRule="exact"/>
                    <w:ind w:left="0" w:right="0"/>
                    <w:textAlignment w:val="auto"/>
                    <w:rPr>
                      <w:rFonts w:hint="default" w:ascii="Times New Roman" w:hAnsi="Times New Roman" w:cs="Times New Roman"/>
                      <w:b w:val="0"/>
                      <w:bCs/>
                      <w:sz w:val="20"/>
                      <w:szCs w:val="20"/>
                    </w:rPr>
                  </w:pPr>
                </w:p>
              </w:tc>
            </w:tr>
            <w:tr w14:paraId="4A1BA4E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505" w:type="pct"/>
                  <w:tcBorders>
                    <w:tl2br w:val="nil"/>
                    <w:tr2bl w:val="nil"/>
                  </w:tcBorders>
                  <w:shd w:val="clear" w:color="auto" w:fill="auto"/>
                  <w:vAlign w:val="center"/>
                </w:tcPr>
                <w:p w14:paraId="3B603020">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eastAsia" w:ascii="宋体" w:hAnsi="宋体" w:eastAsia="宋体" w:cs="宋体"/>
                      <w:b w:val="0"/>
                      <w:bCs/>
                      <w:kern w:val="0"/>
                      <w:szCs w:val="21"/>
                      <w:lang w:val="en-US"/>
                    </w:rPr>
                  </w:pPr>
                  <w:r>
                    <w:rPr>
                      <w:rFonts w:hint="eastAsia" w:ascii="宋体" w:hAnsi="宋体" w:eastAsia="宋体" w:cs="宋体"/>
                      <w:b w:val="0"/>
                      <w:bCs/>
                      <w:kern w:val="0"/>
                      <w:sz w:val="21"/>
                      <w:szCs w:val="24"/>
                      <w:lang w:val="en-US" w:eastAsia="zh-CN" w:bidi="ar"/>
                    </w:rPr>
                    <w:t>禁止类</w:t>
                  </w:r>
                </w:p>
              </w:tc>
              <w:tc>
                <w:tcPr>
                  <w:tcW w:w="2737" w:type="pct"/>
                  <w:gridSpan w:val="2"/>
                  <w:tcBorders>
                    <w:tl2br w:val="nil"/>
                    <w:tr2bl w:val="nil"/>
                  </w:tcBorders>
                  <w:shd w:val="clear" w:color="auto" w:fill="auto"/>
                  <w:vAlign w:val="center"/>
                </w:tcPr>
                <w:p w14:paraId="7E5F70FE">
                  <w:pPr>
                    <w:pStyle w:val="21"/>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exact"/>
                    <w:ind w:left="0" w:right="0"/>
                    <w:jc w:val="center"/>
                    <w:textAlignment w:val="auto"/>
                    <w:rPr>
                      <w:rFonts w:hint="default" w:ascii="Times New Roman" w:hAnsi="Times New Roman" w:cs="Times New Roman"/>
                      <w:b w:val="0"/>
                      <w:bCs/>
                    </w:rPr>
                  </w:pPr>
                  <w:r>
                    <w:rPr>
                      <w:rFonts w:hint="default" w:ascii="宋体" w:hAnsi="Times New Roman" w:eastAsia="Times New Roman" w:cs="Times New Roman"/>
                      <w:b w:val="0"/>
                      <w:bCs/>
                      <w:kern w:val="0"/>
                      <w:sz w:val="21"/>
                      <w:szCs w:val="20"/>
                      <w:lang w:val="en-US" w:eastAsia="zh-CN" w:bidi="ar"/>
                    </w:rPr>
                    <w:t>禁止入驻列入汤阴县产业集聚区负面清单中的项目。</w:t>
                  </w:r>
                </w:p>
              </w:tc>
              <w:tc>
                <w:tcPr>
                  <w:tcW w:w="1169" w:type="pct"/>
                  <w:tcBorders>
                    <w:tl2br w:val="nil"/>
                    <w:tr2bl w:val="nil"/>
                  </w:tcBorders>
                  <w:shd w:val="clear" w:color="auto" w:fill="auto"/>
                  <w:vAlign w:val="center"/>
                </w:tcPr>
                <w:p w14:paraId="6896F8BD">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eastAsia" w:ascii="宋体" w:hAnsi="宋体" w:eastAsia="宋体" w:cs="宋体"/>
                      <w:b w:val="0"/>
                      <w:bCs/>
                      <w:kern w:val="0"/>
                      <w:szCs w:val="21"/>
                      <w:lang w:val="en-US"/>
                    </w:rPr>
                  </w:pPr>
                  <w:r>
                    <w:rPr>
                      <w:rFonts w:hint="eastAsia" w:ascii="宋体" w:hAnsi="宋体" w:eastAsia="宋体" w:cs="宋体"/>
                      <w:b w:val="0"/>
                      <w:bCs/>
                      <w:kern w:val="0"/>
                      <w:sz w:val="21"/>
                      <w:szCs w:val="24"/>
                      <w:lang w:val="en-US" w:eastAsia="zh-CN" w:bidi="ar"/>
                    </w:rPr>
                    <w:t>未列入汤阴县产业集聚区负面清单。</w:t>
                  </w:r>
                </w:p>
              </w:tc>
              <w:tc>
                <w:tcPr>
                  <w:tcW w:w="588" w:type="pct"/>
                  <w:tcBorders>
                    <w:tl2br w:val="nil"/>
                    <w:tr2bl w:val="nil"/>
                  </w:tcBorders>
                  <w:shd w:val="clear" w:color="auto" w:fill="auto"/>
                  <w:vAlign w:val="center"/>
                </w:tcPr>
                <w:p w14:paraId="153B0BD5">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eastAsia" w:ascii="宋体" w:hAnsi="宋体" w:eastAsia="宋体" w:cs="宋体"/>
                      <w:b w:val="0"/>
                      <w:bCs/>
                      <w:kern w:val="0"/>
                      <w:szCs w:val="21"/>
                      <w:lang w:val="en-US"/>
                    </w:rPr>
                  </w:pPr>
                  <w:r>
                    <w:rPr>
                      <w:rFonts w:hint="eastAsia" w:ascii="宋体" w:hAnsi="宋体" w:eastAsia="宋体" w:cs="宋体"/>
                      <w:b w:val="0"/>
                      <w:bCs/>
                      <w:kern w:val="0"/>
                      <w:sz w:val="21"/>
                      <w:szCs w:val="24"/>
                      <w:lang w:val="en-US" w:eastAsia="zh-CN" w:bidi="ar"/>
                    </w:rPr>
                    <w:t>相符</w:t>
                  </w:r>
                </w:p>
              </w:tc>
            </w:tr>
            <w:tr w14:paraId="226C6DF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505" w:type="pct"/>
                  <w:vMerge w:val="restart"/>
                  <w:tcBorders>
                    <w:tl2br w:val="nil"/>
                    <w:tr2bl w:val="nil"/>
                  </w:tcBorders>
                  <w:shd w:val="clear" w:color="auto" w:fill="auto"/>
                  <w:vAlign w:val="center"/>
                </w:tcPr>
                <w:p w14:paraId="753C64E0">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eastAsia" w:ascii="宋体" w:hAnsi="宋体" w:eastAsia="宋体" w:cs="宋体"/>
                      <w:b w:val="0"/>
                      <w:bCs/>
                      <w:kern w:val="0"/>
                      <w:szCs w:val="21"/>
                      <w:lang w:val="en-US"/>
                    </w:rPr>
                  </w:pPr>
                  <w:r>
                    <w:rPr>
                      <w:rFonts w:hint="eastAsia" w:ascii="宋体" w:hAnsi="宋体" w:eastAsia="宋体" w:cs="宋体"/>
                      <w:b w:val="0"/>
                      <w:bCs/>
                      <w:kern w:val="0"/>
                      <w:sz w:val="21"/>
                      <w:szCs w:val="24"/>
                      <w:lang w:val="en-US" w:eastAsia="zh-CN" w:bidi="ar"/>
                    </w:rPr>
                    <w:t>产业发展</w:t>
                  </w:r>
                </w:p>
              </w:tc>
              <w:tc>
                <w:tcPr>
                  <w:tcW w:w="322" w:type="pct"/>
                  <w:tcBorders>
                    <w:tl2br w:val="nil"/>
                    <w:tr2bl w:val="nil"/>
                  </w:tcBorders>
                  <w:shd w:val="clear" w:color="auto" w:fill="auto"/>
                  <w:vAlign w:val="center"/>
                </w:tcPr>
                <w:p w14:paraId="33BF0AB7">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exact"/>
                    <w:ind w:left="0" w:right="0"/>
                    <w:jc w:val="center"/>
                    <w:textAlignment w:val="auto"/>
                    <w:rPr>
                      <w:rFonts w:hint="eastAsia" w:ascii="宋体" w:hAnsi="宋体" w:eastAsia="宋体" w:cs="宋体"/>
                      <w:b w:val="0"/>
                      <w:bCs/>
                      <w:szCs w:val="21"/>
                      <w:lang w:val="en-US"/>
                    </w:rPr>
                  </w:pPr>
                  <w:r>
                    <w:rPr>
                      <w:rFonts w:hint="eastAsia" w:ascii="宋体" w:hAnsi="宋体" w:eastAsia="宋体" w:cs="宋体"/>
                      <w:b w:val="0"/>
                      <w:bCs/>
                      <w:kern w:val="2"/>
                      <w:sz w:val="21"/>
                      <w:szCs w:val="24"/>
                      <w:lang w:val="en-US" w:eastAsia="zh-CN" w:bidi="ar"/>
                    </w:rPr>
                    <w:t>医药行业</w:t>
                  </w:r>
                </w:p>
              </w:tc>
              <w:tc>
                <w:tcPr>
                  <w:tcW w:w="2415" w:type="pct"/>
                  <w:tcBorders>
                    <w:tl2br w:val="nil"/>
                    <w:tr2bl w:val="nil"/>
                  </w:tcBorders>
                  <w:shd w:val="clear" w:color="auto" w:fill="auto"/>
                  <w:vAlign w:val="center"/>
                </w:tcPr>
                <w:p w14:paraId="3B40143B">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exact"/>
                    <w:ind w:left="0" w:right="0"/>
                    <w:jc w:val="center"/>
                    <w:textAlignment w:val="auto"/>
                    <w:rPr>
                      <w:rFonts w:hint="eastAsia" w:ascii="宋体" w:hAnsi="宋体" w:eastAsia="宋体" w:cs="宋体"/>
                      <w:b w:val="0"/>
                      <w:bCs/>
                      <w:szCs w:val="21"/>
                      <w:lang w:val="en-US"/>
                    </w:rPr>
                  </w:pPr>
                  <w:r>
                    <w:rPr>
                      <w:rFonts w:hint="eastAsia" w:ascii="宋体" w:hAnsi="宋体" w:eastAsia="宋体" w:cs="宋体"/>
                      <w:b w:val="0"/>
                      <w:bCs/>
                      <w:kern w:val="2"/>
                      <w:sz w:val="21"/>
                      <w:szCs w:val="24"/>
                      <w:lang w:val="en-US" w:eastAsia="zh-CN" w:bidi="ar"/>
                    </w:rPr>
                    <w:t>重点发展中药类制药、混装制剂类制药、提取类制药以及生物工程类制药。</w:t>
                  </w:r>
                </w:p>
              </w:tc>
              <w:tc>
                <w:tcPr>
                  <w:tcW w:w="1169" w:type="pct"/>
                  <w:tcBorders>
                    <w:tl2br w:val="nil"/>
                    <w:tr2bl w:val="nil"/>
                  </w:tcBorders>
                  <w:shd w:val="clear" w:color="auto" w:fill="auto"/>
                  <w:vAlign w:val="center"/>
                </w:tcPr>
                <w:p w14:paraId="79AF589A">
                  <w:pPr>
                    <w:keepNext w:val="0"/>
                    <w:keepLines w:val="0"/>
                    <w:pageBreakBefore w:val="0"/>
                    <w:widowControl/>
                    <w:suppressLineNumbers w:val="0"/>
                    <w:kinsoku/>
                    <w:wordWrap/>
                    <w:overflowPunct/>
                    <w:topLinePunct w:val="0"/>
                    <w:bidi w:val="0"/>
                    <w:adjustRightInd w:val="0"/>
                    <w:snapToGrid w:val="0"/>
                    <w:spacing w:before="0" w:beforeAutospacing="0" w:after="0" w:afterAutospacing="0" w:line="360" w:lineRule="exact"/>
                    <w:ind w:left="0" w:right="0" w:firstLine="0" w:firstLineChars="0"/>
                    <w:jc w:val="center"/>
                    <w:textAlignment w:val="auto"/>
                    <w:rPr>
                      <w:rFonts w:hint="eastAsia" w:ascii="宋体" w:hAnsi="宋体" w:eastAsia="宋体" w:cs="宋体"/>
                      <w:b w:val="0"/>
                      <w:bCs/>
                      <w:kern w:val="0"/>
                      <w:lang w:val="en-US"/>
                    </w:rPr>
                  </w:pPr>
                  <w:r>
                    <w:rPr>
                      <w:rFonts w:hint="eastAsia" w:ascii="宋体" w:hAnsi="宋体" w:eastAsia="宋体" w:cs="宋体"/>
                      <w:b w:val="0"/>
                      <w:bCs/>
                      <w:kern w:val="0"/>
                    </w:rPr>
                    <w:t>不属于医药行业。</w:t>
                  </w:r>
                </w:p>
              </w:tc>
              <w:tc>
                <w:tcPr>
                  <w:tcW w:w="588" w:type="pct"/>
                  <w:tcBorders>
                    <w:tl2br w:val="nil"/>
                    <w:tr2bl w:val="nil"/>
                  </w:tcBorders>
                  <w:shd w:val="clear" w:color="auto" w:fill="auto"/>
                  <w:vAlign w:val="center"/>
                </w:tcPr>
                <w:p w14:paraId="4055B8AB">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eastAsia" w:ascii="宋体" w:hAnsi="宋体" w:eastAsia="宋体" w:cs="宋体"/>
                      <w:b w:val="0"/>
                      <w:bCs/>
                      <w:kern w:val="0"/>
                      <w:szCs w:val="21"/>
                      <w:lang w:val="en-US"/>
                    </w:rPr>
                  </w:pPr>
                  <w:r>
                    <w:rPr>
                      <w:rFonts w:hint="default" w:ascii="Times New Roman" w:hAnsi="Times New Roman" w:eastAsia="宋体" w:cs="Times New Roman"/>
                      <w:b w:val="0"/>
                      <w:bCs/>
                      <w:kern w:val="0"/>
                      <w:sz w:val="21"/>
                      <w:szCs w:val="24"/>
                      <w:lang w:val="en-US" w:eastAsia="zh-CN" w:bidi="ar"/>
                    </w:rPr>
                    <w:t>/</w:t>
                  </w:r>
                </w:p>
              </w:tc>
            </w:tr>
            <w:tr w14:paraId="4CFF8DF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23" w:hRule="atLeast"/>
              </w:trPr>
              <w:tc>
                <w:tcPr>
                  <w:tcW w:w="505" w:type="pct"/>
                  <w:vMerge w:val="continue"/>
                  <w:tcBorders>
                    <w:tl2br w:val="nil"/>
                    <w:tr2bl w:val="nil"/>
                  </w:tcBorders>
                  <w:shd w:val="clear" w:color="auto" w:fill="auto"/>
                  <w:vAlign w:val="center"/>
                </w:tcPr>
                <w:p w14:paraId="75E27A73">
                  <w:pPr>
                    <w:keepNext w:val="0"/>
                    <w:keepLines w:val="0"/>
                    <w:pageBreakBefore w:val="0"/>
                    <w:suppressLineNumbers w:val="0"/>
                    <w:kinsoku/>
                    <w:wordWrap/>
                    <w:overflowPunct/>
                    <w:topLinePunct w:val="0"/>
                    <w:bidi w:val="0"/>
                    <w:spacing w:before="0" w:beforeLines="0" w:beforeAutospacing="0" w:after="0" w:afterAutospacing="0" w:line="360" w:lineRule="exact"/>
                    <w:ind w:left="0" w:right="0"/>
                    <w:textAlignment w:val="auto"/>
                    <w:rPr>
                      <w:rFonts w:hint="default" w:ascii="Times New Roman" w:hAnsi="Times New Roman" w:cs="Times New Roman"/>
                      <w:b w:val="0"/>
                      <w:bCs/>
                      <w:sz w:val="20"/>
                      <w:szCs w:val="20"/>
                    </w:rPr>
                  </w:pPr>
                </w:p>
              </w:tc>
              <w:tc>
                <w:tcPr>
                  <w:tcW w:w="322" w:type="pct"/>
                  <w:tcBorders>
                    <w:tl2br w:val="nil"/>
                    <w:tr2bl w:val="nil"/>
                  </w:tcBorders>
                  <w:shd w:val="clear" w:color="auto" w:fill="auto"/>
                  <w:vAlign w:val="center"/>
                </w:tcPr>
                <w:p w14:paraId="7A0AA19D">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exact"/>
                    <w:ind w:left="0" w:right="0"/>
                    <w:jc w:val="center"/>
                    <w:textAlignment w:val="auto"/>
                    <w:rPr>
                      <w:rFonts w:hint="eastAsia" w:ascii="宋体" w:hAnsi="宋体" w:eastAsia="宋体" w:cs="宋体"/>
                      <w:b w:val="0"/>
                      <w:bCs/>
                      <w:szCs w:val="21"/>
                      <w:lang w:val="en-US"/>
                    </w:rPr>
                  </w:pPr>
                  <w:r>
                    <w:rPr>
                      <w:rFonts w:hint="eastAsia" w:ascii="宋体" w:hAnsi="宋体" w:eastAsia="宋体" w:cs="宋体"/>
                      <w:b w:val="0"/>
                      <w:bCs/>
                      <w:kern w:val="2"/>
                      <w:sz w:val="21"/>
                      <w:szCs w:val="24"/>
                      <w:lang w:val="en-US" w:eastAsia="zh-CN" w:bidi="ar"/>
                    </w:rPr>
                    <w:t>食品行业</w:t>
                  </w:r>
                </w:p>
              </w:tc>
              <w:tc>
                <w:tcPr>
                  <w:tcW w:w="2415" w:type="pct"/>
                  <w:tcBorders>
                    <w:tl2br w:val="nil"/>
                    <w:tr2bl w:val="nil"/>
                  </w:tcBorders>
                  <w:shd w:val="clear" w:color="auto" w:fill="auto"/>
                  <w:vAlign w:val="center"/>
                </w:tcPr>
                <w:p w14:paraId="62F626F8">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exact"/>
                    <w:ind w:left="0" w:right="0"/>
                    <w:jc w:val="center"/>
                    <w:textAlignment w:val="auto"/>
                    <w:rPr>
                      <w:rFonts w:hint="eastAsia" w:ascii="宋体" w:hAnsi="宋体" w:eastAsia="宋体" w:cs="宋体"/>
                      <w:b w:val="0"/>
                      <w:bCs/>
                      <w:szCs w:val="21"/>
                      <w:lang w:val="en-US"/>
                    </w:rPr>
                  </w:pPr>
                  <w:r>
                    <w:rPr>
                      <w:rFonts w:hint="eastAsia" w:ascii="宋体" w:hAnsi="宋体" w:eastAsia="宋体" w:cs="宋体"/>
                      <w:b w:val="0"/>
                      <w:bCs/>
                      <w:kern w:val="2"/>
                      <w:sz w:val="21"/>
                      <w:szCs w:val="24"/>
                      <w:lang w:val="en-US" w:eastAsia="zh-CN" w:bidi="ar"/>
                    </w:rPr>
                    <w:t>重点发展农副食品加工工业和食品制造业；适当发展酒、饮料和精制茶制造业。鼓励发展膨化食品、饼干等后续加工高附加值的休闲食品类项目。</w:t>
                  </w:r>
                </w:p>
              </w:tc>
              <w:tc>
                <w:tcPr>
                  <w:tcW w:w="1169" w:type="pct"/>
                  <w:tcBorders>
                    <w:tl2br w:val="nil"/>
                    <w:tr2bl w:val="nil"/>
                  </w:tcBorders>
                  <w:shd w:val="clear" w:color="auto" w:fill="auto"/>
                  <w:vAlign w:val="center"/>
                </w:tcPr>
                <w:p w14:paraId="2D4BC310">
                  <w:pPr>
                    <w:keepNext w:val="0"/>
                    <w:keepLines w:val="0"/>
                    <w:pageBreakBefore w:val="0"/>
                    <w:widowControl/>
                    <w:suppressLineNumbers w:val="0"/>
                    <w:kinsoku/>
                    <w:wordWrap/>
                    <w:overflowPunct/>
                    <w:topLinePunct w:val="0"/>
                    <w:bidi w:val="0"/>
                    <w:adjustRightInd w:val="0"/>
                    <w:snapToGrid w:val="0"/>
                    <w:spacing w:before="0" w:beforeAutospacing="0" w:after="0" w:afterAutospacing="0" w:line="360" w:lineRule="exact"/>
                    <w:ind w:left="0" w:right="0" w:firstLine="0" w:firstLineChars="0"/>
                    <w:jc w:val="center"/>
                    <w:textAlignment w:val="auto"/>
                    <w:rPr>
                      <w:rFonts w:hint="eastAsia" w:ascii="宋体" w:hAnsi="宋体" w:eastAsia="宋体" w:cs="宋体"/>
                      <w:b w:val="0"/>
                      <w:bCs/>
                      <w:kern w:val="0"/>
                      <w:lang w:val="en-US"/>
                    </w:rPr>
                  </w:pPr>
                  <w:r>
                    <w:rPr>
                      <w:rFonts w:hint="eastAsia" w:ascii="宋体" w:hAnsi="宋体" w:eastAsia="宋体" w:cs="宋体"/>
                      <w:b w:val="0"/>
                      <w:bCs/>
                      <w:kern w:val="0"/>
                    </w:rPr>
                    <w:t>不属于食品行业。</w:t>
                  </w:r>
                </w:p>
              </w:tc>
              <w:tc>
                <w:tcPr>
                  <w:tcW w:w="588" w:type="pct"/>
                  <w:tcBorders>
                    <w:tl2br w:val="nil"/>
                    <w:tr2bl w:val="nil"/>
                  </w:tcBorders>
                  <w:shd w:val="clear" w:color="auto" w:fill="auto"/>
                  <w:vAlign w:val="center"/>
                </w:tcPr>
                <w:p w14:paraId="12BB273C">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eastAsia" w:ascii="宋体" w:hAnsi="宋体" w:eastAsia="宋体" w:cs="宋体"/>
                      <w:b w:val="0"/>
                      <w:bCs/>
                      <w:kern w:val="0"/>
                      <w:szCs w:val="21"/>
                      <w:lang w:val="en-US"/>
                    </w:rPr>
                  </w:pPr>
                  <w:r>
                    <w:rPr>
                      <w:rFonts w:hint="default" w:ascii="Times New Roman" w:hAnsi="Times New Roman" w:eastAsia="宋体" w:cs="Times New Roman"/>
                      <w:b w:val="0"/>
                      <w:bCs/>
                      <w:kern w:val="0"/>
                      <w:sz w:val="21"/>
                      <w:szCs w:val="24"/>
                      <w:lang w:val="en-US" w:eastAsia="zh-CN" w:bidi="ar"/>
                    </w:rPr>
                    <w:t>/</w:t>
                  </w:r>
                </w:p>
              </w:tc>
            </w:tr>
            <w:tr w14:paraId="465C502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505" w:type="pct"/>
                  <w:vMerge w:val="continue"/>
                  <w:tcBorders>
                    <w:tl2br w:val="nil"/>
                    <w:tr2bl w:val="nil"/>
                  </w:tcBorders>
                  <w:shd w:val="clear" w:color="auto" w:fill="auto"/>
                  <w:vAlign w:val="center"/>
                </w:tcPr>
                <w:p w14:paraId="4A366550">
                  <w:pPr>
                    <w:keepNext w:val="0"/>
                    <w:keepLines w:val="0"/>
                    <w:pageBreakBefore w:val="0"/>
                    <w:suppressLineNumbers w:val="0"/>
                    <w:kinsoku/>
                    <w:wordWrap/>
                    <w:overflowPunct/>
                    <w:topLinePunct w:val="0"/>
                    <w:bidi w:val="0"/>
                    <w:spacing w:before="0" w:beforeLines="0" w:beforeAutospacing="0" w:after="0" w:afterAutospacing="0" w:line="360" w:lineRule="exact"/>
                    <w:ind w:left="0" w:right="0"/>
                    <w:textAlignment w:val="auto"/>
                    <w:rPr>
                      <w:rFonts w:hint="default" w:ascii="Times New Roman" w:hAnsi="Times New Roman" w:cs="Times New Roman"/>
                      <w:b w:val="0"/>
                      <w:bCs/>
                      <w:sz w:val="20"/>
                      <w:szCs w:val="20"/>
                    </w:rPr>
                  </w:pPr>
                </w:p>
              </w:tc>
              <w:tc>
                <w:tcPr>
                  <w:tcW w:w="322" w:type="pct"/>
                  <w:tcBorders>
                    <w:tl2br w:val="nil"/>
                    <w:tr2bl w:val="nil"/>
                  </w:tcBorders>
                  <w:shd w:val="clear" w:color="auto" w:fill="auto"/>
                  <w:vAlign w:val="center"/>
                </w:tcPr>
                <w:p w14:paraId="11F1EF99">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exact"/>
                    <w:ind w:left="0" w:right="0"/>
                    <w:jc w:val="center"/>
                    <w:textAlignment w:val="auto"/>
                    <w:rPr>
                      <w:rFonts w:hint="eastAsia" w:ascii="宋体" w:hAnsi="宋体" w:eastAsia="宋体" w:cs="宋体"/>
                      <w:b w:val="0"/>
                      <w:bCs/>
                      <w:szCs w:val="21"/>
                      <w:lang w:val="en-US"/>
                    </w:rPr>
                  </w:pPr>
                  <w:r>
                    <w:rPr>
                      <w:rFonts w:hint="eastAsia" w:ascii="宋体" w:hAnsi="宋体" w:eastAsia="宋体" w:cs="宋体"/>
                      <w:b w:val="0"/>
                      <w:bCs/>
                      <w:kern w:val="2"/>
                      <w:sz w:val="21"/>
                      <w:szCs w:val="24"/>
                      <w:lang w:val="en-US" w:eastAsia="zh-CN" w:bidi="ar"/>
                    </w:rPr>
                    <w:t>加工制造</w:t>
                  </w:r>
                </w:p>
              </w:tc>
              <w:tc>
                <w:tcPr>
                  <w:tcW w:w="2415" w:type="pct"/>
                  <w:tcBorders>
                    <w:tl2br w:val="nil"/>
                    <w:tr2bl w:val="nil"/>
                  </w:tcBorders>
                  <w:shd w:val="clear" w:color="auto" w:fill="auto"/>
                  <w:vAlign w:val="center"/>
                </w:tcPr>
                <w:p w14:paraId="05B8CE66">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exact"/>
                    <w:ind w:left="0" w:right="0"/>
                    <w:jc w:val="center"/>
                    <w:textAlignment w:val="auto"/>
                    <w:rPr>
                      <w:rFonts w:hint="eastAsia" w:ascii="宋体" w:hAnsi="宋体" w:eastAsia="宋体" w:cs="宋体"/>
                      <w:b w:val="0"/>
                      <w:bCs/>
                      <w:szCs w:val="21"/>
                      <w:lang w:val="en-US"/>
                    </w:rPr>
                  </w:pPr>
                  <w:r>
                    <w:rPr>
                      <w:rFonts w:hint="eastAsia" w:ascii="宋体" w:hAnsi="宋体" w:eastAsia="宋体" w:cs="宋体"/>
                      <w:b w:val="0"/>
                      <w:bCs/>
                      <w:kern w:val="2"/>
                      <w:sz w:val="21"/>
                      <w:szCs w:val="24"/>
                      <w:lang w:val="en-US" w:eastAsia="zh-CN" w:bidi="ar"/>
                    </w:rPr>
                    <w:t>重点发展装备制造业和专用装备制造，鼓励发展与集聚区产业定位相关联的加工项目，如医药、食品包装加工等上下游配套产品类项目。</w:t>
                  </w:r>
                </w:p>
              </w:tc>
              <w:tc>
                <w:tcPr>
                  <w:tcW w:w="1169" w:type="pct"/>
                  <w:tcBorders>
                    <w:tl2br w:val="nil"/>
                    <w:tr2bl w:val="nil"/>
                  </w:tcBorders>
                  <w:shd w:val="clear" w:color="auto" w:fill="auto"/>
                  <w:vAlign w:val="center"/>
                </w:tcPr>
                <w:p w14:paraId="71348812">
                  <w:pPr>
                    <w:keepNext w:val="0"/>
                    <w:keepLines w:val="0"/>
                    <w:pageBreakBefore w:val="0"/>
                    <w:widowControl/>
                    <w:suppressLineNumbers w:val="0"/>
                    <w:kinsoku/>
                    <w:wordWrap/>
                    <w:overflowPunct/>
                    <w:topLinePunct w:val="0"/>
                    <w:bidi w:val="0"/>
                    <w:adjustRightInd w:val="0"/>
                    <w:snapToGrid w:val="0"/>
                    <w:spacing w:before="0" w:beforeAutospacing="0" w:after="0" w:afterAutospacing="0" w:line="360" w:lineRule="exact"/>
                    <w:ind w:left="0" w:right="0" w:firstLine="0" w:firstLineChars="0"/>
                    <w:jc w:val="center"/>
                    <w:textAlignment w:val="auto"/>
                    <w:rPr>
                      <w:rFonts w:hint="eastAsia" w:ascii="宋体" w:hAnsi="宋体" w:eastAsia="宋体" w:cs="宋体"/>
                      <w:b w:val="0"/>
                      <w:bCs/>
                      <w:kern w:val="0"/>
                      <w:lang w:val="en-US"/>
                    </w:rPr>
                  </w:pPr>
                  <w:r>
                    <w:rPr>
                      <w:rFonts w:hint="default" w:ascii="Times New Roman" w:hAnsi="Times New Roman" w:eastAsia="宋体" w:cs="Times New Roman"/>
                      <w:b w:val="0"/>
                      <w:bCs/>
                      <w:kern w:val="0"/>
                      <w:lang w:val="en-US" w:eastAsia="zh-CN"/>
                    </w:rPr>
                    <w:t>项目产品</w:t>
                  </w:r>
                  <w:r>
                    <w:rPr>
                      <w:rFonts w:hint="eastAsia" w:cs="Times New Roman"/>
                      <w:b w:val="0"/>
                      <w:bCs/>
                      <w:kern w:val="0"/>
                      <w:lang w:val="en-US" w:eastAsia="zh-CN"/>
                    </w:rPr>
                    <w:t>为</w:t>
                  </w:r>
                  <w:r>
                    <w:rPr>
                      <w:rFonts w:hint="default" w:ascii="Times New Roman" w:hAnsi="Times New Roman" w:eastAsia="宋体" w:cs="Times New Roman"/>
                      <w:b w:val="0"/>
                      <w:bCs/>
                      <w:kern w:val="0"/>
                      <w:lang w:val="en-US" w:eastAsia="zh-CN"/>
                    </w:rPr>
                    <w:t>PE</w:t>
                  </w:r>
                  <w:r>
                    <w:rPr>
                      <w:rFonts w:hint="eastAsia" w:ascii="宋体" w:hAnsi="宋体" w:eastAsia="宋体" w:cs="宋体"/>
                      <w:b w:val="0"/>
                      <w:bCs/>
                      <w:kern w:val="0"/>
                      <w:lang w:val="en-US" w:eastAsia="zh-CN"/>
                    </w:rPr>
                    <w:t>布，主要用于仓储防护与运输遮盖、包装领域、农业灌溉等方面，属于园区主导产业的配套链条行业</w:t>
                  </w:r>
                  <w:r>
                    <w:rPr>
                      <w:rFonts w:hint="eastAsia" w:ascii="宋体" w:hAnsi="宋体" w:eastAsia="宋体" w:cs="宋体"/>
                      <w:b w:val="0"/>
                      <w:bCs/>
                      <w:kern w:val="0"/>
                    </w:rPr>
                    <w:t>。</w:t>
                  </w:r>
                </w:p>
              </w:tc>
              <w:tc>
                <w:tcPr>
                  <w:tcW w:w="588" w:type="pct"/>
                  <w:tcBorders>
                    <w:tl2br w:val="nil"/>
                    <w:tr2bl w:val="nil"/>
                  </w:tcBorders>
                  <w:shd w:val="clear" w:color="auto" w:fill="auto"/>
                  <w:vAlign w:val="center"/>
                </w:tcPr>
                <w:p w14:paraId="17CF032D">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eastAsia" w:ascii="宋体" w:hAnsi="宋体" w:eastAsia="宋体" w:cs="宋体"/>
                      <w:b w:val="0"/>
                      <w:bCs/>
                      <w:kern w:val="0"/>
                      <w:szCs w:val="21"/>
                      <w:lang w:val="en-US"/>
                    </w:rPr>
                  </w:pPr>
                  <w:r>
                    <w:rPr>
                      <w:rFonts w:hint="eastAsia" w:ascii="宋体" w:hAnsi="宋体" w:eastAsia="宋体" w:cs="宋体"/>
                      <w:b w:val="0"/>
                      <w:bCs/>
                      <w:kern w:val="0"/>
                      <w:sz w:val="21"/>
                      <w:szCs w:val="24"/>
                      <w:lang w:val="en-US" w:eastAsia="zh-CN" w:bidi="ar"/>
                    </w:rPr>
                    <w:t>相符</w:t>
                  </w:r>
                </w:p>
              </w:tc>
            </w:tr>
            <w:tr w14:paraId="67CAFBF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505" w:type="pct"/>
                  <w:vMerge w:val="restart"/>
                  <w:tcBorders>
                    <w:tl2br w:val="nil"/>
                    <w:tr2bl w:val="nil"/>
                  </w:tcBorders>
                  <w:shd w:val="clear" w:color="auto" w:fill="auto"/>
                  <w:vAlign w:val="center"/>
                </w:tcPr>
                <w:p w14:paraId="48F6FE78">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eastAsia" w:ascii="宋体" w:hAnsi="宋体" w:eastAsia="宋体" w:cs="宋体"/>
                      <w:b w:val="0"/>
                      <w:bCs/>
                      <w:kern w:val="0"/>
                      <w:szCs w:val="21"/>
                      <w:lang w:val="en-US"/>
                    </w:rPr>
                  </w:pPr>
                  <w:r>
                    <w:rPr>
                      <w:rFonts w:hint="eastAsia" w:ascii="宋体" w:hAnsi="宋体" w:eastAsia="宋体" w:cs="宋体"/>
                      <w:b w:val="0"/>
                      <w:bCs/>
                      <w:kern w:val="2"/>
                      <w:sz w:val="21"/>
                      <w:szCs w:val="24"/>
                      <w:lang w:val="en-US" w:eastAsia="zh-CN" w:bidi="ar"/>
                    </w:rPr>
                    <w:t>生产规模和工艺技术先进性要求</w:t>
                  </w:r>
                </w:p>
              </w:tc>
              <w:tc>
                <w:tcPr>
                  <w:tcW w:w="2737" w:type="pct"/>
                  <w:gridSpan w:val="2"/>
                  <w:tcBorders>
                    <w:tl2br w:val="nil"/>
                    <w:tr2bl w:val="nil"/>
                  </w:tcBorders>
                  <w:shd w:val="clear" w:color="auto" w:fill="auto"/>
                  <w:vAlign w:val="center"/>
                </w:tcPr>
                <w:p w14:paraId="44763693">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exact"/>
                    <w:ind w:left="0" w:right="0"/>
                    <w:jc w:val="center"/>
                    <w:textAlignment w:val="auto"/>
                    <w:rPr>
                      <w:rFonts w:hint="eastAsia" w:ascii="宋体" w:hAnsi="宋体" w:eastAsia="宋体" w:cs="宋体"/>
                      <w:b w:val="0"/>
                      <w:bCs/>
                      <w:szCs w:val="21"/>
                      <w:lang w:val="en-US"/>
                    </w:rPr>
                  </w:pPr>
                  <w:r>
                    <w:rPr>
                      <w:rFonts w:hint="eastAsia" w:ascii="宋体" w:hAnsi="宋体" w:eastAsia="宋体" w:cs="宋体"/>
                      <w:b w:val="0"/>
                      <w:bCs/>
                      <w:kern w:val="2"/>
                      <w:sz w:val="21"/>
                      <w:szCs w:val="24"/>
                      <w:lang w:val="en-US" w:eastAsia="zh-CN" w:bidi="ar"/>
                    </w:rPr>
                    <w:t>在工艺技术水平上，要求入驻聚集区的项目必须达到国内同行业领先水平或具备国际先进水平；</w:t>
                  </w:r>
                </w:p>
              </w:tc>
              <w:tc>
                <w:tcPr>
                  <w:tcW w:w="1169" w:type="pct"/>
                  <w:tcBorders>
                    <w:tl2br w:val="nil"/>
                    <w:tr2bl w:val="nil"/>
                  </w:tcBorders>
                  <w:shd w:val="clear" w:color="auto" w:fill="auto"/>
                  <w:vAlign w:val="center"/>
                </w:tcPr>
                <w:p w14:paraId="6EF864FF">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eastAsia" w:ascii="宋体" w:hAnsi="宋体" w:eastAsia="宋体" w:cs="宋体"/>
                      <w:b w:val="0"/>
                      <w:bCs/>
                      <w:kern w:val="0"/>
                      <w:szCs w:val="21"/>
                      <w:lang w:val="en-US"/>
                    </w:rPr>
                  </w:pPr>
                  <w:r>
                    <w:rPr>
                      <w:rFonts w:hint="eastAsia" w:ascii="宋体" w:hAnsi="宋体" w:eastAsia="宋体" w:cs="宋体"/>
                      <w:b w:val="0"/>
                      <w:bCs/>
                      <w:kern w:val="0"/>
                      <w:sz w:val="21"/>
                      <w:szCs w:val="24"/>
                      <w:lang w:val="en-US" w:eastAsia="zh-CN" w:bidi="ar"/>
                    </w:rPr>
                    <w:t>项目工艺技术水平达到国内同行业领先水平。</w:t>
                  </w:r>
                </w:p>
              </w:tc>
              <w:tc>
                <w:tcPr>
                  <w:tcW w:w="588" w:type="pct"/>
                  <w:tcBorders>
                    <w:tl2br w:val="nil"/>
                    <w:tr2bl w:val="nil"/>
                  </w:tcBorders>
                  <w:shd w:val="clear" w:color="auto" w:fill="auto"/>
                  <w:vAlign w:val="center"/>
                </w:tcPr>
                <w:p w14:paraId="44B848D4">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default"/>
                      <w:b w:val="0"/>
                      <w:bCs/>
                      <w:kern w:val="0"/>
                      <w:szCs w:val="21"/>
                      <w:lang w:val="en-US"/>
                    </w:rPr>
                  </w:pPr>
                  <w:r>
                    <w:rPr>
                      <w:rFonts w:hint="eastAsia" w:ascii="宋体" w:hAnsi="宋体" w:eastAsia="宋体" w:cs="宋体"/>
                      <w:b w:val="0"/>
                      <w:bCs/>
                      <w:kern w:val="0"/>
                      <w:sz w:val="21"/>
                      <w:szCs w:val="24"/>
                      <w:lang w:val="en-US" w:eastAsia="zh-CN" w:bidi="ar"/>
                    </w:rPr>
                    <w:t>相符</w:t>
                  </w:r>
                </w:p>
              </w:tc>
            </w:tr>
            <w:tr w14:paraId="06ADC52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505" w:type="pct"/>
                  <w:vMerge w:val="continue"/>
                  <w:tcBorders>
                    <w:tl2br w:val="nil"/>
                    <w:tr2bl w:val="nil"/>
                  </w:tcBorders>
                  <w:shd w:val="clear" w:color="auto" w:fill="auto"/>
                  <w:vAlign w:val="center"/>
                </w:tcPr>
                <w:p w14:paraId="50B2490F">
                  <w:pPr>
                    <w:keepNext w:val="0"/>
                    <w:keepLines w:val="0"/>
                    <w:pageBreakBefore w:val="0"/>
                    <w:suppressLineNumbers w:val="0"/>
                    <w:kinsoku/>
                    <w:wordWrap/>
                    <w:overflowPunct/>
                    <w:topLinePunct w:val="0"/>
                    <w:bidi w:val="0"/>
                    <w:spacing w:before="0" w:beforeLines="0" w:beforeAutospacing="0" w:after="0" w:afterAutospacing="0" w:line="360" w:lineRule="exact"/>
                    <w:ind w:left="0" w:right="0"/>
                    <w:textAlignment w:val="auto"/>
                    <w:rPr>
                      <w:rFonts w:hint="default" w:ascii="Times New Roman" w:hAnsi="Times New Roman" w:cs="Times New Roman"/>
                      <w:b w:val="0"/>
                      <w:bCs/>
                      <w:sz w:val="20"/>
                      <w:szCs w:val="20"/>
                    </w:rPr>
                  </w:pPr>
                </w:p>
              </w:tc>
              <w:tc>
                <w:tcPr>
                  <w:tcW w:w="2737" w:type="pct"/>
                  <w:gridSpan w:val="2"/>
                  <w:tcBorders>
                    <w:tl2br w:val="nil"/>
                    <w:tr2bl w:val="nil"/>
                  </w:tcBorders>
                  <w:shd w:val="clear" w:color="auto" w:fill="auto"/>
                  <w:vAlign w:val="center"/>
                </w:tcPr>
                <w:p w14:paraId="0E31A0C3">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exact"/>
                    <w:ind w:left="0" w:right="0"/>
                    <w:jc w:val="center"/>
                    <w:textAlignment w:val="auto"/>
                    <w:rPr>
                      <w:rFonts w:hint="eastAsia" w:ascii="宋体" w:hAnsi="宋体" w:eastAsia="宋体" w:cs="宋体"/>
                      <w:b w:val="0"/>
                      <w:bCs/>
                      <w:szCs w:val="21"/>
                      <w:lang w:val="en-US"/>
                    </w:rPr>
                  </w:pPr>
                  <w:r>
                    <w:rPr>
                      <w:rFonts w:hint="eastAsia" w:ascii="宋体" w:hAnsi="宋体" w:eastAsia="宋体" w:cs="宋体"/>
                      <w:b w:val="0"/>
                      <w:bCs/>
                      <w:kern w:val="2"/>
                      <w:sz w:val="21"/>
                      <w:szCs w:val="24"/>
                      <w:lang w:val="en-US" w:eastAsia="zh-CN" w:bidi="ar"/>
                    </w:rPr>
                    <w:t>建设规模应符合国家产业政策对相关经济规模的限制性要求；</w:t>
                  </w:r>
                </w:p>
              </w:tc>
              <w:tc>
                <w:tcPr>
                  <w:tcW w:w="1169" w:type="pct"/>
                  <w:tcBorders>
                    <w:tl2br w:val="nil"/>
                    <w:tr2bl w:val="nil"/>
                  </w:tcBorders>
                  <w:shd w:val="clear" w:color="auto" w:fill="auto"/>
                  <w:vAlign w:val="center"/>
                </w:tcPr>
                <w:p w14:paraId="5D20FAD7">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eastAsia" w:ascii="宋体" w:hAnsi="宋体" w:eastAsia="宋体" w:cs="宋体"/>
                      <w:b w:val="0"/>
                      <w:bCs/>
                      <w:kern w:val="0"/>
                      <w:szCs w:val="21"/>
                      <w:lang w:val="en-US"/>
                    </w:rPr>
                  </w:pPr>
                  <w:r>
                    <w:rPr>
                      <w:rFonts w:hint="eastAsia" w:ascii="宋体" w:hAnsi="宋体" w:eastAsia="宋体" w:cs="宋体"/>
                      <w:b w:val="0"/>
                      <w:bCs/>
                      <w:kern w:val="0"/>
                      <w:sz w:val="21"/>
                      <w:szCs w:val="24"/>
                      <w:lang w:val="en-US" w:eastAsia="zh-CN" w:bidi="ar"/>
                    </w:rPr>
                    <w:t>项目无相关经济规模的限制性要求。</w:t>
                  </w:r>
                </w:p>
              </w:tc>
              <w:tc>
                <w:tcPr>
                  <w:tcW w:w="588" w:type="pct"/>
                  <w:tcBorders>
                    <w:tl2br w:val="nil"/>
                    <w:tr2bl w:val="nil"/>
                  </w:tcBorders>
                  <w:shd w:val="clear" w:color="auto" w:fill="auto"/>
                  <w:vAlign w:val="center"/>
                </w:tcPr>
                <w:p w14:paraId="090EC6BA">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eastAsia" w:ascii="宋体" w:hAnsi="宋体" w:eastAsia="宋体" w:cs="宋体"/>
                      <w:b w:val="0"/>
                      <w:bCs/>
                      <w:kern w:val="0"/>
                      <w:szCs w:val="21"/>
                      <w:lang w:val="en-US"/>
                    </w:rPr>
                  </w:pPr>
                  <w:r>
                    <w:rPr>
                      <w:rFonts w:hint="default" w:ascii="Times New Roman" w:hAnsi="Times New Roman" w:eastAsia="宋体" w:cs="Times New Roman"/>
                      <w:b w:val="0"/>
                      <w:bCs/>
                      <w:kern w:val="0"/>
                      <w:sz w:val="21"/>
                      <w:szCs w:val="24"/>
                      <w:lang w:val="en-US" w:eastAsia="zh-CN" w:bidi="ar"/>
                    </w:rPr>
                    <w:t>/</w:t>
                  </w:r>
                </w:p>
              </w:tc>
            </w:tr>
            <w:tr w14:paraId="1C0CC84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505" w:type="pct"/>
                  <w:vMerge w:val="continue"/>
                  <w:tcBorders>
                    <w:tl2br w:val="nil"/>
                    <w:tr2bl w:val="nil"/>
                  </w:tcBorders>
                  <w:shd w:val="clear" w:color="auto" w:fill="auto"/>
                  <w:vAlign w:val="center"/>
                </w:tcPr>
                <w:p w14:paraId="3A346AC5">
                  <w:pPr>
                    <w:keepNext w:val="0"/>
                    <w:keepLines w:val="0"/>
                    <w:pageBreakBefore w:val="0"/>
                    <w:suppressLineNumbers w:val="0"/>
                    <w:kinsoku/>
                    <w:wordWrap/>
                    <w:overflowPunct/>
                    <w:topLinePunct w:val="0"/>
                    <w:bidi w:val="0"/>
                    <w:spacing w:before="0" w:beforeLines="0" w:beforeAutospacing="0" w:after="0" w:afterAutospacing="0" w:line="360" w:lineRule="exact"/>
                    <w:ind w:left="0" w:right="0"/>
                    <w:textAlignment w:val="auto"/>
                    <w:rPr>
                      <w:rFonts w:hint="default" w:ascii="Times New Roman" w:hAnsi="Times New Roman" w:cs="Times New Roman"/>
                      <w:b w:val="0"/>
                      <w:bCs/>
                      <w:sz w:val="20"/>
                      <w:szCs w:val="20"/>
                    </w:rPr>
                  </w:pPr>
                </w:p>
              </w:tc>
              <w:tc>
                <w:tcPr>
                  <w:tcW w:w="2737" w:type="pct"/>
                  <w:gridSpan w:val="2"/>
                  <w:tcBorders>
                    <w:tl2br w:val="nil"/>
                    <w:tr2bl w:val="nil"/>
                  </w:tcBorders>
                  <w:shd w:val="clear" w:color="auto" w:fill="auto"/>
                  <w:vAlign w:val="center"/>
                </w:tcPr>
                <w:p w14:paraId="2B6C39C4">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exact"/>
                    <w:ind w:left="0" w:right="0"/>
                    <w:jc w:val="center"/>
                    <w:textAlignment w:val="auto"/>
                    <w:rPr>
                      <w:rFonts w:hint="eastAsia" w:ascii="宋体" w:hAnsi="宋体" w:eastAsia="宋体" w:cs="宋体"/>
                      <w:b w:val="0"/>
                      <w:bCs/>
                      <w:szCs w:val="21"/>
                      <w:lang w:val="en-US"/>
                    </w:rPr>
                  </w:pPr>
                  <w:r>
                    <w:rPr>
                      <w:rFonts w:hint="eastAsia" w:ascii="宋体" w:hAnsi="宋体" w:eastAsia="宋体" w:cs="宋体"/>
                      <w:b w:val="0"/>
                      <w:bCs/>
                      <w:kern w:val="2"/>
                      <w:sz w:val="21"/>
                      <w:szCs w:val="24"/>
                      <w:lang w:val="en-US" w:eastAsia="zh-CN" w:bidi="ar"/>
                    </w:rPr>
                    <w:t>市区环保搬迁入住聚集区的企业应进行产品和生产技术的升级改造，达到国家相关规定的要求。</w:t>
                  </w:r>
                </w:p>
              </w:tc>
              <w:tc>
                <w:tcPr>
                  <w:tcW w:w="1169" w:type="pct"/>
                  <w:tcBorders>
                    <w:tl2br w:val="nil"/>
                    <w:tr2bl w:val="nil"/>
                  </w:tcBorders>
                  <w:shd w:val="clear" w:color="auto" w:fill="auto"/>
                  <w:vAlign w:val="center"/>
                </w:tcPr>
                <w:p w14:paraId="195692DB">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eastAsia" w:ascii="宋体" w:hAnsi="宋体" w:eastAsia="宋体" w:cs="宋体"/>
                      <w:b w:val="0"/>
                      <w:bCs/>
                      <w:kern w:val="0"/>
                      <w:szCs w:val="21"/>
                      <w:lang w:val="en-US"/>
                    </w:rPr>
                  </w:pPr>
                  <w:r>
                    <w:rPr>
                      <w:rFonts w:hint="eastAsia" w:ascii="宋体" w:hAnsi="宋体" w:eastAsia="宋体" w:cs="宋体"/>
                      <w:b w:val="0"/>
                      <w:bCs/>
                      <w:kern w:val="0"/>
                      <w:sz w:val="21"/>
                      <w:szCs w:val="24"/>
                      <w:lang w:val="en-US" w:eastAsia="zh-CN" w:bidi="ar"/>
                    </w:rPr>
                    <w:t>本项目不属于搬迁项目。</w:t>
                  </w:r>
                </w:p>
              </w:tc>
              <w:tc>
                <w:tcPr>
                  <w:tcW w:w="588" w:type="pct"/>
                  <w:tcBorders>
                    <w:tl2br w:val="nil"/>
                    <w:tr2bl w:val="nil"/>
                  </w:tcBorders>
                  <w:shd w:val="clear" w:color="auto" w:fill="auto"/>
                  <w:vAlign w:val="center"/>
                </w:tcPr>
                <w:p w14:paraId="06BB4568">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eastAsia" w:ascii="宋体" w:hAnsi="宋体" w:eastAsia="宋体" w:cs="宋体"/>
                      <w:b w:val="0"/>
                      <w:bCs/>
                      <w:kern w:val="0"/>
                      <w:szCs w:val="21"/>
                      <w:lang w:val="en-US"/>
                    </w:rPr>
                  </w:pPr>
                  <w:r>
                    <w:rPr>
                      <w:rFonts w:hint="default" w:ascii="Times New Roman" w:hAnsi="Times New Roman" w:eastAsia="宋体" w:cs="Times New Roman"/>
                      <w:b w:val="0"/>
                      <w:bCs/>
                      <w:kern w:val="0"/>
                      <w:sz w:val="21"/>
                      <w:szCs w:val="24"/>
                      <w:lang w:val="en-US" w:eastAsia="zh-CN" w:bidi="ar"/>
                    </w:rPr>
                    <w:t>/</w:t>
                  </w:r>
                </w:p>
              </w:tc>
            </w:tr>
            <w:tr w14:paraId="2C98A2C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505" w:type="pct"/>
                  <w:vMerge w:val="restart"/>
                  <w:tcBorders>
                    <w:tl2br w:val="nil"/>
                    <w:tr2bl w:val="nil"/>
                  </w:tcBorders>
                  <w:shd w:val="clear" w:color="auto" w:fill="auto"/>
                  <w:vAlign w:val="center"/>
                </w:tcPr>
                <w:p w14:paraId="51C28181">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eastAsia" w:ascii="宋体" w:hAnsi="宋体" w:eastAsia="宋体" w:cs="宋体"/>
                      <w:b w:val="0"/>
                      <w:bCs/>
                      <w:kern w:val="0"/>
                      <w:szCs w:val="21"/>
                      <w:lang w:val="en-US"/>
                    </w:rPr>
                  </w:pPr>
                  <w:r>
                    <w:rPr>
                      <w:rFonts w:hint="eastAsia" w:ascii="宋体" w:hAnsi="宋体" w:eastAsia="宋体" w:cs="宋体"/>
                      <w:b w:val="0"/>
                      <w:bCs/>
                      <w:kern w:val="0"/>
                      <w:sz w:val="21"/>
                      <w:szCs w:val="24"/>
                      <w:lang w:val="en-US" w:eastAsia="zh-CN" w:bidi="ar"/>
                    </w:rPr>
                    <w:t>清洁生产水平</w:t>
                  </w:r>
                </w:p>
              </w:tc>
              <w:tc>
                <w:tcPr>
                  <w:tcW w:w="2737" w:type="pct"/>
                  <w:gridSpan w:val="2"/>
                  <w:tcBorders>
                    <w:tl2br w:val="nil"/>
                    <w:tr2bl w:val="nil"/>
                  </w:tcBorders>
                  <w:shd w:val="clear" w:color="auto" w:fill="auto"/>
                  <w:vAlign w:val="center"/>
                </w:tcPr>
                <w:p w14:paraId="760515E1">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exact"/>
                    <w:ind w:left="0" w:right="0"/>
                    <w:jc w:val="center"/>
                    <w:textAlignment w:val="auto"/>
                    <w:rPr>
                      <w:rFonts w:hint="eastAsia" w:ascii="宋体" w:hAnsi="宋体" w:eastAsia="宋体" w:cs="宋体"/>
                      <w:b w:val="0"/>
                      <w:bCs/>
                      <w:szCs w:val="21"/>
                      <w:lang w:val="en-US"/>
                    </w:rPr>
                  </w:pPr>
                  <w:r>
                    <w:rPr>
                      <w:rFonts w:hint="eastAsia" w:ascii="宋体" w:hAnsi="宋体" w:eastAsia="宋体" w:cs="宋体"/>
                      <w:b w:val="0"/>
                      <w:bCs/>
                      <w:kern w:val="2"/>
                      <w:sz w:val="21"/>
                      <w:szCs w:val="24"/>
                      <w:lang w:val="en-US" w:eastAsia="zh-CN" w:bidi="ar"/>
                    </w:rPr>
                    <w:t>应选择使用原料和产品为环境友好型的项目，避免聚集区大规模建设造成的不良辐射效应，诱使国家明令禁止项目在聚集区周边出现；</w:t>
                  </w:r>
                </w:p>
              </w:tc>
              <w:tc>
                <w:tcPr>
                  <w:tcW w:w="1169" w:type="pct"/>
                  <w:tcBorders>
                    <w:tl2br w:val="nil"/>
                    <w:tr2bl w:val="nil"/>
                  </w:tcBorders>
                  <w:shd w:val="clear" w:color="auto" w:fill="auto"/>
                  <w:vAlign w:val="center"/>
                </w:tcPr>
                <w:p w14:paraId="175F629B">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eastAsia" w:ascii="宋体" w:hAnsi="宋体" w:eastAsia="宋体" w:cs="宋体"/>
                      <w:b w:val="0"/>
                      <w:bCs/>
                      <w:kern w:val="0"/>
                      <w:szCs w:val="21"/>
                      <w:lang w:val="en-US"/>
                    </w:rPr>
                  </w:pPr>
                  <w:r>
                    <w:rPr>
                      <w:rFonts w:hint="eastAsia" w:ascii="宋体" w:hAnsi="宋体" w:eastAsia="宋体" w:cs="宋体"/>
                      <w:b w:val="0"/>
                      <w:bCs/>
                      <w:kern w:val="0"/>
                      <w:sz w:val="21"/>
                      <w:szCs w:val="24"/>
                      <w:lang w:val="en-US" w:eastAsia="zh-CN" w:bidi="ar"/>
                    </w:rPr>
                    <w:t>项目所用原料无毒无害，不会造成集聚区不良效应。</w:t>
                  </w:r>
                </w:p>
              </w:tc>
              <w:tc>
                <w:tcPr>
                  <w:tcW w:w="588" w:type="pct"/>
                  <w:tcBorders>
                    <w:tl2br w:val="nil"/>
                    <w:tr2bl w:val="nil"/>
                  </w:tcBorders>
                  <w:shd w:val="clear" w:color="auto" w:fill="auto"/>
                  <w:vAlign w:val="center"/>
                </w:tcPr>
                <w:p w14:paraId="298A8201">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default"/>
                      <w:b w:val="0"/>
                      <w:bCs/>
                      <w:kern w:val="0"/>
                      <w:szCs w:val="21"/>
                      <w:lang w:val="en-US"/>
                    </w:rPr>
                  </w:pPr>
                  <w:r>
                    <w:rPr>
                      <w:rFonts w:hint="eastAsia" w:ascii="宋体" w:hAnsi="宋体" w:eastAsia="宋体" w:cs="宋体"/>
                      <w:b w:val="0"/>
                      <w:bCs/>
                      <w:kern w:val="0"/>
                      <w:sz w:val="21"/>
                      <w:szCs w:val="24"/>
                      <w:lang w:val="en-US" w:eastAsia="zh-CN" w:bidi="ar"/>
                    </w:rPr>
                    <w:t>相符</w:t>
                  </w:r>
                </w:p>
              </w:tc>
            </w:tr>
            <w:tr w14:paraId="460B858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505" w:type="pct"/>
                  <w:vMerge w:val="continue"/>
                  <w:tcBorders>
                    <w:tl2br w:val="nil"/>
                    <w:tr2bl w:val="nil"/>
                  </w:tcBorders>
                  <w:shd w:val="clear" w:color="auto" w:fill="auto"/>
                  <w:vAlign w:val="center"/>
                </w:tcPr>
                <w:p w14:paraId="3B8A1D84">
                  <w:pPr>
                    <w:keepNext w:val="0"/>
                    <w:keepLines w:val="0"/>
                    <w:pageBreakBefore w:val="0"/>
                    <w:suppressLineNumbers w:val="0"/>
                    <w:kinsoku/>
                    <w:wordWrap/>
                    <w:overflowPunct/>
                    <w:topLinePunct w:val="0"/>
                    <w:bidi w:val="0"/>
                    <w:spacing w:before="0" w:beforeLines="0" w:beforeAutospacing="0" w:after="0" w:afterAutospacing="0" w:line="360" w:lineRule="exact"/>
                    <w:ind w:left="0" w:right="0"/>
                    <w:textAlignment w:val="auto"/>
                    <w:rPr>
                      <w:rFonts w:hint="default" w:ascii="Times New Roman" w:hAnsi="Times New Roman" w:cs="Times New Roman"/>
                      <w:b w:val="0"/>
                      <w:bCs/>
                      <w:sz w:val="20"/>
                      <w:szCs w:val="20"/>
                    </w:rPr>
                  </w:pPr>
                </w:p>
              </w:tc>
              <w:tc>
                <w:tcPr>
                  <w:tcW w:w="2737" w:type="pct"/>
                  <w:gridSpan w:val="2"/>
                  <w:tcBorders>
                    <w:tl2br w:val="nil"/>
                    <w:tr2bl w:val="nil"/>
                  </w:tcBorders>
                  <w:shd w:val="clear" w:color="auto" w:fill="auto"/>
                  <w:vAlign w:val="center"/>
                </w:tcPr>
                <w:p w14:paraId="70ABA5B1">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exact"/>
                    <w:ind w:left="0" w:right="0"/>
                    <w:jc w:val="center"/>
                    <w:textAlignment w:val="auto"/>
                    <w:rPr>
                      <w:rFonts w:hint="eastAsia" w:ascii="宋体" w:hAnsi="宋体" w:eastAsia="宋体" w:cs="宋体"/>
                      <w:b w:val="0"/>
                      <w:bCs/>
                      <w:szCs w:val="21"/>
                      <w:lang w:val="en-US"/>
                    </w:rPr>
                  </w:pPr>
                  <w:r>
                    <w:rPr>
                      <w:rFonts w:hint="eastAsia" w:ascii="宋体" w:hAnsi="宋体" w:eastAsia="宋体" w:cs="宋体"/>
                      <w:b w:val="0"/>
                      <w:bCs/>
                      <w:kern w:val="2"/>
                      <w:sz w:val="21"/>
                      <w:szCs w:val="24"/>
                      <w:lang w:val="en-US" w:eastAsia="zh-CN" w:bidi="ar"/>
                    </w:rPr>
                    <w:t>入聚集区的新建项目的单位产品水耗、单位产品污染物排放量等清洁生产指标应达到国内同行业领先或国际先进水平。项目整体清洁生产水平应达到或超过国内清洁生产先进水平；</w:t>
                  </w:r>
                </w:p>
              </w:tc>
              <w:tc>
                <w:tcPr>
                  <w:tcW w:w="1169" w:type="pct"/>
                  <w:tcBorders>
                    <w:tl2br w:val="nil"/>
                    <w:tr2bl w:val="nil"/>
                  </w:tcBorders>
                  <w:shd w:val="clear" w:color="auto" w:fill="auto"/>
                  <w:vAlign w:val="center"/>
                </w:tcPr>
                <w:p w14:paraId="013CE6AF">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eastAsia" w:ascii="宋体" w:hAnsi="宋体" w:eastAsia="宋体" w:cs="宋体"/>
                      <w:b w:val="0"/>
                      <w:bCs/>
                      <w:kern w:val="0"/>
                      <w:szCs w:val="21"/>
                      <w:lang w:val="en-US"/>
                    </w:rPr>
                  </w:pPr>
                  <w:r>
                    <w:rPr>
                      <w:rFonts w:hint="eastAsia" w:ascii="宋体" w:hAnsi="宋体" w:eastAsia="宋体" w:cs="宋体"/>
                      <w:b w:val="0"/>
                      <w:bCs/>
                      <w:kern w:val="0"/>
                      <w:sz w:val="21"/>
                      <w:szCs w:val="24"/>
                      <w:lang w:val="en-US" w:eastAsia="zh-CN" w:bidi="ar"/>
                    </w:rPr>
                    <w:t>国家暂无该行业清洁生产体系，项目单位产品水耗、污染物排放等均低于同行业平均水平，</w:t>
                  </w:r>
                  <w:r>
                    <w:rPr>
                      <w:rFonts w:hint="eastAsia" w:ascii="宋体" w:hAnsi="宋体" w:eastAsia="宋体" w:cs="宋体"/>
                      <w:b w:val="0"/>
                      <w:bCs/>
                      <w:kern w:val="2"/>
                      <w:sz w:val="21"/>
                      <w:szCs w:val="24"/>
                      <w:lang w:val="en-US" w:eastAsia="zh-CN" w:bidi="ar"/>
                    </w:rPr>
                    <w:t>清洁生产指标达到国内同行业领先水平。</w:t>
                  </w:r>
                </w:p>
              </w:tc>
              <w:tc>
                <w:tcPr>
                  <w:tcW w:w="588" w:type="pct"/>
                  <w:tcBorders>
                    <w:tl2br w:val="nil"/>
                    <w:tr2bl w:val="nil"/>
                  </w:tcBorders>
                  <w:shd w:val="clear" w:color="auto" w:fill="auto"/>
                  <w:vAlign w:val="center"/>
                </w:tcPr>
                <w:p w14:paraId="64B48FEB">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default"/>
                      <w:b w:val="0"/>
                      <w:bCs/>
                      <w:kern w:val="0"/>
                      <w:szCs w:val="21"/>
                      <w:lang w:val="en-US"/>
                    </w:rPr>
                  </w:pPr>
                  <w:r>
                    <w:rPr>
                      <w:rFonts w:hint="eastAsia" w:ascii="宋体" w:hAnsi="宋体" w:eastAsia="宋体" w:cs="宋体"/>
                      <w:b w:val="0"/>
                      <w:bCs/>
                      <w:kern w:val="0"/>
                      <w:sz w:val="21"/>
                      <w:szCs w:val="24"/>
                      <w:lang w:val="en-US" w:eastAsia="zh-CN" w:bidi="ar"/>
                    </w:rPr>
                    <w:t>相符</w:t>
                  </w:r>
                </w:p>
              </w:tc>
            </w:tr>
            <w:tr w14:paraId="2927BDA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505" w:type="pct"/>
                  <w:vMerge w:val="continue"/>
                  <w:tcBorders>
                    <w:tl2br w:val="nil"/>
                    <w:tr2bl w:val="nil"/>
                  </w:tcBorders>
                  <w:shd w:val="clear" w:color="auto" w:fill="auto"/>
                  <w:vAlign w:val="center"/>
                </w:tcPr>
                <w:p w14:paraId="56C2BF18">
                  <w:pPr>
                    <w:keepNext w:val="0"/>
                    <w:keepLines w:val="0"/>
                    <w:pageBreakBefore w:val="0"/>
                    <w:suppressLineNumbers w:val="0"/>
                    <w:kinsoku/>
                    <w:wordWrap/>
                    <w:overflowPunct/>
                    <w:topLinePunct w:val="0"/>
                    <w:bidi w:val="0"/>
                    <w:spacing w:before="0" w:beforeLines="0" w:beforeAutospacing="0" w:after="0" w:afterAutospacing="0" w:line="360" w:lineRule="exact"/>
                    <w:ind w:left="0" w:right="0"/>
                    <w:textAlignment w:val="auto"/>
                    <w:rPr>
                      <w:rFonts w:hint="default" w:ascii="Times New Roman" w:hAnsi="Times New Roman" w:cs="Times New Roman"/>
                      <w:b w:val="0"/>
                      <w:bCs/>
                      <w:sz w:val="20"/>
                      <w:szCs w:val="20"/>
                    </w:rPr>
                  </w:pPr>
                </w:p>
              </w:tc>
              <w:tc>
                <w:tcPr>
                  <w:tcW w:w="2737" w:type="pct"/>
                  <w:gridSpan w:val="2"/>
                  <w:tcBorders>
                    <w:tl2br w:val="nil"/>
                    <w:tr2bl w:val="nil"/>
                  </w:tcBorders>
                  <w:shd w:val="clear" w:color="auto" w:fill="auto"/>
                  <w:vAlign w:val="center"/>
                </w:tcPr>
                <w:p w14:paraId="24F52DE8">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exact"/>
                    <w:ind w:left="0" w:right="0"/>
                    <w:jc w:val="center"/>
                    <w:textAlignment w:val="auto"/>
                    <w:rPr>
                      <w:rFonts w:hint="eastAsia" w:ascii="宋体" w:hAnsi="宋体" w:eastAsia="宋体" w:cs="宋体"/>
                      <w:b w:val="0"/>
                      <w:bCs/>
                      <w:szCs w:val="21"/>
                      <w:lang w:val="en-US"/>
                    </w:rPr>
                  </w:pPr>
                  <w:r>
                    <w:rPr>
                      <w:rFonts w:hint="eastAsia" w:ascii="宋体" w:hAnsi="宋体" w:eastAsia="宋体" w:cs="宋体"/>
                      <w:b w:val="0"/>
                      <w:bCs/>
                      <w:kern w:val="2"/>
                      <w:sz w:val="21"/>
                      <w:szCs w:val="24"/>
                      <w:lang w:val="en-US" w:eastAsia="zh-CN" w:bidi="ar"/>
                    </w:rPr>
                    <w:t>市区环保搬迁企业的清洁生产指标应达到国内同行业先进或领先水平。</w:t>
                  </w:r>
                </w:p>
              </w:tc>
              <w:tc>
                <w:tcPr>
                  <w:tcW w:w="1169" w:type="pct"/>
                  <w:tcBorders>
                    <w:tl2br w:val="nil"/>
                    <w:tr2bl w:val="nil"/>
                  </w:tcBorders>
                  <w:shd w:val="clear" w:color="auto" w:fill="auto"/>
                  <w:vAlign w:val="center"/>
                </w:tcPr>
                <w:p w14:paraId="421E88C9">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eastAsia" w:ascii="宋体" w:hAnsi="宋体" w:eastAsia="宋体" w:cs="宋体"/>
                      <w:b w:val="0"/>
                      <w:bCs/>
                      <w:kern w:val="0"/>
                      <w:szCs w:val="21"/>
                      <w:lang w:val="en-US"/>
                    </w:rPr>
                  </w:pPr>
                  <w:r>
                    <w:rPr>
                      <w:rFonts w:hint="eastAsia" w:ascii="宋体" w:hAnsi="宋体" w:eastAsia="宋体" w:cs="宋体"/>
                      <w:b w:val="0"/>
                      <w:bCs/>
                      <w:kern w:val="0"/>
                      <w:sz w:val="21"/>
                      <w:szCs w:val="24"/>
                      <w:lang w:val="en-US" w:eastAsia="zh-CN" w:bidi="ar"/>
                    </w:rPr>
                    <w:t>本项目不属于搬迁项目。</w:t>
                  </w:r>
                </w:p>
              </w:tc>
              <w:tc>
                <w:tcPr>
                  <w:tcW w:w="588" w:type="pct"/>
                  <w:tcBorders>
                    <w:tl2br w:val="nil"/>
                    <w:tr2bl w:val="nil"/>
                  </w:tcBorders>
                  <w:shd w:val="clear" w:color="auto" w:fill="auto"/>
                  <w:vAlign w:val="center"/>
                </w:tcPr>
                <w:p w14:paraId="441BA36A">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eastAsia" w:ascii="宋体" w:hAnsi="宋体" w:eastAsia="宋体" w:cs="宋体"/>
                      <w:b w:val="0"/>
                      <w:bCs/>
                      <w:kern w:val="0"/>
                      <w:szCs w:val="21"/>
                      <w:lang w:val="en-US"/>
                    </w:rPr>
                  </w:pPr>
                  <w:r>
                    <w:rPr>
                      <w:rFonts w:hint="default" w:ascii="Times New Roman" w:hAnsi="Times New Roman" w:eastAsia="宋体" w:cs="Times New Roman"/>
                      <w:b w:val="0"/>
                      <w:bCs/>
                      <w:kern w:val="0"/>
                      <w:sz w:val="21"/>
                      <w:szCs w:val="24"/>
                      <w:lang w:val="en-US" w:eastAsia="zh-CN" w:bidi="ar"/>
                    </w:rPr>
                    <w:t>/</w:t>
                  </w:r>
                </w:p>
              </w:tc>
            </w:tr>
            <w:tr w14:paraId="7B802A5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505" w:type="pct"/>
                  <w:vMerge w:val="restart"/>
                  <w:tcBorders>
                    <w:tl2br w:val="nil"/>
                    <w:tr2bl w:val="nil"/>
                  </w:tcBorders>
                  <w:shd w:val="clear" w:color="auto" w:fill="auto"/>
                  <w:vAlign w:val="center"/>
                </w:tcPr>
                <w:p w14:paraId="1018DCD0">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eastAsia" w:ascii="宋体" w:hAnsi="宋体" w:eastAsia="宋体" w:cs="宋体"/>
                      <w:b w:val="0"/>
                      <w:bCs/>
                      <w:kern w:val="0"/>
                      <w:szCs w:val="21"/>
                      <w:lang w:val="en-US"/>
                    </w:rPr>
                  </w:pPr>
                  <w:r>
                    <w:rPr>
                      <w:rFonts w:hint="eastAsia" w:ascii="宋体" w:hAnsi="宋体" w:eastAsia="宋体" w:cs="宋体"/>
                      <w:b w:val="0"/>
                      <w:bCs/>
                      <w:kern w:val="0"/>
                      <w:sz w:val="21"/>
                      <w:szCs w:val="24"/>
                      <w:lang w:val="en-US" w:eastAsia="zh-CN" w:bidi="ar"/>
                    </w:rPr>
                    <w:t>污染物排放总量控制</w:t>
                  </w:r>
                </w:p>
              </w:tc>
              <w:tc>
                <w:tcPr>
                  <w:tcW w:w="2737" w:type="pct"/>
                  <w:gridSpan w:val="2"/>
                  <w:tcBorders>
                    <w:tl2br w:val="nil"/>
                    <w:tr2bl w:val="nil"/>
                  </w:tcBorders>
                  <w:shd w:val="clear" w:color="auto" w:fill="auto"/>
                  <w:vAlign w:val="center"/>
                </w:tcPr>
                <w:p w14:paraId="2C8E8901">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exact"/>
                    <w:ind w:left="0" w:right="0"/>
                    <w:jc w:val="center"/>
                    <w:textAlignment w:val="auto"/>
                    <w:rPr>
                      <w:rFonts w:hint="eastAsia" w:ascii="宋体" w:hAnsi="宋体" w:eastAsia="宋体" w:cs="宋体"/>
                      <w:b w:val="0"/>
                      <w:bCs/>
                      <w:szCs w:val="21"/>
                      <w:lang w:val="en-US"/>
                    </w:rPr>
                  </w:pPr>
                  <w:r>
                    <w:rPr>
                      <w:rFonts w:hint="eastAsia" w:ascii="宋体" w:hAnsi="宋体" w:eastAsia="宋体" w:cs="宋体"/>
                      <w:b w:val="0"/>
                      <w:bCs/>
                      <w:kern w:val="2"/>
                      <w:sz w:val="21"/>
                      <w:szCs w:val="24"/>
                      <w:lang w:val="en-US" w:eastAsia="zh-CN" w:bidi="ar"/>
                    </w:rPr>
                    <w:t>属于环保搬迁的项目，污染物排放指标原则上不能超过现状污染物排放量；</w:t>
                  </w:r>
                </w:p>
              </w:tc>
              <w:tc>
                <w:tcPr>
                  <w:tcW w:w="1169" w:type="pct"/>
                  <w:tcBorders>
                    <w:tl2br w:val="nil"/>
                    <w:tr2bl w:val="nil"/>
                  </w:tcBorders>
                  <w:shd w:val="clear" w:color="auto" w:fill="auto"/>
                  <w:vAlign w:val="center"/>
                </w:tcPr>
                <w:p w14:paraId="5A54EEC8">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eastAsia" w:ascii="宋体" w:hAnsi="宋体" w:eastAsia="宋体" w:cs="宋体"/>
                      <w:b w:val="0"/>
                      <w:bCs/>
                      <w:kern w:val="0"/>
                      <w:szCs w:val="21"/>
                      <w:lang w:val="en-US"/>
                    </w:rPr>
                  </w:pPr>
                  <w:r>
                    <w:rPr>
                      <w:rFonts w:hint="eastAsia" w:ascii="宋体" w:hAnsi="宋体" w:eastAsia="宋体" w:cs="宋体"/>
                      <w:b w:val="0"/>
                      <w:bCs/>
                      <w:kern w:val="0"/>
                      <w:sz w:val="21"/>
                      <w:szCs w:val="24"/>
                      <w:lang w:val="en-US" w:eastAsia="zh-CN" w:bidi="ar"/>
                    </w:rPr>
                    <w:t>本项目不属于搬迁项目。</w:t>
                  </w:r>
                </w:p>
              </w:tc>
              <w:tc>
                <w:tcPr>
                  <w:tcW w:w="588" w:type="pct"/>
                  <w:tcBorders>
                    <w:tl2br w:val="nil"/>
                    <w:tr2bl w:val="nil"/>
                  </w:tcBorders>
                  <w:shd w:val="clear" w:color="auto" w:fill="auto"/>
                  <w:vAlign w:val="center"/>
                </w:tcPr>
                <w:p w14:paraId="7AEDF741">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eastAsia" w:ascii="宋体" w:hAnsi="宋体" w:eastAsia="宋体" w:cs="宋体"/>
                      <w:b w:val="0"/>
                      <w:bCs/>
                      <w:kern w:val="0"/>
                      <w:szCs w:val="21"/>
                      <w:lang w:val="en-US"/>
                    </w:rPr>
                  </w:pPr>
                  <w:r>
                    <w:rPr>
                      <w:rFonts w:hint="default" w:ascii="Times New Roman" w:hAnsi="Times New Roman" w:eastAsia="宋体" w:cs="Times New Roman"/>
                      <w:b w:val="0"/>
                      <w:bCs/>
                      <w:kern w:val="0"/>
                      <w:sz w:val="21"/>
                      <w:szCs w:val="24"/>
                      <w:lang w:val="en-US" w:eastAsia="zh-CN" w:bidi="ar"/>
                    </w:rPr>
                    <w:t>/</w:t>
                  </w:r>
                </w:p>
              </w:tc>
            </w:tr>
            <w:tr w14:paraId="4B8381E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505" w:type="pct"/>
                  <w:vMerge w:val="continue"/>
                  <w:tcBorders>
                    <w:tl2br w:val="nil"/>
                    <w:tr2bl w:val="nil"/>
                  </w:tcBorders>
                  <w:shd w:val="clear" w:color="auto" w:fill="auto"/>
                  <w:vAlign w:val="center"/>
                </w:tcPr>
                <w:p w14:paraId="22BC4822">
                  <w:pPr>
                    <w:keepNext w:val="0"/>
                    <w:keepLines w:val="0"/>
                    <w:pageBreakBefore w:val="0"/>
                    <w:suppressLineNumbers w:val="0"/>
                    <w:kinsoku/>
                    <w:wordWrap/>
                    <w:overflowPunct/>
                    <w:topLinePunct w:val="0"/>
                    <w:bidi w:val="0"/>
                    <w:spacing w:before="0" w:beforeLines="0" w:beforeAutospacing="0" w:after="0" w:afterAutospacing="0" w:line="360" w:lineRule="exact"/>
                    <w:ind w:left="0" w:right="0"/>
                    <w:textAlignment w:val="auto"/>
                    <w:rPr>
                      <w:rFonts w:hint="default" w:ascii="Times New Roman" w:hAnsi="Times New Roman" w:cs="Times New Roman"/>
                      <w:b w:val="0"/>
                      <w:bCs/>
                      <w:sz w:val="20"/>
                      <w:szCs w:val="20"/>
                    </w:rPr>
                  </w:pPr>
                </w:p>
              </w:tc>
              <w:tc>
                <w:tcPr>
                  <w:tcW w:w="2737" w:type="pct"/>
                  <w:gridSpan w:val="2"/>
                  <w:tcBorders>
                    <w:tl2br w:val="nil"/>
                    <w:tr2bl w:val="nil"/>
                  </w:tcBorders>
                  <w:shd w:val="clear" w:color="auto" w:fill="auto"/>
                  <w:vAlign w:val="center"/>
                </w:tcPr>
                <w:p w14:paraId="2BB35DEF">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exact"/>
                    <w:ind w:left="0" w:right="0"/>
                    <w:jc w:val="center"/>
                    <w:textAlignment w:val="auto"/>
                    <w:rPr>
                      <w:rFonts w:hint="eastAsia" w:ascii="宋体" w:hAnsi="宋体" w:eastAsia="宋体" w:cs="宋体"/>
                      <w:b w:val="0"/>
                      <w:bCs/>
                      <w:szCs w:val="21"/>
                      <w:lang w:val="en-US"/>
                    </w:rPr>
                  </w:pPr>
                  <w:r>
                    <w:rPr>
                      <w:rFonts w:hint="eastAsia" w:ascii="宋体" w:hAnsi="宋体" w:eastAsia="宋体" w:cs="宋体"/>
                      <w:b w:val="0"/>
                      <w:bCs/>
                      <w:kern w:val="2"/>
                      <w:sz w:val="21"/>
                      <w:szCs w:val="24"/>
                      <w:lang w:val="en-US" w:eastAsia="zh-CN" w:bidi="ar"/>
                    </w:rPr>
                    <w:t>入驻项目“三废”治理必须有可靠、成熟和经济的处理处置措施，否则应慎重引进。</w:t>
                  </w:r>
                </w:p>
              </w:tc>
              <w:tc>
                <w:tcPr>
                  <w:tcW w:w="1169" w:type="pct"/>
                  <w:tcBorders>
                    <w:tl2br w:val="nil"/>
                    <w:tr2bl w:val="nil"/>
                  </w:tcBorders>
                  <w:shd w:val="clear" w:color="auto" w:fill="auto"/>
                  <w:vAlign w:val="center"/>
                </w:tcPr>
                <w:p w14:paraId="172A2DBA">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eastAsia" w:ascii="宋体" w:hAnsi="宋体" w:eastAsia="宋体" w:cs="宋体"/>
                      <w:b w:val="0"/>
                      <w:bCs/>
                      <w:kern w:val="0"/>
                      <w:szCs w:val="21"/>
                      <w:lang w:val="en-US"/>
                    </w:rPr>
                  </w:pPr>
                  <w:r>
                    <w:rPr>
                      <w:rFonts w:hint="eastAsia" w:ascii="宋体" w:hAnsi="宋体" w:eastAsia="宋体" w:cs="宋体"/>
                      <w:b w:val="0"/>
                      <w:bCs/>
                      <w:kern w:val="0"/>
                      <w:sz w:val="21"/>
                      <w:szCs w:val="24"/>
                      <w:lang w:val="en-US" w:eastAsia="zh-CN" w:bidi="ar"/>
                    </w:rPr>
                    <w:t>本项目三废治理措施成熟可靠。</w:t>
                  </w:r>
                </w:p>
              </w:tc>
              <w:tc>
                <w:tcPr>
                  <w:tcW w:w="588" w:type="pct"/>
                  <w:tcBorders>
                    <w:tl2br w:val="nil"/>
                    <w:tr2bl w:val="nil"/>
                  </w:tcBorders>
                  <w:shd w:val="clear" w:color="auto" w:fill="auto"/>
                  <w:vAlign w:val="center"/>
                </w:tcPr>
                <w:p w14:paraId="46CF628F">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eastAsia" w:ascii="宋体" w:hAnsi="宋体" w:eastAsia="宋体" w:cs="宋体"/>
                      <w:b w:val="0"/>
                      <w:bCs/>
                      <w:kern w:val="0"/>
                      <w:szCs w:val="21"/>
                      <w:lang w:val="en-US"/>
                    </w:rPr>
                  </w:pPr>
                  <w:r>
                    <w:rPr>
                      <w:rFonts w:hint="eastAsia" w:ascii="宋体" w:hAnsi="宋体" w:eastAsia="宋体" w:cs="宋体"/>
                      <w:b w:val="0"/>
                      <w:bCs/>
                      <w:kern w:val="0"/>
                      <w:sz w:val="21"/>
                      <w:szCs w:val="24"/>
                      <w:lang w:val="en-US" w:eastAsia="zh-CN" w:bidi="ar"/>
                    </w:rPr>
                    <w:t>相符</w:t>
                  </w:r>
                </w:p>
              </w:tc>
            </w:tr>
          </w:tbl>
          <w:p w14:paraId="4D6AEFC6">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520" w:lineRule="exact"/>
              <w:ind w:left="0" w:right="0" w:firstLine="482" w:firstLineChars="200"/>
              <w:jc w:val="both"/>
              <w:textAlignment w:val="auto"/>
              <w:rPr>
                <w:rFonts w:hint="eastAsia" w:ascii="宋体" w:hAnsi="宋体" w:eastAsia="宋体" w:cs="宋体"/>
                <w:sz w:val="24"/>
                <w:szCs w:val="24"/>
                <w:lang w:val="en-US"/>
              </w:rPr>
            </w:pPr>
            <w:r>
              <w:rPr>
                <w:rFonts w:hint="default" w:ascii="Times New Roman" w:hAnsi="Times New Roman" w:eastAsia="宋体" w:cs="Times New Roman"/>
                <w:b/>
                <w:bCs/>
                <w:kern w:val="2"/>
                <w:sz w:val="24"/>
                <w:szCs w:val="24"/>
                <w:lang w:val="en-US" w:eastAsia="zh-CN" w:bidi="ar"/>
              </w:rPr>
              <w:t>3.</w:t>
            </w:r>
            <w:r>
              <w:rPr>
                <w:rFonts w:hint="eastAsia" w:ascii="宋体" w:hAnsi="宋体" w:eastAsia="宋体" w:cs="宋体"/>
                <w:b/>
                <w:bCs/>
                <w:kern w:val="2"/>
                <w:sz w:val="24"/>
                <w:szCs w:val="24"/>
                <w:lang w:val="en-US" w:eastAsia="zh-CN" w:bidi="ar"/>
              </w:rPr>
              <w:t>与规划环评审查意见相符性分析</w:t>
            </w:r>
          </w:p>
          <w:p w14:paraId="59D40B8D">
            <w:pPr>
              <w:keepNext w:val="0"/>
              <w:keepLines w:val="0"/>
              <w:pageBreakBefore w:val="0"/>
              <w:widowControl/>
              <w:numPr>
                <w:ilvl w:val="0"/>
                <w:numId w:val="0"/>
              </w:numPr>
              <w:suppressLineNumbers w:val="0"/>
              <w:kinsoku/>
              <w:wordWrap/>
              <w:overflowPunct/>
              <w:topLinePunct w:val="0"/>
              <w:autoSpaceDE/>
              <w:autoSpaceDN/>
              <w:bidi w:val="0"/>
              <w:adjustRightInd w:val="0"/>
              <w:snapToGrid/>
              <w:spacing w:before="0" w:beforeAutospacing="0" w:after="0" w:afterAutospacing="0" w:line="520" w:lineRule="exact"/>
              <w:ind w:left="0" w:right="0"/>
              <w:jc w:val="center"/>
              <w:textAlignment w:val="auto"/>
              <w:rPr>
                <w:rFonts w:hint="eastAsia" w:ascii="Times New Roman" w:hAnsi="Times New Roman" w:eastAsia="黑体" w:cs="Times New Roman"/>
                <w:b w:val="0"/>
                <w:bCs w:val="0"/>
                <w:color w:val="000000" w:themeColor="text1"/>
                <w:sz w:val="24"/>
                <w:szCs w:val="24"/>
                <w:highlight w:val="none"/>
                <w:lang w:val="en-US" w:eastAsia="zh-CN"/>
                <w14:textFill>
                  <w14:solidFill>
                    <w14:schemeClr w14:val="tx1"/>
                  </w14:solidFill>
                </w14:textFill>
              </w:rPr>
            </w:pPr>
            <w:r>
              <w:rPr>
                <w:rFonts w:hint="eastAsia" w:ascii="Times New Roman" w:hAnsi="Times New Roman" w:eastAsia="黑体" w:cs="Times New Roman"/>
                <w:b w:val="0"/>
                <w:bCs w:val="0"/>
                <w:color w:val="000000" w:themeColor="text1"/>
                <w:sz w:val="24"/>
                <w:szCs w:val="24"/>
                <w:highlight w:val="none"/>
                <w:lang w:val="en-US" w:eastAsia="zh-CN"/>
                <w14:textFill>
                  <w14:solidFill>
                    <w14:schemeClr w14:val="tx1"/>
                  </w14:solidFill>
                </w14:textFill>
              </w:rPr>
              <w:t>表1-3  与规划环评审查意见符合性分析</w:t>
            </w:r>
          </w:p>
          <w:tbl>
            <w:tblPr>
              <w:tblStyle w:val="92"/>
              <w:tblW w:w="5000" w:type="pct"/>
              <w:jc w:val="center"/>
              <w:tblBorders>
                <w:top w:val="single" w:color="auto" w:sz="4" w:space="0"/>
                <w:left w:val="none" w:color="auto" w:sz="4" w:space="0"/>
                <w:bottom w:val="single" w:color="auto" w:sz="4" w:space="0"/>
                <w:right w:val="non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671"/>
              <w:gridCol w:w="4099"/>
              <w:gridCol w:w="1286"/>
              <w:gridCol w:w="711"/>
            </w:tblGrid>
            <w:tr w14:paraId="1F6A4A92">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0" w:hRule="atLeast"/>
                <w:jc w:val="center"/>
              </w:trPr>
              <w:tc>
                <w:tcPr>
                  <w:tcW w:w="496" w:type="pct"/>
                  <w:tcBorders>
                    <w:top w:val="single" w:color="auto" w:sz="4" w:space="0"/>
                    <w:left w:val="nil"/>
                    <w:bottom w:val="single" w:color="auto" w:sz="4" w:space="0"/>
                    <w:right w:val="single" w:color="auto" w:sz="4" w:space="0"/>
                  </w:tcBorders>
                  <w:shd w:val="clear" w:color="auto" w:fill="auto"/>
                  <w:vAlign w:val="center"/>
                </w:tcPr>
                <w:p w14:paraId="13CB5A82">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default"/>
                      <w:b w:val="0"/>
                      <w:bCs/>
                      <w:szCs w:val="21"/>
                      <w:lang w:val="en-US"/>
                    </w:rPr>
                  </w:pPr>
                  <w:r>
                    <w:rPr>
                      <w:rFonts w:hint="eastAsia" w:ascii="Times New Roman" w:hAnsi="宋体" w:eastAsia="宋体" w:cs="宋体"/>
                      <w:b w:val="0"/>
                      <w:bCs/>
                      <w:kern w:val="2"/>
                      <w:sz w:val="21"/>
                      <w:szCs w:val="21"/>
                      <w:lang w:val="en-US" w:eastAsia="zh-CN" w:bidi="ar"/>
                    </w:rPr>
                    <w:t>类别</w:t>
                  </w:r>
                </w:p>
              </w:tc>
              <w:tc>
                <w:tcPr>
                  <w:tcW w:w="3028" w:type="pct"/>
                  <w:tcBorders>
                    <w:top w:val="single" w:color="auto" w:sz="4" w:space="0"/>
                    <w:left w:val="single" w:color="auto" w:sz="4" w:space="0"/>
                    <w:bottom w:val="single" w:color="auto" w:sz="4" w:space="0"/>
                    <w:right w:val="single" w:color="auto" w:sz="4" w:space="0"/>
                  </w:tcBorders>
                  <w:shd w:val="clear" w:color="auto" w:fill="auto"/>
                  <w:vAlign w:val="center"/>
                </w:tcPr>
                <w:p w14:paraId="25AB24B9">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default"/>
                      <w:b w:val="0"/>
                      <w:bCs/>
                      <w:szCs w:val="21"/>
                      <w:lang w:val="en-US"/>
                    </w:rPr>
                  </w:pPr>
                  <w:r>
                    <w:rPr>
                      <w:rFonts w:hint="eastAsia" w:ascii="Times New Roman" w:hAnsi="宋体" w:eastAsia="宋体" w:cs="宋体"/>
                      <w:b w:val="0"/>
                      <w:bCs/>
                      <w:kern w:val="2"/>
                      <w:sz w:val="21"/>
                      <w:szCs w:val="21"/>
                      <w:lang w:val="en-US" w:eastAsia="zh-CN" w:bidi="ar"/>
                    </w:rPr>
                    <w:t>审查意见内容</w:t>
                  </w:r>
                </w:p>
              </w:tc>
              <w:tc>
                <w:tcPr>
                  <w:tcW w:w="950" w:type="pct"/>
                  <w:tcBorders>
                    <w:top w:val="single" w:color="auto" w:sz="4" w:space="0"/>
                    <w:left w:val="single" w:color="auto" w:sz="4" w:space="0"/>
                    <w:bottom w:val="single" w:color="auto" w:sz="4" w:space="0"/>
                    <w:right w:val="single" w:color="auto" w:sz="4" w:space="0"/>
                  </w:tcBorders>
                  <w:shd w:val="clear" w:color="auto" w:fill="auto"/>
                  <w:vAlign w:val="center"/>
                </w:tcPr>
                <w:p w14:paraId="0834ED58">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default"/>
                      <w:b w:val="0"/>
                      <w:bCs/>
                      <w:szCs w:val="21"/>
                      <w:lang w:val="en-US"/>
                    </w:rPr>
                  </w:pPr>
                  <w:r>
                    <w:rPr>
                      <w:rFonts w:hint="eastAsia" w:ascii="Times New Roman" w:hAnsi="宋体" w:eastAsia="宋体" w:cs="宋体"/>
                      <w:b w:val="0"/>
                      <w:bCs/>
                      <w:kern w:val="2"/>
                      <w:sz w:val="21"/>
                      <w:szCs w:val="21"/>
                      <w:lang w:val="en-US" w:eastAsia="zh-CN" w:bidi="ar"/>
                    </w:rPr>
                    <w:t>本项目情况</w:t>
                  </w:r>
                </w:p>
              </w:tc>
              <w:tc>
                <w:tcPr>
                  <w:tcW w:w="525" w:type="pct"/>
                  <w:tcBorders>
                    <w:top w:val="single" w:color="auto" w:sz="4" w:space="0"/>
                    <w:left w:val="single" w:color="auto" w:sz="4" w:space="0"/>
                    <w:bottom w:val="single" w:color="auto" w:sz="4" w:space="0"/>
                    <w:right w:val="nil"/>
                  </w:tcBorders>
                  <w:shd w:val="clear" w:color="auto" w:fill="auto"/>
                  <w:vAlign w:val="center"/>
                </w:tcPr>
                <w:p w14:paraId="66BDF3F4">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default"/>
                      <w:b w:val="0"/>
                      <w:bCs/>
                      <w:szCs w:val="21"/>
                      <w:lang w:val="en-US"/>
                    </w:rPr>
                  </w:pPr>
                  <w:r>
                    <w:rPr>
                      <w:rFonts w:hint="eastAsia" w:ascii="Times New Roman" w:hAnsi="宋体" w:eastAsia="宋体" w:cs="宋体"/>
                      <w:b w:val="0"/>
                      <w:bCs/>
                      <w:kern w:val="2"/>
                      <w:sz w:val="21"/>
                      <w:szCs w:val="21"/>
                      <w:lang w:val="en-US" w:eastAsia="zh-CN" w:bidi="ar"/>
                    </w:rPr>
                    <w:t>相符性</w:t>
                  </w:r>
                </w:p>
              </w:tc>
            </w:tr>
            <w:tr w14:paraId="1EFFA3F2">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0" w:hRule="atLeast"/>
                <w:jc w:val="center"/>
              </w:trPr>
              <w:tc>
                <w:tcPr>
                  <w:tcW w:w="496" w:type="pct"/>
                  <w:tcBorders>
                    <w:top w:val="single" w:color="auto" w:sz="4" w:space="0"/>
                    <w:left w:val="nil"/>
                    <w:bottom w:val="single" w:color="auto" w:sz="4" w:space="0"/>
                    <w:right w:val="single" w:color="auto" w:sz="4" w:space="0"/>
                  </w:tcBorders>
                  <w:shd w:val="clear" w:color="auto" w:fill="auto"/>
                  <w:vAlign w:val="center"/>
                </w:tcPr>
                <w:p w14:paraId="5C05335E">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center"/>
                    <w:textAlignment w:val="auto"/>
                    <w:rPr>
                      <w:rFonts w:hint="default"/>
                      <w:b w:val="0"/>
                      <w:bCs/>
                      <w:szCs w:val="21"/>
                      <w:lang w:val="en-US"/>
                    </w:rPr>
                  </w:pPr>
                  <w:r>
                    <w:rPr>
                      <w:rFonts w:hint="eastAsia" w:ascii="Times New Roman" w:hAnsi="宋体" w:eastAsia="宋体" w:cs="宋体"/>
                      <w:b w:val="0"/>
                      <w:bCs/>
                      <w:kern w:val="2"/>
                      <w:sz w:val="21"/>
                      <w:szCs w:val="21"/>
                      <w:lang w:val="en-US" w:eastAsia="zh-CN" w:bidi="ar"/>
                    </w:rPr>
                    <w:t>合理用地布局</w:t>
                  </w:r>
                </w:p>
              </w:tc>
              <w:tc>
                <w:tcPr>
                  <w:tcW w:w="3028" w:type="pct"/>
                  <w:tcBorders>
                    <w:top w:val="single" w:color="auto" w:sz="4" w:space="0"/>
                    <w:left w:val="single" w:color="auto" w:sz="4" w:space="0"/>
                    <w:bottom w:val="single" w:color="auto" w:sz="4" w:space="0"/>
                    <w:right w:val="single" w:color="auto" w:sz="4" w:space="0"/>
                  </w:tcBorders>
                  <w:shd w:val="clear" w:color="auto" w:fill="auto"/>
                  <w:vAlign w:val="center"/>
                </w:tcPr>
                <w:p w14:paraId="39EC0D2B">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both"/>
                    <w:textAlignment w:val="auto"/>
                    <w:rPr>
                      <w:rFonts w:hint="default"/>
                      <w:b w:val="0"/>
                      <w:bCs/>
                      <w:szCs w:val="21"/>
                      <w:lang w:val="en-US"/>
                    </w:rPr>
                  </w:pPr>
                  <w:r>
                    <w:rPr>
                      <w:rFonts w:hint="eastAsia" w:ascii="Times New Roman" w:hAnsi="宋体" w:eastAsia="宋体" w:cs="宋体"/>
                      <w:b w:val="0"/>
                      <w:bCs/>
                      <w:kern w:val="2"/>
                      <w:sz w:val="21"/>
                      <w:szCs w:val="21"/>
                      <w:lang w:val="zh-CN" w:eastAsia="zh-CN" w:bidi="ar"/>
                    </w:rPr>
                    <w:t>进一步加强与城市总体规划、土地利用总体规划的衔接，保持规划之间一致；优化用地布局，在开发过程中不应随意改变各用地功能区的使用功能，并注重节约集约用地；工业区生活居住区之间、医药片区与食品加工片区之间设置绿化隔离带，以减少工业区对居住区、医药片区对食品片区的不良影响；按照《报告书》要求，对现有的与集聚区主导产业规划或空间结构规划不相符的企业，限制其规模扩大，对部分企业远期进行搬迁；集聚区西侧部分区域位于南水北调中线工程二级保护区，应认真落实《南水北调中线一期工程总干渠河南段两侧水源保护区划定方案》中对二级保护区的保护要求，减少项目生产对南水北调干渠的影响；伏道镇集中饮用水地下水井（乡镇饮用水源地）及保护区范围位于本次调整后的集聚区范围内，将规划的工业用地调整为绿化用地，不得建设与供水设施无关的项目，远期供水范围内的伏道三街村使用集聚区供水管网统一供水，取消伏道镇集中式饮用水源；区内建设项目的大气环境防护范围内，不得规划新建居住区、学校、医院等环境敏感目标。</w:t>
                  </w:r>
                </w:p>
              </w:tc>
              <w:tc>
                <w:tcPr>
                  <w:tcW w:w="950" w:type="pct"/>
                  <w:tcBorders>
                    <w:top w:val="single" w:color="auto" w:sz="4" w:space="0"/>
                    <w:left w:val="single" w:color="auto" w:sz="4" w:space="0"/>
                    <w:bottom w:val="single" w:color="auto" w:sz="4" w:space="0"/>
                    <w:right w:val="single" w:color="auto" w:sz="4" w:space="0"/>
                  </w:tcBorders>
                  <w:shd w:val="clear" w:color="auto" w:fill="auto"/>
                  <w:vAlign w:val="center"/>
                </w:tcPr>
                <w:p w14:paraId="22DDC2A7">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both"/>
                    <w:textAlignment w:val="auto"/>
                    <w:rPr>
                      <w:rFonts w:hint="default"/>
                      <w:b w:val="0"/>
                      <w:bCs/>
                      <w:szCs w:val="21"/>
                      <w:lang w:val="en-US"/>
                    </w:rPr>
                  </w:pPr>
                  <w:r>
                    <w:rPr>
                      <w:rFonts w:hint="eastAsia" w:ascii="Times New Roman" w:hAnsi="宋体" w:eastAsia="宋体" w:cs="宋体"/>
                      <w:b w:val="0"/>
                      <w:bCs/>
                      <w:kern w:val="2"/>
                      <w:sz w:val="21"/>
                      <w:szCs w:val="21"/>
                      <w:lang w:val="en-US" w:eastAsia="zh-CN" w:bidi="ar"/>
                    </w:rPr>
                    <w:t>本项目占地为工业用地，距离生活居住区较远；项目不在</w:t>
                  </w:r>
                  <w:r>
                    <w:rPr>
                      <w:rFonts w:hint="eastAsia" w:ascii="Times New Roman" w:hAnsi="宋体" w:eastAsia="宋体" w:cs="宋体"/>
                      <w:b w:val="0"/>
                      <w:bCs/>
                      <w:kern w:val="2"/>
                      <w:sz w:val="21"/>
                      <w:szCs w:val="21"/>
                      <w:lang w:val="zh-CN" w:eastAsia="zh-CN" w:bidi="ar"/>
                    </w:rPr>
                    <w:t>南水北调中线工程</w:t>
                  </w:r>
                  <w:r>
                    <w:rPr>
                      <w:rFonts w:hint="eastAsia" w:ascii="Times New Roman" w:hAnsi="宋体" w:eastAsia="宋体" w:cs="宋体"/>
                      <w:b w:val="0"/>
                      <w:bCs/>
                      <w:kern w:val="2"/>
                      <w:sz w:val="21"/>
                      <w:szCs w:val="21"/>
                      <w:lang w:val="en-US" w:eastAsia="zh-CN" w:bidi="ar"/>
                    </w:rPr>
                    <w:t>保护区范围内。</w:t>
                  </w:r>
                </w:p>
              </w:tc>
              <w:tc>
                <w:tcPr>
                  <w:tcW w:w="525" w:type="pct"/>
                  <w:tcBorders>
                    <w:top w:val="single" w:color="auto" w:sz="4" w:space="0"/>
                    <w:left w:val="single" w:color="auto" w:sz="4" w:space="0"/>
                    <w:bottom w:val="single" w:color="auto" w:sz="4" w:space="0"/>
                    <w:right w:val="nil"/>
                  </w:tcBorders>
                  <w:shd w:val="clear" w:color="auto" w:fill="auto"/>
                  <w:vAlign w:val="center"/>
                </w:tcPr>
                <w:p w14:paraId="02D5318C">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default"/>
                      <w:b w:val="0"/>
                      <w:bCs/>
                      <w:szCs w:val="21"/>
                      <w:lang w:val="en-US"/>
                    </w:rPr>
                  </w:pPr>
                  <w:r>
                    <w:rPr>
                      <w:rFonts w:hint="eastAsia" w:ascii="Times New Roman" w:hAnsi="宋体" w:eastAsia="宋体" w:cs="宋体"/>
                      <w:b w:val="0"/>
                      <w:bCs/>
                      <w:kern w:val="2"/>
                      <w:sz w:val="21"/>
                      <w:szCs w:val="21"/>
                      <w:lang w:val="en-US" w:eastAsia="zh-CN" w:bidi="ar"/>
                    </w:rPr>
                    <w:t>相符</w:t>
                  </w:r>
                </w:p>
              </w:tc>
            </w:tr>
            <w:tr w14:paraId="3BA71C60">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0" w:hRule="atLeast"/>
                <w:jc w:val="center"/>
              </w:trPr>
              <w:tc>
                <w:tcPr>
                  <w:tcW w:w="496" w:type="pct"/>
                  <w:tcBorders>
                    <w:top w:val="single" w:color="auto" w:sz="4" w:space="0"/>
                    <w:left w:val="nil"/>
                    <w:bottom w:val="single" w:color="auto" w:sz="4" w:space="0"/>
                    <w:right w:val="single" w:color="auto" w:sz="4" w:space="0"/>
                  </w:tcBorders>
                  <w:shd w:val="clear" w:color="auto" w:fill="auto"/>
                  <w:vAlign w:val="center"/>
                </w:tcPr>
                <w:p w14:paraId="658C2B67">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default"/>
                      <w:b w:val="0"/>
                      <w:bCs/>
                      <w:szCs w:val="21"/>
                      <w:lang w:val="en-US"/>
                    </w:rPr>
                  </w:pPr>
                  <w:r>
                    <w:rPr>
                      <w:rFonts w:hint="eastAsia" w:ascii="Times New Roman" w:hAnsi="宋体" w:eastAsia="宋体" w:cs="宋体"/>
                      <w:b w:val="0"/>
                      <w:bCs/>
                      <w:kern w:val="2"/>
                      <w:sz w:val="21"/>
                      <w:szCs w:val="21"/>
                      <w:lang w:val="en-US" w:eastAsia="zh-CN" w:bidi="ar"/>
                    </w:rPr>
                    <w:t>优化产业结构</w:t>
                  </w:r>
                </w:p>
              </w:tc>
              <w:tc>
                <w:tcPr>
                  <w:tcW w:w="3028" w:type="pct"/>
                  <w:tcBorders>
                    <w:top w:val="single" w:color="auto" w:sz="4" w:space="0"/>
                    <w:left w:val="single" w:color="auto" w:sz="4" w:space="0"/>
                    <w:bottom w:val="single" w:color="auto" w:sz="4" w:space="0"/>
                    <w:right w:val="single" w:color="auto" w:sz="4" w:space="0"/>
                  </w:tcBorders>
                  <w:shd w:val="clear" w:color="auto" w:fill="auto"/>
                  <w:vAlign w:val="center"/>
                </w:tcPr>
                <w:p w14:paraId="6966C868">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both"/>
                    <w:textAlignment w:val="auto"/>
                    <w:rPr>
                      <w:rFonts w:hint="default"/>
                      <w:b w:val="0"/>
                      <w:bCs/>
                      <w:szCs w:val="21"/>
                      <w:lang w:val="en-US"/>
                    </w:rPr>
                  </w:pPr>
                  <w:r>
                    <w:rPr>
                      <w:rFonts w:hint="eastAsia" w:ascii="Times New Roman" w:hAnsi="宋体" w:eastAsia="宋体" w:cs="宋体"/>
                      <w:b w:val="0"/>
                      <w:bCs/>
                      <w:kern w:val="2"/>
                      <w:sz w:val="21"/>
                      <w:szCs w:val="21"/>
                      <w:lang w:val="zh-CN" w:eastAsia="zh-CN" w:bidi="ar"/>
                    </w:rPr>
                    <w:t>入驻项目应遵循循环经济理念，实施清洁生产，逐步优化产业结构，构筑循环经济产业链；鼓励发展主导产业，并不断完善产业链条；食品产业重点发展农副食品加工和食品制造业；医药产业重点发展中药类制药、混装制剂类制药、提取类制药以及生物工程类制药等污染排放量小的项目；制造产业装备制造业；禁止入驻煤化工、石油化工、制浆造纸、水泥、陶瓷、制浆及毛皮</w:t>
                  </w:r>
                  <w:r>
                    <w:rPr>
                      <w:rFonts w:hint="eastAsia" w:ascii="Times New Roman" w:hAnsi="宋体" w:eastAsia="宋体" w:cs="宋体"/>
                      <w:b w:val="0"/>
                      <w:bCs/>
                      <w:kern w:val="2"/>
                      <w:sz w:val="21"/>
                      <w:szCs w:val="21"/>
                      <w:lang w:val="en-US" w:eastAsia="zh-CN" w:bidi="ar"/>
                    </w:rPr>
                    <w:t>鞣</w:t>
                  </w:r>
                  <w:r>
                    <w:rPr>
                      <w:rFonts w:hint="eastAsia" w:ascii="Times New Roman" w:hAnsi="宋体" w:eastAsia="宋体" w:cs="宋体"/>
                      <w:b w:val="0"/>
                      <w:bCs/>
                      <w:kern w:val="2"/>
                      <w:sz w:val="21"/>
                      <w:szCs w:val="21"/>
                      <w:lang w:val="zh-CN" w:eastAsia="zh-CN" w:bidi="ar"/>
                    </w:rPr>
                    <w:t>制等高水耗、高能耗、污染排放量较大行业；禁止入驻</w:t>
                  </w:r>
                  <w:r>
                    <w:rPr>
                      <w:rFonts w:hint="eastAsia" w:hAnsi="宋体" w:cs="宋体"/>
                      <w:b w:val="0"/>
                      <w:bCs/>
                      <w:kern w:val="2"/>
                      <w:sz w:val="21"/>
                      <w:szCs w:val="21"/>
                      <w:lang w:val="en-US" w:eastAsia="zh-CN" w:bidi="ar"/>
                    </w:rPr>
                    <w:t>冶</w:t>
                  </w:r>
                  <w:r>
                    <w:rPr>
                      <w:rFonts w:hint="eastAsia" w:ascii="Times New Roman" w:hAnsi="宋体" w:eastAsia="宋体" w:cs="宋体"/>
                      <w:b w:val="0"/>
                      <w:bCs/>
                      <w:kern w:val="2"/>
                      <w:sz w:val="21"/>
                      <w:szCs w:val="21"/>
                      <w:lang w:val="zh-CN" w:eastAsia="zh-CN" w:bidi="ar"/>
                    </w:rPr>
                    <w:t>金、钢铁、铁合金等行业，已入驻项目禁止扩大生产规模；医药产业禁止入驻呋喃唑酮、氢化可的松等排水量较大的化学合成类制药项目、氨基糖苷类、多肽类、</w:t>
                  </w:r>
                  <w:r>
                    <w:rPr>
                      <w:rFonts w:hint="default" w:ascii="Times New Roman" w:hAnsi="Times New Roman" w:eastAsia="宋体" w:cs="Times New Roman"/>
                      <w:b w:val="0"/>
                      <w:bCs/>
                      <w:kern w:val="2"/>
                      <w:sz w:val="21"/>
                      <w:szCs w:val="21"/>
                      <w:lang w:val="zh-CN" w:eastAsia="zh-CN" w:bidi="ar"/>
                    </w:rPr>
                    <w:t>β-</w:t>
                  </w:r>
                  <w:r>
                    <w:rPr>
                      <w:rFonts w:hint="eastAsia" w:ascii="Times New Roman" w:hAnsi="宋体" w:eastAsia="宋体" w:cs="宋体"/>
                      <w:b w:val="0"/>
                      <w:bCs/>
                      <w:kern w:val="2"/>
                      <w:sz w:val="21"/>
                      <w:szCs w:val="21"/>
                      <w:lang w:val="zh-CN" w:eastAsia="zh-CN" w:bidi="ar"/>
                    </w:rPr>
                    <w:t>内酰胺类抗生素、洁霉素、阿霉</w:t>
                  </w:r>
                  <w:r>
                    <w:rPr>
                      <w:rFonts w:hint="eastAsia" w:ascii="Times New Roman" w:hAnsi="宋体" w:eastAsia="宋体" w:cs="宋体"/>
                      <w:b w:val="0"/>
                      <w:bCs/>
                      <w:kern w:val="2"/>
                      <w:sz w:val="21"/>
                      <w:szCs w:val="21"/>
                      <w:lang w:val="en-US" w:eastAsia="zh-CN" w:bidi="ar"/>
                    </w:rPr>
                    <w:t>素、利福霉素等排水量较大的发酵类制药项目以及《报告书》所列重污染工艺的制药类项目。</w:t>
                  </w:r>
                </w:p>
              </w:tc>
              <w:tc>
                <w:tcPr>
                  <w:tcW w:w="950" w:type="pct"/>
                  <w:tcBorders>
                    <w:top w:val="single" w:color="auto" w:sz="4" w:space="0"/>
                    <w:left w:val="single" w:color="auto" w:sz="4" w:space="0"/>
                    <w:bottom w:val="single" w:color="auto" w:sz="4" w:space="0"/>
                    <w:right w:val="single" w:color="auto" w:sz="4" w:space="0"/>
                  </w:tcBorders>
                  <w:shd w:val="clear" w:color="auto" w:fill="auto"/>
                  <w:vAlign w:val="center"/>
                </w:tcPr>
                <w:p w14:paraId="71985C85">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both"/>
                    <w:textAlignment w:val="auto"/>
                    <w:rPr>
                      <w:rFonts w:hint="default" w:hAnsi="宋体"/>
                      <w:b w:val="0"/>
                      <w:bCs/>
                      <w:szCs w:val="21"/>
                      <w:lang w:val="en-US"/>
                    </w:rPr>
                  </w:pPr>
                  <w:r>
                    <w:rPr>
                      <w:rFonts w:hint="eastAsia" w:ascii="Times New Roman" w:hAnsi="宋体" w:eastAsia="宋体" w:cs="宋体"/>
                      <w:b w:val="0"/>
                      <w:bCs/>
                      <w:kern w:val="2"/>
                      <w:sz w:val="21"/>
                      <w:szCs w:val="21"/>
                      <w:lang w:val="en-US" w:eastAsia="zh-CN" w:bidi="ar"/>
                    </w:rPr>
                    <w:t>本项目属于园区主导产业的配套链条行业</w:t>
                  </w:r>
                  <w:r>
                    <w:rPr>
                      <w:rFonts w:hint="eastAsia" w:hAnsi="宋体" w:cs="宋体"/>
                      <w:b w:val="0"/>
                      <w:bCs/>
                      <w:kern w:val="2"/>
                      <w:sz w:val="21"/>
                      <w:szCs w:val="21"/>
                      <w:lang w:val="en-US" w:eastAsia="zh-CN" w:bidi="ar"/>
                    </w:rPr>
                    <w:t>，不属于负面清单行业。</w:t>
                  </w:r>
                </w:p>
              </w:tc>
              <w:tc>
                <w:tcPr>
                  <w:tcW w:w="525" w:type="pct"/>
                  <w:tcBorders>
                    <w:top w:val="single" w:color="auto" w:sz="4" w:space="0"/>
                    <w:left w:val="single" w:color="auto" w:sz="4" w:space="0"/>
                    <w:bottom w:val="single" w:color="auto" w:sz="4" w:space="0"/>
                    <w:right w:val="nil"/>
                  </w:tcBorders>
                  <w:shd w:val="clear" w:color="auto" w:fill="auto"/>
                  <w:vAlign w:val="center"/>
                </w:tcPr>
                <w:p w14:paraId="5A0D64CF">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default"/>
                      <w:b w:val="0"/>
                      <w:bCs/>
                      <w:szCs w:val="21"/>
                      <w:lang w:val="en-US"/>
                    </w:rPr>
                  </w:pPr>
                  <w:r>
                    <w:rPr>
                      <w:rFonts w:hint="eastAsia" w:ascii="Times New Roman" w:hAnsi="宋体" w:eastAsia="宋体" w:cs="宋体"/>
                      <w:b w:val="0"/>
                      <w:bCs/>
                      <w:kern w:val="2"/>
                      <w:sz w:val="21"/>
                      <w:szCs w:val="21"/>
                      <w:lang w:val="en-US" w:eastAsia="zh-CN" w:bidi="ar"/>
                    </w:rPr>
                    <w:t>相符</w:t>
                  </w:r>
                </w:p>
              </w:tc>
            </w:tr>
            <w:tr w14:paraId="67A1E59E">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96" w:type="pct"/>
                  <w:tcBorders>
                    <w:top w:val="single" w:color="auto" w:sz="4" w:space="0"/>
                    <w:left w:val="nil"/>
                    <w:bottom w:val="single" w:color="auto" w:sz="4" w:space="0"/>
                    <w:right w:val="single" w:color="auto" w:sz="4" w:space="0"/>
                  </w:tcBorders>
                  <w:shd w:val="clear" w:color="auto" w:fill="auto"/>
                  <w:vAlign w:val="center"/>
                </w:tcPr>
                <w:p w14:paraId="3B1BDF18">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default"/>
                      <w:b w:val="0"/>
                      <w:bCs/>
                      <w:szCs w:val="21"/>
                      <w:lang w:val="en-US"/>
                    </w:rPr>
                  </w:pPr>
                  <w:r>
                    <w:rPr>
                      <w:rFonts w:hint="eastAsia" w:ascii="Times New Roman" w:hAnsi="宋体" w:eastAsia="宋体" w:cs="宋体"/>
                      <w:b w:val="0"/>
                      <w:bCs/>
                      <w:kern w:val="2"/>
                      <w:sz w:val="21"/>
                      <w:szCs w:val="21"/>
                      <w:lang w:val="en-US" w:eastAsia="zh-CN" w:bidi="ar"/>
                    </w:rPr>
                    <w:t>尽快完善环保基础设施</w:t>
                  </w:r>
                </w:p>
              </w:tc>
              <w:tc>
                <w:tcPr>
                  <w:tcW w:w="3028" w:type="pct"/>
                  <w:tcBorders>
                    <w:top w:val="single" w:color="auto" w:sz="4" w:space="0"/>
                    <w:left w:val="single" w:color="auto" w:sz="4" w:space="0"/>
                    <w:bottom w:val="single" w:color="auto" w:sz="4" w:space="0"/>
                    <w:right w:val="single" w:color="auto" w:sz="4" w:space="0"/>
                  </w:tcBorders>
                  <w:shd w:val="clear" w:color="auto" w:fill="auto"/>
                  <w:vAlign w:val="center"/>
                </w:tcPr>
                <w:p w14:paraId="164992E0">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both"/>
                    <w:textAlignment w:val="auto"/>
                    <w:rPr>
                      <w:rFonts w:hint="default"/>
                      <w:b w:val="0"/>
                      <w:bCs/>
                      <w:szCs w:val="21"/>
                      <w:lang w:val="zh-CN"/>
                    </w:rPr>
                  </w:pPr>
                  <w:r>
                    <w:rPr>
                      <w:rFonts w:hint="eastAsia" w:ascii="Times New Roman" w:hAnsi="宋体" w:eastAsia="宋体" w:cs="宋体"/>
                      <w:b w:val="0"/>
                      <w:bCs/>
                      <w:kern w:val="2"/>
                      <w:sz w:val="21"/>
                      <w:szCs w:val="21"/>
                      <w:lang w:val="zh-CN" w:eastAsia="zh-CN" w:bidi="ar"/>
                    </w:rPr>
                    <w:t>按照</w:t>
                  </w:r>
                  <w:r>
                    <w:rPr>
                      <w:rFonts w:hint="default" w:ascii="Times New Roman" w:hAnsi="Times New Roman" w:eastAsia="宋体" w:cs="Times New Roman"/>
                      <w:b w:val="0"/>
                      <w:bCs/>
                      <w:kern w:val="2"/>
                      <w:sz w:val="21"/>
                      <w:szCs w:val="21"/>
                      <w:lang w:val="zh-CN" w:eastAsia="zh-CN" w:bidi="ar"/>
                    </w:rPr>
                    <w:t>“</w:t>
                  </w:r>
                  <w:r>
                    <w:rPr>
                      <w:rFonts w:hint="eastAsia" w:ascii="Times New Roman" w:hAnsi="宋体" w:eastAsia="宋体" w:cs="宋体"/>
                      <w:b w:val="0"/>
                      <w:bCs/>
                      <w:kern w:val="2"/>
                      <w:sz w:val="21"/>
                      <w:szCs w:val="21"/>
                      <w:lang w:val="zh-CN" w:eastAsia="zh-CN" w:bidi="ar"/>
                    </w:rPr>
                    <w:t>清污分流、雨污分流、中水回用</w:t>
                  </w:r>
                  <w:r>
                    <w:rPr>
                      <w:rFonts w:hint="default" w:ascii="Times New Roman" w:hAnsi="Times New Roman" w:eastAsia="宋体" w:cs="Times New Roman"/>
                      <w:b w:val="0"/>
                      <w:bCs/>
                      <w:kern w:val="2"/>
                      <w:sz w:val="21"/>
                      <w:szCs w:val="21"/>
                      <w:lang w:val="zh-CN" w:eastAsia="zh-CN" w:bidi="ar"/>
                    </w:rPr>
                    <w:t>”</w:t>
                  </w:r>
                  <w:r>
                    <w:rPr>
                      <w:rFonts w:hint="eastAsia" w:ascii="Times New Roman" w:hAnsi="宋体" w:eastAsia="宋体" w:cs="宋体"/>
                      <w:b w:val="0"/>
                      <w:bCs/>
                      <w:kern w:val="2"/>
                      <w:sz w:val="21"/>
                      <w:szCs w:val="21"/>
                      <w:lang w:val="zh-CN" w:eastAsia="zh-CN" w:bidi="ar"/>
                    </w:rPr>
                    <w:t>的要求，加快建设污水处理厂和中水深度处理回用工程，完善配套污水管网，确保入区企业外排废水全部经管网收集后进入污水处理厂处理，入园企业均不得单独设置废水排放口，减少对纳污水体的影响。集聚区应实施集中供热、供气，进一步优化能源结构，逐步拆除区内企业自备分散燃煤锅炉。</w:t>
                  </w:r>
                </w:p>
                <w:p w14:paraId="6E387467">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both"/>
                    <w:textAlignment w:val="auto"/>
                    <w:rPr>
                      <w:rFonts w:hint="default"/>
                      <w:b w:val="0"/>
                      <w:bCs/>
                      <w:szCs w:val="21"/>
                      <w:lang w:val="en-US"/>
                    </w:rPr>
                  </w:pPr>
                  <w:r>
                    <w:rPr>
                      <w:rFonts w:hint="eastAsia" w:ascii="Times New Roman" w:hAnsi="宋体" w:eastAsia="宋体" w:cs="宋体"/>
                      <w:b w:val="0"/>
                      <w:bCs/>
                      <w:kern w:val="2"/>
                      <w:sz w:val="21"/>
                      <w:szCs w:val="21"/>
                      <w:lang w:val="zh-CN" w:eastAsia="zh-CN" w:bidi="ar"/>
                    </w:rPr>
                    <w:t>按照循环经济的要求，提高固体废物的综合利用率，积极探索固废综合利用途径，提高一般工业固废综合利用率，严禁企业随意弃置；危险固废的收集、贮存应满足《危险废物贮存污染控制标准》（</w:t>
                  </w:r>
                  <w:r>
                    <w:rPr>
                      <w:rFonts w:hint="default" w:ascii="Times New Roman" w:hAnsi="Times New Roman" w:eastAsia="宋体" w:cs="Times New Roman"/>
                      <w:b w:val="0"/>
                      <w:bCs/>
                      <w:kern w:val="2"/>
                      <w:sz w:val="21"/>
                      <w:szCs w:val="21"/>
                      <w:lang w:val="zh-CN" w:eastAsia="zh-CN" w:bidi="ar"/>
                    </w:rPr>
                    <w:t>GB18597-2001</w:t>
                  </w:r>
                  <w:r>
                    <w:rPr>
                      <w:rFonts w:hint="eastAsia" w:ascii="Times New Roman" w:hAnsi="宋体" w:eastAsia="宋体" w:cs="宋体"/>
                      <w:b w:val="0"/>
                      <w:bCs/>
                      <w:kern w:val="2"/>
                      <w:sz w:val="21"/>
                      <w:szCs w:val="21"/>
                      <w:lang w:val="zh-CN" w:eastAsia="zh-CN" w:bidi="ar"/>
                    </w:rPr>
                    <w:t>）的要求，并送有资质的危险废物处置单位处置，危险废物的转运应执行《危险废物转移联单管理办法》的有关规定。</w:t>
                  </w:r>
                </w:p>
              </w:tc>
              <w:tc>
                <w:tcPr>
                  <w:tcW w:w="950" w:type="pct"/>
                  <w:tcBorders>
                    <w:top w:val="single" w:color="auto" w:sz="4" w:space="0"/>
                    <w:left w:val="single" w:color="auto" w:sz="4" w:space="0"/>
                    <w:bottom w:val="single" w:color="auto" w:sz="4" w:space="0"/>
                    <w:right w:val="single" w:color="auto" w:sz="4" w:space="0"/>
                  </w:tcBorders>
                  <w:shd w:val="clear" w:color="auto" w:fill="auto"/>
                  <w:vAlign w:val="center"/>
                </w:tcPr>
                <w:p w14:paraId="2C6ED5BB">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both"/>
                    <w:textAlignment w:val="auto"/>
                    <w:rPr>
                      <w:rFonts w:hint="default" w:hAnsi="宋体"/>
                      <w:b w:val="0"/>
                      <w:bCs/>
                      <w:szCs w:val="21"/>
                      <w:lang w:val="en-US"/>
                    </w:rPr>
                  </w:pPr>
                  <w:r>
                    <w:rPr>
                      <w:rFonts w:hint="eastAsia" w:ascii="Times New Roman" w:hAnsi="宋体" w:eastAsia="宋体" w:cs="宋体"/>
                      <w:b w:val="0"/>
                      <w:bCs/>
                      <w:kern w:val="2"/>
                      <w:sz w:val="21"/>
                      <w:szCs w:val="21"/>
                      <w:lang w:val="en-US" w:eastAsia="zh-CN" w:bidi="ar"/>
                    </w:rPr>
                    <w:t>本项目采用雨污分流，职工生活废水依托化粪池处理后排入污水处理厂。固体废物均能够得到合理处置；危险废物暂存，满足</w:t>
                  </w:r>
                  <w:r>
                    <w:rPr>
                      <w:rFonts w:hint="default" w:ascii="Times New Roman" w:hAnsi="宋体" w:eastAsia="宋体" w:cs="Times New Roman"/>
                      <w:b w:val="0"/>
                      <w:bCs/>
                      <w:kern w:val="2"/>
                      <w:sz w:val="21"/>
                      <w:szCs w:val="21"/>
                      <w:lang w:val="en-US" w:eastAsia="zh-CN" w:bidi="ar"/>
                    </w:rPr>
                    <w:t>GB18597</w:t>
                  </w:r>
                  <w:r>
                    <w:rPr>
                      <w:rFonts w:hint="eastAsia" w:ascii="Times New Roman" w:hAnsi="宋体" w:eastAsia="宋体" w:cs="宋体"/>
                      <w:b w:val="0"/>
                      <w:bCs/>
                      <w:kern w:val="2"/>
                      <w:sz w:val="21"/>
                      <w:szCs w:val="21"/>
                      <w:lang w:val="en-US" w:eastAsia="zh-CN" w:bidi="ar"/>
                    </w:rPr>
                    <w:t>要求，并交有资质单位处置。</w:t>
                  </w:r>
                </w:p>
              </w:tc>
              <w:tc>
                <w:tcPr>
                  <w:tcW w:w="525" w:type="pct"/>
                  <w:tcBorders>
                    <w:top w:val="single" w:color="auto" w:sz="4" w:space="0"/>
                    <w:left w:val="single" w:color="auto" w:sz="4" w:space="0"/>
                    <w:bottom w:val="single" w:color="auto" w:sz="4" w:space="0"/>
                    <w:right w:val="nil"/>
                  </w:tcBorders>
                  <w:shd w:val="clear" w:color="auto" w:fill="auto"/>
                  <w:vAlign w:val="center"/>
                </w:tcPr>
                <w:p w14:paraId="13CB5F80">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default"/>
                      <w:b w:val="0"/>
                      <w:bCs/>
                      <w:szCs w:val="21"/>
                      <w:lang w:val="en-US"/>
                    </w:rPr>
                  </w:pPr>
                  <w:r>
                    <w:rPr>
                      <w:rFonts w:hint="eastAsia" w:ascii="Times New Roman" w:hAnsi="宋体" w:eastAsia="宋体" w:cs="宋体"/>
                      <w:b w:val="0"/>
                      <w:bCs/>
                      <w:kern w:val="2"/>
                      <w:sz w:val="21"/>
                      <w:szCs w:val="21"/>
                      <w:lang w:val="en-US" w:eastAsia="zh-CN" w:bidi="ar"/>
                    </w:rPr>
                    <w:t>相符</w:t>
                  </w:r>
                </w:p>
              </w:tc>
            </w:tr>
            <w:tr w14:paraId="1A8F7177">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0" w:hRule="atLeast"/>
                <w:jc w:val="center"/>
              </w:trPr>
              <w:tc>
                <w:tcPr>
                  <w:tcW w:w="496" w:type="pct"/>
                  <w:tcBorders>
                    <w:top w:val="single" w:color="auto" w:sz="4" w:space="0"/>
                    <w:left w:val="nil"/>
                    <w:bottom w:val="single" w:color="auto" w:sz="4" w:space="0"/>
                    <w:right w:val="single" w:color="auto" w:sz="4" w:space="0"/>
                  </w:tcBorders>
                  <w:shd w:val="clear" w:color="auto" w:fill="auto"/>
                  <w:vAlign w:val="center"/>
                </w:tcPr>
                <w:p w14:paraId="20A7082B">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default"/>
                      <w:b w:val="0"/>
                      <w:bCs/>
                      <w:szCs w:val="21"/>
                      <w:lang w:val="en-US"/>
                    </w:rPr>
                  </w:pPr>
                  <w:r>
                    <w:rPr>
                      <w:rFonts w:hint="eastAsia" w:ascii="Times New Roman" w:hAnsi="宋体" w:eastAsia="宋体" w:cs="宋体"/>
                      <w:b w:val="0"/>
                      <w:bCs/>
                      <w:kern w:val="2"/>
                      <w:sz w:val="21"/>
                      <w:szCs w:val="21"/>
                      <w:lang w:val="en-US" w:eastAsia="zh-CN" w:bidi="ar"/>
                    </w:rPr>
                    <w:t>严格控制污染物排放</w:t>
                  </w:r>
                </w:p>
              </w:tc>
              <w:tc>
                <w:tcPr>
                  <w:tcW w:w="3028" w:type="pct"/>
                  <w:tcBorders>
                    <w:top w:val="single" w:color="auto" w:sz="4" w:space="0"/>
                    <w:left w:val="single" w:color="auto" w:sz="4" w:space="0"/>
                    <w:bottom w:val="single" w:color="auto" w:sz="4" w:space="0"/>
                    <w:right w:val="single" w:color="auto" w:sz="4" w:space="0"/>
                  </w:tcBorders>
                  <w:shd w:val="clear" w:color="auto" w:fill="auto"/>
                  <w:vAlign w:val="center"/>
                </w:tcPr>
                <w:p w14:paraId="243A84AA">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both"/>
                    <w:textAlignment w:val="auto"/>
                    <w:rPr>
                      <w:rFonts w:hint="default"/>
                      <w:b w:val="0"/>
                      <w:bCs/>
                      <w:szCs w:val="21"/>
                      <w:lang w:val="en-US"/>
                    </w:rPr>
                  </w:pPr>
                  <w:r>
                    <w:rPr>
                      <w:rFonts w:hint="eastAsia" w:ascii="Times New Roman" w:hAnsi="宋体" w:eastAsia="宋体" w:cs="宋体"/>
                      <w:b w:val="0"/>
                      <w:bCs/>
                      <w:kern w:val="2"/>
                      <w:sz w:val="21"/>
                      <w:szCs w:val="21"/>
                      <w:lang w:val="zh-CN" w:eastAsia="zh-CN" w:bidi="ar"/>
                    </w:rPr>
                    <w:t>严格执行污染物排放总量控制制度，采取调整能源结构、加强污染治理等措施，严格控制烟粉尘、二氧化硫、氮氧化物、可挥发性有机物等大气污染物的排放。抓紧实施中水回用工程，减少废水排放量，保证污水处理设施的正常运行，确保污水处理厂出水执行《城镇污水处理厂污染物排放标准》（</w:t>
                  </w:r>
                  <w:r>
                    <w:rPr>
                      <w:rFonts w:hint="default" w:ascii="Times New Roman" w:hAnsi="Times New Roman" w:eastAsia="宋体" w:cs="Times New Roman"/>
                      <w:b w:val="0"/>
                      <w:bCs/>
                      <w:kern w:val="2"/>
                      <w:sz w:val="21"/>
                      <w:szCs w:val="21"/>
                      <w:lang w:val="zh-CN" w:eastAsia="zh-CN" w:bidi="ar"/>
                    </w:rPr>
                    <w:t>GB18918-2002</w:t>
                  </w:r>
                  <w:r>
                    <w:rPr>
                      <w:rFonts w:hint="eastAsia" w:ascii="Times New Roman" w:hAnsi="宋体" w:eastAsia="宋体" w:cs="宋体"/>
                      <w:b w:val="0"/>
                      <w:bCs/>
                      <w:kern w:val="2"/>
                      <w:sz w:val="21"/>
                      <w:szCs w:val="21"/>
                      <w:lang w:val="zh-CN" w:eastAsia="zh-CN" w:bidi="ar"/>
                    </w:rPr>
                    <w:t>）一级标准的</w:t>
                  </w:r>
                  <w:r>
                    <w:rPr>
                      <w:rFonts w:hint="default" w:ascii="Times New Roman" w:hAnsi="Times New Roman" w:eastAsia="宋体" w:cs="Times New Roman"/>
                      <w:b w:val="0"/>
                      <w:bCs/>
                      <w:kern w:val="2"/>
                      <w:sz w:val="21"/>
                      <w:szCs w:val="21"/>
                      <w:lang w:val="zh-CN" w:eastAsia="zh-CN" w:bidi="ar"/>
                    </w:rPr>
                    <w:t>A</w:t>
                  </w:r>
                  <w:r>
                    <w:rPr>
                      <w:rFonts w:hint="eastAsia" w:ascii="Times New Roman" w:hAnsi="宋体" w:eastAsia="宋体" w:cs="宋体"/>
                      <w:b w:val="0"/>
                      <w:bCs/>
                      <w:kern w:val="2"/>
                      <w:sz w:val="21"/>
                      <w:szCs w:val="21"/>
                      <w:lang w:val="zh-CN" w:eastAsia="zh-CN" w:bidi="ar"/>
                    </w:rPr>
                    <w:t>标准，并尽快对污水处理厂进行提标改造，减少对纳入水体的影响。尽快实现集聚区集中供水，逐步关停企业自</w:t>
                  </w:r>
                  <w:r>
                    <w:rPr>
                      <w:rFonts w:hint="eastAsia" w:ascii="Times New Roman" w:hAnsi="宋体" w:eastAsia="宋体" w:cs="宋体"/>
                      <w:b w:val="0"/>
                      <w:bCs/>
                      <w:kern w:val="2"/>
                      <w:sz w:val="21"/>
                      <w:szCs w:val="21"/>
                      <w:lang w:val="en-US" w:eastAsia="zh-CN" w:bidi="ar"/>
                    </w:rPr>
                    <w:t>备水井。定期对地下水水质进行监测，发现问题，及时采取有效防治措施，避免对地下水造成污染。</w:t>
                  </w:r>
                </w:p>
              </w:tc>
              <w:tc>
                <w:tcPr>
                  <w:tcW w:w="950" w:type="pct"/>
                  <w:tcBorders>
                    <w:top w:val="single" w:color="auto" w:sz="4" w:space="0"/>
                    <w:left w:val="single" w:color="auto" w:sz="4" w:space="0"/>
                    <w:bottom w:val="single" w:color="auto" w:sz="4" w:space="0"/>
                    <w:right w:val="single" w:color="auto" w:sz="4" w:space="0"/>
                  </w:tcBorders>
                  <w:shd w:val="clear" w:color="auto" w:fill="auto"/>
                  <w:vAlign w:val="center"/>
                </w:tcPr>
                <w:p w14:paraId="63E786A4">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both"/>
                    <w:textAlignment w:val="auto"/>
                    <w:rPr>
                      <w:rFonts w:hint="default"/>
                      <w:b w:val="0"/>
                      <w:bCs/>
                    </w:rPr>
                  </w:pPr>
                  <w:r>
                    <w:rPr>
                      <w:rFonts w:hint="eastAsia" w:ascii="Times New Roman" w:hAnsi="宋体" w:eastAsia="宋体" w:cs="宋体"/>
                      <w:b w:val="0"/>
                      <w:bCs/>
                      <w:kern w:val="2"/>
                      <w:sz w:val="21"/>
                      <w:szCs w:val="24"/>
                      <w:lang w:val="en-US" w:eastAsia="zh-CN" w:bidi="ar"/>
                    </w:rPr>
                    <w:t>本项目严格控制有机废气排放，</w:t>
                  </w:r>
                  <w:r>
                    <w:rPr>
                      <w:rFonts w:hint="eastAsia" w:ascii="Times New Roman" w:hAnsi="宋体" w:eastAsia="宋体" w:cs="宋体"/>
                      <w:b w:val="0"/>
                      <w:bCs/>
                      <w:kern w:val="2"/>
                      <w:sz w:val="21"/>
                      <w:szCs w:val="21"/>
                      <w:lang w:val="en-US" w:eastAsia="zh-CN" w:bidi="ar"/>
                    </w:rPr>
                    <w:t>职工生活废水排入污水处理厂处理后能够达标排放，项目用水由</w:t>
                  </w:r>
                  <w:r>
                    <w:rPr>
                      <w:rFonts w:hint="eastAsia" w:ascii="Times New Roman" w:hAnsi="宋体" w:eastAsia="宋体" w:cs="宋体"/>
                      <w:b w:val="0"/>
                      <w:bCs/>
                      <w:kern w:val="2"/>
                      <w:sz w:val="21"/>
                      <w:szCs w:val="24"/>
                      <w:lang w:val="en-US" w:eastAsia="zh-CN" w:bidi="ar"/>
                    </w:rPr>
                    <w:t>集聚区自来水管网提供</w:t>
                  </w:r>
                  <w:r>
                    <w:rPr>
                      <w:rFonts w:hint="eastAsia" w:ascii="Times New Roman" w:hAnsi="宋体" w:eastAsia="宋体" w:cs="宋体"/>
                      <w:b w:val="0"/>
                      <w:bCs/>
                      <w:kern w:val="2"/>
                      <w:sz w:val="21"/>
                      <w:szCs w:val="21"/>
                      <w:lang w:val="zh-CN" w:eastAsia="zh-CN" w:bidi="ar"/>
                    </w:rPr>
                    <w:t>。</w:t>
                  </w:r>
                </w:p>
              </w:tc>
              <w:tc>
                <w:tcPr>
                  <w:tcW w:w="525" w:type="pct"/>
                  <w:tcBorders>
                    <w:top w:val="single" w:color="auto" w:sz="4" w:space="0"/>
                    <w:left w:val="single" w:color="auto" w:sz="4" w:space="0"/>
                    <w:bottom w:val="single" w:color="auto" w:sz="4" w:space="0"/>
                    <w:right w:val="nil"/>
                  </w:tcBorders>
                  <w:shd w:val="clear" w:color="auto" w:fill="auto"/>
                  <w:vAlign w:val="center"/>
                </w:tcPr>
                <w:p w14:paraId="1E19D4DB">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default"/>
                      <w:b w:val="0"/>
                      <w:bCs/>
                      <w:szCs w:val="21"/>
                      <w:lang w:val="en-US"/>
                    </w:rPr>
                  </w:pPr>
                  <w:r>
                    <w:rPr>
                      <w:rFonts w:hint="eastAsia" w:ascii="Times New Roman" w:hAnsi="宋体" w:eastAsia="宋体" w:cs="宋体"/>
                      <w:b w:val="0"/>
                      <w:bCs/>
                      <w:kern w:val="2"/>
                      <w:sz w:val="21"/>
                      <w:szCs w:val="21"/>
                      <w:lang w:val="en-US" w:eastAsia="zh-CN" w:bidi="ar"/>
                    </w:rPr>
                    <w:t>相符</w:t>
                  </w:r>
                </w:p>
              </w:tc>
            </w:tr>
            <w:tr w14:paraId="2CB984AB">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0" w:hRule="atLeast"/>
                <w:jc w:val="center"/>
              </w:trPr>
              <w:tc>
                <w:tcPr>
                  <w:tcW w:w="496" w:type="pct"/>
                  <w:tcBorders>
                    <w:top w:val="single" w:color="auto" w:sz="4" w:space="0"/>
                    <w:left w:val="nil"/>
                    <w:bottom w:val="single" w:color="auto" w:sz="4" w:space="0"/>
                    <w:right w:val="single" w:color="auto" w:sz="4" w:space="0"/>
                  </w:tcBorders>
                  <w:shd w:val="clear" w:color="auto" w:fill="auto"/>
                  <w:vAlign w:val="center"/>
                </w:tcPr>
                <w:p w14:paraId="0581C86C">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default"/>
                      <w:b w:val="0"/>
                      <w:bCs/>
                      <w:szCs w:val="21"/>
                      <w:lang w:val="en-US"/>
                    </w:rPr>
                  </w:pPr>
                  <w:r>
                    <w:rPr>
                      <w:rFonts w:hint="eastAsia" w:ascii="Times New Roman" w:hAnsi="宋体" w:eastAsia="宋体" w:cs="宋体"/>
                      <w:b w:val="0"/>
                      <w:bCs/>
                      <w:kern w:val="2"/>
                      <w:sz w:val="21"/>
                      <w:szCs w:val="21"/>
                      <w:lang w:val="en-US" w:eastAsia="zh-CN" w:bidi="ar"/>
                    </w:rPr>
                    <w:t>建立事故风险防范和应急处置体系</w:t>
                  </w:r>
                </w:p>
              </w:tc>
              <w:tc>
                <w:tcPr>
                  <w:tcW w:w="3028" w:type="pct"/>
                  <w:tcBorders>
                    <w:top w:val="single" w:color="auto" w:sz="4" w:space="0"/>
                    <w:left w:val="single" w:color="auto" w:sz="4" w:space="0"/>
                    <w:bottom w:val="single" w:color="auto" w:sz="4" w:space="0"/>
                    <w:right w:val="single" w:color="auto" w:sz="4" w:space="0"/>
                  </w:tcBorders>
                  <w:shd w:val="clear" w:color="auto" w:fill="auto"/>
                  <w:vAlign w:val="center"/>
                </w:tcPr>
                <w:p w14:paraId="7D1DA858">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both"/>
                    <w:textAlignment w:val="auto"/>
                    <w:rPr>
                      <w:rFonts w:hint="default"/>
                      <w:b w:val="0"/>
                      <w:bCs/>
                      <w:szCs w:val="21"/>
                      <w:lang w:val="zh-CN"/>
                    </w:rPr>
                  </w:pPr>
                  <w:r>
                    <w:rPr>
                      <w:rFonts w:hint="eastAsia" w:ascii="Times New Roman" w:hAnsi="宋体" w:eastAsia="宋体" w:cs="宋体"/>
                      <w:b w:val="0"/>
                      <w:bCs/>
                      <w:kern w:val="2"/>
                      <w:sz w:val="21"/>
                      <w:szCs w:val="21"/>
                      <w:lang w:val="zh-CN" w:eastAsia="zh-CN" w:bidi="ar"/>
                    </w:rPr>
                    <w:t>加快环境风险预警体系建设，严格危险化学品管理；建立完善有效的环境风险防控设施和有效的拦截、降污、导流等措施，防止对地表水环境造成危害；制定园区级综合环境应急预案，不断完善各类突发环境事件应急预案，有计划地组织应急培训和演练，全面提升园区风险防控和事故应急处置能力。</w:t>
                  </w:r>
                </w:p>
              </w:tc>
              <w:tc>
                <w:tcPr>
                  <w:tcW w:w="950" w:type="pct"/>
                  <w:tcBorders>
                    <w:top w:val="single" w:color="auto" w:sz="4" w:space="0"/>
                    <w:left w:val="single" w:color="auto" w:sz="4" w:space="0"/>
                    <w:bottom w:val="single" w:color="auto" w:sz="4" w:space="0"/>
                    <w:right w:val="single" w:color="auto" w:sz="4" w:space="0"/>
                  </w:tcBorders>
                  <w:shd w:val="clear" w:color="auto" w:fill="auto"/>
                  <w:vAlign w:val="center"/>
                </w:tcPr>
                <w:p w14:paraId="6B3CE339">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both"/>
                    <w:textAlignment w:val="auto"/>
                    <w:rPr>
                      <w:rFonts w:hint="default"/>
                      <w:b w:val="0"/>
                      <w:bCs/>
                      <w:szCs w:val="21"/>
                      <w:lang w:val="en-US"/>
                    </w:rPr>
                  </w:pPr>
                  <w:r>
                    <w:rPr>
                      <w:rFonts w:hint="eastAsia" w:ascii="Times New Roman" w:hAnsi="宋体" w:eastAsia="宋体" w:cs="宋体"/>
                      <w:b w:val="0"/>
                      <w:bCs/>
                      <w:kern w:val="2"/>
                      <w:sz w:val="21"/>
                      <w:szCs w:val="21"/>
                      <w:lang w:val="en-US" w:eastAsia="zh-CN" w:bidi="ar"/>
                    </w:rPr>
                    <w:t>本项目投产前编制突发环境事件应急预案，并按照计划组织应急培训和演练。</w:t>
                  </w:r>
                </w:p>
              </w:tc>
              <w:tc>
                <w:tcPr>
                  <w:tcW w:w="525" w:type="pct"/>
                  <w:tcBorders>
                    <w:top w:val="single" w:color="auto" w:sz="4" w:space="0"/>
                    <w:left w:val="single" w:color="auto" w:sz="4" w:space="0"/>
                    <w:bottom w:val="single" w:color="auto" w:sz="4" w:space="0"/>
                    <w:right w:val="nil"/>
                  </w:tcBorders>
                  <w:shd w:val="clear" w:color="auto" w:fill="auto"/>
                  <w:vAlign w:val="center"/>
                </w:tcPr>
                <w:p w14:paraId="3A9B5683">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default"/>
                      <w:b w:val="0"/>
                      <w:bCs/>
                      <w:szCs w:val="21"/>
                      <w:lang w:val="en-US"/>
                    </w:rPr>
                  </w:pPr>
                  <w:r>
                    <w:rPr>
                      <w:rFonts w:hint="eastAsia" w:ascii="Times New Roman" w:hAnsi="宋体" w:eastAsia="宋体" w:cs="宋体"/>
                      <w:b w:val="0"/>
                      <w:bCs/>
                      <w:kern w:val="2"/>
                      <w:sz w:val="21"/>
                      <w:szCs w:val="21"/>
                      <w:lang w:val="en-US" w:eastAsia="zh-CN" w:bidi="ar"/>
                    </w:rPr>
                    <w:t>相符</w:t>
                  </w:r>
                </w:p>
              </w:tc>
            </w:tr>
            <w:tr w14:paraId="1E8B77DD">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96" w:type="pct"/>
                  <w:tcBorders>
                    <w:top w:val="single" w:color="auto" w:sz="4" w:space="0"/>
                    <w:left w:val="nil"/>
                    <w:bottom w:val="single" w:color="auto" w:sz="4" w:space="0"/>
                    <w:right w:val="single" w:color="auto" w:sz="4" w:space="0"/>
                  </w:tcBorders>
                  <w:shd w:val="clear" w:color="auto" w:fill="auto"/>
                  <w:vAlign w:val="center"/>
                </w:tcPr>
                <w:p w14:paraId="1B032E5A">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default"/>
                      <w:b w:val="0"/>
                      <w:bCs/>
                      <w:szCs w:val="21"/>
                      <w:lang w:val="en-US"/>
                    </w:rPr>
                  </w:pPr>
                  <w:r>
                    <w:rPr>
                      <w:rFonts w:hint="default" w:ascii="Times New Roman" w:hAnsi="Times New Roman" w:eastAsia="宋体" w:cs="Times New Roman"/>
                      <w:b w:val="0"/>
                      <w:bCs/>
                      <w:kern w:val="2"/>
                      <w:sz w:val="21"/>
                      <w:szCs w:val="21"/>
                      <w:lang w:val="en-US" w:eastAsia="zh-CN" w:bidi="ar"/>
                    </w:rPr>
                    <w:t>/</w:t>
                  </w:r>
                </w:p>
              </w:tc>
              <w:tc>
                <w:tcPr>
                  <w:tcW w:w="3028" w:type="pct"/>
                  <w:tcBorders>
                    <w:top w:val="single" w:color="auto" w:sz="4" w:space="0"/>
                    <w:left w:val="single" w:color="auto" w:sz="4" w:space="0"/>
                    <w:bottom w:val="single" w:color="auto" w:sz="4" w:space="0"/>
                    <w:right w:val="single" w:color="auto" w:sz="4" w:space="0"/>
                  </w:tcBorders>
                  <w:shd w:val="clear" w:color="auto" w:fill="auto"/>
                  <w:vAlign w:val="center"/>
                </w:tcPr>
                <w:p w14:paraId="433D00FD">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both"/>
                    <w:textAlignment w:val="auto"/>
                    <w:rPr>
                      <w:rFonts w:hint="default"/>
                      <w:b w:val="0"/>
                      <w:bCs/>
                      <w:szCs w:val="21"/>
                      <w:lang w:val="zh-CN"/>
                    </w:rPr>
                  </w:pPr>
                  <w:r>
                    <w:rPr>
                      <w:rFonts w:hint="eastAsia" w:ascii="Times New Roman" w:hAnsi="宋体" w:eastAsia="宋体" w:cs="宋体"/>
                      <w:b w:val="0"/>
                      <w:bCs/>
                      <w:kern w:val="2"/>
                      <w:sz w:val="21"/>
                      <w:szCs w:val="21"/>
                      <w:lang w:val="zh-CN" w:eastAsia="zh-CN" w:bidi="ar"/>
                    </w:rPr>
                    <w:t>加强集聚区环境监督管理，完善环境管理机构，制定环境管理目标、管理制度和监测计划，编制并实施环境保护工作规划和实施方案，指导入区项目建设。组织开展园区地下水、排污受纳地表水体、边界大气、园区及周边土壤环境质量监测和环境噪声监测，建立环境管理（含监测）资料档案。加强环保宣传、教育及培训，建立信息公开平台，实施环境保护动态化管理。</w:t>
                  </w:r>
                </w:p>
              </w:tc>
              <w:tc>
                <w:tcPr>
                  <w:tcW w:w="950" w:type="pct"/>
                  <w:tcBorders>
                    <w:top w:val="single" w:color="auto" w:sz="4" w:space="0"/>
                    <w:left w:val="single" w:color="auto" w:sz="4" w:space="0"/>
                    <w:bottom w:val="single" w:color="auto" w:sz="4" w:space="0"/>
                    <w:right w:val="single" w:color="auto" w:sz="4" w:space="0"/>
                  </w:tcBorders>
                  <w:shd w:val="clear" w:color="auto" w:fill="auto"/>
                  <w:vAlign w:val="center"/>
                </w:tcPr>
                <w:p w14:paraId="6E9CAEBB">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both"/>
                    <w:textAlignment w:val="auto"/>
                    <w:rPr>
                      <w:rFonts w:hint="default"/>
                      <w:b w:val="0"/>
                      <w:bCs/>
                      <w:szCs w:val="21"/>
                      <w:lang w:val="en-US"/>
                    </w:rPr>
                  </w:pPr>
                  <w:r>
                    <w:rPr>
                      <w:rFonts w:hint="eastAsia" w:ascii="Times New Roman" w:hAnsi="宋体" w:eastAsia="宋体" w:cs="宋体"/>
                      <w:b w:val="0"/>
                      <w:bCs/>
                      <w:kern w:val="2"/>
                      <w:sz w:val="21"/>
                      <w:szCs w:val="21"/>
                      <w:lang w:val="en-US" w:eastAsia="zh-CN" w:bidi="ar"/>
                    </w:rPr>
                    <w:t>企业设置</w:t>
                  </w:r>
                  <w:r>
                    <w:rPr>
                      <w:rFonts w:hint="eastAsia" w:ascii="Times New Roman" w:hAnsi="宋体" w:eastAsia="宋体" w:cs="宋体"/>
                      <w:b w:val="0"/>
                      <w:bCs/>
                      <w:kern w:val="2"/>
                      <w:sz w:val="21"/>
                      <w:szCs w:val="21"/>
                      <w:lang w:val="zh-CN" w:eastAsia="zh-CN" w:bidi="ar"/>
                    </w:rPr>
                    <w:t>环境管理机构，制定环境管理目标、管理制度和监测计划</w:t>
                  </w:r>
                  <w:r>
                    <w:rPr>
                      <w:rFonts w:hint="eastAsia" w:ascii="Times New Roman" w:hAnsi="宋体" w:eastAsia="宋体" w:cs="宋体"/>
                      <w:b w:val="0"/>
                      <w:bCs/>
                      <w:kern w:val="2"/>
                      <w:sz w:val="21"/>
                      <w:szCs w:val="21"/>
                      <w:lang w:val="en-US" w:eastAsia="zh-CN" w:bidi="ar"/>
                    </w:rPr>
                    <w:t>，按要求开展自行监测。</w:t>
                  </w:r>
                </w:p>
              </w:tc>
              <w:tc>
                <w:tcPr>
                  <w:tcW w:w="525" w:type="pct"/>
                  <w:tcBorders>
                    <w:top w:val="single" w:color="auto" w:sz="4" w:space="0"/>
                    <w:left w:val="single" w:color="auto" w:sz="4" w:space="0"/>
                    <w:bottom w:val="single" w:color="auto" w:sz="4" w:space="0"/>
                    <w:right w:val="nil"/>
                  </w:tcBorders>
                  <w:shd w:val="clear" w:color="auto" w:fill="auto"/>
                  <w:vAlign w:val="center"/>
                </w:tcPr>
                <w:p w14:paraId="6A997B49">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default"/>
                      <w:b w:val="0"/>
                      <w:bCs/>
                      <w:szCs w:val="21"/>
                      <w:lang w:val="en-US"/>
                    </w:rPr>
                  </w:pPr>
                  <w:r>
                    <w:rPr>
                      <w:rFonts w:hint="eastAsia" w:ascii="Times New Roman" w:hAnsi="宋体" w:eastAsia="宋体" w:cs="宋体"/>
                      <w:b w:val="0"/>
                      <w:bCs/>
                      <w:kern w:val="2"/>
                      <w:sz w:val="21"/>
                      <w:szCs w:val="21"/>
                      <w:lang w:val="en-US" w:eastAsia="zh-CN" w:bidi="ar"/>
                    </w:rPr>
                    <w:t>相符</w:t>
                  </w:r>
                </w:p>
              </w:tc>
            </w:tr>
            <w:tr w14:paraId="5820E861">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0" w:hRule="atLeast"/>
                <w:jc w:val="center"/>
              </w:trPr>
              <w:tc>
                <w:tcPr>
                  <w:tcW w:w="496" w:type="pct"/>
                  <w:tcBorders>
                    <w:top w:val="single" w:color="auto" w:sz="4" w:space="0"/>
                    <w:left w:val="nil"/>
                    <w:bottom w:val="single" w:color="auto" w:sz="4" w:space="0"/>
                    <w:right w:val="single" w:color="auto" w:sz="4" w:space="0"/>
                  </w:tcBorders>
                  <w:shd w:val="clear" w:color="auto" w:fill="auto"/>
                  <w:vAlign w:val="center"/>
                </w:tcPr>
                <w:p w14:paraId="0BE260FB">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default"/>
                      <w:b w:val="0"/>
                      <w:bCs/>
                      <w:szCs w:val="21"/>
                      <w:lang w:val="en-US"/>
                    </w:rPr>
                  </w:pPr>
                  <w:r>
                    <w:rPr>
                      <w:rFonts w:hint="default" w:ascii="Times New Roman" w:hAnsi="Times New Roman" w:eastAsia="宋体" w:cs="Times New Roman"/>
                      <w:b w:val="0"/>
                      <w:bCs/>
                      <w:kern w:val="2"/>
                      <w:sz w:val="21"/>
                      <w:szCs w:val="21"/>
                      <w:lang w:val="en-US" w:eastAsia="zh-CN" w:bidi="ar"/>
                    </w:rPr>
                    <w:t>/</w:t>
                  </w:r>
                </w:p>
              </w:tc>
              <w:tc>
                <w:tcPr>
                  <w:tcW w:w="3028" w:type="pct"/>
                  <w:tcBorders>
                    <w:top w:val="single" w:color="auto" w:sz="4" w:space="0"/>
                    <w:left w:val="single" w:color="auto" w:sz="4" w:space="0"/>
                    <w:bottom w:val="single" w:color="auto" w:sz="4" w:space="0"/>
                    <w:right w:val="single" w:color="auto" w:sz="4" w:space="0"/>
                  </w:tcBorders>
                  <w:shd w:val="clear" w:color="auto" w:fill="auto"/>
                  <w:vAlign w:val="center"/>
                </w:tcPr>
                <w:p w14:paraId="62A6D7DE">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both"/>
                    <w:textAlignment w:val="auto"/>
                    <w:rPr>
                      <w:rFonts w:hint="default"/>
                      <w:b w:val="0"/>
                      <w:bCs/>
                      <w:szCs w:val="21"/>
                      <w:lang w:val="en-US"/>
                    </w:rPr>
                  </w:pPr>
                  <w:r>
                    <w:rPr>
                      <w:rFonts w:hint="eastAsia" w:ascii="Times New Roman" w:hAnsi="宋体" w:eastAsia="宋体" w:cs="宋体"/>
                      <w:b w:val="0"/>
                      <w:bCs/>
                      <w:kern w:val="2"/>
                      <w:sz w:val="21"/>
                      <w:szCs w:val="21"/>
                      <w:lang w:val="en-US" w:eastAsia="zh-CN" w:bidi="ar"/>
                    </w:rPr>
                    <w:t>汤阴县产业集聚区发展规划实施及开发建设中，应严格遵守国家产业政策，严格执行环评和</w:t>
                  </w:r>
                  <w:r>
                    <w:rPr>
                      <w:rFonts w:hint="default" w:ascii="Times New Roman" w:hAnsi="Times New Roman" w:eastAsia="宋体" w:cs="Times New Roman"/>
                      <w:b w:val="0"/>
                      <w:bCs/>
                      <w:kern w:val="2"/>
                      <w:sz w:val="21"/>
                      <w:szCs w:val="21"/>
                      <w:lang w:val="en-US" w:eastAsia="zh-CN" w:bidi="ar"/>
                    </w:rPr>
                    <w:t>“</w:t>
                  </w:r>
                  <w:r>
                    <w:rPr>
                      <w:rFonts w:hint="eastAsia" w:ascii="Times New Roman" w:hAnsi="宋体" w:eastAsia="宋体" w:cs="宋体"/>
                      <w:b w:val="0"/>
                      <w:bCs/>
                      <w:kern w:val="2"/>
                      <w:sz w:val="21"/>
                      <w:szCs w:val="21"/>
                      <w:lang w:val="en-US" w:eastAsia="zh-CN" w:bidi="ar"/>
                    </w:rPr>
                    <w:t>三同时</w:t>
                  </w:r>
                  <w:r>
                    <w:rPr>
                      <w:rFonts w:hint="default" w:ascii="Times New Roman" w:hAnsi="Times New Roman" w:eastAsia="宋体" w:cs="Times New Roman"/>
                      <w:b w:val="0"/>
                      <w:bCs/>
                      <w:kern w:val="2"/>
                      <w:sz w:val="21"/>
                      <w:szCs w:val="21"/>
                      <w:lang w:val="en-US" w:eastAsia="zh-CN" w:bidi="ar"/>
                    </w:rPr>
                    <w:t>”</w:t>
                  </w:r>
                  <w:r>
                    <w:rPr>
                      <w:rFonts w:hint="eastAsia" w:ascii="Times New Roman" w:hAnsi="宋体" w:eastAsia="宋体" w:cs="宋体"/>
                      <w:b w:val="0"/>
                      <w:bCs/>
                      <w:kern w:val="2"/>
                      <w:sz w:val="21"/>
                      <w:szCs w:val="21"/>
                      <w:lang w:val="en-US" w:eastAsia="zh-CN" w:bidi="ar"/>
                    </w:rPr>
                    <w:t>制度，自觉接受各级环保部门的检查监督管理。</w:t>
                  </w:r>
                </w:p>
              </w:tc>
              <w:tc>
                <w:tcPr>
                  <w:tcW w:w="950" w:type="pct"/>
                  <w:tcBorders>
                    <w:top w:val="single" w:color="auto" w:sz="4" w:space="0"/>
                    <w:left w:val="single" w:color="auto" w:sz="4" w:space="0"/>
                    <w:bottom w:val="single" w:color="auto" w:sz="4" w:space="0"/>
                    <w:right w:val="single" w:color="auto" w:sz="4" w:space="0"/>
                  </w:tcBorders>
                  <w:shd w:val="clear" w:color="auto" w:fill="auto"/>
                  <w:vAlign w:val="center"/>
                </w:tcPr>
                <w:p w14:paraId="3A49ABF0">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both"/>
                    <w:textAlignment w:val="auto"/>
                    <w:rPr>
                      <w:rFonts w:hint="default"/>
                      <w:b w:val="0"/>
                      <w:bCs/>
                      <w:szCs w:val="21"/>
                      <w:lang w:val="en-US"/>
                    </w:rPr>
                  </w:pPr>
                  <w:r>
                    <w:rPr>
                      <w:rFonts w:hint="eastAsia" w:ascii="Times New Roman" w:hAnsi="宋体" w:eastAsia="宋体" w:cs="宋体"/>
                      <w:b w:val="0"/>
                      <w:bCs/>
                      <w:kern w:val="2"/>
                      <w:sz w:val="21"/>
                      <w:szCs w:val="21"/>
                      <w:lang w:val="en-US" w:eastAsia="zh-CN" w:bidi="ar"/>
                    </w:rPr>
                    <w:t>本项目符合国家产业政策，严格执行环评和</w:t>
                  </w:r>
                  <w:r>
                    <w:rPr>
                      <w:rFonts w:hint="default" w:ascii="Times New Roman" w:hAnsi="Times New Roman" w:eastAsia="宋体" w:cs="Times New Roman"/>
                      <w:b w:val="0"/>
                      <w:bCs/>
                      <w:kern w:val="2"/>
                      <w:sz w:val="21"/>
                      <w:szCs w:val="21"/>
                      <w:lang w:val="en-US" w:eastAsia="zh-CN" w:bidi="ar"/>
                    </w:rPr>
                    <w:t>“</w:t>
                  </w:r>
                  <w:r>
                    <w:rPr>
                      <w:rFonts w:hint="eastAsia" w:ascii="Times New Roman" w:hAnsi="宋体" w:eastAsia="宋体" w:cs="宋体"/>
                      <w:b w:val="0"/>
                      <w:bCs/>
                      <w:kern w:val="2"/>
                      <w:sz w:val="21"/>
                      <w:szCs w:val="21"/>
                      <w:lang w:val="en-US" w:eastAsia="zh-CN" w:bidi="ar"/>
                    </w:rPr>
                    <w:t>三同时</w:t>
                  </w:r>
                  <w:r>
                    <w:rPr>
                      <w:rFonts w:hint="default" w:ascii="Times New Roman" w:hAnsi="Times New Roman" w:eastAsia="宋体" w:cs="Times New Roman"/>
                      <w:b w:val="0"/>
                      <w:bCs/>
                      <w:kern w:val="2"/>
                      <w:sz w:val="21"/>
                      <w:szCs w:val="21"/>
                      <w:lang w:val="en-US" w:eastAsia="zh-CN" w:bidi="ar"/>
                    </w:rPr>
                    <w:t>”</w:t>
                  </w:r>
                  <w:r>
                    <w:rPr>
                      <w:rFonts w:hint="eastAsia" w:ascii="Times New Roman" w:hAnsi="宋体" w:eastAsia="宋体" w:cs="宋体"/>
                      <w:b w:val="0"/>
                      <w:bCs/>
                      <w:kern w:val="2"/>
                      <w:sz w:val="21"/>
                      <w:szCs w:val="21"/>
                      <w:lang w:val="en-US" w:eastAsia="zh-CN" w:bidi="ar"/>
                    </w:rPr>
                    <w:t>制度，自觉接受各级环保部门的检查监督管理。</w:t>
                  </w:r>
                </w:p>
              </w:tc>
              <w:tc>
                <w:tcPr>
                  <w:tcW w:w="525" w:type="pct"/>
                  <w:tcBorders>
                    <w:top w:val="single" w:color="auto" w:sz="4" w:space="0"/>
                    <w:left w:val="single" w:color="auto" w:sz="4" w:space="0"/>
                    <w:bottom w:val="single" w:color="auto" w:sz="4" w:space="0"/>
                    <w:right w:val="nil"/>
                  </w:tcBorders>
                  <w:shd w:val="clear" w:color="auto" w:fill="auto"/>
                  <w:vAlign w:val="center"/>
                </w:tcPr>
                <w:p w14:paraId="626AD585">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default"/>
                      <w:b w:val="0"/>
                      <w:bCs/>
                      <w:szCs w:val="21"/>
                      <w:lang w:val="en-US"/>
                    </w:rPr>
                  </w:pPr>
                  <w:r>
                    <w:rPr>
                      <w:rFonts w:hint="eastAsia" w:ascii="Times New Roman" w:hAnsi="宋体" w:eastAsia="宋体" w:cs="宋体"/>
                      <w:b w:val="0"/>
                      <w:bCs/>
                      <w:kern w:val="2"/>
                      <w:sz w:val="21"/>
                      <w:szCs w:val="21"/>
                      <w:lang w:val="en-US" w:eastAsia="zh-CN" w:bidi="ar"/>
                    </w:rPr>
                    <w:t>相符</w:t>
                  </w:r>
                </w:p>
              </w:tc>
            </w:tr>
          </w:tbl>
          <w:p w14:paraId="11B1F79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jc w:val="left"/>
              <w:textAlignment w:val="auto"/>
              <w:rPr>
                <w:rFonts w:hint="default"/>
                <w:b/>
                <w:bCs/>
                <w:kern w:val="0"/>
                <w:sz w:val="24"/>
                <w:szCs w:val="24"/>
                <w:lang w:val="en-US" w:bidi="ar"/>
              </w:rPr>
            </w:pPr>
            <w:r>
              <w:rPr>
                <w:rFonts w:hint="eastAsia" w:ascii="Times New Roman" w:hAnsi="Times New Roman" w:eastAsia="宋体" w:cs="宋体"/>
                <w:b/>
                <w:bCs/>
                <w:kern w:val="0"/>
                <w:sz w:val="24"/>
                <w:szCs w:val="24"/>
                <w:lang w:val="en-US" w:eastAsia="zh-CN" w:bidi="ar"/>
              </w:rPr>
              <w:t>4、与《汤阴县高新技术产业开发区总体发展规划（</w:t>
            </w:r>
            <w:r>
              <w:rPr>
                <w:rFonts w:hint="default" w:ascii="Times New Roman" w:hAnsi="Times New Roman" w:eastAsia="宋体" w:cs="Times New Roman"/>
                <w:b/>
                <w:bCs/>
                <w:kern w:val="0"/>
                <w:sz w:val="24"/>
                <w:szCs w:val="24"/>
                <w:lang w:val="en-US" w:eastAsia="zh-CN" w:bidi="ar"/>
              </w:rPr>
              <w:t>2022-2035</w:t>
            </w:r>
            <w:r>
              <w:rPr>
                <w:rFonts w:hint="eastAsia" w:ascii="Times New Roman" w:hAnsi="Times New Roman" w:eastAsia="宋体" w:cs="宋体"/>
                <w:b/>
                <w:bCs/>
                <w:kern w:val="0"/>
                <w:sz w:val="24"/>
                <w:szCs w:val="24"/>
                <w:lang w:val="en-US" w:eastAsia="zh-CN" w:bidi="ar"/>
              </w:rPr>
              <w:t>）》及规划环评（送审稿）相符性分析</w:t>
            </w:r>
          </w:p>
          <w:p w14:paraId="4FFC018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textAlignment w:val="auto"/>
              <w:rPr>
                <w:rFonts w:hint="default"/>
                <w:sz w:val="24"/>
                <w:szCs w:val="24"/>
                <w:lang w:val="en-US"/>
              </w:rPr>
            </w:pPr>
            <w:r>
              <w:rPr>
                <w:rFonts w:hint="eastAsia" w:ascii="宋体" w:hAnsi="宋体" w:eastAsia="宋体" w:cs="宋体"/>
                <w:kern w:val="2"/>
                <w:sz w:val="24"/>
                <w:szCs w:val="24"/>
                <w:lang w:val="en-US" w:eastAsia="zh-CN" w:bidi="ar"/>
              </w:rPr>
              <w:t>汤阴县产业集聚区目前已经更名为汤阴高新技术产业开发区，汤阴高新技术产业开发区总体发展规划（</w:t>
            </w:r>
            <w:r>
              <w:rPr>
                <w:rFonts w:hint="default" w:ascii="Times New Roman" w:hAnsi="Times New Roman" w:eastAsia="宋体" w:cs="Times New Roman"/>
                <w:kern w:val="2"/>
                <w:sz w:val="24"/>
                <w:szCs w:val="24"/>
                <w:lang w:val="en-US" w:eastAsia="zh-CN" w:bidi="ar"/>
              </w:rPr>
              <w:t>2022-2035</w:t>
            </w:r>
            <w:r>
              <w:rPr>
                <w:rFonts w:hint="eastAsia" w:ascii="宋体" w:hAnsi="宋体" w:eastAsia="宋体" w:cs="宋体"/>
                <w:kern w:val="2"/>
                <w:sz w:val="24"/>
                <w:szCs w:val="24"/>
                <w:lang w:val="en-US" w:eastAsia="zh-CN" w:bidi="ar"/>
              </w:rPr>
              <w:t>）环境影响报告书目前处于送审阶段，还没有报批，有些内容可能存在一定的不确定性。因此本评价参考《汤阴高新技术产业开发区总体发展规划（</w:t>
            </w:r>
            <w:r>
              <w:rPr>
                <w:rFonts w:hint="default" w:ascii="Times New Roman" w:hAnsi="Times New Roman" w:eastAsia="宋体" w:cs="Times New Roman"/>
                <w:kern w:val="2"/>
                <w:sz w:val="24"/>
                <w:szCs w:val="24"/>
                <w:lang w:val="en-US" w:eastAsia="zh-CN" w:bidi="ar"/>
              </w:rPr>
              <w:t>2022-2035</w:t>
            </w:r>
            <w:r>
              <w:rPr>
                <w:rFonts w:hint="eastAsia" w:ascii="宋体" w:hAnsi="宋体" w:eastAsia="宋体" w:cs="宋体"/>
                <w:kern w:val="2"/>
                <w:sz w:val="24"/>
                <w:szCs w:val="24"/>
                <w:lang w:val="en-US" w:eastAsia="zh-CN" w:bidi="ar"/>
              </w:rPr>
              <w:t>）》及规划环评送审版的内容进行分析。</w:t>
            </w:r>
          </w:p>
          <w:p w14:paraId="146AD96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textAlignment w:val="auto"/>
              <w:rPr>
                <w:rFonts w:hint="default"/>
                <w:sz w:val="24"/>
                <w:szCs w:val="24"/>
                <w:lang w:val="en-US"/>
              </w:rPr>
            </w:pPr>
            <w:r>
              <w:rPr>
                <w:rFonts w:hint="eastAsia" w:ascii="宋体" w:hAnsi="宋体" w:eastAsia="宋体" w:cs="宋体"/>
                <w:kern w:val="2"/>
                <w:sz w:val="24"/>
                <w:szCs w:val="24"/>
                <w:lang w:val="en-US" w:eastAsia="zh-CN" w:bidi="ar"/>
              </w:rPr>
              <w:t>（</w:t>
            </w:r>
            <w:r>
              <w:rPr>
                <w:rFonts w:hint="default" w:ascii="Times New Roman" w:hAnsi="Times New Roman" w:eastAsia="宋体" w:cs="Times New Roman"/>
                <w:kern w:val="2"/>
                <w:sz w:val="24"/>
                <w:szCs w:val="24"/>
                <w:lang w:val="en-US" w:eastAsia="zh-CN" w:bidi="ar"/>
              </w:rPr>
              <w:t>1</w:t>
            </w:r>
            <w:r>
              <w:rPr>
                <w:rFonts w:hint="eastAsia" w:ascii="宋体" w:hAnsi="宋体" w:eastAsia="宋体" w:cs="宋体"/>
                <w:kern w:val="2"/>
                <w:sz w:val="24"/>
                <w:szCs w:val="24"/>
                <w:lang w:val="en-US" w:eastAsia="zh-CN" w:bidi="ar"/>
              </w:rPr>
              <w:t>）规划期限：</w:t>
            </w:r>
            <w:r>
              <w:rPr>
                <w:rFonts w:hint="default" w:ascii="Times New Roman" w:hAnsi="Times New Roman" w:eastAsia="宋体" w:cs="Times New Roman"/>
                <w:kern w:val="2"/>
                <w:sz w:val="24"/>
                <w:szCs w:val="24"/>
                <w:lang w:val="en-US" w:eastAsia="zh-CN" w:bidi="ar"/>
              </w:rPr>
              <w:t>2022</w:t>
            </w:r>
            <w:r>
              <w:rPr>
                <w:rFonts w:hint="eastAsia" w:ascii="宋体" w:hAnsi="宋体" w:eastAsia="宋体" w:cs="宋体"/>
                <w:kern w:val="2"/>
                <w:sz w:val="24"/>
                <w:szCs w:val="24"/>
                <w:lang w:val="en-US" w:eastAsia="zh-CN" w:bidi="ar"/>
              </w:rPr>
              <w:t>～</w:t>
            </w:r>
            <w:r>
              <w:rPr>
                <w:rFonts w:hint="default" w:ascii="Times New Roman" w:hAnsi="Times New Roman" w:eastAsia="宋体" w:cs="Times New Roman"/>
                <w:kern w:val="2"/>
                <w:sz w:val="24"/>
                <w:szCs w:val="24"/>
                <w:lang w:val="en-US" w:eastAsia="zh-CN" w:bidi="ar"/>
              </w:rPr>
              <w:t>2035</w:t>
            </w:r>
            <w:r>
              <w:rPr>
                <w:rFonts w:hint="eastAsia" w:ascii="宋体" w:hAnsi="宋体" w:eastAsia="宋体" w:cs="宋体"/>
                <w:kern w:val="2"/>
                <w:sz w:val="24"/>
                <w:szCs w:val="24"/>
                <w:lang w:val="en-US" w:eastAsia="zh-CN" w:bidi="ar"/>
              </w:rPr>
              <w:t>年。近期：</w:t>
            </w:r>
            <w:r>
              <w:rPr>
                <w:rFonts w:hint="default" w:ascii="Times New Roman" w:hAnsi="Times New Roman" w:eastAsia="宋体" w:cs="Times New Roman"/>
                <w:kern w:val="2"/>
                <w:sz w:val="24"/>
                <w:szCs w:val="24"/>
                <w:lang w:val="en-US" w:eastAsia="zh-CN" w:bidi="ar"/>
              </w:rPr>
              <w:t>2022</w:t>
            </w:r>
            <w:r>
              <w:rPr>
                <w:rFonts w:hint="eastAsia" w:ascii="宋体" w:hAnsi="宋体" w:eastAsia="宋体" w:cs="宋体"/>
                <w:kern w:val="2"/>
                <w:sz w:val="24"/>
                <w:szCs w:val="24"/>
                <w:lang w:val="en-US" w:eastAsia="zh-CN" w:bidi="ar"/>
              </w:rPr>
              <w:t>～</w:t>
            </w:r>
            <w:r>
              <w:rPr>
                <w:rFonts w:hint="default" w:ascii="Times New Roman" w:hAnsi="Times New Roman" w:eastAsia="宋体" w:cs="Times New Roman"/>
                <w:kern w:val="2"/>
                <w:sz w:val="24"/>
                <w:szCs w:val="24"/>
                <w:lang w:val="en-US" w:eastAsia="zh-CN" w:bidi="ar"/>
              </w:rPr>
              <w:t>2025</w:t>
            </w:r>
            <w:r>
              <w:rPr>
                <w:rFonts w:hint="eastAsia" w:ascii="宋体" w:hAnsi="宋体" w:eastAsia="宋体" w:cs="宋体"/>
                <w:kern w:val="2"/>
                <w:sz w:val="24"/>
                <w:szCs w:val="24"/>
                <w:lang w:val="en-US" w:eastAsia="zh-CN" w:bidi="ar"/>
              </w:rPr>
              <w:t>年；远期：</w:t>
            </w:r>
            <w:r>
              <w:rPr>
                <w:rFonts w:hint="default" w:ascii="Times New Roman" w:hAnsi="Times New Roman" w:eastAsia="宋体" w:cs="Times New Roman"/>
                <w:kern w:val="2"/>
                <w:sz w:val="24"/>
                <w:szCs w:val="24"/>
                <w:lang w:val="en-US" w:eastAsia="zh-CN" w:bidi="ar"/>
              </w:rPr>
              <w:t>2026</w:t>
            </w:r>
            <w:r>
              <w:rPr>
                <w:rFonts w:hint="eastAsia" w:ascii="宋体" w:hAnsi="宋体" w:eastAsia="宋体" w:cs="宋体"/>
                <w:kern w:val="2"/>
                <w:sz w:val="24"/>
                <w:szCs w:val="24"/>
                <w:lang w:val="en-US" w:eastAsia="zh-CN" w:bidi="ar"/>
              </w:rPr>
              <w:t>～</w:t>
            </w:r>
            <w:r>
              <w:rPr>
                <w:rFonts w:hint="default" w:ascii="Times New Roman" w:hAnsi="Times New Roman" w:eastAsia="宋体" w:cs="Times New Roman"/>
                <w:kern w:val="2"/>
                <w:sz w:val="24"/>
                <w:szCs w:val="24"/>
                <w:lang w:val="en-US" w:eastAsia="zh-CN" w:bidi="ar"/>
              </w:rPr>
              <w:t>2035</w:t>
            </w:r>
            <w:r>
              <w:rPr>
                <w:rFonts w:hint="eastAsia" w:ascii="宋体" w:hAnsi="宋体" w:eastAsia="宋体" w:cs="宋体"/>
                <w:kern w:val="2"/>
                <w:sz w:val="24"/>
                <w:szCs w:val="24"/>
                <w:lang w:val="en-US" w:eastAsia="zh-CN" w:bidi="ar"/>
              </w:rPr>
              <w:t>年。</w:t>
            </w:r>
          </w:p>
          <w:p w14:paraId="1DC40EB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textAlignment w:val="auto"/>
              <w:rPr>
                <w:rFonts w:hint="default"/>
                <w:sz w:val="24"/>
                <w:szCs w:val="24"/>
                <w:lang w:val="en-US"/>
              </w:rPr>
            </w:pPr>
            <w:r>
              <w:rPr>
                <w:rFonts w:hint="eastAsia" w:ascii="宋体" w:hAnsi="宋体" w:eastAsia="宋体" w:cs="宋体"/>
                <w:kern w:val="2"/>
                <w:sz w:val="24"/>
                <w:szCs w:val="24"/>
                <w:lang w:val="en-US" w:eastAsia="zh-CN" w:bidi="ar"/>
              </w:rPr>
              <w:t>（</w:t>
            </w:r>
            <w:r>
              <w:rPr>
                <w:rFonts w:hint="default" w:ascii="Times New Roman" w:hAnsi="Times New Roman" w:eastAsia="宋体" w:cs="Times New Roman"/>
                <w:kern w:val="2"/>
                <w:sz w:val="24"/>
                <w:szCs w:val="24"/>
                <w:lang w:val="en-US" w:eastAsia="zh-CN" w:bidi="ar"/>
              </w:rPr>
              <w:t>2</w:t>
            </w:r>
            <w:r>
              <w:rPr>
                <w:rFonts w:hint="eastAsia" w:ascii="宋体" w:hAnsi="宋体" w:eastAsia="宋体" w:cs="宋体"/>
                <w:kern w:val="2"/>
                <w:sz w:val="24"/>
                <w:szCs w:val="24"/>
                <w:lang w:val="en-US" w:eastAsia="zh-CN" w:bidi="ar"/>
              </w:rPr>
              <w:t>）规划范围：本次规划位于汤阴县中心城区东南部，开发区规划围合总面积约</w:t>
            </w:r>
            <w:r>
              <w:rPr>
                <w:rFonts w:hint="default" w:ascii="Times New Roman" w:hAnsi="Times New Roman" w:eastAsia="宋体" w:cs="Times New Roman"/>
                <w:kern w:val="2"/>
                <w:sz w:val="24"/>
                <w:szCs w:val="24"/>
                <w:lang w:val="en-US" w:eastAsia="zh-CN" w:bidi="ar"/>
              </w:rPr>
              <w:t>23.36</w:t>
            </w:r>
            <w:r>
              <w:rPr>
                <w:rFonts w:hint="eastAsia" w:ascii="宋体" w:hAnsi="宋体" w:eastAsia="宋体" w:cs="宋体"/>
                <w:kern w:val="2"/>
                <w:sz w:val="24"/>
                <w:szCs w:val="24"/>
                <w:lang w:val="en-US" w:eastAsia="zh-CN" w:bidi="ar"/>
              </w:rPr>
              <w:t>平方公里，具体四至范围：东至兴隆路—京广高铁—徐伏路—汤伏路—刘大线，西至中原路—</w:t>
            </w:r>
            <w:r>
              <w:rPr>
                <w:rFonts w:hint="default" w:ascii="Times New Roman" w:hAnsi="Times New Roman" w:eastAsia="宋体" w:cs="Times New Roman"/>
                <w:kern w:val="2"/>
                <w:sz w:val="24"/>
                <w:szCs w:val="24"/>
                <w:lang w:val="en-US" w:eastAsia="zh-CN" w:bidi="ar"/>
              </w:rPr>
              <w:t>107</w:t>
            </w:r>
            <w:r>
              <w:rPr>
                <w:rFonts w:hint="eastAsia" w:ascii="宋体" w:hAnsi="宋体" w:eastAsia="宋体" w:cs="宋体"/>
                <w:kern w:val="2"/>
                <w:sz w:val="24"/>
                <w:szCs w:val="24"/>
                <w:lang w:val="en-US" w:eastAsia="zh-CN" w:bidi="ar"/>
              </w:rPr>
              <w:t>国道—金穗路—扁鹊路，北至复兴大道—精忠路—省道</w:t>
            </w:r>
            <w:r>
              <w:rPr>
                <w:rFonts w:hint="default" w:ascii="Times New Roman" w:hAnsi="Times New Roman" w:eastAsia="宋体" w:cs="Times New Roman"/>
                <w:kern w:val="2"/>
                <w:sz w:val="24"/>
                <w:szCs w:val="24"/>
                <w:lang w:val="en-US" w:eastAsia="zh-CN" w:bidi="ar"/>
              </w:rPr>
              <w:t>302</w:t>
            </w:r>
            <w:r>
              <w:rPr>
                <w:rFonts w:hint="eastAsia" w:ascii="宋体" w:hAnsi="宋体" w:eastAsia="宋体" w:cs="宋体"/>
                <w:kern w:val="2"/>
                <w:sz w:val="24"/>
                <w:szCs w:val="24"/>
                <w:lang w:val="en-US" w:eastAsia="zh-CN" w:bidi="ar"/>
              </w:rPr>
              <w:t>，南到开源大道—宜兴大道—阳光大道—晋豫鲁铁路。</w:t>
            </w:r>
          </w:p>
          <w:p w14:paraId="5C8C947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textAlignment w:val="auto"/>
              <w:rPr>
                <w:rFonts w:hint="default"/>
                <w:sz w:val="24"/>
                <w:szCs w:val="24"/>
                <w:lang w:val="en-US"/>
              </w:rPr>
            </w:pPr>
            <w:r>
              <w:rPr>
                <w:rFonts w:hint="eastAsia" w:ascii="宋体" w:hAnsi="宋体" w:eastAsia="宋体" w:cs="宋体"/>
                <w:kern w:val="2"/>
                <w:sz w:val="24"/>
                <w:szCs w:val="24"/>
                <w:lang w:val="en-US" w:eastAsia="zh-CN" w:bidi="ar"/>
              </w:rPr>
              <w:t>（</w:t>
            </w:r>
            <w:r>
              <w:rPr>
                <w:rFonts w:hint="default" w:ascii="Times New Roman" w:hAnsi="Times New Roman" w:eastAsia="宋体" w:cs="Times New Roman"/>
                <w:kern w:val="2"/>
                <w:sz w:val="24"/>
                <w:szCs w:val="24"/>
                <w:lang w:val="en-US" w:eastAsia="zh-CN" w:bidi="ar"/>
              </w:rPr>
              <w:t>3</w:t>
            </w:r>
            <w:r>
              <w:rPr>
                <w:rFonts w:hint="eastAsia" w:ascii="宋体" w:hAnsi="宋体" w:eastAsia="宋体" w:cs="宋体"/>
                <w:kern w:val="2"/>
                <w:sz w:val="24"/>
                <w:szCs w:val="24"/>
                <w:lang w:val="en-US" w:eastAsia="zh-CN" w:bidi="ar"/>
              </w:rPr>
              <w:t>）产业定位</w:t>
            </w:r>
          </w:p>
          <w:p w14:paraId="3FDC980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textAlignment w:val="auto"/>
              <w:rPr>
                <w:rFonts w:hint="default"/>
                <w:sz w:val="24"/>
                <w:szCs w:val="24"/>
                <w:lang w:val="en-US"/>
              </w:rPr>
            </w:pPr>
            <w:r>
              <w:rPr>
                <w:rFonts w:hint="eastAsia" w:ascii="宋体" w:hAnsi="宋体" w:eastAsia="宋体" w:cs="宋体"/>
                <w:kern w:val="2"/>
                <w:sz w:val="24"/>
                <w:szCs w:val="24"/>
                <w:lang w:val="en-US" w:eastAsia="zh-CN" w:bidi="ar"/>
              </w:rPr>
              <w:t>主导产业：以食品、精品钢及深加工、医药为主导产业。</w:t>
            </w:r>
          </w:p>
          <w:p w14:paraId="5B52CFB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textAlignment w:val="auto"/>
              <w:rPr>
                <w:rFonts w:hint="default"/>
                <w:sz w:val="24"/>
                <w:szCs w:val="24"/>
                <w:lang w:val="en-US"/>
              </w:rPr>
            </w:pPr>
            <w:r>
              <w:rPr>
                <w:rFonts w:hint="eastAsia" w:ascii="宋体" w:hAnsi="宋体" w:eastAsia="宋体" w:cs="宋体"/>
                <w:kern w:val="2"/>
                <w:sz w:val="24"/>
                <w:szCs w:val="24"/>
                <w:lang w:val="en-US" w:eastAsia="zh-CN" w:bidi="ar"/>
              </w:rPr>
              <w:t>发展定位：中国主食工业化生产基地、中国食品工业强县；安阳千亿级精品钢产业重要支撑点；全国医药工业名县。</w:t>
            </w:r>
          </w:p>
          <w:p w14:paraId="520F328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textAlignment w:val="auto"/>
              <w:rPr>
                <w:rFonts w:hint="default"/>
                <w:sz w:val="24"/>
                <w:szCs w:val="24"/>
                <w:lang w:val="en-US"/>
              </w:rPr>
            </w:pPr>
            <w:r>
              <w:rPr>
                <w:rFonts w:hint="eastAsia" w:ascii="宋体" w:hAnsi="宋体" w:eastAsia="宋体" w:cs="宋体"/>
                <w:kern w:val="2"/>
                <w:sz w:val="24"/>
                <w:szCs w:val="24"/>
                <w:lang w:val="en-US" w:eastAsia="zh-CN" w:bidi="ar"/>
              </w:rPr>
              <w:t>（</w:t>
            </w:r>
            <w:r>
              <w:rPr>
                <w:rFonts w:hint="default" w:ascii="Times New Roman" w:hAnsi="Times New Roman" w:eastAsia="宋体" w:cs="Times New Roman"/>
                <w:kern w:val="2"/>
                <w:sz w:val="24"/>
                <w:szCs w:val="24"/>
                <w:lang w:val="en-US" w:eastAsia="zh-CN" w:bidi="ar"/>
              </w:rPr>
              <w:t>4</w:t>
            </w:r>
            <w:r>
              <w:rPr>
                <w:rFonts w:hint="eastAsia" w:ascii="宋体" w:hAnsi="宋体" w:eastAsia="宋体" w:cs="宋体"/>
                <w:kern w:val="2"/>
                <w:sz w:val="24"/>
                <w:szCs w:val="24"/>
                <w:lang w:val="en-US" w:eastAsia="zh-CN" w:bidi="ar"/>
              </w:rPr>
              <w:t>）开发区产业空间布局规划</w:t>
            </w:r>
          </w:p>
          <w:p w14:paraId="5EF4A30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textAlignment w:val="auto"/>
              <w:rPr>
                <w:rFonts w:hint="default"/>
                <w:sz w:val="24"/>
                <w:szCs w:val="24"/>
                <w:lang w:val="en-US"/>
              </w:rPr>
            </w:pPr>
            <w:r>
              <w:rPr>
                <w:rFonts w:hint="eastAsia" w:ascii="宋体" w:hAnsi="宋体" w:eastAsia="宋体" w:cs="宋体"/>
                <w:kern w:val="2"/>
                <w:sz w:val="24"/>
                <w:szCs w:val="24"/>
                <w:lang w:val="en-US" w:eastAsia="zh-CN" w:bidi="ar"/>
              </w:rPr>
              <w:t>按照高新技术产业开发区发展目标，统筹生产、生活、生态三大空间，确定不同功能区域的划分。开发区用地总体呈现“一心、二轴、四园”的空间格局。</w:t>
            </w:r>
          </w:p>
          <w:p w14:paraId="55C4043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textAlignment w:val="auto"/>
              <w:rPr>
                <w:rFonts w:hint="default"/>
                <w:sz w:val="24"/>
                <w:szCs w:val="24"/>
                <w:lang w:val="en-US"/>
              </w:rPr>
            </w:pPr>
            <w:r>
              <w:rPr>
                <w:rFonts w:hint="eastAsia" w:ascii="宋体" w:hAnsi="宋体" w:eastAsia="宋体" w:cs="宋体"/>
                <w:kern w:val="2"/>
                <w:sz w:val="24"/>
                <w:szCs w:val="24"/>
                <w:lang w:val="en-US" w:eastAsia="zh-CN" w:bidi="ar"/>
              </w:rPr>
              <w:t>一心：是指开发区公共服务中心，位于众品大道中段两侧。</w:t>
            </w:r>
          </w:p>
          <w:p w14:paraId="41129E1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textAlignment w:val="auto"/>
              <w:rPr>
                <w:rFonts w:hint="default"/>
                <w:sz w:val="24"/>
                <w:szCs w:val="24"/>
                <w:lang w:val="en-US"/>
              </w:rPr>
            </w:pPr>
            <w:r>
              <w:rPr>
                <w:rFonts w:hint="eastAsia" w:ascii="宋体" w:hAnsi="宋体" w:eastAsia="宋体" w:cs="宋体"/>
                <w:kern w:val="2"/>
                <w:sz w:val="24"/>
                <w:szCs w:val="24"/>
                <w:lang w:val="en-US" w:eastAsia="zh-CN" w:bidi="ar"/>
              </w:rPr>
              <w:t>二轴：是指沿东西向众品大道、南北向刘大线联系汤阴中心城区和开发区形成的产城融合轴，及延伸形成的城乡融合轴。</w:t>
            </w:r>
          </w:p>
          <w:p w14:paraId="7E98A3D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textAlignment w:val="auto"/>
              <w:rPr>
                <w:rFonts w:hint="eastAsia" w:ascii="宋体" w:hAnsi="宋体" w:eastAsia="宋体" w:cs="宋体"/>
                <w:sz w:val="24"/>
                <w:szCs w:val="24"/>
                <w:lang w:val="en-US" w:bidi="ar"/>
              </w:rPr>
            </w:pPr>
            <w:r>
              <w:rPr>
                <w:rFonts w:hint="eastAsia" w:ascii="宋体" w:hAnsi="宋体" w:eastAsia="宋体" w:cs="宋体"/>
                <w:kern w:val="2"/>
                <w:sz w:val="24"/>
                <w:szCs w:val="24"/>
                <w:lang w:val="en-US" w:eastAsia="zh-CN" w:bidi="ar"/>
              </w:rPr>
              <w:t>四园：是指按照主导产业形成的不同产业园，包括食品产业园、精品钢及深加工产业园、医药产业园和物流产业园。</w:t>
            </w:r>
          </w:p>
          <w:p w14:paraId="7DF534F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textAlignment w:val="auto"/>
              <w:rPr>
                <w:rFonts w:hint="eastAsia" w:ascii="宋体" w:hAnsi="宋体" w:eastAsia="宋体" w:cs="宋体"/>
                <w:kern w:val="2"/>
                <w:sz w:val="24"/>
                <w:szCs w:val="24"/>
                <w:highlight w:val="red"/>
                <w:lang w:val="en-US" w:eastAsia="zh-CN" w:bidi="ar"/>
              </w:rPr>
            </w:pPr>
            <w:r>
              <w:rPr>
                <w:rFonts w:hint="eastAsia" w:ascii="宋体" w:hAnsi="宋体" w:eastAsia="宋体" w:cs="宋体"/>
                <w:kern w:val="2"/>
                <w:sz w:val="24"/>
                <w:szCs w:val="24"/>
                <w:highlight w:val="none"/>
                <w:lang w:val="en-US" w:eastAsia="zh-CN" w:bidi="ar"/>
              </w:rPr>
              <w:t>本项目</w:t>
            </w:r>
            <w:r>
              <w:rPr>
                <w:rFonts w:hint="default" w:ascii="Times New Roman" w:hAnsi="Times New Roman" w:eastAsia="宋体" w:cs="Times New Roman"/>
                <w:kern w:val="2"/>
                <w:sz w:val="24"/>
                <w:szCs w:val="24"/>
                <w:highlight w:val="none"/>
                <w:lang w:val="en-US" w:eastAsia="zh-CN" w:bidi="ar"/>
              </w:rPr>
              <w:t>项目产品为</w:t>
            </w:r>
            <w:r>
              <w:rPr>
                <w:rFonts w:hint="default" w:ascii="Times New Roman" w:hAnsi="Times New Roman" w:cs="Times New Roman"/>
                <w:kern w:val="2"/>
                <w:sz w:val="24"/>
                <w:szCs w:val="24"/>
                <w:highlight w:val="none"/>
                <w:lang w:val="en-US" w:eastAsia="zh-CN" w:bidi="ar"/>
              </w:rPr>
              <w:t>PE布</w:t>
            </w:r>
            <w:r>
              <w:rPr>
                <w:rFonts w:hint="default" w:ascii="Times New Roman" w:hAnsi="Times New Roman" w:eastAsia="宋体" w:cs="Times New Roman"/>
                <w:kern w:val="2"/>
                <w:sz w:val="24"/>
                <w:szCs w:val="24"/>
                <w:highlight w:val="none"/>
                <w:lang w:val="en-US" w:eastAsia="zh-CN" w:bidi="ar"/>
              </w:rPr>
              <w:t>，主要用于仓储防护与运输遮盖、包装领域、农业灌溉等方面</w:t>
            </w:r>
            <w:r>
              <w:rPr>
                <w:rFonts w:hint="default" w:ascii="Times New Roman" w:hAnsi="Times New Roman" w:cs="Times New Roman"/>
                <w:kern w:val="2"/>
                <w:sz w:val="24"/>
                <w:szCs w:val="24"/>
                <w:highlight w:val="none"/>
                <w:lang w:val="en-US" w:eastAsia="zh-CN" w:bidi="ar"/>
              </w:rPr>
              <w:t>，</w:t>
            </w:r>
            <w:r>
              <w:rPr>
                <w:rFonts w:hint="default" w:ascii="Times New Roman" w:hAnsi="Times New Roman" w:eastAsia="宋体" w:cs="Times New Roman"/>
                <w:kern w:val="0"/>
                <w:sz w:val="24"/>
                <w:szCs w:val="24"/>
                <w:highlight w:val="none"/>
                <w:lang w:val="en-US" w:eastAsia="zh-CN" w:bidi="ar"/>
              </w:rPr>
              <w:t>属于园区主导产业的配套链条行业</w:t>
            </w:r>
            <w:r>
              <w:rPr>
                <w:rFonts w:hint="eastAsia" w:cs="Times New Roman"/>
                <w:kern w:val="0"/>
                <w:sz w:val="24"/>
                <w:szCs w:val="24"/>
                <w:highlight w:val="none"/>
                <w:lang w:val="en-US" w:eastAsia="zh-CN" w:bidi="ar"/>
              </w:rPr>
              <w:t>。</w:t>
            </w:r>
          </w:p>
          <w:p w14:paraId="44A0D8B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textAlignment w:val="auto"/>
              <w:rPr>
                <w:rFonts w:hint="default"/>
                <w:sz w:val="24"/>
                <w:szCs w:val="24"/>
                <w:lang w:val="en-US"/>
              </w:rPr>
            </w:pPr>
            <w:r>
              <w:rPr>
                <w:rFonts w:hint="eastAsia" w:ascii="宋体" w:hAnsi="宋体" w:eastAsia="宋体" w:cs="宋体"/>
                <w:kern w:val="2"/>
                <w:sz w:val="24"/>
                <w:szCs w:val="24"/>
                <w:lang w:val="en-US" w:eastAsia="zh-CN" w:bidi="ar"/>
              </w:rPr>
              <w:t>（</w:t>
            </w:r>
            <w:r>
              <w:rPr>
                <w:rFonts w:hint="default" w:ascii="Times New Roman" w:hAnsi="Times New Roman" w:eastAsia="宋体" w:cs="Times New Roman"/>
                <w:kern w:val="2"/>
                <w:sz w:val="24"/>
                <w:szCs w:val="24"/>
                <w:lang w:val="en-US" w:eastAsia="zh-CN" w:bidi="ar"/>
              </w:rPr>
              <w:t>5</w:t>
            </w:r>
            <w:r>
              <w:rPr>
                <w:rFonts w:hint="eastAsia" w:ascii="宋体" w:hAnsi="宋体" w:eastAsia="宋体" w:cs="宋体"/>
                <w:kern w:val="2"/>
                <w:sz w:val="24"/>
                <w:szCs w:val="24"/>
                <w:lang w:val="en-US" w:eastAsia="zh-CN" w:bidi="ar"/>
              </w:rPr>
              <w:t>）总体用地布局规划</w:t>
            </w:r>
          </w:p>
          <w:p w14:paraId="22681E8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textAlignment w:val="auto"/>
              <w:rPr>
                <w:rFonts w:hint="default"/>
              </w:rPr>
            </w:pPr>
            <w:r>
              <w:rPr>
                <w:rFonts w:hint="eastAsia" w:ascii="宋体" w:hAnsi="宋体" w:eastAsia="宋体" w:cs="宋体"/>
                <w:kern w:val="2"/>
                <w:sz w:val="24"/>
                <w:szCs w:val="24"/>
                <w:lang w:val="en-US" w:eastAsia="zh-CN" w:bidi="ar"/>
              </w:rPr>
              <w:t>规划总用地面积</w:t>
            </w:r>
            <w:r>
              <w:rPr>
                <w:rFonts w:hint="default" w:ascii="Times New Roman" w:hAnsi="Times New Roman" w:eastAsia="宋体" w:cs="Times New Roman"/>
                <w:kern w:val="2"/>
                <w:sz w:val="24"/>
                <w:szCs w:val="24"/>
                <w:lang w:val="en-US" w:eastAsia="zh-CN" w:bidi="ar"/>
              </w:rPr>
              <w:t>2344.48</w:t>
            </w:r>
            <w:r>
              <w:rPr>
                <w:rFonts w:hint="eastAsia" w:ascii="Times New Roman" w:hAnsi="Times New Roman" w:eastAsia="宋体" w:cs="宋体"/>
                <w:kern w:val="2"/>
                <w:sz w:val="24"/>
                <w:szCs w:val="24"/>
                <w:lang w:val="en-US" w:eastAsia="zh-CN" w:bidi="ar"/>
              </w:rPr>
              <w:t>公顷</w:t>
            </w:r>
            <w:r>
              <w:rPr>
                <w:rFonts w:hint="eastAsia" w:ascii="宋体" w:hAnsi="宋体" w:eastAsia="宋体" w:cs="宋体"/>
                <w:kern w:val="2"/>
                <w:sz w:val="24"/>
                <w:szCs w:val="24"/>
                <w:lang w:val="en-US" w:eastAsia="zh-CN" w:bidi="ar"/>
              </w:rPr>
              <w:t>，其中城市建设用地</w:t>
            </w:r>
            <w:r>
              <w:rPr>
                <w:rFonts w:hint="default" w:ascii="Times New Roman" w:hAnsi="Times New Roman" w:eastAsia="宋体" w:cs="Times New Roman"/>
                <w:kern w:val="2"/>
                <w:sz w:val="24"/>
                <w:szCs w:val="24"/>
                <w:lang w:val="en-US" w:eastAsia="zh-CN" w:bidi="ar"/>
              </w:rPr>
              <w:t>1776.89</w:t>
            </w:r>
            <w:r>
              <w:rPr>
                <w:rFonts w:hint="eastAsia" w:ascii="Times New Roman" w:hAnsi="Times New Roman" w:eastAsia="宋体" w:cs="宋体"/>
                <w:kern w:val="2"/>
                <w:sz w:val="24"/>
                <w:szCs w:val="24"/>
                <w:lang w:val="en-US" w:eastAsia="zh-CN" w:bidi="ar"/>
              </w:rPr>
              <w:t>公顷</w:t>
            </w:r>
            <w:r>
              <w:rPr>
                <w:rFonts w:hint="eastAsia" w:ascii="宋体" w:hAnsi="宋体" w:eastAsia="宋体" w:cs="宋体"/>
                <w:kern w:val="2"/>
                <w:sz w:val="24"/>
                <w:szCs w:val="24"/>
                <w:lang w:val="en-US" w:eastAsia="zh-CN" w:bidi="ar"/>
              </w:rPr>
              <w:t>，规划工业用地主要有二类用地共</w:t>
            </w:r>
            <w:r>
              <w:rPr>
                <w:rFonts w:hint="default" w:ascii="Times New Roman" w:hAnsi="Times New Roman" w:eastAsia="宋体" w:cs="Times New Roman"/>
                <w:kern w:val="2"/>
                <w:sz w:val="24"/>
                <w:szCs w:val="24"/>
                <w:lang w:val="en-US" w:eastAsia="zh-CN" w:bidi="ar"/>
              </w:rPr>
              <w:t>1287.12</w:t>
            </w:r>
            <w:r>
              <w:rPr>
                <w:rFonts w:hint="eastAsia" w:ascii="宋体" w:hAnsi="宋体" w:eastAsia="宋体" w:cs="宋体"/>
                <w:kern w:val="2"/>
                <w:sz w:val="24"/>
                <w:szCs w:val="24"/>
                <w:lang w:val="en-US" w:eastAsia="zh-CN" w:bidi="ar"/>
              </w:rPr>
              <w:t>公顷，商业服务业用地为</w:t>
            </w:r>
            <w:r>
              <w:rPr>
                <w:rFonts w:hint="default" w:ascii="Times New Roman" w:hAnsi="Times New Roman" w:eastAsia="宋体" w:cs="Times New Roman"/>
                <w:kern w:val="2"/>
                <w:sz w:val="24"/>
                <w:szCs w:val="24"/>
                <w:lang w:val="en-US" w:eastAsia="zh-CN" w:bidi="ar"/>
              </w:rPr>
              <w:t>42.91</w:t>
            </w:r>
            <w:r>
              <w:rPr>
                <w:rFonts w:hint="eastAsia" w:ascii="宋体" w:hAnsi="宋体" w:eastAsia="宋体" w:cs="宋体"/>
                <w:kern w:val="2"/>
                <w:sz w:val="24"/>
                <w:szCs w:val="24"/>
                <w:lang w:val="en-US" w:eastAsia="zh-CN" w:bidi="ar"/>
              </w:rPr>
              <w:t>公顷，公共管理与公共服务用地</w:t>
            </w:r>
            <w:r>
              <w:rPr>
                <w:rFonts w:hint="default" w:ascii="Times New Roman" w:hAnsi="Times New Roman" w:eastAsia="宋体" w:cs="Times New Roman"/>
                <w:kern w:val="2"/>
                <w:sz w:val="24"/>
                <w:szCs w:val="24"/>
                <w:lang w:val="en-US" w:eastAsia="zh-CN" w:bidi="ar"/>
              </w:rPr>
              <w:t>7.45</w:t>
            </w:r>
            <w:r>
              <w:rPr>
                <w:rFonts w:hint="eastAsia" w:ascii="宋体" w:hAnsi="宋体" w:eastAsia="宋体" w:cs="宋体"/>
                <w:kern w:val="2"/>
                <w:sz w:val="24"/>
                <w:szCs w:val="24"/>
                <w:lang w:val="en-US" w:eastAsia="zh-CN" w:bidi="ar"/>
              </w:rPr>
              <w:t>公顷，道路与交通设施用地规划用地</w:t>
            </w:r>
            <w:r>
              <w:rPr>
                <w:rFonts w:hint="default" w:ascii="Times New Roman" w:hAnsi="Times New Roman" w:eastAsia="宋体" w:cs="Times New Roman"/>
                <w:kern w:val="2"/>
                <w:sz w:val="24"/>
                <w:szCs w:val="24"/>
                <w:lang w:val="en-US" w:eastAsia="zh-CN" w:bidi="ar"/>
              </w:rPr>
              <w:t>162.94</w:t>
            </w:r>
            <w:r>
              <w:rPr>
                <w:rFonts w:hint="eastAsia" w:ascii="宋体" w:hAnsi="宋体" w:eastAsia="宋体" w:cs="宋体"/>
                <w:kern w:val="2"/>
                <w:sz w:val="24"/>
                <w:szCs w:val="24"/>
                <w:lang w:val="en-US" w:eastAsia="zh-CN" w:bidi="ar"/>
              </w:rPr>
              <w:t>公顷，绿地与开敞空间用地面积共</w:t>
            </w:r>
            <w:r>
              <w:rPr>
                <w:rFonts w:hint="default" w:ascii="Times New Roman" w:hAnsi="Times New Roman" w:eastAsia="宋体" w:cs="Times New Roman"/>
                <w:kern w:val="2"/>
                <w:sz w:val="24"/>
                <w:szCs w:val="24"/>
                <w:lang w:val="en-US" w:eastAsia="zh-CN" w:bidi="ar"/>
              </w:rPr>
              <w:t>105.88</w:t>
            </w:r>
            <w:r>
              <w:rPr>
                <w:rFonts w:hint="eastAsia" w:ascii="宋体" w:hAnsi="宋体" w:eastAsia="宋体" w:cs="宋体"/>
                <w:kern w:val="2"/>
                <w:sz w:val="24"/>
                <w:szCs w:val="24"/>
                <w:lang w:val="en-US" w:eastAsia="zh-CN" w:bidi="ar"/>
              </w:rPr>
              <w:t>公顷，居住用地规模为</w:t>
            </w:r>
            <w:r>
              <w:rPr>
                <w:rFonts w:hint="default" w:ascii="Times New Roman" w:hAnsi="Times New Roman" w:eastAsia="宋体" w:cs="Times New Roman"/>
                <w:kern w:val="2"/>
                <w:sz w:val="24"/>
                <w:szCs w:val="24"/>
                <w:lang w:val="en-US" w:eastAsia="zh-CN" w:bidi="ar"/>
              </w:rPr>
              <w:t>25.26</w:t>
            </w:r>
            <w:r>
              <w:rPr>
                <w:rFonts w:hint="eastAsia" w:ascii="宋体" w:hAnsi="宋体" w:eastAsia="宋体" w:cs="宋体"/>
                <w:kern w:val="2"/>
                <w:sz w:val="24"/>
                <w:szCs w:val="24"/>
                <w:lang w:val="en-US" w:eastAsia="zh-CN" w:bidi="ar"/>
              </w:rPr>
              <w:t>公顷，公用设施用地规模为</w:t>
            </w:r>
            <w:r>
              <w:rPr>
                <w:rFonts w:hint="default" w:ascii="Times New Roman" w:hAnsi="Times New Roman" w:eastAsia="宋体" w:cs="Times New Roman"/>
                <w:kern w:val="2"/>
                <w:sz w:val="24"/>
                <w:szCs w:val="24"/>
                <w:lang w:val="en-US" w:eastAsia="zh-CN" w:bidi="ar"/>
              </w:rPr>
              <w:t>11.30</w:t>
            </w:r>
            <w:r>
              <w:rPr>
                <w:rFonts w:hint="eastAsia" w:ascii="宋体" w:hAnsi="宋体" w:eastAsia="宋体" w:cs="宋体"/>
                <w:kern w:val="2"/>
                <w:sz w:val="24"/>
                <w:szCs w:val="24"/>
                <w:lang w:val="en-US" w:eastAsia="zh-CN" w:bidi="ar"/>
              </w:rPr>
              <w:t>公顷，物流仓储用地规模为</w:t>
            </w:r>
            <w:r>
              <w:rPr>
                <w:rFonts w:hint="default" w:ascii="Times New Roman" w:hAnsi="Times New Roman" w:eastAsia="宋体" w:cs="Times New Roman"/>
                <w:kern w:val="2"/>
                <w:sz w:val="24"/>
                <w:szCs w:val="24"/>
                <w:lang w:val="en-US" w:eastAsia="zh-CN" w:bidi="ar"/>
              </w:rPr>
              <w:t>125.74</w:t>
            </w:r>
            <w:r>
              <w:rPr>
                <w:rFonts w:hint="eastAsia" w:ascii="宋体" w:hAnsi="宋体" w:eastAsia="宋体" w:cs="宋体"/>
                <w:kern w:val="2"/>
                <w:sz w:val="24"/>
                <w:szCs w:val="24"/>
                <w:lang w:val="en-US" w:eastAsia="zh-CN" w:bidi="ar"/>
              </w:rPr>
              <w:t>公顷，特殊用地规模为</w:t>
            </w:r>
            <w:r>
              <w:rPr>
                <w:rFonts w:hint="default" w:ascii="Times New Roman" w:hAnsi="Times New Roman" w:eastAsia="宋体" w:cs="Times New Roman"/>
                <w:kern w:val="2"/>
                <w:sz w:val="24"/>
                <w:szCs w:val="24"/>
                <w:lang w:val="en-US" w:eastAsia="zh-CN" w:bidi="ar"/>
              </w:rPr>
              <w:t>3.60</w:t>
            </w:r>
            <w:r>
              <w:rPr>
                <w:rFonts w:hint="eastAsia" w:ascii="宋体" w:hAnsi="宋体" w:eastAsia="宋体" w:cs="宋体"/>
                <w:kern w:val="2"/>
                <w:sz w:val="24"/>
                <w:szCs w:val="24"/>
                <w:lang w:val="en-US" w:eastAsia="zh-CN" w:bidi="ar"/>
              </w:rPr>
              <w:t>公顷，区域交通设施用地</w:t>
            </w:r>
            <w:r>
              <w:rPr>
                <w:rFonts w:hint="default" w:ascii="Times New Roman" w:hAnsi="Times New Roman" w:eastAsia="宋体" w:cs="Times New Roman"/>
                <w:kern w:val="2"/>
                <w:sz w:val="24"/>
                <w:szCs w:val="24"/>
                <w:lang w:val="en-US" w:eastAsia="zh-CN" w:bidi="ar"/>
              </w:rPr>
              <w:t>23.23</w:t>
            </w:r>
            <w:r>
              <w:rPr>
                <w:rFonts w:hint="eastAsia" w:ascii="Times New Roman" w:hAnsi="Times New Roman" w:eastAsia="宋体" w:cs="宋体"/>
                <w:kern w:val="2"/>
                <w:sz w:val="24"/>
                <w:szCs w:val="24"/>
                <w:lang w:val="en-US" w:eastAsia="zh-CN" w:bidi="ar"/>
              </w:rPr>
              <w:t>公顷</w:t>
            </w:r>
            <w:r>
              <w:rPr>
                <w:rFonts w:hint="eastAsia" w:ascii="宋体" w:hAnsi="宋体" w:eastAsia="宋体" w:cs="宋体"/>
                <w:kern w:val="2"/>
                <w:sz w:val="24"/>
                <w:szCs w:val="24"/>
                <w:lang w:val="en-US" w:eastAsia="zh-CN" w:bidi="ar"/>
              </w:rPr>
              <w:t>，区域公用设施用地</w:t>
            </w:r>
            <w:r>
              <w:rPr>
                <w:rFonts w:hint="default" w:ascii="Times New Roman" w:hAnsi="Times New Roman" w:eastAsia="宋体" w:cs="Times New Roman"/>
                <w:kern w:val="2"/>
                <w:sz w:val="24"/>
                <w:szCs w:val="24"/>
                <w:lang w:val="en-US" w:eastAsia="zh-CN" w:bidi="ar"/>
              </w:rPr>
              <w:t>6.32</w:t>
            </w:r>
            <w:r>
              <w:rPr>
                <w:rFonts w:hint="eastAsia" w:ascii="Times New Roman" w:hAnsi="Times New Roman" w:eastAsia="宋体" w:cs="宋体"/>
                <w:kern w:val="2"/>
                <w:sz w:val="24"/>
                <w:szCs w:val="24"/>
                <w:lang w:val="en-US" w:eastAsia="zh-CN" w:bidi="ar"/>
              </w:rPr>
              <w:t>公顷</w:t>
            </w:r>
            <w:r>
              <w:rPr>
                <w:rFonts w:hint="eastAsia" w:ascii="宋体" w:hAnsi="宋体" w:eastAsia="宋体" w:cs="宋体"/>
                <w:kern w:val="2"/>
                <w:sz w:val="24"/>
                <w:szCs w:val="24"/>
                <w:lang w:val="en-US" w:eastAsia="zh-CN" w:bidi="ar"/>
              </w:rPr>
              <w:t>，其他建设用地</w:t>
            </w:r>
            <w:r>
              <w:rPr>
                <w:rFonts w:hint="default" w:ascii="Times New Roman" w:hAnsi="Times New Roman" w:eastAsia="宋体" w:cs="Times New Roman"/>
                <w:kern w:val="2"/>
                <w:sz w:val="24"/>
                <w:szCs w:val="24"/>
                <w:lang w:val="en-US" w:eastAsia="zh-CN" w:bidi="ar"/>
              </w:rPr>
              <w:t>330.28</w:t>
            </w:r>
            <w:r>
              <w:rPr>
                <w:rFonts w:hint="eastAsia" w:ascii="Times New Roman" w:hAnsi="Times New Roman" w:eastAsia="宋体" w:cs="宋体"/>
                <w:kern w:val="2"/>
                <w:sz w:val="24"/>
                <w:szCs w:val="24"/>
                <w:lang w:val="en-US" w:eastAsia="zh-CN" w:bidi="ar"/>
              </w:rPr>
              <w:t>公顷</w:t>
            </w:r>
            <w:r>
              <w:rPr>
                <w:rFonts w:hint="eastAsia" w:ascii="宋体" w:hAnsi="宋体" w:eastAsia="宋体" w:cs="宋体"/>
                <w:kern w:val="2"/>
                <w:sz w:val="24"/>
                <w:szCs w:val="24"/>
                <w:lang w:val="en-US" w:eastAsia="zh-CN" w:bidi="ar"/>
              </w:rPr>
              <w:t>，水域</w:t>
            </w:r>
            <w:r>
              <w:rPr>
                <w:rFonts w:hint="default" w:ascii="Times New Roman" w:hAnsi="Times New Roman" w:eastAsia="宋体" w:cs="Times New Roman"/>
                <w:kern w:val="2"/>
                <w:sz w:val="24"/>
                <w:szCs w:val="24"/>
                <w:lang w:val="en-US" w:eastAsia="zh-CN" w:bidi="ar"/>
              </w:rPr>
              <w:t>25.17</w:t>
            </w:r>
            <w:r>
              <w:rPr>
                <w:rFonts w:hint="eastAsia" w:ascii="Times New Roman" w:hAnsi="Times New Roman" w:eastAsia="宋体" w:cs="宋体"/>
                <w:kern w:val="2"/>
                <w:sz w:val="24"/>
                <w:szCs w:val="24"/>
                <w:lang w:val="en-US" w:eastAsia="zh-CN" w:bidi="ar"/>
              </w:rPr>
              <w:t>公顷</w:t>
            </w:r>
            <w:r>
              <w:rPr>
                <w:rFonts w:hint="eastAsia" w:ascii="宋体" w:hAnsi="宋体" w:eastAsia="宋体" w:cs="宋体"/>
                <w:kern w:val="2"/>
                <w:sz w:val="24"/>
                <w:szCs w:val="24"/>
                <w:lang w:val="en-US" w:eastAsia="zh-CN" w:bidi="ar"/>
              </w:rPr>
              <w:t>，其他非建设用地</w:t>
            </w:r>
            <w:r>
              <w:rPr>
                <w:rFonts w:hint="default" w:ascii="Times New Roman" w:hAnsi="Times New Roman" w:eastAsia="宋体" w:cs="Times New Roman"/>
                <w:kern w:val="2"/>
                <w:sz w:val="24"/>
                <w:szCs w:val="24"/>
                <w:lang w:val="en-US" w:eastAsia="zh-CN" w:bidi="ar"/>
              </w:rPr>
              <w:t>92.35</w:t>
            </w:r>
            <w:r>
              <w:rPr>
                <w:rFonts w:hint="eastAsia" w:ascii="Times New Roman" w:hAnsi="Times New Roman" w:eastAsia="宋体" w:cs="宋体"/>
                <w:kern w:val="2"/>
                <w:sz w:val="24"/>
                <w:szCs w:val="24"/>
                <w:lang w:val="en-US" w:eastAsia="zh-CN" w:bidi="ar"/>
              </w:rPr>
              <w:t>公顷</w:t>
            </w:r>
            <w:r>
              <w:rPr>
                <w:rFonts w:hint="eastAsia" w:ascii="宋体" w:hAnsi="宋体" w:eastAsia="宋体" w:cs="宋体"/>
                <w:kern w:val="2"/>
                <w:sz w:val="24"/>
                <w:szCs w:val="24"/>
                <w:lang w:val="en-US" w:eastAsia="zh-CN" w:bidi="ar"/>
              </w:rPr>
              <w:t>。</w:t>
            </w:r>
          </w:p>
          <w:p w14:paraId="69EF2D8F">
            <w:pPr>
              <w:pStyle w:val="21"/>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textAlignment w:val="auto"/>
              <w:rPr>
                <w:rFonts w:hint="default" w:ascii="Times New Roman" w:hAnsi="Times New Roman" w:cs="Times New Roman"/>
                <w:szCs w:val="24"/>
                <w:lang w:val="en-US"/>
              </w:rPr>
            </w:pPr>
            <w:r>
              <w:rPr>
                <w:rFonts w:hint="default" w:cs="宋体"/>
                <w:szCs w:val="24"/>
                <w:lang w:eastAsia="zh-CN" w:bidi="ar"/>
              </w:rPr>
              <w:t>本项目</w:t>
            </w:r>
            <w:r>
              <w:rPr>
                <w:rFonts w:hint="eastAsia" w:cs="宋体"/>
                <w:szCs w:val="24"/>
                <w:lang w:val="en-US" w:eastAsia="zh-CN" w:bidi="ar"/>
              </w:rPr>
              <w:t>租赁</w:t>
            </w:r>
            <w:r>
              <w:rPr>
                <w:rFonts w:hint="eastAsia" w:cs="宋体"/>
                <w:kern w:val="2"/>
                <w:sz w:val="24"/>
                <w:szCs w:val="24"/>
                <w:lang w:val="en-US" w:eastAsia="zh-CN" w:bidi="ar"/>
              </w:rPr>
              <w:t>安阳睿恒数控机床股份有限公司现有厂房建设，占地为工业用地</w:t>
            </w:r>
            <w:r>
              <w:rPr>
                <w:rFonts w:hint="default" w:cs="宋体"/>
                <w:szCs w:val="24"/>
                <w:lang w:eastAsia="zh-CN" w:bidi="ar"/>
              </w:rPr>
              <w:t>，符合</w:t>
            </w:r>
            <w:r>
              <w:rPr>
                <w:rFonts w:hint="eastAsia" w:cs="宋体"/>
                <w:szCs w:val="24"/>
                <w:lang w:val="en-US" w:eastAsia="zh-CN" w:bidi="ar"/>
              </w:rPr>
              <w:t>园区</w:t>
            </w:r>
            <w:r>
              <w:rPr>
                <w:rFonts w:hint="eastAsia" w:ascii="宋体" w:hAnsi="宋体" w:eastAsia="宋体" w:cs="宋体"/>
                <w:kern w:val="2"/>
                <w:sz w:val="24"/>
                <w:szCs w:val="24"/>
                <w:lang w:val="en-US" w:eastAsia="zh-CN" w:bidi="ar"/>
              </w:rPr>
              <w:t>总体用地布局规划</w:t>
            </w:r>
            <w:r>
              <w:rPr>
                <w:rFonts w:hint="default" w:cs="宋体"/>
                <w:szCs w:val="24"/>
                <w:lang w:eastAsia="zh-CN" w:bidi="ar"/>
              </w:rPr>
              <w:t>。</w:t>
            </w:r>
          </w:p>
          <w:p w14:paraId="548E500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textAlignment w:val="auto"/>
              <w:rPr>
                <w:rFonts w:hint="default"/>
                <w:sz w:val="24"/>
                <w:szCs w:val="24"/>
                <w:lang w:val="en-US"/>
              </w:rPr>
            </w:pPr>
            <w:r>
              <w:rPr>
                <w:rFonts w:hint="eastAsia" w:ascii="宋体" w:hAnsi="宋体" w:eastAsia="宋体" w:cs="宋体"/>
                <w:kern w:val="2"/>
                <w:sz w:val="24"/>
                <w:szCs w:val="24"/>
                <w:lang w:val="en-US" w:eastAsia="zh-CN" w:bidi="ar"/>
              </w:rPr>
              <w:t>（</w:t>
            </w:r>
            <w:r>
              <w:rPr>
                <w:rFonts w:hint="default" w:ascii="Times New Roman" w:hAnsi="Times New Roman" w:eastAsia="宋体" w:cs="Times New Roman"/>
                <w:kern w:val="2"/>
                <w:sz w:val="24"/>
                <w:szCs w:val="24"/>
                <w:lang w:val="en-US" w:eastAsia="zh-CN" w:bidi="ar"/>
              </w:rPr>
              <w:t>6</w:t>
            </w:r>
            <w:r>
              <w:rPr>
                <w:rFonts w:hint="eastAsia" w:ascii="宋体" w:hAnsi="宋体" w:eastAsia="宋体" w:cs="宋体"/>
                <w:kern w:val="2"/>
                <w:sz w:val="24"/>
                <w:szCs w:val="24"/>
                <w:lang w:val="en-US" w:eastAsia="zh-CN" w:bidi="ar"/>
              </w:rPr>
              <w:t>）高新技术开发区基础设施规划</w:t>
            </w:r>
          </w:p>
          <w:p w14:paraId="4761A2E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textAlignment w:val="auto"/>
              <w:rPr>
                <w:rFonts w:hint="default"/>
                <w:sz w:val="24"/>
                <w:szCs w:val="24"/>
                <w:lang w:val="en-US"/>
              </w:rPr>
            </w:pPr>
            <w:r>
              <w:rPr>
                <w:rFonts w:hint="eastAsia" w:ascii="宋体" w:hAnsi="宋体" w:eastAsia="宋体" w:cs="宋体"/>
                <w:kern w:val="2"/>
                <w:sz w:val="24"/>
                <w:szCs w:val="24"/>
                <w:lang w:val="en-US" w:eastAsia="zh-CN" w:bidi="ar"/>
              </w:rPr>
              <w:t>①供水</w:t>
            </w:r>
          </w:p>
          <w:p w14:paraId="1648C4B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textAlignment w:val="auto"/>
              <w:rPr>
                <w:rFonts w:hint="default"/>
                <w:sz w:val="24"/>
                <w:szCs w:val="24"/>
                <w:lang w:val="en-US"/>
              </w:rPr>
            </w:pPr>
            <w:r>
              <w:rPr>
                <w:rFonts w:hint="eastAsia" w:ascii="宋体" w:hAnsi="宋体" w:eastAsia="宋体" w:cs="宋体"/>
                <w:kern w:val="2"/>
                <w:sz w:val="24"/>
                <w:szCs w:val="24"/>
                <w:lang w:val="en-US" w:eastAsia="zh-CN" w:bidi="ar"/>
              </w:rPr>
              <w:t>根据规划，高新技术开发区内用水主要由城区第二水厂供给，由第一水厂和第三水厂作为补充。扩容开发区内汤阴第二水厂至</w:t>
            </w:r>
            <w:r>
              <w:rPr>
                <w:rFonts w:hint="default" w:ascii="Times New Roman" w:hAnsi="Times New Roman" w:eastAsia="宋体" w:cs="Times New Roman"/>
                <w:kern w:val="2"/>
                <w:sz w:val="24"/>
                <w:szCs w:val="24"/>
                <w:lang w:val="en-US" w:eastAsia="zh-CN" w:bidi="ar"/>
              </w:rPr>
              <w:t>5</w:t>
            </w:r>
            <w:r>
              <w:rPr>
                <w:rFonts w:hint="eastAsia" w:ascii="宋体" w:hAnsi="宋体" w:eastAsia="宋体" w:cs="宋体"/>
                <w:kern w:val="2"/>
                <w:sz w:val="24"/>
                <w:szCs w:val="24"/>
                <w:lang w:val="en-US" w:eastAsia="zh-CN" w:bidi="ar"/>
              </w:rPr>
              <w:t>万立方米</w:t>
            </w:r>
            <w:r>
              <w:rPr>
                <w:rFonts w:hint="default" w:ascii="Times New Roman" w:hAnsi="Times New Roman" w:eastAsia="宋体" w:cs="Times New Roman"/>
                <w:kern w:val="2"/>
                <w:sz w:val="24"/>
                <w:szCs w:val="24"/>
                <w:lang w:val="en-US" w:eastAsia="zh-CN" w:bidi="ar"/>
              </w:rPr>
              <w:t>/</w:t>
            </w:r>
            <w:r>
              <w:rPr>
                <w:rFonts w:hint="eastAsia" w:ascii="宋体" w:hAnsi="宋体" w:eastAsia="宋体" w:cs="宋体"/>
                <w:kern w:val="2"/>
                <w:sz w:val="24"/>
                <w:szCs w:val="24"/>
                <w:lang w:val="en-US" w:eastAsia="zh-CN" w:bidi="ar"/>
              </w:rPr>
              <w:t>日，结合正在建设的汤阴第三水厂（供水量规模</w:t>
            </w:r>
            <w:r>
              <w:rPr>
                <w:rFonts w:hint="default" w:ascii="Times New Roman" w:hAnsi="Times New Roman" w:eastAsia="宋体" w:cs="Times New Roman"/>
                <w:kern w:val="2"/>
                <w:sz w:val="24"/>
                <w:szCs w:val="24"/>
                <w:lang w:val="en-US" w:eastAsia="zh-CN" w:bidi="ar"/>
              </w:rPr>
              <w:t>5</w:t>
            </w:r>
            <w:r>
              <w:rPr>
                <w:rFonts w:hint="eastAsia" w:ascii="宋体" w:hAnsi="宋体" w:eastAsia="宋体" w:cs="宋体"/>
                <w:kern w:val="2"/>
                <w:sz w:val="24"/>
                <w:szCs w:val="24"/>
                <w:lang w:val="en-US" w:eastAsia="zh-CN" w:bidi="ar"/>
              </w:rPr>
              <w:t>万立方米</w:t>
            </w:r>
            <w:r>
              <w:rPr>
                <w:rFonts w:hint="default" w:ascii="Times New Roman" w:hAnsi="Times New Roman" w:eastAsia="宋体" w:cs="Times New Roman"/>
                <w:kern w:val="2"/>
                <w:sz w:val="24"/>
                <w:szCs w:val="24"/>
                <w:lang w:val="en-US" w:eastAsia="zh-CN" w:bidi="ar"/>
              </w:rPr>
              <w:t>/</w:t>
            </w:r>
            <w:r>
              <w:rPr>
                <w:rFonts w:hint="eastAsia" w:ascii="宋体" w:hAnsi="宋体" w:eastAsia="宋体" w:cs="宋体"/>
                <w:kern w:val="2"/>
                <w:sz w:val="24"/>
                <w:szCs w:val="24"/>
                <w:lang w:val="en-US" w:eastAsia="zh-CN" w:bidi="ar"/>
              </w:rPr>
              <w:t>日）和已建第一水厂（供水规模为</w:t>
            </w:r>
            <w:r>
              <w:rPr>
                <w:rFonts w:hint="default" w:ascii="Times New Roman" w:hAnsi="Times New Roman" w:eastAsia="宋体" w:cs="Times New Roman"/>
                <w:kern w:val="2"/>
                <w:sz w:val="24"/>
                <w:szCs w:val="24"/>
                <w:lang w:val="en-US" w:eastAsia="zh-CN" w:bidi="ar"/>
              </w:rPr>
              <w:t>2</w:t>
            </w:r>
            <w:r>
              <w:rPr>
                <w:rFonts w:hint="eastAsia" w:ascii="宋体" w:hAnsi="宋体" w:eastAsia="宋体" w:cs="宋体"/>
                <w:kern w:val="2"/>
                <w:sz w:val="24"/>
                <w:szCs w:val="24"/>
                <w:lang w:val="en-US" w:eastAsia="zh-CN" w:bidi="ar"/>
              </w:rPr>
              <w:t>万立方米</w:t>
            </w:r>
            <w:r>
              <w:rPr>
                <w:rFonts w:hint="default" w:ascii="Times New Roman" w:hAnsi="Times New Roman" w:eastAsia="宋体" w:cs="Times New Roman"/>
                <w:kern w:val="2"/>
                <w:sz w:val="24"/>
                <w:szCs w:val="24"/>
                <w:lang w:val="en-US" w:eastAsia="zh-CN" w:bidi="ar"/>
              </w:rPr>
              <w:t>/</w:t>
            </w:r>
            <w:r>
              <w:rPr>
                <w:rFonts w:hint="eastAsia" w:ascii="宋体" w:hAnsi="宋体" w:eastAsia="宋体" w:cs="宋体"/>
                <w:kern w:val="2"/>
                <w:sz w:val="24"/>
                <w:szCs w:val="24"/>
                <w:lang w:val="en-US" w:eastAsia="zh-CN" w:bidi="ar"/>
              </w:rPr>
              <w:t>日），为汤阴高新技术产业开发区供水。水源为南水北调水。</w:t>
            </w:r>
          </w:p>
          <w:p w14:paraId="3AA540B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textAlignment w:val="auto"/>
              <w:rPr>
                <w:rFonts w:hint="eastAsia" w:ascii="宋体" w:hAnsi="宋体" w:eastAsia="宋体" w:cs="宋体"/>
                <w:sz w:val="24"/>
                <w:szCs w:val="24"/>
                <w:lang w:val="en-US" w:bidi="ar"/>
              </w:rPr>
            </w:pPr>
            <w:r>
              <w:rPr>
                <w:rFonts w:hint="eastAsia" w:ascii="宋体" w:hAnsi="宋体" w:eastAsia="宋体" w:cs="宋体"/>
                <w:kern w:val="2"/>
                <w:sz w:val="24"/>
                <w:szCs w:val="24"/>
                <w:lang w:val="en-US" w:eastAsia="zh-CN" w:bidi="ar"/>
              </w:rPr>
              <w:t>项目采用市政集中供水，符合产业集聚区规划。</w:t>
            </w:r>
          </w:p>
          <w:p w14:paraId="708997C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textAlignment w:val="auto"/>
              <w:rPr>
                <w:rFonts w:hint="default"/>
                <w:sz w:val="24"/>
                <w:szCs w:val="24"/>
                <w:lang w:val="en-US"/>
              </w:rPr>
            </w:pPr>
            <w:r>
              <w:rPr>
                <w:rFonts w:hint="eastAsia" w:ascii="宋体" w:hAnsi="宋体" w:eastAsia="宋体" w:cs="宋体"/>
                <w:kern w:val="2"/>
                <w:sz w:val="24"/>
                <w:szCs w:val="24"/>
                <w:lang w:val="en-US" w:eastAsia="zh-CN" w:bidi="ar"/>
              </w:rPr>
              <w:t>②排水</w:t>
            </w:r>
          </w:p>
          <w:p w14:paraId="67FAEB2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textAlignment w:val="auto"/>
              <w:rPr>
                <w:rFonts w:hint="default"/>
                <w:sz w:val="24"/>
                <w:szCs w:val="24"/>
                <w:lang w:val="en-US"/>
              </w:rPr>
            </w:pPr>
            <w:r>
              <w:rPr>
                <w:rFonts w:hint="eastAsia" w:ascii="宋体" w:hAnsi="宋体" w:eastAsia="宋体" w:cs="宋体"/>
                <w:kern w:val="2"/>
                <w:sz w:val="24"/>
                <w:szCs w:val="24"/>
                <w:lang w:val="en-US" w:eastAsia="zh-CN" w:bidi="ar"/>
              </w:rPr>
              <w:t>规划期末年开发区污水处理率为</w:t>
            </w:r>
            <w:r>
              <w:rPr>
                <w:rFonts w:hint="default" w:ascii="Times New Roman" w:hAnsi="Times New Roman" w:eastAsia="宋体" w:cs="Times New Roman"/>
                <w:kern w:val="2"/>
                <w:sz w:val="24"/>
                <w:szCs w:val="24"/>
                <w:lang w:val="en-US" w:eastAsia="zh-CN" w:bidi="ar"/>
              </w:rPr>
              <w:t>100%</w:t>
            </w:r>
            <w:r>
              <w:rPr>
                <w:rFonts w:hint="eastAsia" w:ascii="宋体" w:hAnsi="宋体" w:eastAsia="宋体" w:cs="宋体"/>
                <w:kern w:val="2"/>
                <w:sz w:val="24"/>
                <w:szCs w:val="24"/>
                <w:lang w:val="en-US" w:eastAsia="zh-CN" w:bidi="ar"/>
              </w:rPr>
              <w:t>，高新技术产业开发区内有城东污水处理厂（一期为汤阴豫源清污水处理有限公司、二期为汤阴永兴源污水净化有限公司）和工业污水处理厂（</w:t>
            </w:r>
            <w:r>
              <w:rPr>
                <w:rFonts w:hint="eastAsia" w:ascii="宋体" w:hAnsi="宋体" w:eastAsia="宋体" w:cs="宋体"/>
                <w:kern w:val="2"/>
                <w:sz w:val="24"/>
                <w:szCs w:val="24"/>
                <w:lang w:val="zh-CN" w:eastAsia="zh-CN" w:bidi="ar"/>
              </w:rPr>
              <w:t>汤阴天雨污水净化有限公司</w:t>
            </w:r>
            <w:r>
              <w:rPr>
                <w:rFonts w:hint="eastAsia" w:ascii="宋体" w:hAnsi="宋体" w:eastAsia="宋体" w:cs="宋体"/>
                <w:kern w:val="2"/>
                <w:sz w:val="24"/>
                <w:szCs w:val="24"/>
                <w:lang w:val="en-US" w:eastAsia="zh-CN" w:bidi="ar"/>
              </w:rPr>
              <w:t>），南侧为城南污水处理厂（汤阴东方环宇污水处理有限公司）。规划保留工业污水处理厂处理规模；近期新建食品园区污水处理厂，污水处理厂处理规模为</w:t>
            </w:r>
            <w:r>
              <w:rPr>
                <w:rFonts w:hint="default" w:ascii="Times New Roman" w:hAnsi="Times New Roman" w:eastAsia="宋体" w:cs="Times New Roman"/>
                <w:kern w:val="2"/>
                <w:sz w:val="24"/>
                <w:szCs w:val="24"/>
                <w:lang w:val="en-US" w:eastAsia="zh-CN" w:bidi="ar"/>
              </w:rPr>
              <w:t>3</w:t>
            </w:r>
            <w:r>
              <w:rPr>
                <w:rFonts w:hint="eastAsia" w:ascii="宋体" w:hAnsi="宋体" w:eastAsia="宋体" w:cs="宋体"/>
                <w:kern w:val="2"/>
                <w:sz w:val="24"/>
                <w:szCs w:val="24"/>
                <w:lang w:val="en-US" w:eastAsia="zh-CN" w:bidi="ar"/>
              </w:rPr>
              <w:t>万立方米</w:t>
            </w:r>
            <w:r>
              <w:rPr>
                <w:rFonts w:hint="default" w:ascii="Times New Roman" w:hAnsi="Times New Roman" w:eastAsia="宋体" w:cs="Times New Roman"/>
                <w:kern w:val="2"/>
                <w:sz w:val="24"/>
                <w:szCs w:val="24"/>
                <w:lang w:val="en-US" w:eastAsia="zh-CN" w:bidi="ar"/>
              </w:rPr>
              <w:t>/</w:t>
            </w:r>
            <w:r>
              <w:rPr>
                <w:rFonts w:hint="eastAsia" w:ascii="宋体" w:hAnsi="宋体" w:eastAsia="宋体" w:cs="宋体"/>
                <w:kern w:val="2"/>
                <w:sz w:val="24"/>
                <w:szCs w:val="24"/>
                <w:lang w:val="en-US" w:eastAsia="zh-CN" w:bidi="ar"/>
              </w:rPr>
              <w:t>日。加大推广中水利用力度，不断提高污水资源化利用程度。逐步使中水成为集聚区绿化、道路浇洒、生活杂用、工业冷却等主要水源。建立中水利用政策、管理体系，促进和规范中水利用。规划园区持续提升中水使用率，至规划期末达到</w:t>
            </w:r>
            <w:r>
              <w:rPr>
                <w:rFonts w:hint="default" w:ascii="Times New Roman" w:hAnsi="Times New Roman" w:eastAsia="宋体" w:cs="Times New Roman"/>
                <w:kern w:val="2"/>
                <w:sz w:val="24"/>
                <w:szCs w:val="24"/>
                <w:lang w:val="en-US" w:eastAsia="zh-CN" w:bidi="ar"/>
              </w:rPr>
              <w:t>60%</w:t>
            </w:r>
            <w:r>
              <w:rPr>
                <w:rFonts w:hint="eastAsia" w:ascii="宋体" w:hAnsi="宋体" w:eastAsia="宋体" w:cs="宋体"/>
                <w:kern w:val="2"/>
                <w:sz w:val="24"/>
                <w:szCs w:val="24"/>
                <w:lang w:val="en-US" w:eastAsia="zh-CN" w:bidi="ar"/>
              </w:rPr>
              <w:t>。规划开发区污水全部送开发区工业污水处理厂（</w:t>
            </w:r>
            <w:r>
              <w:rPr>
                <w:rFonts w:hint="eastAsia" w:ascii="宋体" w:hAnsi="宋体" w:eastAsia="宋体" w:cs="宋体"/>
                <w:kern w:val="2"/>
                <w:sz w:val="24"/>
                <w:szCs w:val="24"/>
                <w:lang w:val="zh-CN" w:eastAsia="zh-CN" w:bidi="ar"/>
              </w:rPr>
              <w:t>汤阴天雨污水净化有限公司</w:t>
            </w:r>
            <w:r>
              <w:rPr>
                <w:rFonts w:hint="eastAsia" w:ascii="宋体" w:hAnsi="宋体" w:eastAsia="宋体" w:cs="宋体"/>
                <w:kern w:val="2"/>
                <w:sz w:val="24"/>
                <w:szCs w:val="24"/>
                <w:lang w:val="en-US" w:eastAsia="zh-CN" w:bidi="ar"/>
              </w:rPr>
              <w:t>）处理。污水处理厂出水水质执行《城镇污水处理厂污染物排放标准》（</w:t>
            </w:r>
            <w:r>
              <w:rPr>
                <w:rFonts w:hint="default" w:ascii="Times New Roman" w:hAnsi="Times New Roman" w:eastAsia="宋体" w:cs="Times New Roman"/>
                <w:kern w:val="2"/>
                <w:sz w:val="24"/>
                <w:szCs w:val="24"/>
                <w:lang w:val="en-US" w:eastAsia="zh-CN" w:bidi="ar"/>
              </w:rPr>
              <w:t>GB18918-2002</w:t>
            </w:r>
            <w:r>
              <w:rPr>
                <w:rFonts w:hint="eastAsia" w:ascii="宋体" w:hAnsi="宋体" w:eastAsia="宋体" w:cs="宋体"/>
                <w:kern w:val="2"/>
                <w:sz w:val="24"/>
                <w:szCs w:val="24"/>
                <w:lang w:val="en-US" w:eastAsia="zh-CN" w:bidi="ar"/>
              </w:rPr>
              <w:t>）一级</w:t>
            </w:r>
            <w:r>
              <w:rPr>
                <w:rFonts w:hint="default" w:ascii="Times New Roman" w:hAnsi="Times New Roman" w:eastAsia="宋体" w:cs="Times New Roman"/>
                <w:kern w:val="2"/>
                <w:sz w:val="24"/>
                <w:szCs w:val="24"/>
                <w:lang w:val="en-US" w:eastAsia="zh-CN" w:bidi="ar"/>
              </w:rPr>
              <w:t>A</w:t>
            </w:r>
            <w:r>
              <w:rPr>
                <w:rFonts w:hint="eastAsia" w:ascii="宋体" w:hAnsi="宋体" w:eastAsia="宋体" w:cs="宋体"/>
                <w:kern w:val="2"/>
                <w:sz w:val="24"/>
                <w:szCs w:val="24"/>
                <w:lang w:val="en-US" w:eastAsia="zh-CN" w:bidi="ar"/>
              </w:rPr>
              <w:t>标准。</w:t>
            </w:r>
          </w:p>
          <w:p w14:paraId="58F300A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textAlignment w:val="auto"/>
              <w:rPr>
                <w:rFonts w:hint="default"/>
                <w:sz w:val="24"/>
                <w:szCs w:val="24"/>
                <w:lang w:val="en-US"/>
              </w:rPr>
            </w:pPr>
            <w:r>
              <w:rPr>
                <w:rFonts w:hint="eastAsia" w:ascii="宋体" w:hAnsi="宋体" w:eastAsia="宋体" w:cs="宋体"/>
                <w:kern w:val="2"/>
                <w:sz w:val="24"/>
                <w:szCs w:val="24"/>
                <w:lang w:val="en-US" w:eastAsia="zh-CN" w:bidi="ar"/>
              </w:rPr>
              <w:t>本项目生活废水依托现有化粪池预处理后，外排至汤阴东方环宇污水处理有限公司处理。</w:t>
            </w:r>
          </w:p>
          <w:p w14:paraId="0C3C603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textAlignment w:val="auto"/>
              <w:rPr>
                <w:rFonts w:hint="default"/>
                <w:sz w:val="24"/>
                <w:szCs w:val="24"/>
                <w:lang w:val="en-US"/>
              </w:rPr>
            </w:pPr>
            <w:r>
              <w:rPr>
                <w:rFonts w:hint="eastAsia" w:ascii="宋体" w:hAnsi="宋体" w:eastAsia="宋体" w:cs="宋体"/>
                <w:kern w:val="2"/>
                <w:sz w:val="24"/>
                <w:szCs w:val="24"/>
                <w:lang w:val="en-US" w:eastAsia="zh-CN" w:bidi="ar"/>
              </w:rPr>
              <w:t>③供热</w:t>
            </w:r>
          </w:p>
          <w:p w14:paraId="15215B9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textAlignment w:val="auto"/>
              <w:rPr>
                <w:rFonts w:hint="eastAsia" w:ascii="宋体" w:hAnsi="宋体" w:eastAsia="宋体" w:cs="宋体"/>
                <w:sz w:val="24"/>
                <w:szCs w:val="24"/>
                <w:lang w:val="en-US" w:bidi="ar"/>
              </w:rPr>
            </w:pPr>
            <w:r>
              <w:rPr>
                <w:rFonts w:hint="eastAsia" w:ascii="宋体" w:hAnsi="宋体" w:eastAsia="宋体" w:cs="宋体"/>
                <w:kern w:val="2"/>
                <w:sz w:val="24"/>
                <w:szCs w:val="24"/>
                <w:lang w:val="en-US" w:eastAsia="zh-CN" w:bidi="ar"/>
              </w:rPr>
              <w:t>规划主热源为现状华能热电厂，一期工程建设两台</w:t>
            </w:r>
            <w:r>
              <w:rPr>
                <w:rFonts w:hint="default" w:ascii="Times New Roman" w:hAnsi="Times New Roman" w:eastAsia="宋体" w:cs="Times New Roman"/>
                <w:kern w:val="2"/>
                <w:sz w:val="24"/>
                <w:szCs w:val="24"/>
                <w:lang w:val="en-US" w:eastAsia="zh-CN" w:bidi="ar"/>
              </w:rPr>
              <w:t>12MW</w:t>
            </w:r>
            <w:r>
              <w:rPr>
                <w:rFonts w:hint="eastAsia" w:ascii="宋体" w:hAnsi="宋体" w:eastAsia="宋体" w:cs="宋体"/>
                <w:kern w:val="2"/>
                <w:sz w:val="24"/>
                <w:szCs w:val="24"/>
                <w:lang w:val="en-US" w:eastAsia="zh-CN" w:bidi="ar"/>
              </w:rPr>
              <w:t>燃煤背压热电联产机组（已建成投运），远期为两台</w:t>
            </w:r>
            <w:r>
              <w:rPr>
                <w:rFonts w:hint="default" w:ascii="Times New Roman" w:hAnsi="Times New Roman" w:eastAsia="宋体" w:cs="Times New Roman"/>
                <w:kern w:val="2"/>
                <w:sz w:val="24"/>
                <w:szCs w:val="24"/>
                <w:lang w:val="en-US" w:eastAsia="zh-CN" w:bidi="ar"/>
              </w:rPr>
              <w:t>350MW</w:t>
            </w:r>
            <w:r>
              <w:rPr>
                <w:rFonts w:hint="eastAsia" w:ascii="宋体" w:hAnsi="宋体" w:eastAsia="宋体" w:cs="宋体"/>
                <w:kern w:val="2"/>
                <w:sz w:val="24"/>
                <w:szCs w:val="24"/>
                <w:lang w:val="en-US" w:eastAsia="zh-CN" w:bidi="ar"/>
              </w:rPr>
              <w:t>热电联产机组，可以满足该区域用热情况。华能安阳热电有限责任公司集中供热项目位于产业集聚区众品大道与汤伏路交叉口东北侧，规划装机容量为</w:t>
            </w:r>
            <w:r>
              <w:rPr>
                <w:rFonts w:hint="default" w:ascii="Times New Roman" w:hAnsi="Times New Roman" w:eastAsia="宋体" w:cs="Times New Roman"/>
                <w:kern w:val="2"/>
                <w:sz w:val="24"/>
                <w:szCs w:val="24"/>
                <w:lang w:val="en-US" w:eastAsia="zh-CN" w:bidi="ar"/>
              </w:rPr>
              <w:t>2</w:t>
            </w:r>
            <w:r>
              <w:rPr>
                <w:rFonts w:hint="eastAsia" w:ascii="宋体" w:hAnsi="宋体" w:eastAsia="宋体" w:cs="宋体"/>
                <w:kern w:val="2"/>
                <w:sz w:val="24"/>
                <w:szCs w:val="24"/>
                <w:lang w:val="en-US" w:eastAsia="zh-CN" w:bidi="ar"/>
              </w:rPr>
              <w:t>×</w:t>
            </w:r>
            <w:r>
              <w:rPr>
                <w:rFonts w:hint="default" w:ascii="Times New Roman" w:hAnsi="Times New Roman" w:eastAsia="宋体" w:cs="Times New Roman"/>
                <w:kern w:val="2"/>
                <w:sz w:val="24"/>
                <w:szCs w:val="24"/>
                <w:lang w:val="en-US" w:eastAsia="zh-CN" w:bidi="ar"/>
              </w:rPr>
              <w:t>12MW</w:t>
            </w:r>
            <w:r>
              <w:rPr>
                <w:rFonts w:hint="eastAsia" w:ascii="宋体" w:hAnsi="宋体" w:eastAsia="宋体" w:cs="宋体"/>
                <w:kern w:val="2"/>
                <w:sz w:val="24"/>
                <w:szCs w:val="24"/>
                <w:lang w:val="en-US" w:eastAsia="zh-CN" w:bidi="ar"/>
              </w:rPr>
              <w:t>燃煤背压机组，安装</w:t>
            </w:r>
            <w:r>
              <w:rPr>
                <w:rFonts w:hint="default" w:ascii="Times New Roman" w:hAnsi="Times New Roman" w:eastAsia="宋体" w:cs="Times New Roman"/>
                <w:kern w:val="2"/>
                <w:sz w:val="24"/>
                <w:szCs w:val="24"/>
                <w:lang w:val="en-US" w:eastAsia="zh-CN" w:bidi="ar"/>
              </w:rPr>
              <w:t>3</w:t>
            </w:r>
            <w:r>
              <w:rPr>
                <w:rFonts w:hint="eastAsia" w:ascii="宋体" w:hAnsi="宋体" w:eastAsia="宋体" w:cs="宋体"/>
                <w:kern w:val="2"/>
                <w:sz w:val="24"/>
                <w:szCs w:val="24"/>
                <w:lang w:val="en-US" w:eastAsia="zh-CN" w:bidi="ar"/>
              </w:rPr>
              <w:t>台高效节能环保循环流化床锅炉，并配套建设汤阴县城镇集中供热管网工程，满足全县居民和企事业单位冬季采暖需要，同时建设</w:t>
            </w:r>
            <w:r>
              <w:rPr>
                <w:rFonts w:hint="default" w:ascii="Times New Roman" w:hAnsi="Times New Roman" w:eastAsia="宋体" w:cs="Times New Roman"/>
                <w:kern w:val="2"/>
                <w:sz w:val="24"/>
                <w:szCs w:val="24"/>
                <w:lang w:val="en-US" w:eastAsia="zh-CN" w:bidi="ar"/>
              </w:rPr>
              <w:t>27.23</w:t>
            </w:r>
            <w:r>
              <w:rPr>
                <w:rFonts w:hint="eastAsia" w:ascii="宋体" w:hAnsi="宋体" w:eastAsia="宋体" w:cs="宋体"/>
                <w:kern w:val="2"/>
                <w:sz w:val="24"/>
                <w:szCs w:val="24"/>
                <w:lang w:val="en-US" w:eastAsia="zh-CN" w:bidi="ar"/>
              </w:rPr>
              <w:t>千米蒸汽管网，保障产业集聚区内各企业生产用热。</w:t>
            </w:r>
          </w:p>
          <w:p w14:paraId="4DAC4A4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textAlignment w:val="auto"/>
              <w:rPr>
                <w:rFonts w:hint="default" w:eastAsia="黑体"/>
                <w:snapToGrid w:val="0"/>
                <w:sz w:val="24"/>
                <w:szCs w:val="24"/>
                <w:lang w:val="en-US"/>
              </w:rPr>
            </w:pPr>
            <w:r>
              <w:rPr>
                <w:rFonts w:hint="eastAsia" w:ascii="宋体" w:hAnsi="宋体" w:eastAsia="宋体" w:cs="宋体"/>
                <w:kern w:val="2"/>
                <w:sz w:val="24"/>
                <w:szCs w:val="24"/>
                <w:lang w:val="en-US" w:eastAsia="zh-CN" w:bidi="ar"/>
              </w:rPr>
              <w:t>本项目不涉及供热。</w:t>
            </w:r>
          </w:p>
          <w:p w14:paraId="3A7D665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jc w:val="center"/>
              <w:textAlignment w:val="auto"/>
              <w:rPr>
                <w:rFonts w:hint="default" w:eastAsia="黑体"/>
                <w:snapToGrid w:val="0"/>
                <w:color w:val="FF0000"/>
                <w:sz w:val="24"/>
                <w:szCs w:val="24"/>
                <w:lang w:val="en-US"/>
              </w:rPr>
            </w:pPr>
            <w:r>
              <w:rPr>
                <w:rFonts w:hint="eastAsia" w:ascii="Times New Roman" w:hAnsi="Times New Roman" w:eastAsia="黑体" w:cs="黑体"/>
                <w:snapToGrid w:val="0"/>
                <w:kern w:val="2"/>
                <w:sz w:val="24"/>
                <w:szCs w:val="24"/>
                <w:lang w:val="en-US" w:eastAsia="zh-CN" w:bidi="ar"/>
              </w:rPr>
              <w:t>表</w:t>
            </w:r>
            <w:r>
              <w:rPr>
                <w:rFonts w:hint="default" w:ascii="Times New Roman" w:hAnsi="Times New Roman" w:eastAsia="黑体" w:cs="Times New Roman"/>
                <w:snapToGrid w:val="0"/>
                <w:kern w:val="2"/>
                <w:sz w:val="24"/>
                <w:szCs w:val="24"/>
                <w:lang w:val="en-US" w:eastAsia="zh-CN" w:bidi="ar"/>
              </w:rPr>
              <w:t>1-4</w:t>
            </w:r>
            <w:r>
              <w:rPr>
                <w:rFonts w:hint="default" w:ascii="Times New Roman" w:hAnsi="Times New Roman" w:eastAsia="黑体" w:cs="Times New Roman"/>
                <w:kern w:val="2"/>
                <w:sz w:val="24"/>
                <w:szCs w:val="24"/>
                <w:lang w:val="en-US" w:eastAsia="zh-CN" w:bidi="ar"/>
              </w:rPr>
              <w:t xml:space="preserve">  </w:t>
            </w:r>
            <w:r>
              <w:rPr>
                <w:rFonts w:hint="eastAsia" w:ascii="Times New Roman" w:hAnsi="Times New Roman" w:eastAsia="黑体" w:cs="黑体"/>
                <w:snapToGrid w:val="0"/>
                <w:kern w:val="2"/>
                <w:sz w:val="24"/>
                <w:szCs w:val="24"/>
                <w:lang w:val="en-US" w:eastAsia="zh-CN" w:bidi="ar"/>
              </w:rPr>
              <w:t>汤阴高新技术产业开发区生态环境准入清单相符性分析</w:t>
            </w:r>
          </w:p>
          <w:tbl>
            <w:tblPr>
              <w:tblStyle w:val="25"/>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autofit"/>
              <w:tblCellMar>
                <w:top w:w="0" w:type="dxa"/>
                <w:left w:w="23" w:type="dxa"/>
                <w:bottom w:w="0" w:type="dxa"/>
                <w:right w:w="23" w:type="dxa"/>
              </w:tblCellMar>
            </w:tblPr>
            <w:tblGrid>
              <w:gridCol w:w="622"/>
              <w:gridCol w:w="1134"/>
              <w:gridCol w:w="2590"/>
              <w:gridCol w:w="1801"/>
              <w:gridCol w:w="620"/>
            </w:tblGrid>
            <w:tr w14:paraId="252C68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23" w:type="dxa"/>
                  <w:bottom w:w="0" w:type="dxa"/>
                  <w:right w:w="23" w:type="dxa"/>
                </w:tblCellMar>
              </w:tblPrEx>
              <w:trPr>
                <w:jc w:val="center"/>
              </w:trPr>
              <w:tc>
                <w:tcPr>
                  <w:tcW w:w="623" w:type="dxa"/>
                  <w:tcBorders>
                    <w:tl2br w:val="nil"/>
                    <w:tr2bl w:val="nil"/>
                  </w:tcBorders>
                  <w:shd w:val="clear" w:color="auto" w:fill="auto"/>
                  <w:tcMar>
                    <w:left w:w="51" w:type="dxa"/>
                    <w:right w:w="51" w:type="dxa"/>
                  </w:tcMar>
                  <w:vAlign w:val="center"/>
                </w:tcPr>
                <w:p w14:paraId="6C18A01D">
                  <w:pPr>
                    <w:keepNext w:val="0"/>
                    <w:keepLines w:val="0"/>
                    <w:pageBreakBefore w:val="0"/>
                    <w:widowControl w:val="0"/>
                    <w:suppressLineNumbers w:val="0"/>
                    <w:kinsoku/>
                    <w:overflowPunct/>
                    <w:topLinePunct w:val="0"/>
                    <w:autoSpaceDE w:val="0"/>
                    <w:autoSpaceDN w:val="0"/>
                    <w:bidi w:val="0"/>
                    <w:adjustRightInd w:val="0"/>
                    <w:snapToGrid w:val="0"/>
                    <w:spacing w:before="0" w:beforeAutospacing="0" w:after="0" w:afterAutospacing="0" w:line="360" w:lineRule="exact"/>
                    <w:ind w:left="0" w:right="0"/>
                    <w:jc w:val="center"/>
                    <w:rPr>
                      <w:rFonts w:hint="default"/>
                      <w:b w:val="0"/>
                      <w:bCs/>
                      <w:kern w:val="24"/>
                      <w:lang w:val="en-US"/>
                    </w:rPr>
                  </w:pPr>
                  <w:r>
                    <w:rPr>
                      <w:rFonts w:hint="eastAsia" w:ascii="Times New Roman" w:hAnsi="Times New Roman" w:eastAsia="宋体" w:cs="宋体"/>
                      <w:b w:val="0"/>
                      <w:bCs/>
                      <w:kern w:val="24"/>
                      <w:sz w:val="21"/>
                      <w:szCs w:val="21"/>
                      <w:lang w:val="en-US" w:eastAsia="zh-CN" w:bidi="ar"/>
                    </w:rPr>
                    <w:t>管控分区</w:t>
                  </w:r>
                </w:p>
              </w:tc>
              <w:tc>
                <w:tcPr>
                  <w:tcW w:w="1134" w:type="dxa"/>
                  <w:tcBorders>
                    <w:tl2br w:val="nil"/>
                    <w:tr2bl w:val="nil"/>
                  </w:tcBorders>
                  <w:shd w:val="clear" w:color="auto" w:fill="auto"/>
                  <w:tcMar>
                    <w:left w:w="51" w:type="dxa"/>
                    <w:right w:w="51" w:type="dxa"/>
                  </w:tcMar>
                  <w:vAlign w:val="center"/>
                </w:tcPr>
                <w:p w14:paraId="2FDF9D66">
                  <w:pPr>
                    <w:keepNext w:val="0"/>
                    <w:keepLines w:val="0"/>
                    <w:pageBreakBefore w:val="0"/>
                    <w:widowControl w:val="0"/>
                    <w:suppressLineNumbers w:val="0"/>
                    <w:kinsoku/>
                    <w:overflowPunct/>
                    <w:topLinePunct w:val="0"/>
                    <w:autoSpaceDE w:val="0"/>
                    <w:autoSpaceDN w:val="0"/>
                    <w:bidi w:val="0"/>
                    <w:adjustRightInd w:val="0"/>
                    <w:snapToGrid w:val="0"/>
                    <w:spacing w:before="0" w:beforeAutospacing="0" w:after="0" w:afterAutospacing="0" w:line="360" w:lineRule="exact"/>
                    <w:ind w:left="0" w:right="0"/>
                    <w:jc w:val="center"/>
                    <w:rPr>
                      <w:rFonts w:hint="default"/>
                      <w:b w:val="0"/>
                      <w:bCs/>
                      <w:kern w:val="24"/>
                      <w:lang w:val="en-US"/>
                    </w:rPr>
                  </w:pPr>
                  <w:r>
                    <w:rPr>
                      <w:rFonts w:hint="eastAsia" w:ascii="Times New Roman" w:hAnsi="Times New Roman" w:eastAsia="宋体" w:cs="宋体"/>
                      <w:b w:val="0"/>
                      <w:bCs/>
                      <w:kern w:val="24"/>
                      <w:sz w:val="21"/>
                      <w:szCs w:val="21"/>
                      <w:lang w:val="en-US" w:eastAsia="zh-CN" w:bidi="ar"/>
                    </w:rPr>
                    <w:t>类别</w:t>
                  </w:r>
                </w:p>
              </w:tc>
              <w:tc>
                <w:tcPr>
                  <w:tcW w:w="2590" w:type="dxa"/>
                  <w:tcBorders>
                    <w:tl2br w:val="nil"/>
                    <w:tr2bl w:val="nil"/>
                  </w:tcBorders>
                  <w:shd w:val="clear" w:color="auto" w:fill="auto"/>
                  <w:tcMar>
                    <w:left w:w="51" w:type="dxa"/>
                    <w:right w:w="51" w:type="dxa"/>
                  </w:tcMar>
                  <w:vAlign w:val="center"/>
                </w:tcPr>
                <w:p w14:paraId="6834560C">
                  <w:pPr>
                    <w:keepNext w:val="0"/>
                    <w:keepLines w:val="0"/>
                    <w:pageBreakBefore w:val="0"/>
                    <w:widowControl w:val="0"/>
                    <w:suppressLineNumbers w:val="0"/>
                    <w:kinsoku/>
                    <w:overflowPunct/>
                    <w:topLinePunct w:val="0"/>
                    <w:autoSpaceDE w:val="0"/>
                    <w:autoSpaceDN w:val="0"/>
                    <w:bidi w:val="0"/>
                    <w:adjustRightInd w:val="0"/>
                    <w:snapToGrid w:val="0"/>
                    <w:spacing w:before="0" w:beforeAutospacing="0" w:after="0" w:afterAutospacing="0" w:line="360" w:lineRule="exact"/>
                    <w:ind w:left="0" w:right="0"/>
                    <w:jc w:val="center"/>
                    <w:rPr>
                      <w:rFonts w:hint="default"/>
                      <w:b w:val="0"/>
                      <w:bCs/>
                      <w:kern w:val="24"/>
                      <w:lang w:val="en-US"/>
                    </w:rPr>
                  </w:pPr>
                  <w:r>
                    <w:rPr>
                      <w:rFonts w:hint="eastAsia" w:ascii="Times New Roman" w:hAnsi="Times New Roman" w:eastAsia="宋体" w:cs="宋体"/>
                      <w:b w:val="0"/>
                      <w:bCs/>
                      <w:kern w:val="24"/>
                      <w:sz w:val="21"/>
                      <w:szCs w:val="21"/>
                      <w:lang w:val="en-US" w:eastAsia="zh-CN" w:bidi="ar"/>
                    </w:rPr>
                    <w:t>环境准入清单</w:t>
                  </w:r>
                </w:p>
              </w:tc>
              <w:tc>
                <w:tcPr>
                  <w:tcW w:w="1801" w:type="dxa"/>
                  <w:tcBorders>
                    <w:tl2br w:val="nil"/>
                    <w:tr2bl w:val="nil"/>
                  </w:tcBorders>
                  <w:shd w:val="clear" w:color="auto" w:fill="auto"/>
                  <w:tcMar>
                    <w:left w:w="51" w:type="dxa"/>
                    <w:right w:w="51" w:type="dxa"/>
                  </w:tcMar>
                  <w:vAlign w:val="center"/>
                </w:tcPr>
                <w:p w14:paraId="15BEE153">
                  <w:pPr>
                    <w:keepNext w:val="0"/>
                    <w:keepLines w:val="0"/>
                    <w:pageBreakBefore w:val="0"/>
                    <w:widowControl w:val="0"/>
                    <w:suppressLineNumbers w:val="0"/>
                    <w:kinsoku/>
                    <w:overflowPunct/>
                    <w:topLinePunct w:val="0"/>
                    <w:autoSpaceDE w:val="0"/>
                    <w:autoSpaceDN w:val="0"/>
                    <w:bidi w:val="0"/>
                    <w:adjustRightInd w:val="0"/>
                    <w:snapToGrid w:val="0"/>
                    <w:spacing w:before="0" w:beforeAutospacing="0" w:after="0" w:afterAutospacing="0" w:line="360" w:lineRule="exact"/>
                    <w:ind w:left="0" w:right="0"/>
                    <w:jc w:val="center"/>
                    <w:rPr>
                      <w:rFonts w:hint="default"/>
                      <w:b w:val="0"/>
                      <w:bCs/>
                      <w:kern w:val="24"/>
                      <w:lang w:val="en-US"/>
                    </w:rPr>
                  </w:pPr>
                  <w:r>
                    <w:rPr>
                      <w:rFonts w:hint="eastAsia" w:ascii="Times New Roman" w:hAnsi="Times New Roman" w:eastAsia="宋体" w:cs="宋体"/>
                      <w:b w:val="0"/>
                      <w:bCs/>
                      <w:kern w:val="24"/>
                      <w:sz w:val="21"/>
                      <w:szCs w:val="21"/>
                      <w:lang w:val="en-US" w:eastAsia="zh-CN" w:bidi="ar"/>
                    </w:rPr>
                    <w:t>本项目情况</w:t>
                  </w:r>
                </w:p>
              </w:tc>
              <w:tc>
                <w:tcPr>
                  <w:tcW w:w="620" w:type="dxa"/>
                  <w:tcBorders>
                    <w:tl2br w:val="nil"/>
                    <w:tr2bl w:val="nil"/>
                  </w:tcBorders>
                  <w:shd w:val="clear" w:color="auto" w:fill="auto"/>
                  <w:tcMar>
                    <w:left w:w="51" w:type="dxa"/>
                    <w:right w:w="51" w:type="dxa"/>
                  </w:tcMar>
                  <w:vAlign w:val="center"/>
                </w:tcPr>
                <w:p w14:paraId="7742C6C6">
                  <w:pPr>
                    <w:keepNext w:val="0"/>
                    <w:keepLines w:val="0"/>
                    <w:pageBreakBefore w:val="0"/>
                    <w:widowControl w:val="0"/>
                    <w:suppressLineNumbers w:val="0"/>
                    <w:kinsoku/>
                    <w:overflowPunct/>
                    <w:topLinePunct w:val="0"/>
                    <w:autoSpaceDE w:val="0"/>
                    <w:autoSpaceDN w:val="0"/>
                    <w:bidi w:val="0"/>
                    <w:adjustRightInd w:val="0"/>
                    <w:snapToGrid w:val="0"/>
                    <w:spacing w:before="0" w:beforeAutospacing="0" w:after="0" w:afterAutospacing="0" w:line="360" w:lineRule="exact"/>
                    <w:ind w:left="0" w:right="0"/>
                    <w:jc w:val="center"/>
                    <w:rPr>
                      <w:rFonts w:hint="default"/>
                      <w:b w:val="0"/>
                      <w:bCs/>
                      <w:kern w:val="24"/>
                      <w:lang w:val="en-US"/>
                    </w:rPr>
                  </w:pPr>
                  <w:r>
                    <w:rPr>
                      <w:rFonts w:hint="eastAsia" w:ascii="Times New Roman" w:hAnsi="Times New Roman" w:eastAsia="宋体" w:cs="宋体"/>
                      <w:b w:val="0"/>
                      <w:bCs/>
                      <w:kern w:val="24"/>
                      <w:sz w:val="21"/>
                      <w:szCs w:val="21"/>
                      <w:lang w:val="en-US" w:eastAsia="zh-CN" w:bidi="ar"/>
                    </w:rPr>
                    <w:t>符合性</w:t>
                  </w:r>
                </w:p>
              </w:tc>
            </w:tr>
            <w:tr w14:paraId="15CF57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699" w:hRule="atLeast"/>
                <w:jc w:val="center"/>
              </w:trPr>
              <w:tc>
                <w:tcPr>
                  <w:tcW w:w="623" w:type="dxa"/>
                  <w:vMerge w:val="restart"/>
                  <w:tcBorders>
                    <w:tl2br w:val="nil"/>
                    <w:tr2bl w:val="nil"/>
                  </w:tcBorders>
                  <w:shd w:val="clear" w:color="auto" w:fill="auto"/>
                  <w:tcMar>
                    <w:left w:w="51" w:type="dxa"/>
                    <w:right w:w="51" w:type="dxa"/>
                  </w:tcMar>
                  <w:vAlign w:val="center"/>
                </w:tcPr>
                <w:p w14:paraId="400353A1">
                  <w:pPr>
                    <w:keepNext w:val="0"/>
                    <w:keepLines w:val="0"/>
                    <w:pageBreakBefore w:val="0"/>
                    <w:widowControl w:val="0"/>
                    <w:suppressLineNumbers w:val="0"/>
                    <w:kinsoku/>
                    <w:overflowPunct/>
                    <w:topLinePunct w:val="0"/>
                    <w:autoSpaceDE w:val="0"/>
                    <w:autoSpaceDN w:val="0"/>
                    <w:bidi w:val="0"/>
                    <w:adjustRightInd w:val="0"/>
                    <w:snapToGrid w:val="0"/>
                    <w:spacing w:before="0" w:beforeAutospacing="0" w:after="0" w:afterAutospacing="0" w:line="360" w:lineRule="exact"/>
                    <w:ind w:left="0" w:right="0"/>
                    <w:jc w:val="center"/>
                    <w:rPr>
                      <w:rFonts w:hint="default"/>
                      <w:kern w:val="24"/>
                      <w:lang w:val="en-US"/>
                    </w:rPr>
                  </w:pPr>
                  <w:r>
                    <w:rPr>
                      <w:rFonts w:hint="eastAsia" w:ascii="Times New Roman" w:hAnsi="Times New Roman" w:eastAsia="宋体" w:cs="宋体"/>
                      <w:kern w:val="24"/>
                      <w:sz w:val="21"/>
                      <w:szCs w:val="21"/>
                      <w:lang w:val="en-US" w:eastAsia="zh-CN" w:bidi="ar"/>
                    </w:rPr>
                    <w:t>保护区域</w:t>
                  </w:r>
                </w:p>
              </w:tc>
              <w:tc>
                <w:tcPr>
                  <w:tcW w:w="1134" w:type="dxa"/>
                  <w:tcBorders>
                    <w:tl2br w:val="nil"/>
                    <w:tr2bl w:val="nil"/>
                  </w:tcBorders>
                  <w:shd w:val="clear" w:color="auto" w:fill="auto"/>
                  <w:tcMar>
                    <w:left w:w="51" w:type="dxa"/>
                    <w:right w:w="51" w:type="dxa"/>
                  </w:tcMar>
                  <w:vAlign w:val="center"/>
                </w:tcPr>
                <w:p w14:paraId="7EAB3DE0">
                  <w:pPr>
                    <w:keepNext w:val="0"/>
                    <w:keepLines w:val="0"/>
                    <w:pageBreakBefore w:val="0"/>
                    <w:widowControl w:val="0"/>
                    <w:suppressLineNumbers w:val="0"/>
                    <w:kinsoku/>
                    <w:overflowPunct/>
                    <w:topLinePunct w:val="0"/>
                    <w:autoSpaceDE w:val="0"/>
                    <w:autoSpaceDN w:val="0"/>
                    <w:bidi w:val="0"/>
                    <w:adjustRightInd w:val="0"/>
                    <w:snapToGrid w:val="0"/>
                    <w:spacing w:before="0" w:beforeAutospacing="0" w:after="0" w:afterAutospacing="0" w:line="360" w:lineRule="exact"/>
                    <w:ind w:left="0" w:right="0"/>
                    <w:jc w:val="both"/>
                    <w:rPr>
                      <w:rFonts w:hint="default"/>
                      <w:kern w:val="24"/>
                      <w:lang w:val="en-US"/>
                    </w:rPr>
                  </w:pPr>
                  <w:r>
                    <w:rPr>
                      <w:rFonts w:hint="eastAsia" w:ascii="Times New Roman" w:hAnsi="Times New Roman" w:eastAsia="宋体" w:cs="宋体"/>
                      <w:kern w:val="24"/>
                      <w:sz w:val="21"/>
                      <w:szCs w:val="21"/>
                      <w:lang w:val="en-US" w:eastAsia="zh-CN" w:bidi="ar"/>
                    </w:rPr>
                    <w:t>伏道镇地下水井一级保护区范围。</w:t>
                  </w:r>
                </w:p>
              </w:tc>
              <w:tc>
                <w:tcPr>
                  <w:tcW w:w="2590" w:type="dxa"/>
                  <w:tcBorders>
                    <w:tl2br w:val="nil"/>
                    <w:tr2bl w:val="nil"/>
                  </w:tcBorders>
                  <w:shd w:val="clear" w:color="auto" w:fill="auto"/>
                  <w:tcMar>
                    <w:left w:w="51" w:type="dxa"/>
                    <w:right w:w="51" w:type="dxa"/>
                  </w:tcMar>
                  <w:vAlign w:val="center"/>
                </w:tcPr>
                <w:p w14:paraId="192F6595">
                  <w:pPr>
                    <w:keepNext w:val="0"/>
                    <w:keepLines w:val="0"/>
                    <w:pageBreakBefore w:val="0"/>
                    <w:widowControl w:val="0"/>
                    <w:suppressLineNumbers w:val="0"/>
                    <w:kinsoku/>
                    <w:overflowPunct/>
                    <w:topLinePunct w:val="0"/>
                    <w:autoSpaceDE w:val="0"/>
                    <w:autoSpaceDN w:val="0"/>
                    <w:bidi w:val="0"/>
                    <w:adjustRightInd w:val="0"/>
                    <w:snapToGrid w:val="0"/>
                    <w:spacing w:before="0" w:beforeAutospacing="0" w:after="0" w:afterAutospacing="0" w:line="360" w:lineRule="exact"/>
                    <w:ind w:left="0" w:right="0"/>
                    <w:jc w:val="both"/>
                    <w:rPr>
                      <w:rFonts w:hint="default"/>
                      <w:kern w:val="24"/>
                      <w:lang w:val="en-US"/>
                    </w:rPr>
                  </w:pPr>
                  <w:r>
                    <w:rPr>
                      <w:rFonts w:hint="eastAsia" w:ascii="Times New Roman" w:hAnsi="Times New Roman" w:eastAsia="宋体" w:cs="宋体"/>
                      <w:kern w:val="24"/>
                      <w:sz w:val="21"/>
                      <w:szCs w:val="21"/>
                      <w:lang w:val="en-US" w:eastAsia="zh-CN" w:bidi="ar"/>
                    </w:rPr>
                    <w:t>禁止在饮用水水源一级保护区内新建、改建、扩建与供水设施和保护水源无关的建设项目，且不得新建排污口。</w:t>
                  </w:r>
                </w:p>
              </w:tc>
              <w:tc>
                <w:tcPr>
                  <w:tcW w:w="1801" w:type="dxa"/>
                  <w:tcBorders>
                    <w:tl2br w:val="nil"/>
                    <w:tr2bl w:val="nil"/>
                  </w:tcBorders>
                  <w:shd w:val="clear" w:color="auto" w:fill="auto"/>
                  <w:tcMar>
                    <w:left w:w="51" w:type="dxa"/>
                    <w:right w:w="51" w:type="dxa"/>
                  </w:tcMar>
                  <w:vAlign w:val="center"/>
                </w:tcPr>
                <w:p w14:paraId="3DE27893">
                  <w:pPr>
                    <w:keepNext w:val="0"/>
                    <w:keepLines w:val="0"/>
                    <w:pageBreakBefore w:val="0"/>
                    <w:widowControl w:val="0"/>
                    <w:suppressLineNumbers w:val="0"/>
                    <w:kinsoku/>
                    <w:overflowPunct/>
                    <w:topLinePunct w:val="0"/>
                    <w:autoSpaceDE w:val="0"/>
                    <w:autoSpaceDN w:val="0"/>
                    <w:bidi w:val="0"/>
                    <w:adjustRightInd w:val="0"/>
                    <w:snapToGrid w:val="0"/>
                    <w:spacing w:before="0" w:beforeAutospacing="0" w:after="0" w:afterAutospacing="0" w:line="360" w:lineRule="exact"/>
                    <w:ind w:left="0" w:right="0"/>
                    <w:jc w:val="both"/>
                    <w:rPr>
                      <w:rFonts w:hint="default"/>
                      <w:kern w:val="24"/>
                      <w:lang w:val="en-US"/>
                    </w:rPr>
                  </w:pPr>
                  <w:r>
                    <w:rPr>
                      <w:rFonts w:hint="eastAsia" w:ascii="Times New Roman" w:hAnsi="Times New Roman" w:eastAsia="宋体" w:cs="宋体"/>
                      <w:kern w:val="24"/>
                      <w:sz w:val="21"/>
                      <w:szCs w:val="21"/>
                      <w:lang w:val="en-US" w:eastAsia="zh-CN" w:bidi="ar"/>
                    </w:rPr>
                    <w:t>本项目不在伏道镇地下水井一级保护区范围内。</w:t>
                  </w:r>
                </w:p>
              </w:tc>
              <w:tc>
                <w:tcPr>
                  <w:tcW w:w="620" w:type="dxa"/>
                  <w:tcBorders>
                    <w:tl2br w:val="nil"/>
                    <w:tr2bl w:val="nil"/>
                  </w:tcBorders>
                  <w:shd w:val="clear" w:color="auto" w:fill="auto"/>
                  <w:tcMar>
                    <w:left w:w="51" w:type="dxa"/>
                    <w:right w:w="51" w:type="dxa"/>
                  </w:tcMar>
                  <w:vAlign w:val="center"/>
                </w:tcPr>
                <w:p w14:paraId="6D2864B1">
                  <w:pPr>
                    <w:keepNext w:val="0"/>
                    <w:keepLines w:val="0"/>
                    <w:pageBreakBefore w:val="0"/>
                    <w:widowControl w:val="0"/>
                    <w:suppressLineNumbers w:val="0"/>
                    <w:kinsoku/>
                    <w:overflowPunct/>
                    <w:topLinePunct w:val="0"/>
                    <w:autoSpaceDE w:val="0"/>
                    <w:autoSpaceDN w:val="0"/>
                    <w:bidi w:val="0"/>
                    <w:adjustRightInd w:val="0"/>
                    <w:snapToGrid w:val="0"/>
                    <w:spacing w:before="0" w:beforeAutospacing="0" w:after="0" w:afterAutospacing="0" w:line="360" w:lineRule="exact"/>
                    <w:ind w:left="0" w:right="0"/>
                    <w:jc w:val="center"/>
                    <w:rPr>
                      <w:rFonts w:hint="default"/>
                      <w:kern w:val="24"/>
                      <w:lang w:val="en-US"/>
                    </w:rPr>
                  </w:pPr>
                  <w:r>
                    <w:rPr>
                      <w:rFonts w:hint="eastAsia" w:cs="宋体"/>
                      <w:kern w:val="24"/>
                      <w:sz w:val="21"/>
                      <w:szCs w:val="21"/>
                      <w:lang w:val="en-US" w:eastAsia="zh-CN" w:bidi="ar"/>
                    </w:rPr>
                    <w:t>相符</w:t>
                  </w:r>
                </w:p>
              </w:tc>
            </w:tr>
            <w:tr w14:paraId="3895DB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jc w:val="center"/>
              </w:trPr>
              <w:tc>
                <w:tcPr>
                  <w:tcW w:w="623" w:type="dxa"/>
                  <w:vMerge w:val="continue"/>
                  <w:tcBorders>
                    <w:tl2br w:val="nil"/>
                    <w:tr2bl w:val="nil"/>
                  </w:tcBorders>
                  <w:shd w:val="clear" w:color="auto" w:fill="auto"/>
                  <w:tcMar>
                    <w:left w:w="51" w:type="dxa"/>
                    <w:right w:w="51" w:type="dxa"/>
                  </w:tcMar>
                  <w:vAlign w:val="center"/>
                </w:tcPr>
                <w:p w14:paraId="73D48C46">
                  <w:pPr>
                    <w:keepNext w:val="0"/>
                    <w:keepLines w:val="0"/>
                    <w:pageBreakBefore w:val="0"/>
                    <w:suppressLineNumbers w:val="0"/>
                    <w:kinsoku/>
                    <w:overflowPunct/>
                    <w:topLinePunct w:val="0"/>
                    <w:bidi w:val="0"/>
                    <w:spacing w:before="0" w:beforeAutospacing="0" w:after="0" w:afterAutospacing="0" w:line="360" w:lineRule="exact"/>
                    <w:ind w:left="0" w:right="0"/>
                    <w:rPr>
                      <w:rFonts w:hint="default" w:ascii="Times New Roman" w:hAnsi="Times New Roman" w:eastAsia="Times New Roman" w:cs="Times New Roman"/>
                      <w:sz w:val="20"/>
                      <w:szCs w:val="20"/>
                    </w:rPr>
                  </w:pPr>
                </w:p>
              </w:tc>
              <w:tc>
                <w:tcPr>
                  <w:tcW w:w="1134" w:type="dxa"/>
                  <w:tcBorders>
                    <w:tl2br w:val="nil"/>
                    <w:tr2bl w:val="nil"/>
                  </w:tcBorders>
                  <w:shd w:val="clear" w:color="auto" w:fill="auto"/>
                  <w:tcMar>
                    <w:left w:w="51" w:type="dxa"/>
                    <w:right w:w="51" w:type="dxa"/>
                  </w:tcMar>
                  <w:vAlign w:val="center"/>
                </w:tcPr>
                <w:p w14:paraId="5383E1A0">
                  <w:pPr>
                    <w:keepNext w:val="0"/>
                    <w:keepLines w:val="0"/>
                    <w:pageBreakBefore w:val="0"/>
                    <w:widowControl w:val="0"/>
                    <w:suppressLineNumbers w:val="0"/>
                    <w:kinsoku/>
                    <w:overflowPunct/>
                    <w:topLinePunct w:val="0"/>
                    <w:autoSpaceDE w:val="0"/>
                    <w:autoSpaceDN w:val="0"/>
                    <w:bidi w:val="0"/>
                    <w:adjustRightInd w:val="0"/>
                    <w:snapToGrid w:val="0"/>
                    <w:spacing w:before="0" w:beforeAutospacing="0" w:after="0" w:afterAutospacing="0" w:line="360" w:lineRule="exact"/>
                    <w:ind w:left="0" w:right="0"/>
                    <w:jc w:val="both"/>
                    <w:rPr>
                      <w:rFonts w:hint="default"/>
                      <w:kern w:val="24"/>
                      <w:lang w:val="en-US"/>
                    </w:rPr>
                  </w:pPr>
                  <w:r>
                    <w:rPr>
                      <w:rFonts w:hint="eastAsia" w:ascii="Times New Roman" w:hAnsi="Times New Roman" w:eastAsia="宋体" w:cs="宋体"/>
                      <w:kern w:val="24"/>
                      <w:sz w:val="21"/>
                      <w:szCs w:val="21"/>
                      <w:lang w:val="en-US" w:eastAsia="zh-CN" w:bidi="ar"/>
                    </w:rPr>
                    <w:t>道路两侧的防护绿地；京广铁路客运专线两侧的生态绿地；淤泥河和永通河及其两侧的生态绿地；公园绿地。</w:t>
                  </w:r>
                </w:p>
              </w:tc>
              <w:tc>
                <w:tcPr>
                  <w:tcW w:w="2590" w:type="dxa"/>
                  <w:tcBorders>
                    <w:tl2br w:val="nil"/>
                    <w:tr2bl w:val="nil"/>
                  </w:tcBorders>
                  <w:shd w:val="clear" w:color="auto" w:fill="auto"/>
                  <w:tcMar>
                    <w:left w:w="51" w:type="dxa"/>
                    <w:right w:w="51" w:type="dxa"/>
                  </w:tcMar>
                  <w:vAlign w:val="center"/>
                </w:tcPr>
                <w:p w14:paraId="56ED62A4">
                  <w:pPr>
                    <w:keepNext w:val="0"/>
                    <w:keepLines w:val="0"/>
                    <w:pageBreakBefore w:val="0"/>
                    <w:widowControl w:val="0"/>
                    <w:suppressLineNumbers w:val="0"/>
                    <w:kinsoku/>
                    <w:overflowPunct/>
                    <w:topLinePunct w:val="0"/>
                    <w:autoSpaceDE w:val="0"/>
                    <w:autoSpaceDN w:val="0"/>
                    <w:bidi w:val="0"/>
                    <w:adjustRightInd w:val="0"/>
                    <w:snapToGrid w:val="0"/>
                    <w:spacing w:before="0" w:beforeAutospacing="0" w:after="0" w:afterAutospacing="0" w:line="360" w:lineRule="exact"/>
                    <w:ind w:left="0" w:right="0"/>
                    <w:jc w:val="both"/>
                    <w:rPr>
                      <w:rFonts w:hint="default"/>
                      <w:kern w:val="24"/>
                      <w:lang w:val="en-US"/>
                    </w:rPr>
                  </w:pPr>
                  <w:r>
                    <w:rPr>
                      <w:rFonts w:hint="eastAsia" w:ascii="Times New Roman" w:hAnsi="Times New Roman" w:eastAsia="宋体" w:cs="宋体"/>
                      <w:kern w:val="24"/>
                      <w:sz w:val="21"/>
                      <w:szCs w:val="21"/>
                      <w:lang w:val="en-US" w:eastAsia="zh-CN" w:bidi="ar"/>
                    </w:rPr>
                    <w:t>原则上禁止任何与生态保护无关的开发性建设，以生态维护为主。通过生物措施和工程措施，加强生态环境的治理保护。</w:t>
                  </w:r>
                </w:p>
              </w:tc>
              <w:tc>
                <w:tcPr>
                  <w:tcW w:w="1801" w:type="dxa"/>
                  <w:tcBorders>
                    <w:tl2br w:val="nil"/>
                    <w:tr2bl w:val="nil"/>
                  </w:tcBorders>
                  <w:shd w:val="clear" w:color="auto" w:fill="auto"/>
                  <w:tcMar>
                    <w:left w:w="51" w:type="dxa"/>
                    <w:right w:w="51" w:type="dxa"/>
                  </w:tcMar>
                  <w:vAlign w:val="center"/>
                </w:tcPr>
                <w:p w14:paraId="732866CD">
                  <w:pPr>
                    <w:keepNext w:val="0"/>
                    <w:keepLines w:val="0"/>
                    <w:pageBreakBefore w:val="0"/>
                    <w:widowControl w:val="0"/>
                    <w:suppressLineNumbers w:val="0"/>
                    <w:kinsoku/>
                    <w:overflowPunct/>
                    <w:topLinePunct w:val="0"/>
                    <w:autoSpaceDE w:val="0"/>
                    <w:autoSpaceDN w:val="0"/>
                    <w:bidi w:val="0"/>
                    <w:adjustRightInd w:val="0"/>
                    <w:snapToGrid w:val="0"/>
                    <w:spacing w:before="0" w:beforeAutospacing="0" w:after="0" w:afterAutospacing="0" w:line="360" w:lineRule="exact"/>
                    <w:ind w:left="0" w:right="0"/>
                    <w:jc w:val="center"/>
                    <w:rPr>
                      <w:rFonts w:hint="default"/>
                      <w:kern w:val="24"/>
                      <w:lang w:val="en-US"/>
                    </w:rPr>
                  </w:pPr>
                  <w:r>
                    <w:rPr>
                      <w:rFonts w:hint="eastAsia" w:ascii="Times New Roman" w:hAnsi="Times New Roman" w:eastAsia="宋体" w:cs="宋体"/>
                      <w:kern w:val="24"/>
                      <w:sz w:val="21"/>
                      <w:szCs w:val="21"/>
                      <w:lang w:val="en-US" w:eastAsia="zh-CN" w:bidi="ar"/>
                    </w:rPr>
                    <w:t>不涉及。</w:t>
                  </w:r>
                </w:p>
              </w:tc>
              <w:tc>
                <w:tcPr>
                  <w:tcW w:w="620" w:type="dxa"/>
                  <w:tcBorders>
                    <w:tl2br w:val="nil"/>
                    <w:tr2bl w:val="nil"/>
                  </w:tcBorders>
                  <w:shd w:val="clear" w:color="auto" w:fill="auto"/>
                  <w:tcMar>
                    <w:left w:w="51" w:type="dxa"/>
                    <w:right w:w="51" w:type="dxa"/>
                  </w:tcMar>
                  <w:vAlign w:val="center"/>
                </w:tcPr>
                <w:p w14:paraId="2BEE0A78">
                  <w:pPr>
                    <w:keepNext w:val="0"/>
                    <w:keepLines w:val="0"/>
                    <w:pageBreakBefore w:val="0"/>
                    <w:widowControl w:val="0"/>
                    <w:suppressLineNumbers w:val="0"/>
                    <w:kinsoku/>
                    <w:overflowPunct/>
                    <w:topLinePunct w:val="0"/>
                    <w:autoSpaceDE w:val="0"/>
                    <w:autoSpaceDN w:val="0"/>
                    <w:bidi w:val="0"/>
                    <w:adjustRightInd w:val="0"/>
                    <w:snapToGrid w:val="0"/>
                    <w:spacing w:before="0" w:beforeAutospacing="0" w:after="0" w:afterAutospacing="0" w:line="360" w:lineRule="exact"/>
                    <w:ind w:left="0" w:right="0"/>
                    <w:jc w:val="center"/>
                    <w:rPr>
                      <w:rFonts w:hint="eastAsia" w:eastAsia="宋体"/>
                      <w:kern w:val="24"/>
                      <w:lang w:val="en-US" w:eastAsia="zh-CN"/>
                    </w:rPr>
                  </w:pPr>
                  <w:r>
                    <w:rPr>
                      <w:rFonts w:hint="eastAsia"/>
                      <w:kern w:val="24"/>
                      <w:lang w:val="en-US" w:eastAsia="zh-CN"/>
                    </w:rPr>
                    <w:t>/</w:t>
                  </w:r>
                </w:p>
              </w:tc>
            </w:tr>
            <w:tr w14:paraId="302AAE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jc w:val="center"/>
              </w:trPr>
              <w:tc>
                <w:tcPr>
                  <w:tcW w:w="623" w:type="dxa"/>
                  <w:vMerge w:val="continue"/>
                  <w:tcBorders>
                    <w:tl2br w:val="nil"/>
                    <w:tr2bl w:val="nil"/>
                  </w:tcBorders>
                  <w:shd w:val="clear" w:color="auto" w:fill="auto"/>
                  <w:tcMar>
                    <w:left w:w="51" w:type="dxa"/>
                    <w:right w:w="51" w:type="dxa"/>
                  </w:tcMar>
                  <w:vAlign w:val="center"/>
                </w:tcPr>
                <w:p w14:paraId="4EC5678F">
                  <w:pPr>
                    <w:keepNext w:val="0"/>
                    <w:keepLines w:val="0"/>
                    <w:pageBreakBefore w:val="0"/>
                    <w:suppressLineNumbers w:val="0"/>
                    <w:kinsoku/>
                    <w:overflowPunct/>
                    <w:topLinePunct w:val="0"/>
                    <w:bidi w:val="0"/>
                    <w:spacing w:before="0" w:beforeAutospacing="0" w:after="0" w:afterAutospacing="0" w:line="360" w:lineRule="exact"/>
                    <w:ind w:left="0" w:right="0"/>
                    <w:rPr>
                      <w:rFonts w:hint="default" w:ascii="Times New Roman" w:hAnsi="Times New Roman" w:eastAsia="Times New Roman" w:cs="Times New Roman"/>
                      <w:sz w:val="20"/>
                      <w:szCs w:val="20"/>
                    </w:rPr>
                  </w:pPr>
                </w:p>
              </w:tc>
              <w:tc>
                <w:tcPr>
                  <w:tcW w:w="1134" w:type="dxa"/>
                  <w:tcBorders>
                    <w:tl2br w:val="nil"/>
                    <w:tr2bl w:val="nil"/>
                  </w:tcBorders>
                  <w:shd w:val="clear" w:color="auto" w:fill="auto"/>
                  <w:tcMar>
                    <w:left w:w="51" w:type="dxa"/>
                    <w:right w:w="51" w:type="dxa"/>
                  </w:tcMar>
                  <w:vAlign w:val="center"/>
                </w:tcPr>
                <w:p w14:paraId="59143823">
                  <w:pPr>
                    <w:keepNext w:val="0"/>
                    <w:keepLines w:val="0"/>
                    <w:pageBreakBefore w:val="0"/>
                    <w:widowControl w:val="0"/>
                    <w:suppressLineNumbers w:val="0"/>
                    <w:kinsoku/>
                    <w:overflowPunct/>
                    <w:topLinePunct w:val="0"/>
                    <w:autoSpaceDE w:val="0"/>
                    <w:autoSpaceDN w:val="0"/>
                    <w:bidi w:val="0"/>
                    <w:adjustRightInd w:val="0"/>
                    <w:snapToGrid w:val="0"/>
                    <w:spacing w:before="0" w:beforeAutospacing="0" w:after="0" w:afterAutospacing="0" w:line="360" w:lineRule="exact"/>
                    <w:ind w:left="0" w:right="0"/>
                    <w:jc w:val="both"/>
                    <w:rPr>
                      <w:rFonts w:hint="default"/>
                      <w:kern w:val="24"/>
                      <w:lang w:val="en-US"/>
                    </w:rPr>
                  </w:pPr>
                  <w:r>
                    <w:rPr>
                      <w:rFonts w:hint="eastAsia" w:ascii="Times New Roman" w:hAnsi="Times New Roman" w:eastAsia="宋体" w:cs="宋体"/>
                      <w:kern w:val="24"/>
                      <w:sz w:val="21"/>
                      <w:szCs w:val="21"/>
                      <w:lang w:val="en-US" w:eastAsia="zh-CN" w:bidi="ar"/>
                    </w:rPr>
                    <w:t>广场用地、消防用地以及规划的城市发展备用地。</w:t>
                  </w:r>
                </w:p>
              </w:tc>
              <w:tc>
                <w:tcPr>
                  <w:tcW w:w="2590" w:type="dxa"/>
                  <w:tcBorders>
                    <w:tl2br w:val="nil"/>
                    <w:tr2bl w:val="nil"/>
                  </w:tcBorders>
                  <w:shd w:val="clear" w:color="auto" w:fill="auto"/>
                  <w:tcMar>
                    <w:left w:w="51" w:type="dxa"/>
                    <w:right w:w="51" w:type="dxa"/>
                  </w:tcMar>
                  <w:vAlign w:val="center"/>
                </w:tcPr>
                <w:p w14:paraId="5E2CB8BB">
                  <w:pPr>
                    <w:keepNext w:val="0"/>
                    <w:keepLines w:val="0"/>
                    <w:pageBreakBefore w:val="0"/>
                    <w:widowControl w:val="0"/>
                    <w:suppressLineNumbers w:val="0"/>
                    <w:kinsoku/>
                    <w:overflowPunct/>
                    <w:topLinePunct w:val="0"/>
                    <w:autoSpaceDE w:val="0"/>
                    <w:autoSpaceDN w:val="0"/>
                    <w:bidi w:val="0"/>
                    <w:adjustRightInd w:val="0"/>
                    <w:snapToGrid w:val="0"/>
                    <w:spacing w:before="0" w:beforeAutospacing="0" w:after="0" w:afterAutospacing="0" w:line="360" w:lineRule="exact"/>
                    <w:ind w:left="0" w:right="0"/>
                    <w:jc w:val="both"/>
                    <w:rPr>
                      <w:rFonts w:hint="default"/>
                      <w:kern w:val="24"/>
                      <w:lang w:val="en-US"/>
                    </w:rPr>
                  </w:pPr>
                  <w:r>
                    <w:rPr>
                      <w:rFonts w:hint="eastAsia" w:ascii="Times New Roman" w:hAnsi="Times New Roman" w:eastAsia="宋体" w:cs="宋体"/>
                      <w:kern w:val="24"/>
                      <w:sz w:val="21"/>
                      <w:szCs w:val="21"/>
                      <w:lang w:val="en-US" w:eastAsia="zh-CN" w:bidi="ar"/>
                    </w:rPr>
                    <w:t>禁止与设施功能无关的活动。</w:t>
                  </w:r>
                </w:p>
              </w:tc>
              <w:tc>
                <w:tcPr>
                  <w:tcW w:w="1801" w:type="dxa"/>
                  <w:tcBorders>
                    <w:tl2br w:val="nil"/>
                    <w:tr2bl w:val="nil"/>
                  </w:tcBorders>
                  <w:shd w:val="clear" w:color="auto" w:fill="auto"/>
                  <w:tcMar>
                    <w:left w:w="51" w:type="dxa"/>
                    <w:right w:w="51" w:type="dxa"/>
                  </w:tcMar>
                  <w:vAlign w:val="center"/>
                </w:tcPr>
                <w:p w14:paraId="7BE97C33">
                  <w:pPr>
                    <w:keepNext w:val="0"/>
                    <w:keepLines w:val="0"/>
                    <w:pageBreakBefore w:val="0"/>
                    <w:widowControl w:val="0"/>
                    <w:suppressLineNumbers w:val="0"/>
                    <w:kinsoku/>
                    <w:overflowPunct/>
                    <w:topLinePunct w:val="0"/>
                    <w:autoSpaceDE w:val="0"/>
                    <w:autoSpaceDN w:val="0"/>
                    <w:bidi w:val="0"/>
                    <w:adjustRightInd w:val="0"/>
                    <w:snapToGrid w:val="0"/>
                    <w:spacing w:before="0" w:beforeAutospacing="0" w:after="0" w:afterAutospacing="0" w:line="360" w:lineRule="exact"/>
                    <w:ind w:left="0" w:right="0"/>
                    <w:jc w:val="center"/>
                    <w:rPr>
                      <w:rFonts w:hint="default"/>
                      <w:kern w:val="24"/>
                      <w:lang w:val="en-US"/>
                    </w:rPr>
                  </w:pPr>
                  <w:r>
                    <w:rPr>
                      <w:rFonts w:hint="eastAsia" w:ascii="Times New Roman" w:hAnsi="Times New Roman" w:eastAsia="宋体" w:cs="宋体"/>
                      <w:kern w:val="24"/>
                      <w:sz w:val="21"/>
                      <w:szCs w:val="21"/>
                      <w:lang w:val="en-US" w:eastAsia="zh-CN" w:bidi="ar"/>
                    </w:rPr>
                    <w:t>不涉及。</w:t>
                  </w:r>
                </w:p>
              </w:tc>
              <w:tc>
                <w:tcPr>
                  <w:tcW w:w="620" w:type="dxa"/>
                  <w:tcBorders>
                    <w:tl2br w:val="nil"/>
                    <w:tr2bl w:val="nil"/>
                  </w:tcBorders>
                  <w:shd w:val="clear" w:color="auto" w:fill="auto"/>
                  <w:tcMar>
                    <w:left w:w="51" w:type="dxa"/>
                    <w:right w:w="51" w:type="dxa"/>
                  </w:tcMar>
                  <w:vAlign w:val="center"/>
                </w:tcPr>
                <w:p w14:paraId="6CF10477">
                  <w:pPr>
                    <w:keepNext w:val="0"/>
                    <w:keepLines w:val="0"/>
                    <w:pageBreakBefore w:val="0"/>
                    <w:widowControl w:val="0"/>
                    <w:suppressLineNumbers w:val="0"/>
                    <w:kinsoku/>
                    <w:overflowPunct/>
                    <w:topLinePunct w:val="0"/>
                    <w:autoSpaceDE w:val="0"/>
                    <w:autoSpaceDN w:val="0"/>
                    <w:bidi w:val="0"/>
                    <w:adjustRightInd w:val="0"/>
                    <w:snapToGrid w:val="0"/>
                    <w:spacing w:before="0" w:beforeAutospacing="0" w:after="0" w:afterAutospacing="0" w:line="360" w:lineRule="exact"/>
                    <w:ind w:left="0" w:right="0"/>
                    <w:jc w:val="center"/>
                    <w:rPr>
                      <w:rFonts w:hint="default"/>
                      <w:kern w:val="24"/>
                      <w:lang w:val="en-US"/>
                    </w:rPr>
                  </w:pPr>
                  <w:r>
                    <w:rPr>
                      <w:rFonts w:hint="eastAsia" w:cs="宋体"/>
                      <w:kern w:val="24"/>
                      <w:sz w:val="21"/>
                      <w:szCs w:val="21"/>
                      <w:lang w:val="en-US" w:eastAsia="zh-CN" w:bidi="ar"/>
                    </w:rPr>
                    <w:t>/</w:t>
                  </w:r>
                </w:p>
              </w:tc>
            </w:tr>
            <w:tr w14:paraId="314022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476" w:hRule="atLeast"/>
                <w:jc w:val="center"/>
              </w:trPr>
              <w:tc>
                <w:tcPr>
                  <w:tcW w:w="623" w:type="dxa"/>
                  <w:vMerge w:val="continue"/>
                  <w:tcBorders>
                    <w:tl2br w:val="nil"/>
                    <w:tr2bl w:val="nil"/>
                  </w:tcBorders>
                  <w:shd w:val="clear" w:color="auto" w:fill="auto"/>
                  <w:tcMar>
                    <w:left w:w="51" w:type="dxa"/>
                    <w:right w:w="51" w:type="dxa"/>
                  </w:tcMar>
                  <w:vAlign w:val="center"/>
                </w:tcPr>
                <w:p w14:paraId="386BADF3">
                  <w:pPr>
                    <w:keepNext w:val="0"/>
                    <w:keepLines w:val="0"/>
                    <w:pageBreakBefore w:val="0"/>
                    <w:suppressLineNumbers w:val="0"/>
                    <w:kinsoku/>
                    <w:overflowPunct/>
                    <w:topLinePunct w:val="0"/>
                    <w:bidi w:val="0"/>
                    <w:spacing w:before="0" w:beforeAutospacing="0" w:after="0" w:afterAutospacing="0" w:line="360" w:lineRule="exact"/>
                    <w:ind w:left="0" w:right="0"/>
                    <w:rPr>
                      <w:rFonts w:hint="default" w:ascii="Times New Roman" w:hAnsi="Times New Roman" w:eastAsia="Times New Roman" w:cs="Times New Roman"/>
                      <w:sz w:val="20"/>
                      <w:szCs w:val="20"/>
                    </w:rPr>
                  </w:pPr>
                </w:p>
              </w:tc>
              <w:tc>
                <w:tcPr>
                  <w:tcW w:w="1134" w:type="dxa"/>
                  <w:tcBorders>
                    <w:tl2br w:val="nil"/>
                    <w:tr2bl w:val="nil"/>
                  </w:tcBorders>
                  <w:shd w:val="clear" w:color="auto" w:fill="auto"/>
                  <w:tcMar>
                    <w:left w:w="51" w:type="dxa"/>
                    <w:right w:w="51" w:type="dxa"/>
                  </w:tcMar>
                  <w:vAlign w:val="center"/>
                </w:tcPr>
                <w:p w14:paraId="21D19CB6">
                  <w:pPr>
                    <w:keepNext w:val="0"/>
                    <w:keepLines w:val="0"/>
                    <w:pageBreakBefore w:val="0"/>
                    <w:widowControl w:val="0"/>
                    <w:suppressLineNumbers w:val="0"/>
                    <w:kinsoku/>
                    <w:overflowPunct/>
                    <w:topLinePunct w:val="0"/>
                    <w:autoSpaceDE w:val="0"/>
                    <w:autoSpaceDN w:val="0"/>
                    <w:bidi w:val="0"/>
                    <w:adjustRightInd w:val="0"/>
                    <w:snapToGrid w:val="0"/>
                    <w:spacing w:before="0" w:beforeAutospacing="0" w:after="0" w:afterAutospacing="0" w:line="360" w:lineRule="exact"/>
                    <w:ind w:left="0" w:right="0"/>
                    <w:jc w:val="both"/>
                    <w:rPr>
                      <w:rFonts w:hint="default"/>
                      <w:kern w:val="24"/>
                      <w:lang w:val="en-US"/>
                    </w:rPr>
                  </w:pPr>
                  <w:r>
                    <w:rPr>
                      <w:rFonts w:hint="eastAsia" w:ascii="Times New Roman" w:hAnsi="Times New Roman" w:eastAsia="宋体" w:cs="宋体"/>
                      <w:kern w:val="24"/>
                      <w:sz w:val="21"/>
                      <w:szCs w:val="21"/>
                      <w:lang w:val="en-US" w:eastAsia="zh-CN" w:bidi="ar"/>
                    </w:rPr>
                    <w:t>现有未搬迁和规划居住用地、机关团体用地。</w:t>
                  </w:r>
                </w:p>
              </w:tc>
              <w:tc>
                <w:tcPr>
                  <w:tcW w:w="2590" w:type="dxa"/>
                  <w:tcBorders>
                    <w:tl2br w:val="nil"/>
                    <w:tr2bl w:val="nil"/>
                  </w:tcBorders>
                  <w:shd w:val="clear" w:color="auto" w:fill="auto"/>
                  <w:tcMar>
                    <w:left w:w="51" w:type="dxa"/>
                    <w:right w:w="51" w:type="dxa"/>
                  </w:tcMar>
                  <w:vAlign w:val="center"/>
                </w:tcPr>
                <w:p w14:paraId="24B602E1">
                  <w:pPr>
                    <w:keepNext w:val="0"/>
                    <w:keepLines w:val="0"/>
                    <w:pageBreakBefore w:val="0"/>
                    <w:widowControl w:val="0"/>
                    <w:suppressLineNumbers w:val="0"/>
                    <w:kinsoku/>
                    <w:overflowPunct/>
                    <w:topLinePunct w:val="0"/>
                    <w:autoSpaceDE w:val="0"/>
                    <w:autoSpaceDN w:val="0"/>
                    <w:bidi w:val="0"/>
                    <w:adjustRightInd w:val="0"/>
                    <w:snapToGrid w:val="0"/>
                    <w:spacing w:before="0" w:beforeAutospacing="0" w:after="0" w:afterAutospacing="0" w:line="360" w:lineRule="exact"/>
                    <w:ind w:left="0" w:right="0"/>
                    <w:jc w:val="both"/>
                    <w:rPr>
                      <w:rFonts w:hint="default"/>
                      <w:kern w:val="24"/>
                      <w:lang w:val="en-US"/>
                    </w:rPr>
                  </w:pPr>
                  <w:r>
                    <w:rPr>
                      <w:rFonts w:hint="eastAsia" w:ascii="Times New Roman" w:hAnsi="Times New Roman" w:eastAsia="宋体" w:cs="宋体"/>
                      <w:kern w:val="24"/>
                      <w:sz w:val="21"/>
                      <w:szCs w:val="21"/>
                      <w:lang w:val="en-US" w:eastAsia="zh-CN" w:bidi="ar"/>
                    </w:rPr>
                    <w:t>禁止入驻大气环境防护距离和环境风险防护距离涉及现有未搬迁和规划的居住、教育、机关团体等用地的项目。</w:t>
                  </w:r>
                </w:p>
              </w:tc>
              <w:tc>
                <w:tcPr>
                  <w:tcW w:w="1801" w:type="dxa"/>
                  <w:tcBorders>
                    <w:tl2br w:val="nil"/>
                    <w:tr2bl w:val="nil"/>
                  </w:tcBorders>
                  <w:shd w:val="clear" w:color="auto" w:fill="auto"/>
                  <w:tcMar>
                    <w:left w:w="51" w:type="dxa"/>
                    <w:right w:w="51" w:type="dxa"/>
                  </w:tcMar>
                  <w:vAlign w:val="center"/>
                </w:tcPr>
                <w:p w14:paraId="1B6A246E">
                  <w:pPr>
                    <w:keepNext w:val="0"/>
                    <w:keepLines w:val="0"/>
                    <w:pageBreakBefore w:val="0"/>
                    <w:widowControl w:val="0"/>
                    <w:suppressLineNumbers w:val="0"/>
                    <w:kinsoku/>
                    <w:overflowPunct/>
                    <w:topLinePunct w:val="0"/>
                    <w:autoSpaceDE w:val="0"/>
                    <w:autoSpaceDN w:val="0"/>
                    <w:bidi w:val="0"/>
                    <w:adjustRightInd w:val="0"/>
                    <w:snapToGrid w:val="0"/>
                    <w:spacing w:before="0" w:beforeAutospacing="0" w:after="0" w:afterAutospacing="0" w:line="360" w:lineRule="exact"/>
                    <w:ind w:left="0" w:right="0"/>
                    <w:jc w:val="center"/>
                    <w:rPr>
                      <w:rFonts w:hint="default"/>
                      <w:kern w:val="24"/>
                      <w:lang w:val="en-US"/>
                    </w:rPr>
                  </w:pPr>
                  <w:r>
                    <w:rPr>
                      <w:rFonts w:hint="eastAsia" w:ascii="Times New Roman" w:hAnsi="Times New Roman" w:eastAsia="宋体" w:cs="宋体"/>
                      <w:kern w:val="24"/>
                      <w:sz w:val="21"/>
                      <w:szCs w:val="21"/>
                      <w:lang w:val="en-US" w:eastAsia="zh-CN" w:bidi="ar"/>
                    </w:rPr>
                    <w:t>不涉及。</w:t>
                  </w:r>
                </w:p>
              </w:tc>
              <w:tc>
                <w:tcPr>
                  <w:tcW w:w="620" w:type="dxa"/>
                  <w:tcBorders>
                    <w:tl2br w:val="nil"/>
                    <w:tr2bl w:val="nil"/>
                  </w:tcBorders>
                  <w:shd w:val="clear" w:color="auto" w:fill="auto"/>
                  <w:tcMar>
                    <w:left w:w="51" w:type="dxa"/>
                    <w:right w:w="51" w:type="dxa"/>
                  </w:tcMar>
                  <w:vAlign w:val="center"/>
                </w:tcPr>
                <w:p w14:paraId="33F0899C">
                  <w:pPr>
                    <w:keepNext w:val="0"/>
                    <w:keepLines w:val="0"/>
                    <w:pageBreakBefore w:val="0"/>
                    <w:widowControl w:val="0"/>
                    <w:suppressLineNumbers w:val="0"/>
                    <w:kinsoku/>
                    <w:overflowPunct/>
                    <w:topLinePunct w:val="0"/>
                    <w:autoSpaceDE w:val="0"/>
                    <w:autoSpaceDN w:val="0"/>
                    <w:bidi w:val="0"/>
                    <w:adjustRightInd w:val="0"/>
                    <w:snapToGrid w:val="0"/>
                    <w:spacing w:before="0" w:beforeAutospacing="0" w:after="0" w:afterAutospacing="0" w:line="360" w:lineRule="exact"/>
                    <w:ind w:left="0" w:right="0"/>
                    <w:jc w:val="center"/>
                    <w:rPr>
                      <w:rFonts w:hint="eastAsia" w:eastAsia="宋体"/>
                      <w:kern w:val="24"/>
                      <w:lang w:val="en-US" w:eastAsia="zh-CN"/>
                    </w:rPr>
                  </w:pPr>
                  <w:r>
                    <w:rPr>
                      <w:rFonts w:hint="eastAsia"/>
                      <w:kern w:val="24"/>
                      <w:lang w:val="en-US" w:eastAsia="zh-CN"/>
                    </w:rPr>
                    <w:t>/</w:t>
                  </w:r>
                </w:p>
              </w:tc>
            </w:tr>
            <w:tr w14:paraId="1497AE6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jc w:val="center"/>
              </w:trPr>
              <w:tc>
                <w:tcPr>
                  <w:tcW w:w="623" w:type="dxa"/>
                  <w:vMerge w:val="restart"/>
                  <w:tcBorders>
                    <w:tl2br w:val="nil"/>
                    <w:tr2bl w:val="nil"/>
                  </w:tcBorders>
                  <w:shd w:val="clear" w:color="auto" w:fill="auto"/>
                  <w:tcMar>
                    <w:left w:w="51" w:type="dxa"/>
                    <w:right w:w="51" w:type="dxa"/>
                  </w:tcMar>
                  <w:vAlign w:val="center"/>
                </w:tcPr>
                <w:p w14:paraId="29932172">
                  <w:pPr>
                    <w:keepNext w:val="0"/>
                    <w:keepLines w:val="0"/>
                    <w:pageBreakBefore w:val="0"/>
                    <w:widowControl w:val="0"/>
                    <w:suppressLineNumbers w:val="0"/>
                    <w:kinsoku/>
                    <w:overflowPunct/>
                    <w:topLinePunct w:val="0"/>
                    <w:autoSpaceDE w:val="0"/>
                    <w:autoSpaceDN w:val="0"/>
                    <w:bidi w:val="0"/>
                    <w:adjustRightInd w:val="0"/>
                    <w:snapToGrid w:val="0"/>
                    <w:spacing w:before="0" w:beforeAutospacing="0" w:after="0" w:afterAutospacing="0" w:line="360" w:lineRule="exact"/>
                    <w:ind w:left="0" w:right="0"/>
                    <w:jc w:val="center"/>
                    <w:rPr>
                      <w:rFonts w:hint="default"/>
                      <w:kern w:val="24"/>
                      <w:lang w:val="en-US"/>
                    </w:rPr>
                  </w:pPr>
                  <w:r>
                    <w:rPr>
                      <w:rFonts w:hint="eastAsia" w:ascii="Times New Roman" w:hAnsi="Times New Roman" w:eastAsia="宋体" w:cs="宋体"/>
                      <w:kern w:val="24"/>
                      <w:sz w:val="21"/>
                      <w:szCs w:val="21"/>
                      <w:lang w:val="en-US" w:eastAsia="zh-CN" w:bidi="ar"/>
                    </w:rPr>
                    <w:t>重点管控区域</w:t>
                  </w:r>
                </w:p>
                <w:p w14:paraId="282A3968">
                  <w:pPr>
                    <w:pStyle w:val="21"/>
                    <w:keepNext w:val="0"/>
                    <w:keepLines w:val="0"/>
                    <w:pageBreakBefore w:val="0"/>
                    <w:widowControl w:val="0"/>
                    <w:suppressLineNumbers w:val="0"/>
                    <w:kinsoku/>
                    <w:overflowPunct/>
                    <w:topLinePunct w:val="0"/>
                    <w:bidi w:val="0"/>
                    <w:adjustRightInd w:val="0"/>
                    <w:snapToGrid w:val="0"/>
                    <w:spacing w:before="0" w:beforeAutospacing="0" w:after="0" w:afterAutospacing="0" w:line="360" w:lineRule="exact"/>
                    <w:ind w:left="420" w:leftChars="200" w:right="0" w:firstLine="420"/>
                    <w:jc w:val="center"/>
                    <w:rPr>
                      <w:rFonts w:hint="default" w:ascii="Times New Roman" w:hAnsi="Times New Roman" w:cs="Times New Roman"/>
                      <w:kern w:val="24"/>
                      <w:sz w:val="21"/>
                      <w:szCs w:val="21"/>
                      <w:lang w:val="en-US"/>
                    </w:rPr>
                  </w:pPr>
                </w:p>
              </w:tc>
              <w:tc>
                <w:tcPr>
                  <w:tcW w:w="1134" w:type="dxa"/>
                  <w:vMerge w:val="restart"/>
                  <w:tcBorders>
                    <w:tl2br w:val="nil"/>
                    <w:tr2bl w:val="nil"/>
                  </w:tcBorders>
                  <w:shd w:val="clear" w:color="auto" w:fill="auto"/>
                  <w:tcMar>
                    <w:left w:w="51" w:type="dxa"/>
                    <w:right w:w="51" w:type="dxa"/>
                  </w:tcMar>
                  <w:vAlign w:val="center"/>
                </w:tcPr>
                <w:p w14:paraId="19D56934">
                  <w:pPr>
                    <w:keepNext w:val="0"/>
                    <w:keepLines w:val="0"/>
                    <w:pageBreakBefore w:val="0"/>
                    <w:widowControl/>
                    <w:suppressLineNumbers w:val="0"/>
                    <w:kinsoku/>
                    <w:overflowPunct/>
                    <w:topLinePunct w:val="0"/>
                    <w:bidi w:val="0"/>
                    <w:adjustRightInd w:val="0"/>
                    <w:snapToGrid w:val="0"/>
                    <w:spacing w:before="0" w:beforeAutospacing="0" w:after="0" w:afterAutospacing="0" w:line="360" w:lineRule="exact"/>
                    <w:ind w:left="0" w:right="0"/>
                    <w:jc w:val="center"/>
                    <w:rPr>
                      <w:rFonts w:hint="default"/>
                      <w:kern w:val="24"/>
                      <w:lang w:val="en-US" w:bidi="ar"/>
                    </w:rPr>
                  </w:pPr>
                  <w:r>
                    <w:rPr>
                      <w:rFonts w:hint="eastAsia" w:ascii="Times New Roman" w:hAnsi="Times New Roman" w:eastAsia="宋体" w:cs="宋体"/>
                      <w:kern w:val="24"/>
                      <w:sz w:val="21"/>
                      <w:szCs w:val="21"/>
                      <w:lang w:val="en-US" w:eastAsia="zh-CN" w:bidi="ar"/>
                    </w:rPr>
                    <w:t>空间布局</w:t>
                  </w:r>
                </w:p>
                <w:p w14:paraId="345F8EC9">
                  <w:pPr>
                    <w:keepNext w:val="0"/>
                    <w:keepLines w:val="0"/>
                    <w:pageBreakBefore w:val="0"/>
                    <w:widowControl/>
                    <w:suppressLineNumbers w:val="0"/>
                    <w:kinsoku/>
                    <w:overflowPunct/>
                    <w:topLinePunct w:val="0"/>
                    <w:bidi w:val="0"/>
                    <w:adjustRightInd w:val="0"/>
                    <w:snapToGrid w:val="0"/>
                    <w:spacing w:before="0" w:beforeAutospacing="0" w:after="0" w:afterAutospacing="0" w:line="360" w:lineRule="exact"/>
                    <w:ind w:left="0" w:right="0"/>
                    <w:jc w:val="center"/>
                    <w:rPr>
                      <w:rFonts w:hint="default"/>
                      <w:kern w:val="24"/>
                      <w:lang w:val="en-US"/>
                    </w:rPr>
                  </w:pPr>
                  <w:r>
                    <w:rPr>
                      <w:rFonts w:hint="eastAsia" w:ascii="Times New Roman" w:hAnsi="Times New Roman" w:eastAsia="宋体" w:cs="宋体"/>
                      <w:kern w:val="24"/>
                      <w:sz w:val="21"/>
                      <w:szCs w:val="21"/>
                      <w:lang w:val="en-US" w:eastAsia="zh-CN" w:bidi="ar"/>
                    </w:rPr>
                    <w:t>约束</w:t>
                  </w:r>
                </w:p>
              </w:tc>
              <w:tc>
                <w:tcPr>
                  <w:tcW w:w="2590" w:type="dxa"/>
                  <w:tcBorders>
                    <w:tl2br w:val="nil"/>
                    <w:tr2bl w:val="nil"/>
                  </w:tcBorders>
                  <w:shd w:val="clear" w:color="auto" w:fill="auto"/>
                  <w:tcMar>
                    <w:left w:w="51" w:type="dxa"/>
                    <w:right w:w="51" w:type="dxa"/>
                  </w:tcMar>
                  <w:vAlign w:val="center"/>
                </w:tcPr>
                <w:p w14:paraId="171C9425">
                  <w:pPr>
                    <w:keepNext w:val="0"/>
                    <w:keepLines w:val="0"/>
                    <w:pageBreakBefore w:val="0"/>
                    <w:widowControl/>
                    <w:suppressLineNumbers w:val="0"/>
                    <w:kinsoku/>
                    <w:overflowPunct/>
                    <w:topLinePunct w:val="0"/>
                    <w:bidi w:val="0"/>
                    <w:adjustRightInd w:val="0"/>
                    <w:snapToGrid w:val="0"/>
                    <w:spacing w:before="0" w:beforeAutospacing="0" w:after="0" w:afterAutospacing="0" w:line="360" w:lineRule="exact"/>
                    <w:ind w:left="0" w:right="0"/>
                    <w:jc w:val="both"/>
                    <w:rPr>
                      <w:rFonts w:hint="default"/>
                      <w:kern w:val="24"/>
                      <w:lang w:val="en-US"/>
                    </w:rPr>
                  </w:pPr>
                  <w:r>
                    <w:rPr>
                      <w:rFonts w:hint="eastAsia" w:ascii="Times New Roman" w:hAnsi="Times New Roman" w:eastAsia="宋体" w:cs="宋体"/>
                      <w:kern w:val="24"/>
                      <w:sz w:val="21"/>
                      <w:szCs w:val="21"/>
                      <w:lang w:val="en-US" w:eastAsia="zh-CN" w:bidi="ar"/>
                    </w:rPr>
                    <w:t>产业定位必须符合国家和省市最新产业导向政策，重点发展食品、医药和精品钢及深加工发展方向的</w:t>
                  </w:r>
                  <w:r>
                    <w:rPr>
                      <w:rFonts w:hint="default" w:ascii="Times New Roman" w:hAnsi="Times New Roman" w:eastAsia="宋体" w:cs="Times New Roman"/>
                      <w:kern w:val="24"/>
                      <w:sz w:val="21"/>
                      <w:szCs w:val="21"/>
                      <w:lang w:val="en-US" w:eastAsia="zh-CN" w:bidi="ar"/>
                    </w:rPr>
                    <w:t>3</w:t>
                  </w:r>
                  <w:r>
                    <w:rPr>
                      <w:rFonts w:hint="eastAsia" w:ascii="Times New Roman" w:hAnsi="Times New Roman" w:eastAsia="宋体" w:cs="宋体"/>
                      <w:kern w:val="24"/>
                      <w:sz w:val="21"/>
                      <w:szCs w:val="21"/>
                      <w:lang w:val="en-US" w:eastAsia="zh-CN" w:bidi="ar"/>
                    </w:rPr>
                    <w:t>大产业和其他高新技术企业。</w:t>
                  </w:r>
                </w:p>
              </w:tc>
              <w:tc>
                <w:tcPr>
                  <w:tcW w:w="1801" w:type="dxa"/>
                  <w:tcBorders>
                    <w:tl2br w:val="nil"/>
                    <w:tr2bl w:val="nil"/>
                  </w:tcBorders>
                  <w:shd w:val="clear" w:color="auto" w:fill="auto"/>
                  <w:tcMar>
                    <w:left w:w="51" w:type="dxa"/>
                    <w:right w:w="51" w:type="dxa"/>
                  </w:tcMar>
                  <w:vAlign w:val="center"/>
                </w:tcPr>
                <w:p w14:paraId="63973311">
                  <w:pPr>
                    <w:keepNext w:val="0"/>
                    <w:keepLines w:val="0"/>
                    <w:pageBreakBefore w:val="0"/>
                    <w:widowControl/>
                    <w:suppressLineNumbers w:val="0"/>
                    <w:kinsoku/>
                    <w:overflowPunct/>
                    <w:topLinePunct w:val="0"/>
                    <w:bidi w:val="0"/>
                    <w:adjustRightInd w:val="0"/>
                    <w:snapToGrid w:val="0"/>
                    <w:spacing w:before="0" w:beforeAutospacing="0" w:after="0" w:afterAutospacing="0" w:line="360" w:lineRule="exact"/>
                    <w:ind w:left="0" w:right="0"/>
                    <w:jc w:val="center"/>
                    <w:rPr>
                      <w:rFonts w:hint="default"/>
                      <w:kern w:val="24"/>
                      <w:lang w:val="en-US"/>
                    </w:rPr>
                  </w:pPr>
                  <w:r>
                    <w:rPr>
                      <w:rFonts w:hint="eastAsia" w:ascii="Times New Roman" w:hAnsi="Times New Roman" w:eastAsia="宋体" w:cs="宋体"/>
                      <w:kern w:val="24"/>
                      <w:sz w:val="21"/>
                      <w:szCs w:val="21"/>
                      <w:lang w:val="en-US" w:eastAsia="zh-CN" w:bidi="ar"/>
                    </w:rPr>
                    <w:t>不涉及。</w:t>
                  </w:r>
                </w:p>
              </w:tc>
              <w:tc>
                <w:tcPr>
                  <w:tcW w:w="620" w:type="dxa"/>
                  <w:tcBorders>
                    <w:tl2br w:val="nil"/>
                    <w:tr2bl w:val="nil"/>
                  </w:tcBorders>
                  <w:shd w:val="clear" w:color="auto" w:fill="auto"/>
                  <w:tcMar>
                    <w:left w:w="51" w:type="dxa"/>
                    <w:right w:w="51" w:type="dxa"/>
                  </w:tcMar>
                  <w:vAlign w:val="center"/>
                </w:tcPr>
                <w:p w14:paraId="0A7DF186">
                  <w:pPr>
                    <w:keepNext w:val="0"/>
                    <w:keepLines w:val="0"/>
                    <w:pageBreakBefore w:val="0"/>
                    <w:widowControl/>
                    <w:suppressLineNumbers w:val="0"/>
                    <w:kinsoku/>
                    <w:overflowPunct/>
                    <w:topLinePunct w:val="0"/>
                    <w:bidi w:val="0"/>
                    <w:adjustRightInd w:val="0"/>
                    <w:snapToGrid w:val="0"/>
                    <w:spacing w:before="0" w:beforeAutospacing="0" w:after="0" w:afterAutospacing="0" w:line="360" w:lineRule="exact"/>
                    <w:ind w:left="0" w:right="0"/>
                    <w:jc w:val="center"/>
                    <w:rPr>
                      <w:rFonts w:hint="default"/>
                      <w:kern w:val="24"/>
                      <w:lang w:val="en-US"/>
                    </w:rPr>
                  </w:pPr>
                  <w:r>
                    <w:rPr>
                      <w:rFonts w:hint="eastAsia" w:cs="宋体"/>
                      <w:kern w:val="24"/>
                      <w:sz w:val="21"/>
                      <w:szCs w:val="21"/>
                      <w:lang w:val="en-US" w:eastAsia="zh-CN" w:bidi="ar"/>
                    </w:rPr>
                    <w:t>/</w:t>
                  </w:r>
                </w:p>
              </w:tc>
            </w:tr>
            <w:tr w14:paraId="3AB29D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jc w:val="center"/>
              </w:trPr>
              <w:tc>
                <w:tcPr>
                  <w:tcW w:w="623" w:type="dxa"/>
                  <w:vMerge w:val="continue"/>
                  <w:tcBorders>
                    <w:tl2br w:val="nil"/>
                    <w:tr2bl w:val="nil"/>
                  </w:tcBorders>
                  <w:shd w:val="clear" w:color="auto" w:fill="auto"/>
                  <w:tcMar>
                    <w:left w:w="51" w:type="dxa"/>
                    <w:right w:w="51" w:type="dxa"/>
                  </w:tcMar>
                  <w:vAlign w:val="center"/>
                </w:tcPr>
                <w:p w14:paraId="57493EE3">
                  <w:pPr>
                    <w:keepNext w:val="0"/>
                    <w:keepLines w:val="0"/>
                    <w:pageBreakBefore w:val="0"/>
                    <w:suppressLineNumbers w:val="0"/>
                    <w:kinsoku/>
                    <w:overflowPunct/>
                    <w:topLinePunct w:val="0"/>
                    <w:bidi w:val="0"/>
                    <w:spacing w:before="0" w:beforeAutospacing="0" w:after="0" w:afterAutospacing="0" w:line="360" w:lineRule="exact"/>
                    <w:ind w:left="0" w:right="0"/>
                    <w:rPr>
                      <w:rFonts w:hint="default" w:ascii="Times New Roman" w:hAnsi="Times New Roman" w:eastAsia="Times New Roman" w:cs="Times New Roman"/>
                      <w:sz w:val="20"/>
                      <w:szCs w:val="20"/>
                    </w:rPr>
                  </w:pPr>
                </w:p>
              </w:tc>
              <w:tc>
                <w:tcPr>
                  <w:tcW w:w="1134" w:type="dxa"/>
                  <w:vMerge w:val="continue"/>
                  <w:tcBorders>
                    <w:tl2br w:val="nil"/>
                    <w:tr2bl w:val="nil"/>
                  </w:tcBorders>
                  <w:shd w:val="clear" w:color="auto" w:fill="auto"/>
                  <w:tcMar>
                    <w:left w:w="51" w:type="dxa"/>
                    <w:right w:w="51" w:type="dxa"/>
                  </w:tcMar>
                  <w:vAlign w:val="center"/>
                </w:tcPr>
                <w:p w14:paraId="64CC8598">
                  <w:pPr>
                    <w:keepNext w:val="0"/>
                    <w:keepLines w:val="0"/>
                    <w:pageBreakBefore w:val="0"/>
                    <w:suppressLineNumbers w:val="0"/>
                    <w:kinsoku/>
                    <w:overflowPunct/>
                    <w:topLinePunct w:val="0"/>
                    <w:bidi w:val="0"/>
                    <w:spacing w:before="0" w:beforeAutospacing="0" w:after="0" w:afterAutospacing="0" w:line="360" w:lineRule="exact"/>
                    <w:ind w:left="0" w:right="0"/>
                    <w:rPr>
                      <w:rFonts w:hint="default" w:ascii="Times New Roman" w:hAnsi="Times New Roman" w:eastAsia="Times New Roman" w:cs="Times New Roman"/>
                      <w:sz w:val="20"/>
                      <w:szCs w:val="20"/>
                    </w:rPr>
                  </w:pPr>
                </w:p>
              </w:tc>
              <w:tc>
                <w:tcPr>
                  <w:tcW w:w="2590" w:type="dxa"/>
                  <w:tcBorders>
                    <w:tl2br w:val="nil"/>
                    <w:tr2bl w:val="nil"/>
                  </w:tcBorders>
                  <w:shd w:val="clear" w:color="auto" w:fill="auto"/>
                  <w:tcMar>
                    <w:left w:w="51" w:type="dxa"/>
                    <w:right w:w="51" w:type="dxa"/>
                  </w:tcMar>
                  <w:vAlign w:val="center"/>
                </w:tcPr>
                <w:p w14:paraId="3FD17344">
                  <w:pPr>
                    <w:keepNext w:val="0"/>
                    <w:keepLines w:val="0"/>
                    <w:pageBreakBefore w:val="0"/>
                    <w:widowControl w:val="0"/>
                    <w:suppressLineNumbers w:val="0"/>
                    <w:kinsoku/>
                    <w:overflowPunct/>
                    <w:topLinePunct w:val="0"/>
                    <w:autoSpaceDE w:val="0"/>
                    <w:autoSpaceDN w:val="0"/>
                    <w:bidi w:val="0"/>
                    <w:adjustRightInd w:val="0"/>
                    <w:snapToGrid w:val="0"/>
                    <w:spacing w:before="0" w:beforeAutospacing="0" w:after="0" w:afterAutospacing="0" w:line="360" w:lineRule="exact"/>
                    <w:ind w:left="0" w:right="0"/>
                    <w:jc w:val="both"/>
                    <w:rPr>
                      <w:rFonts w:hint="default"/>
                      <w:kern w:val="24"/>
                      <w:lang w:val="en-US"/>
                    </w:rPr>
                  </w:pPr>
                  <w:r>
                    <w:rPr>
                      <w:rFonts w:hint="eastAsia" w:ascii="Times New Roman" w:hAnsi="Times New Roman" w:eastAsia="宋体" w:cs="宋体"/>
                      <w:kern w:val="24"/>
                      <w:sz w:val="21"/>
                      <w:szCs w:val="21"/>
                      <w:lang w:val="en-US" w:eastAsia="zh-CN" w:bidi="ar"/>
                    </w:rPr>
                    <w:t>项目投资强度及产出效益应符合园区的要求。</w:t>
                  </w:r>
                </w:p>
              </w:tc>
              <w:tc>
                <w:tcPr>
                  <w:tcW w:w="1801" w:type="dxa"/>
                  <w:tcBorders>
                    <w:tl2br w:val="nil"/>
                    <w:tr2bl w:val="nil"/>
                  </w:tcBorders>
                  <w:shd w:val="clear" w:color="auto" w:fill="auto"/>
                  <w:tcMar>
                    <w:left w:w="51" w:type="dxa"/>
                    <w:right w:w="51" w:type="dxa"/>
                  </w:tcMar>
                  <w:vAlign w:val="center"/>
                </w:tcPr>
                <w:p w14:paraId="45801262">
                  <w:pPr>
                    <w:keepNext w:val="0"/>
                    <w:keepLines w:val="0"/>
                    <w:pageBreakBefore w:val="0"/>
                    <w:widowControl w:val="0"/>
                    <w:suppressLineNumbers w:val="0"/>
                    <w:kinsoku/>
                    <w:overflowPunct/>
                    <w:topLinePunct w:val="0"/>
                    <w:autoSpaceDE w:val="0"/>
                    <w:autoSpaceDN w:val="0"/>
                    <w:bidi w:val="0"/>
                    <w:adjustRightInd w:val="0"/>
                    <w:snapToGrid w:val="0"/>
                    <w:spacing w:before="0" w:beforeAutospacing="0" w:after="0" w:afterAutospacing="0" w:line="360" w:lineRule="exact"/>
                    <w:ind w:left="0" w:right="0"/>
                    <w:jc w:val="both"/>
                    <w:rPr>
                      <w:rFonts w:hint="default"/>
                      <w:kern w:val="24"/>
                      <w:highlight w:val="yellow"/>
                      <w:lang w:val="en-US"/>
                    </w:rPr>
                  </w:pPr>
                  <w:r>
                    <w:rPr>
                      <w:rFonts w:hint="eastAsia" w:ascii="Times New Roman" w:hAnsi="Times New Roman" w:eastAsia="宋体" w:cs="宋体"/>
                      <w:kern w:val="24"/>
                      <w:sz w:val="21"/>
                      <w:szCs w:val="21"/>
                      <w:lang w:val="en-US" w:eastAsia="zh-CN" w:bidi="ar"/>
                    </w:rPr>
                    <w:t>本项目租赁现有厂房建设，总投资6</w:t>
                  </w:r>
                  <w:r>
                    <w:rPr>
                      <w:rFonts w:hint="default" w:ascii="Times New Roman" w:hAnsi="Times New Roman" w:eastAsia="宋体" w:cs="Times New Roman"/>
                      <w:kern w:val="24"/>
                      <w:sz w:val="21"/>
                      <w:szCs w:val="21"/>
                      <w:lang w:val="en-US" w:eastAsia="zh-CN" w:bidi="ar"/>
                    </w:rPr>
                    <w:t>000</w:t>
                  </w:r>
                  <w:r>
                    <w:rPr>
                      <w:rFonts w:hint="eastAsia" w:ascii="Times New Roman" w:hAnsi="Times New Roman" w:eastAsia="宋体" w:cs="宋体"/>
                      <w:kern w:val="24"/>
                      <w:sz w:val="21"/>
                      <w:szCs w:val="21"/>
                      <w:lang w:val="en-US" w:eastAsia="zh-CN" w:bidi="ar"/>
                    </w:rPr>
                    <w:t>万元，经济效益良好，满足园区要求。</w:t>
                  </w:r>
                </w:p>
              </w:tc>
              <w:tc>
                <w:tcPr>
                  <w:tcW w:w="620" w:type="dxa"/>
                  <w:tcBorders>
                    <w:tl2br w:val="nil"/>
                    <w:tr2bl w:val="nil"/>
                  </w:tcBorders>
                  <w:shd w:val="clear" w:color="auto" w:fill="auto"/>
                  <w:tcMar>
                    <w:left w:w="51" w:type="dxa"/>
                    <w:right w:w="51" w:type="dxa"/>
                  </w:tcMar>
                  <w:vAlign w:val="center"/>
                </w:tcPr>
                <w:p w14:paraId="6A816FBF">
                  <w:pPr>
                    <w:keepNext w:val="0"/>
                    <w:keepLines w:val="0"/>
                    <w:pageBreakBefore w:val="0"/>
                    <w:widowControl/>
                    <w:suppressLineNumbers w:val="0"/>
                    <w:kinsoku/>
                    <w:overflowPunct/>
                    <w:topLinePunct w:val="0"/>
                    <w:bidi w:val="0"/>
                    <w:adjustRightInd w:val="0"/>
                    <w:snapToGrid w:val="0"/>
                    <w:spacing w:before="0" w:beforeAutospacing="0" w:after="0" w:afterAutospacing="0" w:line="360" w:lineRule="exact"/>
                    <w:ind w:left="0" w:right="0"/>
                    <w:jc w:val="center"/>
                    <w:rPr>
                      <w:rFonts w:hint="default"/>
                      <w:kern w:val="24"/>
                      <w:lang w:val="en-US"/>
                    </w:rPr>
                  </w:pPr>
                  <w:r>
                    <w:rPr>
                      <w:rFonts w:hint="eastAsia" w:cs="宋体"/>
                      <w:kern w:val="24"/>
                      <w:sz w:val="21"/>
                      <w:szCs w:val="21"/>
                      <w:lang w:val="en-US" w:eastAsia="zh-CN" w:bidi="ar"/>
                    </w:rPr>
                    <w:t>相符</w:t>
                  </w:r>
                </w:p>
              </w:tc>
            </w:tr>
            <w:tr w14:paraId="670331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1191" w:hRule="atLeast"/>
                <w:jc w:val="center"/>
              </w:trPr>
              <w:tc>
                <w:tcPr>
                  <w:tcW w:w="623" w:type="dxa"/>
                  <w:vMerge w:val="continue"/>
                  <w:tcBorders>
                    <w:tl2br w:val="nil"/>
                    <w:tr2bl w:val="nil"/>
                  </w:tcBorders>
                  <w:shd w:val="clear" w:color="auto" w:fill="auto"/>
                  <w:tcMar>
                    <w:left w:w="51" w:type="dxa"/>
                    <w:right w:w="51" w:type="dxa"/>
                  </w:tcMar>
                  <w:vAlign w:val="center"/>
                </w:tcPr>
                <w:p w14:paraId="14FF970A">
                  <w:pPr>
                    <w:keepNext w:val="0"/>
                    <w:keepLines w:val="0"/>
                    <w:pageBreakBefore w:val="0"/>
                    <w:suppressLineNumbers w:val="0"/>
                    <w:kinsoku/>
                    <w:overflowPunct/>
                    <w:topLinePunct w:val="0"/>
                    <w:bidi w:val="0"/>
                    <w:spacing w:before="0" w:beforeAutospacing="0" w:after="0" w:afterAutospacing="0" w:line="360" w:lineRule="exact"/>
                    <w:ind w:left="0" w:right="0"/>
                    <w:rPr>
                      <w:rFonts w:hint="default" w:ascii="Times New Roman" w:hAnsi="Times New Roman" w:eastAsia="Times New Roman" w:cs="Times New Roman"/>
                      <w:sz w:val="20"/>
                      <w:szCs w:val="20"/>
                    </w:rPr>
                  </w:pPr>
                </w:p>
              </w:tc>
              <w:tc>
                <w:tcPr>
                  <w:tcW w:w="1134" w:type="dxa"/>
                  <w:vMerge w:val="continue"/>
                  <w:tcBorders>
                    <w:tl2br w:val="nil"/>
                    <w:tr2bl w:val="nil"/>
                  </w:tcBorders>
                  <w:shd w:val="clear" w:color="auto" w:fill="auto"/>
                  <w:tcMar>
                    <w:left w:w="51" w:type="dxa"/>
                    <w:right w:w="51" w:type="dxa"/>
                  </w:tcMar>
                  <w:vAlign w:val="center"/>
                </w:tcPr>
                <w:p w14:paraId="5E8822BF">
                  <w:pPr>
                    <w:keepNext w:val="0"/>
                    <w:keepLines w:val="0"/>
                    <w:pageBreakBefore w:val="0"/>
                    <w:suppressLineNumbers w:val="0"/>
                    <w:kinsoku/>
                    <w:overflowPunct/>
                    <w:topLinePunct w:val="0"/>
                    <w:bidi w:val="0"/>
                    <w:spacing w:before="0" w:beforeAutospacing="0" w:after="0" w:afterAutospacing="0" w:line="360" w:lineRule="exact"/>
                    <w:ind w:left="0" w:right="0"/>
                    <w:rPr>
                      <w:rFonts w:hint="default" w:ascii="Times New Roman" w:hAnsi="Times New Roman" w:eastAsia="Times New Roman" w:cs="Times New Roman"/>
                      <w:sz w:val="20"/>
                      <w:szCs w:val="20"/>
                    </w:rPr>
                  </w:pPr>
                </w:p>
              </w:tc>
              <w:tc>
                <w:tcPr>
                  <w:tcW w:w="2590" w:type="dxa"/>
                  <w:tcBorders>
                    <w:tl2br w:val="nil"/>
                    <w:tr2bl w:val="nil"/>
                  </w:tcBorders>
                  <w:shd w:val="clear" w:color="auto" w:fill="auto"/>
                  <w:tcMar>
                    <w:left w:w="51" w:type="dxa"/>
                    <w:right w:w="51" w:type="dxa"/>
                  </w:tcMar>
                  <w:vAlign w:val="center"/>
                </w:tcPr>
                <w:p w14:paraId="173A6A23">
                  <w:pPr>
                    <w:keepNext w:val="0"/>
                    <w:keepLines w:val="0"/>
                    <w:pageBreakBefore w:val="0"/>
                    <w:widowControl w:val="0"/>
                    <w:suppressLineNumbers w:val="0"/>
                    <w:kinsoku/>
                    <w:overflowPunct/>
                    <w:topLinePunct w:val="0"/>
                    <w:autoSpaceDE w:val="0"/>
                    <w:autoSpaceDN w:val="0"/>
                    <w:bidi w:val="0"/>
                    <w:adjustRightInd w:val="0"/>
                    <w:snapToGrid w:val="0"/>
                    <w:spacing w:before="0" w:beforeAutospacing="0" w:after="0" w:afterAutospacing="0" w:line="360" w:lineRule="exact"/>
                    <w:ind w:left="0" w:right="0"/>
                    <w:jc w:val="both"/>
                    <w:rPr>
                      <w:rFonts w:hint="default"/>
                      <w:kern w:val="24"/>
                      <w:lang w:val="en-US"/>
                    </w:rPr>
                  </w:pPr>
                  <w:r>
                    <w:rPr>
                      <w:rFonts w:hint="eastAsia" w:ascii="Times New Roman" w:hAnsi="Times New Roman" w:eastAsia="宋体" w:cs="宋体"/>
                      <w:kern w:val="24"/>
                      <w:sz w:val="21"/>
                      <w:szCs w:val="21"/>
                      <w:lang w:val="en-US" w:eastAsia="zh-CN" w:bidi="ar"/>
                    </w:rPr>
                    <w:t>必须符合国家和河南省、安阳市环境保护法律法规、汤阴高新技术产业园区环境影响评价报告及其审查意见的要求。</w:t>
                  </w:r>
                </w:p>
              </w:tc>
              <w:tc>
                <w:tcPr>
                  <w:tcW w:w="1801" w:type="dxa"/>
                  <w:tcBorders>
                    <w:tl2br w:val="nil"/>
                    <w:tr2bl w:val="nil"/>
                  </w:tcBorders>
                  <w:shd w:val="clear" w:color="auto" w:fill="auto"/>
                  <w:tcMar>
                    <w:left w:w="51" w:type="dxa"/>
                    <w:right w:w="51" w:type="dxa"/>
                  </w:tcMar>
                  <w:vAlign w:val="center"/>
                </w:tcPr>
                <w:p w14:paraId="62A9399E">
                  <w:pPr>
                    <w:keepNext w:val="0"/>
                    <w:keepLines w:val="0"/>
                    <w:pageBreakBefore w:val="0"/>
                    <w:widowControl w:val="0"/>
                    <w:suppressLineNumbers w:val="0"/>
                    <w:kinsoku/>
                    <w:overflowPunct/>
                    <w:topLinePunct w:val="0"/>
                    <w:autoSpaceDE w:val="0"/>
                    <w:autoSpaceDN w:val="0"/>
                    <w:bidi w:val="0"/>
                    <w:adjustRightInd w:val="0"/>
                    <w:snapToGrid w:val="0"/>
                    <w:spacing w:before="0" w:beforeAutospacing="0" w:after="0" w:afterAutospacing="0" w:line="360" w:lineRule="exact"/>
                    <w:ind w:left="0" w:right="0"/>
                    <w:jc w:val="both"/>
                    <w:rPr>
                      <w:rFonts w:hint="default"/>
                      <w:kern w:val="24"/>
                      <w:highlight w:val="yellow"/>
                      <w:lang w:val="en-US"/>
                    </w:rPr>
                  </w:pPr>
                  <w:r>
                    <w:rPr>
                      <w:rFonts w:hint="eastAsia" w:ascii="Times New Roman" w:hAnsi="Times New Roman" w:eastAsia="宋体" w:cs="宋体"/>
                      <w:kern w:val="24"/>
                      <w:sz w:val="21"/>
                      <w:szCs w:val="21"/>
                      <w:lang w:val="en-US" w:eastAsia="zh-CN" w:bidi="ar"/>
                    </w:rPr>
                    <w:t>符合国家和河南省、安阳市环境保护法律法规、汤阴高新技术产业园区环境影响评价报告送审版要求。</w:t>
                  </w:r>
                </w:p>
              </w:tc>
              <w:tc>
                <w:tcPr>
                  <w:tcW w:w="620" w:type="dxa"/>
                  <w:tcBorders>
                    <w:tl2br w:val="nil"/>
                    <w:tr2bl w:val="nil"/>
                  </w:tcBorders>
                  <w:shd w:val="clear" w:color="auto" w:fill="auto"/>
                  <w:tcMar>
                    <w:left w:w="51" w:type="dxa"/>
                    <w:right w:w="51" w:type="dxa"/>
                  </w:tcMar>
                  <w:vAlign w:val="center"/>
                </w:tcPr>
                <w:p w14:paraId="28681292">
                  <w:pPr>
                    <w:keepNext w:val="0"/>
                    <w:keepLines w:val="0"/>
                    <w:pageBreakBefore w:val="0"/>
                    <w:widowControl w:val="0"/>
                    <w:suppressLineNumbers w:val="0"/>
                    <w:kinsoku/>
                    <w:overflowPunct/>
                    <w:topLinePunct w:val="0"/>
                    <w:autoSpaceDE w:val="0"/>
                    <w:autoSpaceDN w:val="0"/>
                    <w:bidi w:val="0"/>
                    <w:adjustRightInd w:val="0"/>
                    <w:snapToGrid w:val="0"/>
                    <w:spacing w:before="0" w:beforeAutospacing="0" w:after="0" w:afterAutospacing="0" w:line="360" w:lineRule="exact"/>
                    <w:ind w:left="0" w:right="0"/>
                    <w:jc w:val="center"/>
                    <w:rPr>
                      <w:rFonts w:hint="default"/>
                      <w:kern w:val="24"/>
                      <w:lang w:val="en-US"/>
                    </w:rPr>
                  </w:pPr>
                  <w:r>
                    <w:rPr>
                      <w:rFonts w:hint="eastAsia" w:cs="宋体"/>
                      <w:kern w:val="24"/>
                      <w:sz w:val="21"/>
                      <w:szCs w:val="21"/>
                      <w:lang w:val="en-US" w:eastAsia="zh-CN" w:bidi="ar"/>
                    </w:rPr>
                    <w:t>相符</w:t>
                  </w:r>
                </w:p>
              </w:tc>
            </w:tr>
            <w:tr w14:paraId="061E0C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23" w:type="dxa"/>
                  <w:bottom w:w="0" w:type="dxa"/>
                  <w:right w:w="23" w:type="dxa"/>
                </w:tblCellMar>
              </w:tblPrEx>
              <w:trPr>
                <w:jc w:val="center"/>
              </w:trPr>
              <w:tc>
                <w:tcPr>
                  <w:tcW w:w="623" w:type="dxa"/>
                  <w:vMerge w:val="continue"/>
                  <w:tcBorders>
                    <w:tl2br w:val="nil"/>
                    <w:tr2bl w:val="nil"/>
                  </w:tcBorders>
                  <w:shd w:val="clear" w:color="auto" w:fill="auto"/>
                  <w:tcMar>
                    <w:left w:w="51" w:type="dxa"/>
                    <w:right w:w="51" w:type="dxa"/>
                  </w:tcMar>
                  <w:vAlign w:val="center"/>
                </w:tcPr>
                <w:p w14:paraId="46AEE6B3">
                  <w:pPr>
                    <w:keepNext w:val="0"/>
                    <w:keepLines w:val="0"/>
                    <w:pageBreakBefore w:val="0"/>
                    <w:suppressLineNumbers w:val="0"/>
                    <w:kinsoku/>
                    <w:overflowPunct/>
                    <w:topLinePunct w:val="0"/>
                    <w:bidi w:val="0"/>
                    <w:spacing w:before="0" w:beforeAutospacing="0" w:after="0" w:afterAutospacing="0" w:line="360" w:lineRule="exact"/>
                    <w:ind w:left="0" w:right="0"/>
                    <w:rPr>
                      <w:rFonts w:hint="default" w:ascii="Times New Roman" w:hAnsi="Times New Roman" w:eastAsia="Times New Roman" w:cs="Times New Roman"/>
                      <w:sz w:val="20"/>
                      <w:szCs w:val="20"/>
                    </w:rPr>
                  </w:pPr>
                </w:p>
              </w:tc>
              <w:tc>
                <w:tcPr>
                  <w:tcW w:w="1134" w:type="dxa"/>
                  <w:vMerge w:val="continue"/>
                  <w:tcBorders>
                    <w:tl2br w:val="nil"/>
                    <w:tr2bl w:val="nil"/>
                  </w:tcBorders>
                  <w:shd w:val="clear" w:color="auto" w:fill="auto"/>
                  <w:tcMar>
                    <w:left w:w="51" w:type="dxa"/>
                    <w:right w:w="51" w:type="dxa"/>
                  </w:tcMar>
                  <w:vAlign w:val="center"/>
                </w:tcPr>
                <w:p w14:paraId="0DE29CCB">
                  <w:pPr>
                    <w:keepNext w:val="0"/>
                    <w:keepLines w:val="0"/>
                    <w:pageBreakBefore w:val="0"/>
                    <w:suppressLineNumbers w:val="0"/>
                    <w:kinsoku/>
                    <w:overflowPunct/>
                    <w:topLinePunct w:val="0"/>
                    <w:bidi w:val="0"/>
                    <w:spacing w:before="0" w:beforeAutospacing="0" w:after="0" w:afterAutospacing="0" w:line="360" w:lineRule="exact"/>
                    <w:ind w:left="0" w:right="0"/>
                    <w:rPr>
                      <w:rFonts w:hint="default" w:ascii="Times New Roman" w:hAnsi="Times New Roman" w:eastAsia="Times New Roman" w:cs="Times New Roman"/>
                      <w:sz w:val="20"/>
                      <w:szCs w:val="20"/>
                    </w:rPr>
                  </w:pPr>
                </w:p>
              </w:tc>
              <w:tc>
                <w:tcPr>
                  <w:tcW w:w="2590" w:type="dxa"/>
                  <w:tcBorders>
                    <w:tl2br w:val="nil"/>
                    <w:tr2bl w:val="nil"/>
                  </w:tcBorders>
                  <w:shd w:val="clear" w:color="auto" w:fill="auto"/>
                  <w:tcMar>
                    <w:left w:w="51" w:type="dxa"/>
                    <w:right w:w="51" w:type="dxa"/>
                  </w:tcMar>
                  <w:vAlign w:val="center"/>
                </w:tcPr>
                <w:p w14:paraId="1FBBAA1B">
                  <w:pPr>
                    <w:keepNext w:val="0"/>
                    <w:keepLines w:val="0"/>
                    <w:pageBreakBefore w:val="0"/>
                    <w:widowControl w:val="0"/>
                    <w:suppressLineNumbers w:val="0"/>
                    <w:kinsoku/>
                    <w:overflowPunct/>
                    <w:topLinePunct w:val="0"/>
                    <w:autoSpaceDE w:val="0"/>
                    <w:autoSpaceDN w:val="0"/>
                    <w:bidi w:val="0"/>
                    <w:adjustRightInd w:val="0"/>
                    <w:snapToGrid w:val="0"/>
                    <w:spacing w:before="0" w:beforeAutospacing="0" w:after="0" w:afterAutospacing="0" w:line="360" w:lineRule="exact"/>
                    <w:ind w:left="0" w:right="0"/>
                    <w:jc w:val="both"/>
                    <w:rPr>
                      <w:rFonts w:hint="default"/>
                      <w:kern w:val="24"/>
                      <w:lang w:val="en-US"/>
                    </w:rPr>
                  </w:pPr>
                  <w:r>
                    <w:rPr>
                      <w:rFonts w:hint="eastAsia" w:ascii="Times New Roman" w:hAnsi="Times New Roman" w:eastAsia="宋体" w:cs="宋体"/>
                      <w:kern w:val="24"/>
                      <w:sz w:val="21"/>
                      <w:szCs w:val="21"/>
                      <w:lang w:val="en-US" w:eastAsia="zh-CN" w:bidi="ar"/>
                    </w:rPr>
                    <w:t>达到准入条件并具备以下条件之一的项目，在同等条件下优先准入：</w:t>
                  </w:r>
                </w:p>
                <w:p w14:paraId="47041F43">
                  <w:pPr>
                    <w:keepNext w:val="0"/>
                    <w:keepLines w:val="0"/>
                    <w:pageBreakBefore w:val="0"/>
                    <w:widowControl w:val="0"/>
                    <w:suppressLineNumbers w:val="0"/>
                    <w:kinsoku/>
                    <w:overflowPunct/>
                    <w:topLinePunct w:val="0"/>
                    <w:autoSpaceDE w:val="0"/>
                    <w:autoSpaceDN w:val="0"/>
                    <w:bidi w:val="0"/>
                    <w:adjustRightInd w:val="0"/>
                    <w:snapToGrid w:val="0"/>
                    <w:spacing w:before="0" w:beforeAutospacing="0" w:after="0" w:afterAutospacing="0" w:line="360" w:lineRule="exact"/>
                    <w:ind w:left="0" w:right="0"/>
                    <w:jc w:val="both"/>
                    <w:rPr>
                      <w:rFonts w:hint="default"/>
                      <w:kern w:val="24"/>
                      <w:lang w:val="en-US"/>
                    </w:rPr>
                  </w:pPr>
                  <w:r>
                    <w:rPr>
                      <w:rFonts w:hint="default" w:ascii="Times New Roman" w:hAnsi="Times New Roman" w:eastAsia="宋体" w:cs="Times New Roman"/>
                      <w:kern w:val="24"/>
                      <w:sz w:val="21"/>
                      <w:szCs w:val="21"/>
                      <w:lang w:val="en-US" w:eastAsia="zh-CN" w:bidi="ar"/>
                    </w:rPr>
                    <w:t>①</w:t>
                  </w:r>
                  <w:r>
                    <w:rPr>
                      <w:rFonts w:hint="eastAsia" w:ascii="Times New Roman" w:hAnsi="Times New Roman" w:eastAsia="宋体" w:cs="宋体"/>
                      <w:kern w:val="24"/>
                      <w:sz w:val="21"/>
                      <w:szCs w:val="21"/>
                      <w:lang w:val="en-US" w:eastAsia="zh-CN" w:bidi="ar"/>
                    </w:rPr>
                    <w:t>投资者为国内外行业</w:t>
                  </w:r>
                  <w:r>
                    <w:rPr>
                      <w:rFonts w:hint="default" w:ascii="Times New Roman" w:hAnsi="Times New Roman" w:eastAsia="宋体" w:cs="Times New Roman"/>
                      <w:kern w:val="24"/>
                      <w:sz w:val="21"/>
                      <w:szCs w:val="21"/>
                      <w:lang w:val="en-US" w:eastAsia="zh-CN" w:bidi="ar"/>
                    </w:rPr>
                    <w:t>500</w:t>
                  </w:r>
                  <w:r>
                    <w:rPr>
                      <w:rFonts w:hint="eastAsia" w:ascii="Times New Roman" w:hAnsi="Times New Roman" w:eastAsia="宋体" w:cs="宋体"/>
                      <w:kern w:val="24"/>
                      <w:sz w:val="21"/>
                      <w:szCs w:val="21"/>
                      <w:lang w:val="en-US" w:eastAsia="zh-CN" w:bidi="ar"/>
                    </w:rPr>
                    <w:t>强企业，且项目符合国家《产业结构调整指导目录》</w:t>
                  </w:r>
                  <w:r>
                    <w:rPr>
                      <w:rFonts w:hint="default" w:ascii="Times New Roman" w:hAnsi="Times New Roman" w:eastAsia="宋体" w:cs="Times New Roman"/>
                      <w:kern w:val="24"/>
                      <w:sz w:val="21"/>
                      <w:szCs w:val="21"/>
                      <w:lang w:val="en-US" w:eastAsia="zh-CN" w:bidi="ar"/>
                    </w:rPr>
                    <w:t>2019</w:t>
                  </w:r>
                  <w:r>
                    <w:rPr>
                      <w:rFonts w:hint="eastAsia" w:ascii="Times New Roman" w:hAnsi="Times New Roman" w:eastAsia="宋体" w:cs="宋体"/>
                      <w:kern w:val="24"/>
                      <w:sz w:val="21"/>
                      <w:szCs w:val="21"/>
                      <w:lang w:val="en-US" w:eastAsia="zh-CN" w:bidi="ar"/>
                    </w:rPr>
                    <w:t>版鼓励类的或《鼓励外商投资产业目录》</w:t>
                  </w:r>
                  <w:r>
                    <w:rPr>
                      <w:rFonts w:hint="default" w:ascii="Times New Roman" w:hAnsi="Times New Roman" w:eastAsia="宋体" w:cs="Times New Roman"/>
                      <w:kern w:val="24"/>
                      <w:sz w:val="21"/>
                      <w:szCs w:val="21"/>
                      <w:lang w:val="en-US" w:eastAsia="zh-CN" w:bidi="ar"/>
                    </w:rPr>
                    <w:t>2022</w:t>
                  </w:r>
                  <w:r>
                    <w:rPr>
                      <w:rFonts w:hint="eastAsia" w:ascii="Times New Roman" w:hAnsi="Times New Roman" w:eastAsia="宋体" w:cs="宋体"/>
                      <w:kern w:val="24"/>
                      <w:sz w:val="21"/>
                      <w:szCs w:val="21"/>
                      <w:lang w:val="en-US" w:eastAsia="zh-CN" w:bidi="ar"/>
                    </w:rPr>
                    <w:t>版的；</w:t>
                  </w:r>
                </w:p>
                <w:p w14:paraId="4EF4CD82">
                  <w:pPr>
                    <w:keepNext w:val="0"/>
                    <w:keepLines w:val="0"/>
                    <w:pageBreakBefore w:val="0"/>
                    <w:widowControl w:val="0"/>
                    <w:suppressLineNumbers w:val="0"/>
                    <w:kinsoku/>
                    <w:overflowPunct/>
                    <w:topLinePunct w:val="0"/>
                    <w:autoSpaceDE w:val="0"/>
                    <w:autoSpaceDN w:val="0"/>
                    <w:bidi w:val="0"/>
                    <w:adjustRightInd w:val="0"/>
                    <w:snapToGrid w:val="0"/>
                    <w:spacing w:before="0" w:beforeAutospacing="0" w:after="0" w:afterAutospacing="0" w:line="360" w:lineRule="exact"/>
                    <w:ind w:left="0" w:right="0"/>
                    <w:jc w:val="both"/>
                    <w:rPr>
                      <w:rFonts w:hint="default"/>
                      <w:kern w:val="24"/>
                      <w:lang w:val="en-US"/>
                    </w:rPr>
                  </w:pPr>
                  <w:r>
                    <w:rPr>
                      <w:rFonts w:hint="default" w:ascii="Times New Roman" w:hAnsi="Times New Roman" w:eastAsia="宋体" w:cs="Times New Roman"/>
                      <w:kern w:val="24"/>
                      <w:sz w:val="21"/>
                      <w:szCs w:val="21"/>
                      <w:lang w:val="en-US" w:eastAsia="zh-CN" w:bidi="ar"/>
                    </w:rPr>
                    <w:t>②</w:t>
                  </w:r>
                  <w:r>
                    <w:rPr>
                      <w:rFonts w:hint="eastAsia" w:ascii="Times New Roman" w:hAnsi="Times New Roman" w:eastAsia="宋体" w:cs="宋体"/>
                      <w:kern w:val="24"/>
                      <w:sz w:val="21"/>
                      <w:szCs w:val="21"/>
                      <w:lang w:val="en-US" w:eastAsia="zh-CN" w:bidi="ar"/>
                    </w:rPr>
                    <w:t>投资者为国家重点扶持的高新技术企业，或拥有关键技术自主研发取得知识产权的发明专利项目、传统产业整合提升项目；</w:t>
                  </w:r>
                </w:p>
                <w:p w14:paraId="19698AFA">
                  <w:pPr>
                    <w:keepNext w:val="0"/>
                    <w:keepLines w:val="0"/>
                    <w:pageBreakBefore w:val="0"/>
                    <w:widowControl w:val="0"/>
                    <w:suppressLineNumbers w:val="0"/>
                    <w:kinsoku/>
                    <w:overflowPunct/>
                    <w:topLinePunct w:val="0"/>
                    <w:autoSpaceDE w:val="0"/>
                    <w:autoSpaceDN w:val="0"/>
                    <w:bidi w:val="0"/>
                    <w:adjustRightInd w:val="0"/>
                    <w:snapToGrid w:val="0"/>
                    <w:spacing w:before="0" w:beforeAutospacing="0" w:after="0" w:afterAutospacing="0" w:line="360" w:lineRule="exact"/>
                    <w:ind w:left="0" w:right="0"/>
                    <w:jc w:val="both"/>
                    <w:rPr>
                      <w:rFonts w:hint="default"/>
                      <w:kern w:val="24"/>
                      <w:lang w:val="en-US"/>
                    </w:rPr>
                  </w:pPr>
                  <w:r>
                    <w:rPr>
                      <w:rFonts w:hint="default" w:ascii="Times New Roman" w:hAnsi="Times New Roman" w:eastAsia="宋体" w:cs="Times New Roman"/>
                      <w:kern w:val="24"/>
                      <w:sz w:val="21"/>
                      <w:szCs w:val="21"/>
                      <w:lang w:val="en-US" w:eastAsia="zh-CN" w:bidi="ar"/>
                    </w:rPr>
                    <w:t>③</w:t>
                  </w:r>
                  <w:r>
                    <w:rPr>
                      <w:rFonts w:hint="eastAsia" w:ascii="Times New Roman" w:hAnsi="Times New Roman" w:eastAsia="宋体" w:cs="宋体"/>
                      <w:kern w:val="24"/>
                      <w:sz w:val="21"/>
                      <w:szCs w:val="21"/>
                      <w:lang w:val="en-US" w:eastAsia="zh-CN" w:bidi="ar"/>
                    </w:rPr>
                    <w:t>符合国家有关规定的循环经济、清洁生产型项目；</w:t>
                  </w:r>
                </w:p>
                <w:p w14:paraId="79627D79">
                  <w:pPr>
                    <w:keepNext w:val="0"/>
                    <w:keepLines w:val="0"/>
                    <w:pageBreakBefore w:val="0"/>
                    <w:widowControl w:val="0"/>
                    <w:suppressLineNumbers w:val="0"/>
                    <w:kinsoku/>
                    <w:overflowPunct/>
                    <w:topLinePunct w:val="0"/>
                    <w:autoSpaceDE w:val="0"/>
                    <w:autoSpaceDN w:val="0"/>
                    <w:bidi w:val="0"/>
                    <w:adjustRightInd w:val="0"/>
                    <w:snapToGrid w:val="0"/>
                    <w:spacing w:before="0" w:beforeAutospacing="0" w:after="0" w:afterAutospacing="0" w:line="360" w:lineRule="exact"/>
                    <w:ind w:left="0" w:right="0"/>
                    <w:jc w:val="both"/>
                    <w:rPr>
                      <w:rFonts w:hint="default"/>
                      <w:kern w:val="24"/>
                      <w:lang w:val="en-US"/>
                    </w:rPr>
                  </w:pPr>
                  <w:r>
                    <w:rPr>
                      <w:rFonts w:hint="default" w:ascii="Times New Roman" w:hAnsi="Times New Roman" w:eastAsia="宋体" w:cs="Times New Roman"/>
                      <w:kern w:val="24"/>
                      <w:sz w:val="21"/>
                      <w:szCs w:val="21"/>
                      <w:lang w:val="en-US" w:eastAsia="zh-CN" w:bidi="ar"/>
                    </w:rPr>
                    <w:t>④</w:t>
                  </w:r>
                  <w:r>
                    <w:rPr>
                      <w:rFonts w:hint="eastAsia" w:ascii="Times New Roman" w:hAnsi="Times New Roman" w:eastAsia="宋体" w:cs="宋体"/>
                      <w:kern w:val="24"/>
                      <w:sz w:val="21"/>
                      <w:szCs w:val="21"/>
                      <w:lang w:val="en-US" w:eastAsia="zh-CN" w:bidi="ar"/>
                    </w:rPr>
                    <w:t>政府研究确定的重大项目。</w:t>
                  </w:r>
                </w:p>
              </w:tc>
              <w:tc>
                <w:tcPr>
                  <w:tcW w:w="1801" w:type="dxa"/>
                  <w:tcBorders>
                    <w:tl2br w:val="nil"/>
                    <w:tr2bl w:val="nil"/>
                  </w:tcBorders>
                  <w:shd w:val="clear" w:color="auto" w:fill="auto"/>
                  <w:tcMar>
                    <w:left w:w="51" w:type="dxa"/>
                    <w:right w:w="51" w:type="dxa"/>
                  </w:tcMar>
                  <w:vAlign w:val="center"/>
                </w:tcPr>
                <w:p w14:paraId="37532034">
                  <w:pPr>
                    <w:keepNext w:val="0"/>
                    <w:keepLines w:val="0"/>
                    <w:pageBreakBefore w:val="0"/>
                    <w:widowControl w:val="0"/>
                    <w:suppressLineNumbers w:val="0"/>
                    <w:kinsoku/>
                    <w:overflowPunct/>
                    <w:topLinePunct w:val="0"/>
                    <w:autoSpaceDE w:val="0"/>
                    <w:autoSpaceDN w:val="0"/>
                    <w:bidi w:val="0"/>
                    <w:adjustRightInd w:val="0"/>
                    <w:snapToGrid w:val="0"/>
                    <w:spacing w:before="0" w:beforeAutospacing="0" w:after="0" w:afterAutospacing="0" w:line="360" w:lineRule="exact"/>
                    <w:ind w:left="0" w:right="0"/>
                    <w:jc w:val="center"/>
                    <w:rPr>
                      <w:rFonts w:hint="default"/>
                      <w:kern w:val="24"/>
                      <w:highlight w:val="yellow"/>
                      <w:lang w:val="en-US"/>
                    </w:rPr>
                  </w:pPr>
                  <w:r>
                    <w:rPr>
                      <w:rFonts w:hint="eastAsia" w:ascii="Times New Roman" w:hAnsi="Times New Roman" w:eastAsia="宋体" w:cs="宋体"/>
                      <w:kern w:val="24"/>
                      <w:sz w:val="21"/>
                      <w:szCs w:val="21"/>
                      <w:lang w:val="en-US" w:eastAsia="zh-CN" w:bidi="ar"/>
                    </w:rPr>
                    <w:t>不涉及。</w:t>
                  </w:r>
                </w:p>
              </w:tc>
              <w:tc>
                <w:tcPr>
                  <w:tcW w:w="620" w:type="dxa"/>
                  <w:tcBorders>
                    <w:tl2br w:val="nil"/>
                    <w:tr2bl w:val="nil"/>
                  </w:tcBorders>
                  <w:shd w:val="clear" w:color="auto" w:fill="auto"/>
                  <w:tcMar>
                    <w:left w:w="51" w:type="dxa"/>
                    <w:right w:w="51" w:type="dxa"/>
                  </w:tcMar>
                  <w:vAlign w:val="center"/>
                </w:tcPr>
                <w:p w14:paraId="3E7ADC96">
                  <w:pPr>
                    <w:keepNext w:val="0"/>
                    <w:keepLines w:val="0"/>
                    <w:pageBreakBefore w:val="0"/>
                    <w:widowControl w:val="0"/>
                    <w:suppressLineNumbers w:val="0"/>
                    <w:kinsoku/>
                    <w:overflowPunct/>
                    <w:topLinePunct w:val="0"/>
                    <w:autoSpaceDE w:val="0"/>
                    <w:autoSpaceDN w:val="0"/>
                    <w:bidi w:val="0"/>
                    <w:adjustRightInd w:val="0"/>
                    <w:snapToGrid w:val="0"/>
                    <w:spacing w:before="0" w:beforeAutospacing="0" w:after="0" w:afterAutospacing="0" w:line="360" w:lineRule="exact"/>
                    <w:ind w:left="0" w:right="0"/>
                    <w:jc w:val="center"/>
                    <w:rPr>
                      <w:rFonts w:hint="eastAsia" w:eastAsia="宋体"/>
                      <w:kern w:val="24"/>
                      <w:lang w:val="en-US" w:eastAsia="zh-CN"/>
                    </w:rPr>
                  </w:pPr>
                  <w:r>
                    <w:rPr>
                      <w:rFonts w:hint="eastAsia"/>
                      <w:kern w:val="24"/>
                      <w:lang w:val="en-US" w:eastAsia="zh-CN"/>
                    </w:rPr>
                    <w:t>/</w:t>
                  </w:r>
                </w:p>
              </w:tc>
            </w:tr>
            <w:tr w14:paraId="04401B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jc w:val="center"/>
              </w:trPr>
              <w:tc>
                <w:tcPr>
                  <w:tcW w:w="623" w:type="dxa"/>
                  <w:vMerge w:val="continue"/>
                  <w:tcBorders>
                    <w:tl2br w:val="nil"/>
                    <w:tr2bl w:val="nil"/>
                  </w:tcBorders>
                  <w:shd w:val="clear" w:color="auto" w:fill="auto"/>
                  <w:tcMar>
                    <w:left w:w="51" w:type="dxa"/>
                    <w:right w:w="51" w:type="dxa"/>
                  </w:tcMar>
                  <w:vAlign w:val="center"/>
                </w:tcPr>
                <w:p w14:paraId="7D883351">
                  <w:pPr>
                    <w:keepNext w:val="0"/>
                    <w:keepLines w:val="0"/>
                    <w:pageBreakBefore w:val="0"/>
                    <w:suppressLineNumbers w:val="0"/>
                    <w:kinsoku/>
                    <w:overflowPunct/>
                    <w:topLinePunct w:val="0"/>
                    <w:bidi w:val="0"/>
                    <w:spacing w:before="0" w:beforeAutospacing="0" w:after="0" w:afterAutospacing="0" w:line="360" w:lineRule="exact"/>
                    <w:ind w:left="0" w:right="0"/>
                    <w:rPr>
                      <w:rFonts w:hint="default" w:ascii="Times New Roman" w:hAnsi="Times New Roman" w:eastAsia="Times New Roman" w:cs="Times New Roman"/>
                      <w:sz w:val="20"/>
                      <w:szCs w:val="20"/>
                    </w:rPr>
                  </w:pPr>
                </w:p>
              </w:tc>
              <w:tc>
                <w:tcPr>
                  <w:tcW w:w="1134" w:type="dxa"/>
                  <w:vMerge w:val="continue"/>
                  <w:tcBorders>
                    <w:tl2br w:val="nil"/>
                    <w:tr2bl w:val="nil"/>
                  </w:tcBorders>
                  <w:shd w:val="clear" w:color="auto" w:fill="auto"/>
                  <w:tcMar>
                    <w:left w:w="51" w:type="dxa"/>
                    <w:right w:w="51" w:type="dxa"/>
                  </w:tcMar>
                  <w:vAlign w:val="center"/>
                </w:tcPr>
                <w:p w14:paraId="461B173F">
                  <w:pPr>
                    <w:keepNext w:val="0"/>
                    <w:keepLines w:val="0"/>
                    <w:pageBreakBefore w:val="0"/>
                    <w:suppressLineNumbers w:val="0"/>
                    <w:kinsoku/>
                    <w:overflowPunct/>
                    <w:topLinePunct w:val="0"/>
                    <w:bidi w:val="0"/>
                    <w:spacing w:before="0" w:beforeAutospacing="0" w:after="0" w:afterAutospacing="0" w:line="360" w:lineRule="exact"/>
                    <w:ind w:left="0" w:right="0"/>
                    <w:rPr>
                      <w:rFonts w:hint="default" w:ascii="Times New Roman" w:hAnsi="Times New Roman" w:eastAsia="Times New Roman" w:cs="Times New Roman"/>
                      <w:sz w:val="20"/>
                      <w:szCs w:val="20"/>
                    </w:rPr>
                  </w:pPr>
                </w:p>
              </w:tc>
              <w:tc>
                <w:tcPr>
                  <w:tcW w:w="2590" w:type="dxa"/>
                  <w:tcBorders>
                    <w:tl2br w:val="nil"/>
                    <w:tr2bl w:val="nil"/>
                  </w:tcBorders>
                  <w:shd w:val="clear" w:color="auto" w:fill="auto"/>
                  <w:tcMar>
                    <w:left w:w="51" w:type="dxa"/>
                    <w:right w:w="51" w:type="dxa"/>
                  </w:tcMar>
                  <w:vAlign w:val="center"/>
                </w:tcPr>
                <w:p w14:paraId="08E6F420">
                  <w:pPr>
                    <w:keepNext w:val="0"/>
                    <w:keepLines w:val="0"/>
                    <w:pageBreakBefore w:val="0"/>
                    <w:widowControl w:val="0"/>
                    <w:suppressLineNumbers w:val="0"/>
                    <w:kinsoku/>
                    <w:overflowPunct/>
                    <w:topLinePunct w:val="0"/>
                    <w:autoSpaceDE w:val="0"/>
                    <w:autoSpaceDN w:val="0"/>
                    <w:bidi w:val="0"/>
                    <w:adjustRightInd w:val="0"/>
                    <w:snapToGrid w:val="0"/>
                    <w:spacing w:before="0" w:beforeAutospacing="0" w:after="0" w:afterAutospacing="0" w:line="360" w:lineRule="exact"/>
                    <w:ind w:left="0" w:right="0"/>
                    <w:jc w:val="both"/>
                    <w:rPr>
                      <w:rFonts w:hint="default"/>
                      <w:kern w:val="24"/>
                      <w:lang w:val="en-US"/>
                    </w:rPr>
                  </w:pPr>
                  <w:r>
                    <w:rPr>
                      <w:rFonts w:hint="eastAsia" w:ascii="Times New Roman" w:hAnsi="Times New Roman" w:eastAsia="宋体" w:cs="宋体"/>
                      <w:kern w:val="24"/>
                      <w:sz w:val="21"/>
                      <w:szCs w:val="21"/>
                      <w:lang w:val="en-US" w:eastAsia="zh-CN" w:bidi="ar"/>
                    </w:rPr>
                    <w:t>国家明令禁止的项目。</w:t>
                  </w:r>
                </w:p>
              </w:tc>
              <w:tc>
                <w:tcPr>
                  <w:tcW w:w="1801" w:type="dxa"/>
                  <w:tcBorders>
                    <w:tl2br w:val="nil"/>
                    <w:tr2bl w:val="nil"/>
                  </w:tcBorders>
                  <w:shd w:val="clear" w:color="auto" w:fill="auto"/>
                  <w:tcMar>
                    <w:left w:w="51" w:type="dxa"/>
                    <w:right w:w="51" w:type="dxa"/>
                  </w:tcMar>
                  <w:vAlign w:val="center"/>
                </w:tcPr>
                <w:p w14:paraId="1DDC2D36">
                  <w:pPr>
                    <w:keepNext w:val="0"/>
                    <w:keepLines w:val="0"/>
                    <w:pageBreakBefore w:val="0"/>
                    <w:widowControl w:val="0"/>
                    <w:suppressLineNumbers w:val="0"/>
                    <w:kinsoku/>
                    <w:overflowPunct/>
                    <w:topLinePunct w:val="0"/>
                    <w:autoSpaceDE w:val="0"/>
                    <w:autoSpaceDN w:val="0"/>
                    <w:bidi w:val="0"/>
                    <w:adjustRightInd w:val="0"/>
                    <w:snapToGrid w:val="0"/>
                    <w:spacing w:before="0" w:beforeAutospacing="0" w:after="0" w:afterAutospacing="0" w:line="360" w:lineRule="exact"/>
                    <w:ind w:left="0" w:right="0"/>
                    <w:jc w:val="both"/>
                    <w:rPr>
                      <w:rFonts w:hint="default"/>
                      <w:kern w:val="24"/>
                      <w:highlight w:val="yellow"/>
                      <w:lang w:val="en-US"/>
                    </w:rPr>
                  </w:pPr>
                  <w:r>
                    <w:rPr>
                      <w:rFonts w:hint="eastAsia" w:ascii="Times New Roman" w:hAnsi="Times New Roman" w:eastAsia="宋体" w:cs="宋体"/>
                      <w:kern w:val="24"/>
                      <w:sz w:val="21"/>
                      <w:szCs w:val="21"/>
                      <w:lang w:val="en-US" w:eastAsia="zh-CN" w:bidi="ar"/>
                    </w:rPr>
                    <w:t>不属于国家明令禁止的项目。</w:t>
                  </w:r>
                </w:p>
              </w:tc>
              <w:tc>
                <w:tcPr>
                  <w:tcW w:w="620" w:type="dxa"/>
                  <w:tcBorders>
                    <w:tl2br w:val="nil"/>
                    <w:tr2bl w:val="nil"/>
                  </w:tcBorders>
                  <w:shd w:val="clear" w:color="auto" w:fill="auto"/>
                  <w:tcMar>
                    <w:left w:w="51" w:type="dxa"/>
                    <w:right w:w="51" w:type="dxa"/>
                  </w:tcMar>
                  <w:vAlign w:val="center"/>
                </w:tcPr>
                <w:p w14:paraId="4C2FCBB1">
                  <w:pPr>
                    <w:keepNext w:val="0"/>
                    <w:keepLines w:val="0"/>
                    <w:pageBreakBefore w:val="0"/>
                    <w:widowControl w:val="0"/>
                    <w:suppressLineNumbers w:val="0"/>
                    <w:kinsoku/>
                    <w:overflowPunct/>
                    <w:topLinePunct w:val="0"/>
                    <w:autoSpaceDE w:val="0"/>
                    <w:autoSpaceDN w:val="0"/>
                    <w:bidi w:val="0"/>
                    <w:adjustRightInd w:val="0"/>
                    <w:snapToGrid w:val="0"/>
                    <w:spacing w:before="0" w:beforeAutospacing="0" w:after="0" w:afterAutospacing="0" w:line="360" w:lineRule="exact"/>
                    <w:ind w:left="0" w:right="0"/>
                    <w:jc w:val="center"/>
                    <w:rPr>
                      <w:rFonts w:hint="default"/>
                      <w:kern w:val="24"/>
                      <w:lang w:val="en-US"/>
                    </w:rPr>
                  </w:pPr>
                  <w:r>
                    <w:rPr>
                      <w:rFonts w:hint="eastAsia" w:cs="宋体"/>
                      <w:kern w:val="24"/>
                      <w:sz w:val="21"/>
                      <w:szCs w:val="21"/>
                      <w:lang w:val="en-US" w:eastAsia="zh-CN" w:bidi="ar"/>
                    </w:rPr>
                    <w:t>相符</w:t>
                  </w:r>
                </w:p>
              </w:tc>
            </w:tr>
            <w:tr w14:paraId="0A0B75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jc w:val="center"/>
              </w:trPr>
              <w:tc>
                <w:tcPr>
                  <w:tcW w:w="623" w:type="dxa"/>
                  <w:vMerge w:val="continue"/>
                  <w:tcBorders>
                    <w:tl2br w:val="nil"/>
                    <w:tr2bl w:val="nil"/>
                  </w:tcBorders>
                  <w:shd w:val="clear" w:color="auto" w:fill="auto"/>
                  <w:tcMar>
                    <w:left w:w="51" w:type="dxa"/>
                    <w:right w:w="51" w:type="dxa"/>
                  </w:tcMar>
                  <w:vAlign w:val="center"/>
                </w:tcPr>
                <w:p w14:paraId="33385427">
                  <w:pPr>
                    <w:keepNext w:val="0"/>
                    <w:keepLines w:val="0"/>
                    <w:pageBreakBefore w:val="0"/>
                    <w:suppressLineNumbers w:val="0"/>
                    <w:kinsoku/>
                    <w:overflowPunct/>
                    <w:topLinePunct w:val="0"/>
                    <w:bidi w:val="0"/>
                    <w:spacing w:before="0" w:beforeAutospacing="0" w:after="0" w:afterAutospacing="0" w:line="360" w:lineRule="exact"/>
                    <w:ind w:left="0" w:right="0"/>
                    <w:rPr>
                      <w:rFonts w:hint="default" w:ascii="Times New Roman" w:hAnsi="Times New Roman" w:eastAsia="Times New Roman" w:cs="Times New Roman"/>
                      <w:sz w:val="20"/>
                      <w:szCs w:val="20"/>
                    </w:rPr>
                  </w:pPr>
                </w:p>
              </w:tc>
              <w:tc>
                <w:tcPr>
                  <w:tcW w:w="1134" w:type="dxa"/>
                  <w:vMerge w:val="continue"/>
                  <w:tcBorders>
                    <w:tl2br w:val="nil"/>
                    <w:tr2bl w:val="nil"/>
                  </w:tcBorders>
                  <w:shd w:val="clear" w:color="auto" w:fill="auto"/>
                  <w:tcMar>
                    <w:left w:w="51" w:type="dxa"/>
                    <w:right w:w="51" w:type="dxa"/>
                  </w:tcMar>
                  <w:vAlign w:val="center"/>
                </w:tcPr>
                <w:p w14:paraId="40AD2EA5">
                  <w:pPr>
                    <w:keepNext w:val="0"/>
                    <w:keepLines w:val="0"/>
                    <w:pageBreakBefore w:val="0"/>
                    <w:suppressLineNumbers w:val="0"/>
                    <w:kinsoku/>
                    <w:overflowPunct/>
                    <w:topLinePunct w:val="0"/>
                    <w:bidi w:val="0"/>
                    <w:spacing w:before="0" w:beforeAutospacing="0" w:after="0" w:afterAutospacing="0" w:line="360" w:lineRule="exact"/>
                    <w:ind w:left="0" w:right="0"/>
                    <w:rPr>
                      <w:rFonts w:hint="default" w:ascii="Times New Roman" w:hAnsi="Times New Roman" w:eastAsia="Times New Roman" w:cs="Times New Roman"/>
                      <w:sz w:val="20"/>
                      <w:szCs w:val="20"/>
                    </w:rPr>
                  </w:pPr>
                </w:p>
              </w:tc>
              <w:tc>
                <w:tcPr>
                  <w:tcW w:w="2590" w:type="dxa"/>
                  <w:tcBorders>
                    <w:tl2br w:val="nil"/>
                    <w:tr2bl w:val="nil"/>
                  </w:tcBorders>
                  <w:shd w:val="clear" w:color="auto" w:fill="auto"/>
                  <w:tcMar>
                    <w:left w:w="51" w:type="dxa"/>
                    <w:right w:w="51" w:type="dxa"/>
                  </w:tcMar>
                  <w:vAlign w:val="center"/>
                </w:tcPr>
                <w:p w14:paraId="0893A2AB">
                  <w:pPr>
                    <w:keepNext w:val="0"/>
                    <w:keepLines w:val="0"/>
                    <w:pageBreakBefore w:val="0"/>
                    <w:widowControl/>
                    <w:suppressLineNumbers w:val="0"/>
                    <w:kinsoku/>
                    <w:overflowPunct/>
                    <w:topLinePunct w:val="0"/>
                    <w:bidi w:val="0"/>
                    <w:adjustRightInd w:val="0"/>
                    <w:snapToGrid w:val="0"/>
                    <w:spacing w:before="0" w:beforeAutospacing="0" w:after="0" w:afterAutospacing="0" w:line="360" w:lineRule="exact"/>
                    <w:ind w:left="0" w:right="0"/>
                    <w:jc w:val="both"/>
                    <w:rPr>
                      <w:rFonts w:hint="default"/>
                      <w:kern w:val="24"/>
                      <w:lang w:val="en-US"/>
                    </w:rPr>
                  </w:pPr>
                  <w:r>
                    <w:rPr>
                      <w:rFonts w:hint="eastAsia" w:ascii="Times New Roman" w:hAnsi="Times New Roman" w:eastAsia="宋体" w:cs="宋体"/>
                      <w:kern w:val="24"/>
                      <w:sz w:val="21"/>
                      <w:szCs w:val="21"/>
                      <w:lang w:val="en-US" w:eastAsia="zh-CN" w:bidi="ar"/>
                    </w:rPr>
                    <w:t>禁止《产业结构调整指导目录》（</w:t>
                  </w:r>
                  <w:r>
                    <w:rPr>
                      <w:rFonts w:hint="default" w:ascii="Times New Roman" w:hAnsi="Times New Roman" w:eastAsia="宋体" w:cs="Times New Roman"/>
                      <w:kern w:val="24"/>
                      <w:sz w:val="21"/>
                      <w:szCs w:val="21"/>
                      <w:lang w:val="en-US" w:eastAsia="zh-CN" w:bidi="ar"/>
                    </w:rPr>
                    <w:t>2019</w:t>
                  </w:r>
                  <w:r>
                    <w:rPr>
                      <w:rFonts w:hint="eastAsia" w:ascii="Times New Roman" w:hAnsi="Times New Roman" w:eastAsia="宋体" w:cs="宋体"/>
                      <w:kern w:val="24"/>
                      <w:sz w:val="21"/>
                      <w:szCs w:val="21"/>
                      <w:lang w:val="en-US" w:eastAsia="zh-CN" w:bidi="ar"/>
                    </w:rPr>
                    <w:t>）限制类和淘汰类项目入驻。</w:t>
                  </w:r>
                </w:p>
              </w:tc>
              <w:tc>
                <w:tcPr>
                  <w:tcW w:w="1801" w:type="dxa"/>
                  <w:tcBorders>
                    <w:tl2br w:val="nil"/>
                    <w:tr2bl w:val="nil"/>
                  </w:tcBorders>
                  <w:shd w:val="clear" w:color="auto" w:fill="auto"/>
                  <w:tcMar>
                    <w:left w:w="51" w:type="dxa"/>
                    <w:right w:w="51" w:type="dxa"/>
                  </w:tcMar>
                  <w:vAlign w:val="center"/>
                </w:tcPr>
                <w:p w14:paraId="4897E494">
                  <w:pPr>
                    <w:keepNext w:val="0"/>
                    <w:keepLines w:val="0"/>
                    <w:pageBreakBefore w:val="0"/>
                    <w:widowControl/>
                    <w:suppressLineNumbers w:val="0"/>
                    <w:kinsoku/>
                    <w:overflowPunct/>
                    <w:topLinePunct w:val="0"/>
                    <w:bidi w:val="0"/>
                    <w:adjustRightInd w:val="0"/>
                    <w:snapToGrid w:val="0"/>
                    <w:spacing w:before="0" w:beforeAutospacing="0" w:after="0" w:afterAutospacing="0" w:line="360" w:lineRule="exact"/>
                    <w:ind w:left="0" w:right="0"/>
                    <w:jc w:val="both"/>
                    <w:rPr>
                      <w:rFonts w:hint="default"/>
                      <w:kern w:val="24"/>
                      <w:highlight w:val="yellow"/>
                      <w:lang w:val="en-US"/>
                    </w:rPr>
                  </w:pPr>
                  <w:r>
                    <w:rPr>
                      <w:rFonts w:hint="eastAsia" w:ascii="Times New Roman" w:hAnsi="Times New Roman" w:eastAsia="宋体" w:cs="宋体"/>
                      <w:kern w:val="24"/>
                      <w:sz w:val="21"/>
                      <w:szCs w:val="21"/>
                      <w:lang w:val="en-US" w:eastAsia="zh-CN" w:bidi="ar"/>
                    </w:rPr>
                    <w:t>不属于《产业结构调整指导目录》（</w:t>
                  </w:r>
                  <w:r>
                    <w:rPr>
                      <w:rFonts w:hint="default" w:ascii="Times New Roman" w:hAnsi="Times New Roman" w:eastAsia="宋体" w:cs="Times New Roman"/>
                      <w:kern w:val="24"/>
                      <w:sz w:val="21"/>
                      <w:szCs w:val="21"/>
                      <w:lang w:val="en-US" w:eastAsia="zh-CN" w:bidi="ar"/>
                    </w:rPr>
                    <w:t>2024</w:t>
                  </w:r>
                  <w:r>
                    <w:rPr>
                      <w:rFonts w:hint="eastAsia" w:ascii="Times New Roman" w:hAnsi="Times New Roman" w:eastAsia="宋体" w:cs="宋体"/>
                      <w:kern w:val="24"/>
                      <w:sz w:val="21"/>
                      <w:szCs w:val="21"/>
                      <w:lang w:val="en-US" w:eastAsia="zh-CN" w:bidi="ar"/>
                    </w:rPr>
                    <w:t>）中限制类和淘汰类。</w:t>
                  </w:r>
                </w:p>
              </w:tc>
              <w:tc>
                <w:tcPr>
                  <w:tcW w:w="620" w:type="dxa"/>
                  <w:tcBorders>
                    <w:tl2br w:val="nil"/>
                    <w:tr2bl w:val="nil"/>
                  </w:tcBorders>
                  <w:shd w:val="clear" w:color="auto" w:fill="auto"/>
                  <w:tcMar>
                    <w:left w:w="51" w:type="dxa"/>
                    <w:right w:w="51" w:type="dxa"/>
                  </w:tcMar>
                  <w:vAlign w:val="center"/>
                </w:tcPr>
                <w:p w14:paraId="3A5C367E">
                  <w:pPr>
                    <w:keepNext w:val="0"/>
                    <w:keepLines w:val="0"/>
                    <w:pageBreakBefore w:val="0"/>
                    <w:widowControl/>
                    <w:suppressLineNumbers w:val="0"/>
                    <w:kinsoku/>
                    <w:overflowPunct/>
                    <w:topLinePunct w:val="0"/>
                    <w:bidi w:val="0"/>
                    <w:adjustRightInd w:val="0"/>
                    <w:snapToGrid w:val="0"/>
                    <w:spacing w:before="0" w:beforeAutospacing="0" w:after="0" w:afterAutospacing="0" w:line="360" w:lineRule="exact"/>
                    <w:ind w:left="0" w:right="0"/>
                    <w:jc w:val="center"/>
                    <w:rPr>
                      <w:rFonts w:hint="default"/>
                      <w:kern w:val="24"/>
                      <w:lang w:val="en-US"/>
                    </w:rPr>
                  </w:pPr>
                  <w:r>
                    <w:rPr>
                      <w:rFonts w:hint="eastAsia" w:cs="宋体"/>
                      <w:kern w:val="24"/>
                      <w:sz w:val="21"/>
                      <w:szCs w:val="21"/>
                      <w:lang w:val="en-US" w:eastAsia="zh-CN" w:bidi="ar"/>
                    </w:rPr>
                    <w:t>相符</w:t>
                  </w:r>
                </w:p>
              </w:tc>
            </w:tr>
            <w:tr w14:paraId="70211F1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jc w:val="center"/>
              </w:trPr>
              <w:tc>
                <w:tcPr>
                  <w:tcW w:w="623" w:type="dxa"/>
                  <w:vMerge w:val="continue"/>
                  <w:tcBorders>
                    <w:tl2br w:val="nil"/>
                    <w:tr2bl w:val="nil"/>
                  </w:tcBorders>
                  <w:shd w:val="clear" w:color="auto" w:fill="auto"/>
                  <w:tcMar>
                    <w:left w:w="51" w:type="dxa"/>
                    <w:right w:w="51" w:type="dxa"/>
                  </w:tcMar>
                  <w:vAlign w:val="center"/>
                </w:tcPr>
                <w:p w14:paraId="78D6E8F3">
                  <w:pPr>
                    <w:keepNext w:val="0"/>
                    <w:keepLines w:val="0"/>
                    <w:pageBreakBefore w:val="0"/>
                    <w:suppressLineNumbers w:val="0"/>
                    <w:kinsoku/>
                    <w:overflowPunct/>
                    <w:topLinePunct w:val="0"/>
                    <w:bidi w:val="0"/>
                    <w:spacing w:before="0" w:beforeAutospacing="0" w:after="0" w:afterAutospacing="0" w:line="360" w:lineRule="exact"/>
                    <w:ind w:left="0" w:right="0"/>
                    <w:rPr>
                      <w:rFonts w:hint="default" w:ascii="Times New Roman" w:hAnsi="Times New Roman" w:eastAsia="Times New Roman" w:cs="Times New Roman"/>
                      <w:sz w:val="20"/>
                      <w:szCs w:val="20"/>
                    </w:rPr>
                  </w:pPr>
                </w:p>
              </w:tc>
              <w:tc>
                <w:tcPr>
                  <w:tcW w:w="1134" w:type="dxa"/>
                  <w:vMerge w:val="continue"/>
                  <w:tcBorders>
                    <w:tl2br w:val="nil"/>
                    <w:tr2bl w:val="nil"/>
                  </w:tcBorders>
                  <w:shd w:val="clear" w:color="auto" w:fill="auto"/>
                  <w:tcMar>
                    <w:left w:w="51" w:type="dxa"/>
                    <w:right w:w="51" w:type="dxa"/>
                  </w:tcMar>
                  <w:vAlign w:val="center"/>
                </w:tcPr>
                <w:p w14:paraId="4D6057A6">
                  <w:pPr>
                    <w:keepNext w:val="0"/>
                    <w:keepLines w:val="0"/>
                    <w:pageBreakBefore w:val="0"/>
                    <w:suppressLineNumbers w:val="0"/>
                    <w:kinsoku/>
                    <w:overflowPunct/>
                    <w:topLinePunct w:val="0"/>
                    <w:bidi w:val="0"/>
                    <w:spacing w:before="0" w:beforeAutospacing="0" w:after="0" w:afterAutospacing="0" w:line="360" w:lineRule="exact"/>
                    <w:ind w:left="0" w:right="0"/>
                    <w:rPr>
                      <w:rFonts w:hint="default" w:ascii="Times New Roman" w:hAnsi="Times New Roman" w:eastAsia="Times New Roman" w:cs="Times New Roman"/>
                      <w:sz w:val="20"/>
                      <w:szCs w:val="20"/>
                    </w:rPr>
                  </w:pPr>
                </w:p>
              </w:tc>
              <w:tc>
                <w:tcPr>
                  <w:tcW w:w="2590" w:type="dxa"/>
                  <w:tcBorders>
                    <w:tl2br w:val="nil"/>
                    <w:tr2bl w:val="nil"/>
                  </w:tcBorders>
                  <w:shd w:val="clear" w:color="auto" w:fill="auto"/>
                  <w:tcMar>
                    <w:left w:w="51" w:type="dxa"/>
                    <w:right w:w="51" w:type="dxa"/>
                  </w:tcMar>
                  <w:vAlign w:val="center"/>
                </w:tcPr>
                <w:p w14:paraId="167D2ED8">
                  <w:pPr>
                    <w:keepNext w:val="0"/>
                    <w:keepLines w:val="0"/>
                    <w:pageBreakBefore w:val="0"/>
                    <w:widowControl/>
                    <w:suppressLineNumbers w:val="0"/>
                    <w:kinsoku/>
                    <w:overflowPunct/>
                    <w:topLinePunct w:val="0"/>
                    <w:bidi w:val="0"/>
                    <w:adjustRightInd w:val="0"/>
                    <w:snapToGrid w:val="0"/>
                    <w:spacing w:before="0" w:beforeAutospacing="0" w:after="0" w:afterAutospacing="0" w:line="360" w:lineRule="exact"/>
                    <w:ind w:left="0" w:right="0"/>
                    <w:jc w:val="both"/>
                    <w:rPr>
                      <w:rFonts w:hint="default"/>
                      <w:kern w:val="24"/>
                      <w:lang w:val="en-US"/>
                    </w:rPr>
                  </w:pPr>
                  <w:r>
                    <w:rPr>
                      <w:rFonts w:hint="eastAsia" w:ascii="Times New Roman" w:hAnsi="Times New Roman" w:eastAsia="宋体" w:cs="宋体"/>
                      <w:kern w:val="24"/>
                      <w:sz w:val="21"/>
                      <w:szCs w:val="21"/>
                      <w:lang w:val="en-US" w:eastAsia="zh-CN" w:bidi="ar"/>
                    </w:rPr>
                    <w:t>禁止《外商投资准入特别管理（负面清单）》（</w:t>
                  </w:r>
                  <w:r>
                    <w:rPr>
                      <w:rFonts w:hint="default" w:ascii="Times New Roman" w:hAnsi="Times New Roman" w:eastAsia="宋体" w:cs="Times New Roman"/>
                      <w:kern w:val="24"/>
                      <w:sz w:val="21"/>
                      <w:szCs w:val="21"/>
                      <w:lang w:val="en-US" w:eastAsia="zh-CN" w:bidi="ar"/>
                    </w:rPr>
                    <w:t>2021</w:t>
                  </w:r>
                  <w:r>
                    <w:rPr>
                      <w:rFonts w:hint="eastAsia" w:ascii="Times New Roman" w:hAnsi="Times New Roman" w:eastAsia="宋体" w:cs="宋体"/>
                      <w:kern w:val="24"/>
                      <w:sz w:val="21"/>
                      <w:szCs w:val="21"/>
                      <w:lang w:val="en-US" w:eastAsia="zh-CN" w:bidi="ar"/>
                    </w:rPr>
                    <w:t>版）项目。</w:t>
                  </w:r>
                </w:p>
              </w:tc>
              <w:tc>
                <w:tcPr>
                  <w:tcW w:w="1801" w:type="dxa"/>
                  <w:tcBorders>
                    <w:tl2br w:val="nil"/>
                    <w:tr2bl w:val="nil"/>
                  </w:tcBorders>
                  <w:shd w:val="clear" w:color="auto" w:fill="auto"/>
                  <w:tcMar>
                    <w:left w:w="51" w:type="dxa"/>
                    <w:right w:w="51" w:type="dxa"/>
                  </w:tcMar>
                  <w:vAlign w:val="center"/>
                </w:tcPr>
                <w:p w14:paraId="7F8BF09D">
                  <w:pPr>
                    <w:keepNext w:val="0"/>
                    <w:keepLines w:val="0"/>
                    <w:pageBreakBefore w:val="0"/>
                    <w:widowControl/>
                    <w:suppressLineNumbers w:val="0"/>
                    <w:kinsoku/>
                    <w:overflowPunct/>
                    <w:topLinePunct w:val="0"/>
                    <w:bidi w:val="0"/>
                    <w:adjustRightInd w:val="0"/>
                    <w:snapToGrid w:val="0"/>
                    <w:spacing w:before="0" w:beforeAutospacing="0" w:after="0" w:afterAutospacing="0" w:line="360" w:lineRule="exact"/>
                    <w:ind w:left="0" w:right="0"/>
                    <w:jc w:val="both"/>
                    <w:rPr>
                      <w:rFonts w:hint="default"/>
                      <w:kern w:val="24"/>
                      <w:highlight w:val="yellow"/>
                      <w:lang w:val="en-US"/>
                    </w:rPr>
                  </w:pPr>
                  <w:r>
                    <w:rPr>
                      <w:rFonts w:hint="eastAsia" w:ascii="Times New Roman" w:hAnsi="Times New Roman" w:eastAsia="宋体" w:cs="宋体"/>
                      <w:kern w:val="24"/>
                      <w:sz w:val="21"/>
                      <w:szCs w:val="21"/>
                      <w:lang w:val="en-US" w:eastAsia="zh-CN" w:bidi="ar"/>
                    </w:rPr>
                    <w:t>不属于《外商投资准入特别管理（负面清单）》（</w:t>
                  </w:r>
                  <w:r>
                    <w:rPr>
                      <w:rFonts w:hint="default" w:ascii="Times New Roman" w:hAnsi="Times New Roman" w:eastAsia="宋体" w:cs="Times New Roman"/>
                      <w:kern w:val="24"/>
                      <w:sz w:val="21"/>
                      <w:szCs w:val="21"/>
                      <w:lang w:val="en-US" w:eastAsia="zh-CN" w:bidi="ar"/>
                    </w:rPr>
                    <w:t>2021</w:t>
                  </w:r>
                  <w:r>
                    <w:rPr>
                      <w:rFonts w:hint="eastAsia" w:ascii="Times New Roman" w:hAnsi="Times New Roman" w:eastAsia="宋体" w:cs="宋体"/>
                      <w:kern w:val="24"/>
                      <w:sz w:val="21"/>
                      <w:szCs w:val="21"/>
                      <w:lang w:val="en-US" w:eastAsia="zh-CN" w:bidi="ar"/>
                    </w:rPr>
                    <w:t>版）项目。</w:t>
                  </w:r>
                </w:p>
              </w:tc>
              <w:tc>
                <w:tcPr>
                  <w:tcW w:w="620" w:type="dxa"/>
                  <w:tcBorders>
                    <w:tl2br w:val="nil"/>
                    <w:tr2bl w:val="nil"/>
                  </w:tcBorders>
                  <w:shd w:val="clear" w:color="auto" w:fill="auto"/>
                  <w:tcMar>
                    <w:left w:w="51" w:type="dxa"/>
                    <w:right w:w="51" w:type="dxa"/>
                  </w:tcMar>
                  <w:vAlign w:val="center"/>
                </w:tcPr>
                <w:p w14:paraId="5D52928D">
                  <w:pPr>
                    <w:keepNext w:val="0"/>
                    <w:keepLines w:val="0"/>
                    <w:pageBreakBefore w:val="0"/>
                    <w:widowControl/>
                    <w:suppressLineNumbers w:val="0"/>
                    <w:kinsoku/>
                    <w:overflowPunct/>
                    <w:topLinePunct w:val="0"/>
                    <w:bidi w:val="0"/>
                    <w:adjustRightInd w:val="0"/>
                    <w:snapToGrid w:val="0"/>
                    <w:spacing w:before="0" w:beforeAutospacing="0" w:after="0" w:afterAutospacing="0" w:line="360" w:lineRule="exact"/>
                    <w:ind w:left="0" w:right="0"/>
                    <w:jc w:val="center"/>
                    <w:rPr>
                      <w:rFonts w:hint="default"/>
                      <w:kern w:val="24"/>
                      <w:lang w:val="en-US"/>
                    </w:rPr>
                  </w:pPr>
                  <w:r>
                    <w:rPr>
                      <w:rFonts w:hint="eastAsia" w:cs="宋体"/>
                      <w:kern w:val="24"/>
                      <w:sz w:val="21"/>
                      <w:szCs w:val="21"/>
                      <w:lang w:val="en-US" w:eastAsia="zh-CN" w:bidi="ar"/>
                    </w:rPr>
                    <w:t>相符</w:t>
                  </w:r>
                </w:p>
              </w:tc>
            </w:tr>
            <w:tr w14:paraId="20342D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jc w:val="center"/>
              </w:trPr>
              <w:tc>
                <w:tcPr>
                  <w:tcW w:w="623" w:type="dxa"/>
                  <w:vMerge w:val="continue"/>
                  <w:tcBorders>
                    <w:tl2br w:val="nil"/>
                    <w:tr2bl w:val="nil"/>
                  </w:tcBorders>
                  <w:shd w:val="clear" w:color="auto" w:fill="auto"/>
                  <w:tcMar>
                    <w:left w:w="51" w:type="dxa"/>
                    <w:right w:w="51" w:type="dxa"/>
                  </w:tcMar>
                  <w:vAlign w:val="center"/>
                </w:tcPr>
                <w:p w14:paraId="50519D61">
                  <w:pPr>
                    <w:keepNext w:val="0"/>
                    <w:keepLines w:val="0"/>
                    <w:pageBreakBefore w:val="0"/>
                    <w:suppressLineNumbers w:val="0"/>
                    <w:kinsoku/>
                    <w:overflowPunct/>
                    <w:topLinePunct w:val="0"/>
                    <w:bidi w:val="0"/>
                    <w:spacing w:before="0" w:beforeAutospacing="0" w:after="0" w:afterAutospacing="0" w:line="360" w:lineRule="exact"/>
                    <w:ind w:left="0" w:right="0"/>
                    <w:rPr>
                      <w:rFonts w:hint="default" w:ascii="Times New Roman" w:hAnsi="Times New Roman" w:eastAsia="Times New Roman" w:cs="Times New Roman"/>
                      <w:sz w:val="20"/>
                      <w:szCs w:val="20"/>
                    </w:rPr>
                  </w:pPr>
                </w:p>
              </w:tc>
              <w:tc>
                <w:tcPr>
                  <w:tcW w:w="1134" w:type="dxa"/>
                  <w:vMerge w:val="continue"/>
                  <w:tcBorders>
                    <w:tl2br w:val="nil"/>
                    <w:tr2bl w:val="nil"/>
                  </w:tcBorders>
                  <w:shd w:val="clear" w:color="auto" w:fill="auto"/>
                  <w:tcMar>
                    <w:left w:w="51" w:type="dxa"/>
                    <w:right w:w="51" w:type="dxa"/>
                  </w:tcMar>
                  <w:vAlign w:val="center"/>
                </w:tcPr>
                <w:p w14:paraId="7851EA3F">
                  <w:pPr>
                    <w:keepNext w:val="0"/>
                    <w:keepLines w:val="0"/>
                    <w:pageBreakBefore w:val="0"/>
                    <w:suppressLineNumbers w:val="0"/>
                    <w:kinsoku/>
                    <w:overflowPunct/>
                    <w:topLinePunct w:val="0"/>
                    <w:bidi w:val="0"/>
                    <w:spacing w:before="0" w:beforeAutospacing="0" w:after="0" w:afterAutospacing="0" w:line="360" w:lineRule="exact"/>
                    <w:ind w:left="0" w:right="0"/>
                    <w:rPr>
                      <w:rFonts w:hint="default" w:ascii="Times New Roman" w:hAnsi="Times New Roman" w:eastAsia="Times New Roman" w:cs="Times New Roman"/>
                      <w:sz w:val="20"/>
                      <w:szCs w:val="20"/>
                    </w:rPr>
                  </w:pPr>
                </w:p>
              </w:tc>
              <w:tc>
                <w:tcPr>
                  <w:tcW w:w="2590" w:type="dxa"/>
                  <w:tcBorders>
                    <w:tl2br w:val="nil"/>
                    <w:tr2bl w:val="nil"/>
                  </w:tcBorders>
                  <w:shd w:val="clear" w:color="auto" w:fill="auto"/>
                  <w:tcMar>
                    <w:left w:w="51" w:type="dxa"/>
                    <w:right w:w="51" w:type="dxa"/>
                  </w:tcMar>
                  <w:vAlign w:val="center"/>
                </w:tcPr>
                <w:p w14:paraId="4FB3C49F">
                  <w:pPr>
                    <w:keepNext w:val="0"/>
                    <w:keepLines w:val="0"/>
                    <w:pageBreakBefore w:val="0"/>
                    <w:widowControl w:val="0"/>
                    <w:suppressLineNumbers w:val="0"/>
                    <w:kinsoku/>
                    <w:overflowPunct/>
                    <w:topLinePunct w:val="0"/>
                    <w:autoSpaceDE w:val="0"/>
                    <w:autoSpaceDN w:val="0"/>
                    <w:bidi w:val="0"/>
                    <w:adjustRightInd w:val="0"/>
                    <w:snapToGrid w:val="0"/>
                    <w:spacing w:before="0" w:beforeAutospacing="0" w:after="0" w:afterAutospacing="0" w:line="360" w:lineRule="exact"/>
                    <w:ind w:left="0" w:right="0"/>
                    <w:jc w:val="both"/>
                    <w:rPr>
                      <w:rFonts w:hint="default"/>
                      <w:kern w:val="24"/>
                      <w:lang w:val="en-US"/>
                    </w:rPr>
                  </w:pPr>
                  <w:r>
                    <w:rPr>
                      <w:rFonts w:hint="eastAsia" w:ascii="Times New Roman" w:hAnsi="Times New Roman" w:eastAsia="宋体" w:cs="宋体"/>
                      <w:kern w:val="24"/>
                      <w:sz w:val="21"/>
                      <w:szCs w:val="21"/>
                      <w:lang w:val="en-US" w:eastAsia="zh-CN" w:bidi="ar"/>
                    </w:rPr>
                    <w:t>禁止《高污染、高环境风险产品名录》中产品项目入驻。</w:t>
                  </w:r>
                </w:p>
              </w:tc>
              <w:tc>
                <w:tcPr>
                  <w:tcW w:w="1801" w:type="dxa"/>
                  <w:tcBorders>
                    <w:tl2br w:val="nil"/>
                    <w:tr2bl w:val="nil"/>
                  </w:tcBorders>
                  <w:shd w:val="clear" w:color="auto" w:fill="auto"/>
                  <w:tcMar>
                    <w:left w:w="51" w:type="dxa"/>
                    <w:right w:w="51" w:type="dxa"/>
                  </w:tcMar>
                  <w:vAlign w:val="center"/>
                </w:tcPr>
                <w:p w14:paraId="3F16317D">
                  <w:pPr>
                    <w:keepNext w:val="0"/>
                    <w:keepLines w:val="0"/>
                    <w:pageBreakBefore w:val="0"/>
                    <w:widowControl w:val="0"/>
                    <w:suppressLineNumbers w:val="0"/>
                    <w:kinsoku/>
                    <w:overflowPunct/>
                    <w:topLinePunct w:val="0"/>
                    <w:autoSpaceDE w:val="0"/>
                    <w:autoSpaceDN w:val="0"/>
                    <w:bidi w:val="0"/>
                    <w:adjustRightInd w:val="0"/>
                    <w:snapToGrid w:val="0"/>
                    <w:spacing w:before="0" w:beforeAutospacing="0" w:after="0" w:afterAutospacing="0" w:line="360" w:lineRule="exact"/>
                    <w:ind w:left="0" w:right="0"/>
                    <w:jc w:val="both"/>
                    <w:rPr>
                      <w:rFonts w:hint="default"/>
                      <w:kern w:val="24"/>
                      <w:highlight w:val="yellow"/>
                      <w:lang w:val="en-US"/>
                    </w:rPr>
                  </w:pPr>
                  <w:r>
                    <w:rPr>
                      <w:rFonts w:hint="eastAsia" w:ascii="Times New Roman" w:hAnsi="Times New Roman" w:eastAsia="宋体" w:cs="宋体"/>
                      <w:kern w:val="24"/>
                      <w:sz w:val="21"/>
                      <w:szCs w:val="21"/>
                      <w:lang w:val="en-US" w:eastAsia="zh-CN" w:bidi="ar"/>
                    </w:rPr>
                    <w:t>不属于《高污染、高环境风险产品名录》中产品项目。</w:t>
                  </w:r>
                </w:p>
              </w:tc>
              <w:tc>
                <w:tcPr>
                  <w:tcW w:w="620" w:type="dxa"/>
                  <w:tcBorders>
                    <w:tl2br w:val="nil"/>
                    <w:tr2bl w:val="nil"/>
                  </w:tcBorders>
                  <w:shd w:val="clear" w:color="auto" w:fill="auto"/>
                  <w:tcMar>
                    <w:left w:w="51" w:type="dxa"/>
                    <w:right w:w="51" w:type="dxa"/>
                  </w:tcMar>
                  <w:vAlign w:val="center"/>
                </w:tcPr>
                <w:p w14:paraId="079B81E1">
                  <w:pPr>
                    <w:keepNext w:val="0"/>
                    <w:keepLines w:val="0"/>
                    <w:pageBreakBefore w:val="0"/>
                    <w:widowControl/>
                    <w:suppressLineNumbers w:val="0"/>
                    <w:kinsoku/>
                    <w:overflowPunct/>
                    <w:topLinePunct w:val="0"/>
                    <w:bidi w:val="0"/>
                    <w:adjustRightInd w:val="0"/>
                    <w:snapToGrid w:val="0"/>
                    <w:spacing w:before="0" w:beforeAutospacing="0" w:after="0" w:afterAutospacing="0" w:line="360" w:lineRule="exact"/>
                    <w:ind w:left="0" w:right="0"/>
                    <w:jc w:val="center"/>
                    <w:rPr>
                      <w:rFonts w:hint="default"/>
                      <w:kern w:val="24"/>
                      <w:lang w:val="en-US"/>
                    </w:rPr>
                  </w:pPr>
                  <w:r>
                    <w:rPr>
                      <w:rFonts w:hint="eastAsia" w:cs="宋体"/>
                      <w:kern w:val="24"/>
                      <w:sz w:val="21"/>
                      <w:szCs w:val="21"/>
                      <w:lang w:val="en-US" w:eastAsia="zh-CN" w:bidi="ar"/>
                    </w:rPr>
                    <w:t>相符</w:t>
                  </w:r>
                </w:p>
              </w:tc>
            </w:tr>
            <w:tr w14:paraId="528A90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jc w:val="center"/>
              </w:trPr>
              <w:tc>
                <w:tcPr>
                  <w:tcW w:w="623" w:type="dxa"/>
                  <w:vMerge w:val="continue"/>
                  <w:tcBorders>
                    <w:tl2br w:val="nil"/>
                    <w:tr2bl w:val="nil"/>
                  </w:tcBorders>
                  <w:shd w:val="clear" w:color="auto" w:fill="auto"/>
                  <w:tcMar>
                    <w:left w:w="51" w:type="dxa"/>
                    <w:right w:w="51" w:type="dxa"/>
                  </w:tcMar>
                  <w:vAlign w:val="center"/>
                </w:tcPr>
                <w:p w14:paraId="07395294">
                  <w:pPr>
                    <w:keepNext w:val="0"/>
                    <w:keepLines w:val="0"/>
                    <w:pageBreakBefore w:val="0"/>
                    <w:suppressLineNumbers w:val="0"/>
                    <w:kinsoku/>
                    <w:overflowPunct/>
                    <w:topLinePunct w:val="0"/>
                    <w:bidi w:val="0"/>
                    <w:spacing w:before="0" w:beforeAutospacing="0" w:after="0" w:afterAutospacing="0" w:line="360" w:lineRule="exact"/>
                    <w:ind w:left="0" w:right="0"/>
                    <w:rPr>
                      <w:rFonts w:hint="default" w:ascii="Times New Roman" w:hAnsi="Times New Roman" w:eastAsia="Times New Roman" w:cs="Times New Roman"/>
                      <w:sz w:val="20"/>
                      <w:szCs w:val="20"/>
                    </w:rPr>
                  </w:pPr>
                </w:p>
              </w:tc>
              <w:tc>
                <w:tcPr>
                  <w:tcW w:w="1134" w:type="dxa"/>
                  <w:vMerge w:val="continue"/>
                  <w:tcBorders>
                    <w:tl2br w:val="nil"/>
                    <w:tr2bl w:val="nil"/>
                  </w:tcBorders>
                  <w:shd w:val="clear" w:color="auto" w:fill="auto"/>
                  <w:tcMar>
                    <w:left w:w="51" w:type="dxa"/>
                    <w:right w:w="51" w:type="dxa"/>
                  </w:tcMar>
                  <w:vAlign w:val="center"/>
                </w:tcPr>
                <w:p w14:paraId="000E1B65">
                  <w:pPr>
                    <w:keepNext w:val="0"/>
                    <w:keepLines w:val="0"/>
                    <w:pageBreakBefore w:val="0"/>
                    <w:suppressLineNumbers w:val="0"/>
                    <w:kinsoku/>
                    <w:overflowPunct/>
                    <w:topLinePunct w:val="0"/>
                    <w:bidi w:val="0"/>
                    <w:spacing w:before="0" w:beforeAutospacing="0" w:after="0" w:afterAutospacing="0" w:line="360" w:lineRule="exact"/>
                    <w:ind w:left="0" w:right="0"/>
                    <w:rPr>
                      <w:rFonts w:hint="default" w:ascii="Times New Roman" w:hAnsi="Times New Roman" w:eastAsia="Times New Roman" w:cs="Times New Roman"/>
                      <w:sz w:val="20"/>
                      <w:szCs w:val="20"/>
                    </w:rPr>
                  </w:pPr>
                </w:p>
              </w:tc>
              <w:tc>
                <w:tcPr>
                  <w:tcW w:w="2590" w:type="dxa"/>
                  <w:tcBorders>
                    <w:tl2br w:val="nil"/>
                    <w:tr2bl w:val="nil"/>
                  </w:tcBorders>
                  <w:shd w:val="clear" w:color="auto" w:fill="auto"/>
                  <w:tcMar>
                    <w:left w:w="51" w:type="dxa"/>
                    <w:right w:w="51" w:type="dxa"/>
                  </w:tcMar>
                  <w:vAlign w:val="center"/>
                </w:tcPr>
                <w:p w14:paraId="5C141B64">
                  <w:pPr>
                    <w:pStyle w:val="21"/>
                    <w:keepNext w:val="0"/>
                    <w:keepLines w:val="0"/>
                    <w:pageBreakBefore w:val="0"/>
                    <w:widowControl w:val="0"/>
                    <w:suppressLineNumbers w:val="0"/>
                    <w:kinsoku/>
                    <w:overflowPunct/>
                    <w:topLinePunct w:val="0"/>
                    <w:bidi w:val="0"/>
                    <w:adjustRightInd w:val="0"/>
                    <w:snapToGrid w:val="0"/>
                    <w:spacing w:before="0" w:beforeAutospacing="0" w:after="0" w:afterAutospacing="0" w:line="360" w:lineRule="exact"/>
                    <w:ind w:left="0" w:right="0"/>
                    <w:jc w:val="both"/>
                    <w:rPr>
                      <w:rFonts w:hint="default" w:ascii="Times New Roman" w:hAnsi="Times New Roman" w:cs="Times New Roman"/>
                      <w:kern w:val="24"/>
                      <w:sz w:val="21"/>
                      <w:szCs w:val="21"/>
                      <w:lang w:val="en-US"/>
                    </w:rPr>
                  </w:pPr>
                  <w:r>
                    <w:rPr>
                      <w:rFonts w:hint="default" w:ascii="Times New Roman" w:hAnsi="Times New Roman"/>
                      <w:bCs/>
                      <w:kern w:val="24"/>
                      <w:sz w:val="21"/>
                      <w:szCs w:val="21"/>
                      <w:lang w:bidi="ar"/>
                    </w:rPr>
                    <w:t>禁止投资建设列入禁止用地目录、限制用地目录的项目。</w:t>
                  </w:r>
                </w:p>
              </w:tc>
              <w:tc>
                <w:tcPr>
                  <w:tcW w:w="1801" w:type="dxa"/>
                  <w:tcBorders>
                    <w:tl2br w:val="nil"/>
                    <w:tr2bl w:val="nil"/>
                  </w:tcBorders>
                  <w:shd w:val="clear" w:color="auto" w:fill="auto"/>
                  <w:tcMar>
                    <w:left w:w="51" w:type="dxa"/>
                    <w:right w:w="51" w:type="dxa"/>
                  </w:tcMar>
                  <w:vAlign w:val="center"/>
                </w:tcPr>
                <w:p w14:paraId="01F72F96">
                  <w:pPr>
                    <w:pStyle w:val="21"/>
                    <w:keepNext w:val="0"/>
                    <w:keepLines w:val="0"/>
                    <w:pageBreakBefore w:val="0"/>
                    <w:widowControl w:val="0"/>
                    <w:suppressLineNumbers w:val="0"/>
                    <w:kinsoku/>
                    <w:overflowPunct/>
                    <w:topLinePunct w:val="0"/>
                    <w:bidi w:val="0"/>
                    <w:adjustRightInd w:val="0"/>
                    <w:snapToGrid w:val="0"/>
                    <w:spacing w:before="0" w:beforeAutospacing="0" w:after="0" w:afterAutospacing="0" w:line="360" w:lineRule="exact"/>
                    <w:ind w:left="0" w:right="0"/>
                    <w:jc w:val="center"/>
                    <w:rPr>
                      <w:rFonts w:hint="default" w:ascii="Times New Roman" w:hAnsi="Times New Roman" w:cs="Times New Roman"/>
                      <w:bCs/>
                      <w:kern w:val="24"/>
                      <w:sz w:val="21"/>
                      <w:szCs w:val="21"/>
                      <w:lang w:val="en-US"/>
                    </w:rPr>
                  </w:pPr>
                  <w:r>
                    <w:rPr>
                      <w:rFonts w:hint="default" w:ascii="Times New Roman" w:hAnsi="Times New Roman"/>
                      <w:kern w:val="24"/>
                      <w:sz w:val="21"/>
                      <w:szCs w:val="21"/>
                      <w:lang w:bidi="ar"/>
                    </w:rPr>
                    <w:t>不涉及</w:t>
                  </w:r>
                  <w:r>
                    <w:rPr>
                      <w:rFonts w:hint="default" w:ascii="Times New Roman" w:hAnsi="Times New Roman"/>
                      <w:bCs/>
                      <w:kern w:val="24"/>
                      <w:sz w:val="21"/>
                      <w:szCs w:val="21"/>
                      <w:lang w:bidi="ar"/>
                    </w:rPr>
                    <w:t>。</w:t>
                  </w:r>
                </w:p>
              </w:tc>
              <w:tc>
                <w:tcPr>
                  <w:tcW w:w="620" w:type="dxa"/>
                  <w:tcBorders>
                    <w:tl2br w:val="nil"/>
                    <w:tr2bl w:val="nil"/>
                  </w:tcBorders>
                  <w:shd w:val="clear" w:color="auto" w:fill="auto"/>
                  <w:tcMar>
                    <w:left w:w="51" w:type="dxa"/>
                    <w:right w:w="51" w:type="dxa"/>
                  </w:tcMar>
                  <w:vAlign w:val="center"/>
                </w:tcPr>
                <w:p w14:paraId="51186E0C">
                  <w:pPr>
                    <w:keepNext w:val="0"/>
                    <w:keepLines w:val="0"/>
                    <w:pageBreakBefore w:val="0"/>
                    <w:widowControl w:val="0"/>
                    <w:suppressLineNumbers w:val="0"/>
                    <w:kinsoku/>
                    <w:overflowPunct/>
                    <w:topLinePunct w:val="0"/>
                    <w:bidi w:val="0"/>
                    <w:adjustRightInd w:val="0"/>
                    <w:snapToGrid w:val="0"/>
                    <w:spacing w:before="0" w:beforeAutospacing="0" w:after="0" w:afterAutospacing="0" w:line="360" w:lineRule="exact"/>
                    <w:ind w:left="0" w:right="0"/>
                    <w:jc w:val="center"/>
                    <w:rPr>
                      <w:rFonts w:hint="default" w:ascii="Times New Roman" w:hAnsi="Times New Roman" w:cs="Times New Roman"/>
                      <w:bCs/>
                      <w:kern w:val="24"/>
                      <w:sz w:val="21"/>
                      <w:szCs w:val="21"/>
                      <w:lang w:val="en-US"/>
                    </w:rPr>
                  </w:pPr>
                  <w:r>
                    <w:rPr>
                      <w:rFonts w:hint="eastAsia" w:cs="宋体"/>
                      <w:kern w:val="24"/>
                      <w:sz w:val="21"/>
                      <w:szCs w:val="21"/>
                      <w:lang w:val="en-US" w:eastAsia="zh-CN" w:bidi="ar"/>
                    </w:rPr>
                    <w:t>/</w:t>
                  </w:r>
                </w:p>
              </w:tc>
            </w:tr>
            <w:tr w14:paraId="2F6C7F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jc w:val="center"/>
              </w:trPr>
              <w:tc>
                <w:tcPr>
                  <w:tcW w:w="623" w:type="dxa"/>
                  <w:vMerge w:val="continue"/>
                  <w:tcBorders>
                    <w:tl2br w:val="nil"/>
                    <w:tr2bl w:val="nil"/>
                  </w:tcBorders>
                  <w:shd w:val="clear" w:color="auto" w:fill="auto"/>
                  <w:tcMar>
                    <w:left w:w="51" w:type="dxa"/>
                    <w:right w:w="51" w:type="dxa"/>
                  </w:tcMar>
                  <w:vAlign w:val="center"/>
                </w:tcPr>
                <w:p w14:paraId="763E1390">
                  <w:pPr>
                    <w:keepNext w:val="0"/>
                    <w:keepLines w:val="0"/>
                    <w:pageBreakBefore w:val="0"/>
                    <w:suppressLineNumbers w:val="0"/>
                    <w:kinsoku/>
                    <w:overflowPunct/>
                    <w:topLinePunct w:val="0"/>
                    <w:bidi w:val="0"/>
                    <w:spacing w:before="0" w:beforeAutospacing="0" w:after="0" w:afterAutospacing="0" w:line="360" w:lineRule="exact"/>
                    <w:ind w:left="0" w:right="0"/>
                    <w:rPr>
                      <w:rFonts w:hint="default" w:ascii="Times New Roman" w:hAnsi="Times New Roman" w:eastAsia="Times New Roman" w:cs="Times New Roman"/>
                      <w:sz w:val="20"/>
                      <w:szCs w:val="20"/>
                    </w:rPr>
                  </w:pPr>
                </w:p>
              </w:tc>
              <w:tc>
                <w:tcPr>
                  <w:tcW w:w="1134" w:type="dxa"/>
                  <w:vMerge w:val="continue"/>
                  <w:tcBorders>
                    <w:tl2br w:val="nil"/>
                    <w:tr2bl w:val="nil"/>
                  </w:tcBorders>
                  <w:shd w:val="clear" w:color="auto" w:fill="auto"/>
                  <w:tcMar>
                    <w:left w:w="51" w:type="dxa"/>
                    <w:right w:w="51" w:type="dxa"/>
                  </w:tcMar>
                  <w:vAlign w:val="center"/>
                </w:tcPr>
                <w:p w14:paraId="562E8780">
                  <w:pPr>
                    <w:keepNext w:val="0"/>
                    <w:keepLines w:val="0"/>
                    <w:pageBreakBefore w:val="0"/>
                    <w:suppressLineNumbers w:val="0"/>
                    <w:kinsoku/>
                    <w:overflowPunct/>
                    <w:topLinePunct w:val="0"/>
                    <w:bidi w:val="0"/>
                    <w:spacing w:before="0" w:beforeAutospacing="0" w:after="0" w:afterAutospacing="0" w:line="360" w:lineRule="exact"/>
                    <w:ind w:left="0" w:right="0"/>
                    <w:rPr>
                      <w:rFonts w:hint="default" w:ascii="Times New Roman" w:hAnsi="Times New Roman" w:eastAsia="Times New Roman" w:cs="Times New Roman"/>
                      <w:sz w:val="20"/>
                      <w:szCs w:val="20"/>
                    </w:rPr>
                  </w:pPr>
                </w:p>
              </w:tc>
              <w:tc>
                <w:tcPr>
                  <w:tcW w:w="2590" w:type="dxa"/>
                  <w:tcBorders>
                    <w:tl2br w:val="nil"/>
                    <w:tr2bl w:val="nil"/>
                  </w:tcBorders>
                  <w:shd w:val="clear" w:color="auto" w:fill="auto"/>
                  <w:tcMar>
                    <w:left w:w="51" w:type="dxa"/>
                    <w:right w:w="51" w:type="dxa"/>
                  </w:tcMar>
                  <w:vAlign w:val="center"/>
                </w:tcPr>
                <w:p w14:paraId="7EFF3A1C">
                  <w:pPr>
                    <w:keepNext w:val="0"/>
                    <w:keepLines w:val="0"/>
                    <w:pageBreakBefore w:val="0"/>
                    <w:widowControl/>
                    <w:suppressLineNumbers w:val="0"/>
                    <w:kinsoku/>
                    <w:overflowPunct/>
                    <w:topLinePunct w:val="0"/>
                    <w:bidi w:val="0"/>
                    <w:adjustRightInd w:val="0"/>
                    <w:snapToGrid w:val="0"/>
                    <w:spacing w:before="0" w:beforeAutospacing="0" w:after="0" w:afterAutospacing="0" w:line="360" w:lineRule="exact"/>
                    <w:ind w:left="0" w:right="0"/>
                    <w:jc w:val="left"/>
                    <w:textAlignment w:val="center"/>
                    <w:rPr>
                      <w:rFonts w:hint="default"/>
                      <w:kern w:val="24"/>
                      <w:lang w:val="en-US"/>
                    </w:rPr>
                  </w:pPr>
                  <w:r>
                    <w:rPr>
                      <w:rFonts w:hint="eastAsia" w:ascii="Times New Roman" w:hAnsi="Times New Roman" w:eastAsia="宋体" w:cs="宋体"/>
                      <w:kern w:val="24"/>
                      <w:sz w:val="21"/>
                      <w:szCs w:val="21"/>
                      <w:lang w:val="en-US" w:eastAsia="zh-CN" w:bidi="ar"/>
                    </w:rPr>
                    <w:t>严禁新增钢铁、电解铝、氧化铝、水泥、平板玻璃、传统煤化工（甲醇、合成氨）、焦化、铸造、铝用炭素、烧结砖瓦、铁合金等行业产能。原则上禁止新建燃煤自备锅炉、自备燃煤机组和燃料类煤气发生炉。</w:t>
                  </w:r>
                </w:p>
              </w:tc>
              <w:tc>
                <w:tcPr>
                  <w:tcW w:w="1801" w:type="dxa"/>
                  <w:tcBorders>
                    <w:tl2br w:val="nil"/>
                    <w:tr2bl w:val="nil"/>
                  </w:tcBorders>
                  <w:shd w:val="clear" w:color="auto" w:fill="auto"/>
                  <w:tcMar>
                    <w:left w:w="51" w:type="dxa"/>
                    <w:right w:w="51" w:type="dxa"/>
                  </w:tcMar>
                  <w:vAlign w:val="center"/>
                </w:tcPr>
                <w:p w14:paraId="1CF16E0C">
                  <w:pPr>
                    <w:keepNext w:val="0"/>
                    <w:keepLines w:val="0"/>
                    <w:pageBreakBefore w:val="0"/>
                    <w:widowControl/>
                    <w:suppressLineNumbers w:val="0"/>
                    <w:kinsoku/>
                    <w:overflowPunct/>
                    <w:topLinePunct w:val="0"/>
                    <w:bidi w:val="0"/>
                    <w:adjustRightInd w:val="0"/>
                    <w:snapToGrid w:val="0"/>
                    <w:spacing w:before="0" w:beforeAutospacing="0" w:after="0" w:afterAutospacing="0" w:line="360" w:lineRule="exact"/>
                    <w:ind w:left="0" w:right="0"/>
                    <w:jc w:val="center"/>
                    <w:textAlignment w:val="center"/>
                    <w:rPr>
                      <w:rFonts w:hint="default"/>
                      <w:kern w:val="24"/>
                      <w:lang w:val="en-US"/>
                    </w:rPr>
                  </w:pPr>
                  <w:r>
                    <w:rPr>
                      <w:rFonts w:hint="eastAsia" w:ascii="Times New Roman" w:hAnsi="Times New Roman" w:eastAsia="宋体" w:cs="宋体"/>
                      <w:kern w:val="24"/>
                      <w:sz w:val="21"/>
                      <w:szCs w:val="21"/>
                      <w:lang w:val="en-US" w:eastAsia="zh-CN" w:bidi="ar"/>
                    </w:rPr>
                    <w:t>不涉及。</w:t>
                  </w:r>
                </w:p>
              </w:tc>
              <w:tc>
                <w:tcPr>
                  <w:tcW w:w="620" w:type="dxa"/>
                  <w:tcBorders>
                    <w:tl2br w:val="nil"/>
                    <w:tr2bl w:val="nil"/>
                  </w:tcBorders>
                  <w:shd w:val="clear" w:color="auto" w:fill="auto"/>
                  <w:tcMar>
                    <w:left w:w="51" w:type="dxa"/>
                    <w:right w:w="51" w:type="dxa"/>
                  </w:tcMar>
                  <w:vAlign w:val="center"/>
                </w:tcPr>
                <w:p w14:paraId="7902DCA7">
                  <w:pPr>
                    <w:keepNext w:val="0"/>
                    <w:keepLines w:val="0"/>
                    <w:pageBreakBefore w:val="0"/>
                    <w:widowControl w:val="0"/>
                    <w:suppressLineNumbers w:val="0"/>
                    <w:kinsoku/>
                    <w:overflowPunct/>
                    <w:topLinePunct w:val="0"/>
                    <w:autoSpaceDE w:val="0"/>
                    <w:autoSpaceDN w:val="0"/>
                    <w:bidi w:val="0"/>
                    <w:adjustRightInd w:val="0"/>
                    <w:snapToGrid w:val="0"/>
                    <w:spacing w:before="0" w:beforeAutospacing="0" w:after="0" w:afterAutospacing="0" w:line="360" w:lineRule="exact"/>
                    <w:ind w:left="0" w:right="0"/>
                    <w:jc w:val="center"/>
                    <w:rPr>
                      <w:rFonts w:hint="default"/>
                      <w:kern w:val="24"/>
                      <w:lang w:val="en-US"/>
                    </w:rPr>
                  </w:pPr>
                  <w:r>
                    <w:rPr>
                      <w:rFonts w:hint="eastAsia" w:cs="宋体"/>
                      <w:kern w:val="24"/>
                      <w:sz w:val="21"/>
                      <w:szCs w:val="21"/>
                      <w:lang w:val="en-US" w:eastAsia="zh-CN" w:bidi="ar"/>
                    </w:rPr>
                    <w:t>/</w:t>
                  </w:r>
                </w:p>
              </w:tc>
            </w:tr>
            <w:tr w14:paraId="33D2D5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jc w:val="center"/>
              </w:trPr>
              <w:tc>
                <w:tcPr>
                  <w:tcW w:w="623" w:type="dxa"/>
                  <w:vMerge w:val="continue"/>
                  <w:tcBorders>
                    <w:tl2br w:val="nil"/>
                    <w:tr2bl w:val="nil"/>
                  </w:tcBorders>
                  <w:shd w:val="clear" w:color="auto" w:fill="auto"/>
                  <w:tcMar>
                    <w:left w:w="51" w:type="dxa"/>
                    <w:right w:w="51" w:type="dxa"/>
                  </w:tcMar>
                  <w:vAlign w:val="center"/>
                </w:tcPr>
                <w:p w14:paraId="4ED755CA">
                  <w:pPr>
                    <w:keepNext w:val="0"/>
                    <w:keepLines w:val="0"/>
                    <w:pageBreakBefore w:val="0"/>
                    <w:suppressLineNumbers w:val="0"/>
                    <w:kinsoku/>
                    <w:overflowPunct/>
                    <w:topLinePunct w:val="0"/>
                    <w:bidi w:val="0"/>
                    <w:spacing w:before="0" w:beforeAutospacing="0" w:after="0" w:afterAutospacing="0" w:line="360" w:lineRule="exact"/>
                    <w:ind w:left="0" w:right="0"/>
                    <w:rPr>
                      <w:rFonts w:hint="default" w:ascii="Times New Roman" w:hAnsi="Times New Roman" w:eastAsia="Times New Roman" w:cs="Times New Roman"/>
                      <w:sz w:val="20"/>
                      <w:szCs w:val="20"/>
                    </w:rPr>
                  </w:pPr>
                </w:p>
              </w:tc>
              <w:tc>
                <w:tcPr>
                  <w:tcW w:w="1134" w:type="dxa"/>
                  <w:vMerge w:val="continue"/>
                  <w:tcBorders>
                    <w:tl2br w:val="nil"/>
                    <w:tr2bl w:val="nil"/>
                  </w:tcBorders>
                  <w:shd w:val="clear" w:color="auto" w:fill="auto"/>
                  <w:tcMar>
                    <w:left w:w="51" w:type="dxa"/>
                    <w:right w:w="51" w:type="dxa"/>
                  </w:tcMar>
                  <w:vAlign w:val="center"/>
                </w:tcPr>
                <w:p w14:paraId="1BC55552">
                  <w:pPr>
                    <w:keepNext w:val="0"/>
                    <w:keepLines w:val="0"/>
                    <w:pageBreakBefore w:val="0"/>
                    <w:suppressLineNumbers w:val="0"/>
                    <w:kinsoku/>
                    <w:overflowPunct/>
                    <w:topLinePunct w:val="0"/>
                    <w:bidi w:val="0"/>
                    <w:spacing w:before="0" w:beforeAutospacing="0" w:after="0" w:afterAutospacing="0" w:line="360" w:lineRule="exact"/>
                    <w:ind w:left="0" w:right="0"/>
                    <w:rPr>
                      <w:rFonts w:hint="default" w:ascii="Times New Roman" w:hAnsi="Times New Roman" w:eastAsia="Times New Roman" w:cs="Times New Roman"/>
                      <w:sz w:val="20"/>
                      <w:szCs w:val="20"/>
                    </w:rPr>
                  </w:pPr>
                </w:p>
              </w:tc>
              <w:tc>
                <w:tcPr>
                  <w:tcW w:w="2590" w:type="dxa"/>
                  <w:tcBorders>
                    <w:tl2br w:val="nil"/>
                    <w:tr2bl w:val="nil"/>
                  </w:tcBorders>
                  <w:shd w:val="clear" w:color="auto" w:fill="auto"/>
                  <w:tcMar>
                    <w:left w:w="51" w:type="dxa"/>
                    <w:right w:w="51" w:type="dxa"/>
                  </w:tcMar>
                  <w:vAlign w:val="center"/>
                </w:tcPr>
                <w:p w14:paraId="62A8473C">
                  <w:pPr>
                    <w:keepNext w:val="0"/>
                    <w:keepLines w:val="0"/>
                    <w:pageBreakBefore w:val="0"/>
                    <w:widowControl/>
                    <w:suppressLineNumbers w:val="0"/>
                    <w:kinsoku/>
                    <w:overflowPunct/>
                    <w:topLinePunct w:val="0"/>
                    <w:bidi w:val="0"/>
                    <w:adjustRightInd w:val="0"/>
                    <w:snapToGrid w:val="0"/>
                    <w:spacing w:before="0" w:beforeAutospacing="0" w:after="0" w:afterAutospacing="0" w:line="360" w:lineRule="exact"/>
                    <w:ind w:left="0" w:right="0"/>
                    <w:jc w:val="both"/>
                    <w:rPr>
                      <w:rFonts w:hint="default"/>
                      <w:kern w:val="24"/>
                      <w:lang w:val="en-US"/>
                    </w:rPr>
                  </w:pPr>
                  <w:r>
                    <w:rPr>
                      <w:rFonts w:hint="eastAsia" w:ascii="Times New Roman" w:hAnsi="Times New Roman" w:eastAsia="宋体" w:cs="宋体"/>
                      <w:kern w:val="24"/>
                      <w:sz w:val="21"/>
                      <w:szCs w:val="21"/>
                      <w:lang w:val="en-US" w:eastAsia="zh-CN" w:bidi="ar"/>
                    </w:rPr>
                    <w:t>禁止建设生产和使用高</w:t>
                  </w:r>
                  <w:r>
                    <w:rPr>
                      <w:rFonts w:hint="default" w:ascii="Times New Roman" w:hAnsi="Times New Roman" w:eastAsia="宋体" w:cs="Times New Roman"/>
                      <w:kern w:val="24"/>
                      <w:sz w:val="21"/>
                      <w:szCs w:val="21"/>
                      <w:lang w:val="en-US" w:eastAsia="zh-CN" w:bidi="ar"/>
                    </w:rPr>
                    <w:t>VOCs</w:t>
                  </w:r>
                  <w:r>
                    <w:rPr>
                      <w:rFonts w:hint="eastAsia" w:ascii="Times New Roman" w:hAnsi="Times New Roman" w:eastAsia="宋体" w:cs="宋体"/>
                      <w:kern w:val="24"/>
                      <w:sz w:val="21"/>
                      <w:szCs w:val="21"/>
                      <w:lang w:val="en-US" w:eastAsia="zh-CN" w:bidi="ar"/>
                    </w:rPr>
                    <w:t>含量的溶剂型涂料、油墨、胶粘剂等项目。</w:t>
                  </w:r>
                </w:p>
              </w:tc>
              <w:tc>
                <w:tcPr>
                  <w:tcW w:w="1801" w:type="dxa"/>
                  <w:tcBorders>
                    <w:tl2br w:val="nil"/>
                    <w:tr2bl w:val="nil"/>
                  </w:tcBorders>
                  <w:shd w:val="clear" w:color="auto" w:fill="auto"/>
                  <w:tcMar>
                    <w:left w:w="51" w:type="dxa"/>
                    <w:right w:w="51" w:type="dxa"/>
                  </w:tcMar>
                  <w:vAlign w:val="center"/>
                </w:tcPr>
                <w:p w14:paraId="48D71C86">
                  <w:pPr>
                    <w:keepNext w:val="0"/>
                    <w:keepLines w:val="0"/>
                    <w:pageBreakBefore w:val="0"/>
                    <w:widowControl/>
                    <w:suppressLineNumbers w:val="0"/>
                    <w:kinsoku/>
                    <w:overflowPunct/>
                    <w:topLinePunct w:val="0"/>
                    <w:bidi w:val="0"/>
                    <w:adjustRightInd w:val="0"/>
                    <w:snapToGrid w:val="0"/>
                    <w:spacing w:before="0" w:beforeAutospacing="0" w:after="0" w:afterAutospacing="0" w:line="360" w:lineRule="exact"/>
                    <w:ind w:left="0" w:right="0"/>
                    <w:jc w:val="both"/>
                    <w:rPr>
                      <w:rFonts w:hint="default"/>
                      <w:kern w:val="24"/>
                      <w:highlight w:val="yellow"/>
                      <w:lang w:val="en-US"/>
                    </w:rPr>
                  </w:pPr>
                  <w:r>
                    <w:rPr>
                      <w:rFonts w:hint="eastAsia" w:ascii="Times New Roman" w:hAnsi="Times New Roman" w:eastAsia="宋体" w:cs="宋体"/>
                      <w:kern w:val="24"/>
                      <w:sz w:val="21"/>
                      <w:szCs w:val="21"/>
                      <w:lang w:val="en-US" w:eastAsia="zh-CN" w:bidi="ar"/>
                    </w:rPr>
                    <w:t>本项目不使用高</w:t>
                  </w:r>
                  <w:r>
                    <w:rPr>
                      <w:rFonts w:hint="default" w:ascii="Times New Roman" w:hAnsi="Times New Roman" w:eastAsia="宋体" w:cs="Times New Roman"/>
                      <w:kern w:val="24"/>
                      <w:sz w:val="21"/>
                      <w:szCs w:val="21"/>
                      <w:lang w:val="en-US" w:eastAsia="zh-CN" w:bidi="ar"/>
                    </w:rPr>
                    <w:t>VOCs</w:t>
                  </w:r>
                  <w:r>
                    <w:rPr>
                      <w:rFonts w:hint="eastAsia" w:ascii="Times New Roman" w:hAnsi="Times New Roman" w:eastAsia="宋体" w:cs="宋体"/>
                      <w:kern w:val="24"/>
                      <w:sz w:val="21"/>
                      <w:szCs w:val="21"/>
                      <w:lang w:val="en-US" w:eastAsia="zh-CN" w:bidi="ar"/>
                    </w:rPr>
                    <w:t>含量物料。</w:t>
                  </w:r>
                </w:p>
              </w:tc>
              <w:tc>
                <w:tcPr>
                  <w:tcW w:w="620" w:type="dxa"/>
                  <w:tcBorders>
                    <w:tl2br w:val="nil"/>
                    <w:tr2bl w:val="nil"/>
                  </w:tcBorders>
                  <w:shd w:val="clear" w:color="auto" w:fill="auto"/>
                  <w:tcMar>
                    <w:left w:w="51" w:type="dxa"/>
                    <w:right w:w="51" w:type="dxa"/>
                  </w:tcMar>
                  <w:vAlign w:val="center"/>
                </w:tcPr>
                <w:p w14:paraId="65B1243D">
                  <w:pPr>
                    <w:keepNext w:val="0"/>
                    <w:keepLines w:val="0"/>
                    <w:pageBreakBefore w:val="0"/>
                    <w:widowControl/>
                    <w:suppressLineNumbers w:val="0"/>
                    <w:kinsoku/>
                    <w:overflowPunct/>
                    <w:topLinePunct w:val="0"/>
                    <w:bidi w:val="0"/>
                    <w:adjustRightInd w:val="0"/>
                    <w:snapToGrid w:val="0"/>
                    <w:spacing w:before="0" w:beforeAutospacing="0" w:after="0" w:afterAutospacing="0" w:line="360" w:lineRule="exact"/>
                    <w:ind w:left="0" w:right="0"/>
                    <w:jc w:val="center"/>
                    <w:rPr>
                      <w:rFonts w:hint="default"/>
                      <w:kern w:val="24"/>
                      <w:lang w:val="en-US"/>
                    </w:rPr>
                  </w:pPr>
                  <w:r>
                    <w:rPr>
                      <w:rFonts w:hint="eastAsia" w:cs="宋体"/>
                      <w:kern w:val="24"/>
                      <w:sz w:val="21"/>
                      <w:szCs w:val="21"/>
                      <w:lang w:val="en-US" w:eastAsia="zh-CN" w:bidi="ar"/>
                    </w:rPr>
                    <w:t>相符</w:t>
                  </w:r>
                </w:p>
              </w:tc>
            </w:tr>
            <w:tr w14:paraId="0C6643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23" w:type="dxa"/>
                  <w:bottom w:w="0" w:type="dxa"/>
                  <w:right w:w="23" w:type="dxa"/>
                </w:tblCellMar>
              </w:tblPrEx>
              <w:trPr>
                <w:jc w:val="center"/>
              </w:trPr>
              <w:tc>
                <w:tcPr>
                  <w:tcW w:w="623" w:type="dxa"/>
                  <w:vMerge w:val="continue"/>
                  <w:tcBorders>
                    <w:tl2br w:val="nil"/>
                    <w:tr2bl w:val="nil"/>
                  </w:tcBorders>
                  <w:shd w:val="clear" w:color="auto" w:fill="auto"/>
                  <w:tcMar>
                    <w:left w:w="51" w:type="dxa"/>
                    <w:right w:w="51" w:type="dxa"/>
                  </w:tcMar>
                  <w:vAlign w:val="center"/>
                </w:tcPr>
                <w:p w14:paraId="76402D94">
                  <w:pPr>
                    <w:keepNext w:val="0"/>
                    <w:keepLines w:val="0"/>
                    <w:pageBreakBefore w:val="0"/>
                    <w:suppressLineNumbers w:val="0"/>
                    <w:kinsoku/>
                    <w:overflowPunct/>
                    <w:topLinePunct w:val="0"/>
                    <w:bidi w:val="0"/>
                    <w:spacing w:before="0" w:beforeAutospacing="0" w:after="0" w:afterAutospacing="0" w:line="360" w:lineRule="exact"/>
                    <w:ind w:left="0" w:right="0"/>
                    <w:rPr>
                      <w:rFonts w:hint="default" w:ascii="Times New Roman" w:hAnsi="Times New Roman" w:eastAsia="Times New Roman" w:cs="Times New Roman"/>
                      <w:sz w:val="20"/>
                      <w:szCs w:val="20"/>
                    </w:rPr>
                  </w:pPr>
                </w:p>
              </w:tc>
              <w:tc>
                <w:tcPr>
                  <w:tcW w:w="1134" w:type="dxa"/>
                  <w:vMerge w:val="continue"/>
                  <w:tcBorders>
                    <w:tl2br w:val="nil"/>
                    <w:tr2bl w:val="nil"/>
                  </w:tcBorders>
                  <w:shd w:val="clear" w:color="auto" w:fill="auto"/>
                  <w:tcMar>
                    <w:left w:w="51" w:type="dxa"/>
                    <w:right w:w="51" w:type="dxa"/>
                  </w:tcMar>
                  <w:vAlign w:val="center"/>
                </w:tcPr>
                <w:p w14:paraId="33ABF45B">
                  <w:pPr>
                    <w:keepNext w:val="0"/>
                    <w:keepLines w:val="0"/>
                    <w:pageBreakBefore w:val="0"/>
                    <w:suppressLineNumbers w:val="0"/>
                    <w:kinsoku/>
                    <w:overflowPunct/>
                    <w:topLinePunct w:val="0"/>
                    <w:bidi w:val="0"/>
                    <w:spacing w:before="0" w:beforeAutospacing="0" w:after="0" w:afterAutospacing="0" w:line="360" w:lineRule="exact"/>
                    <w:ind w:left="0" w:right="0"/>
                    <w:rPr>
                      <w:rFonts w:hint="default" w:ascii="Times New Roman" w:hAnsi="Times New Roman" w:eastAsia="Times New Roman" w:cs="Times New Roman"/>
                      <w:sz w:val="20"/>
                      <w:szCs w:val="20"/>
                    </w:rPr>
                  </w:pPr>
                </w:p>
              </w:tc>
              <w:tc>
                <w:tcPr>
                  <w:tcW w:w="2590" w:type="dxa"/>
                  <w:tcBorders>
                    <w:tl2br w:val="nil"/>
                    <w:tr2bl w:val="nil"/>
                  </w:tcBorders>
                  <w:shd w:val="clear" w:color="auto" w:fill="auto"/>
                  <w:tcMar>
                    <w:left w:w="51" w:type="dxa"/>
                    <w:right w:w="51" w:type="dxa"/>
                  </w:tcMar>
                  <w:vAlign w:val="center"/>
                </w:tcPr>
                <w:p w14:paraId="3A04449D">
                  <w:pPr>
                    <w:keepNext w:val="0"/>
                    <w:keepLines w:val="0"/>
                    <w:pageBreakBefore w:val="0"/>
                    <w:widowControl/>
                    <w:suppressLineNumbers w:val="0"/>
                    <w:kinsoku/>
                    <w:overflowPunct/>
                    <w:topLinePunct w:val="0"/>
                    <w:bidi w:val="0"/>
                    <w:adjustRightInd w:val="0"/>
                    <w:snapToGrid w:val="0"/>
                    <w:spacing w:before="0" w:beforeAutospacing="0" w:after="0" w:afterAutospacing="0" w:line="360" w:lineRule="exact"/>
                    <w:ind w:left="0" w:right="0"/>
                    <w:jc w:val="both"/>
                    <w:rPr>
                      <w:rFonts w:hint="default"/>
                      <w:kern w:val="24"/>
                      <w:lang w:val="en-US"/>
                    </w:rPr>
                  </w:pPr>
                  <w:r>
                    <w:rPr>
                      <w:rFonts w:hint="eastAsia" w:ascii="Times New Roman" w:hAnsi="Times New Roman" w:eastAsia="宋体" w:cs="宋体"/>
                      <w:kern w:val="24"/>
                      <w:sz w:val="21"/>
                      <w:szCs w:val="21"/>
                      <w:lang w:val="en-US" w:eastAsia="zh-CN" w:bidi="ar"/>
                    </w:rPr>
                    <w:t>新建、扩建、搬迁的化学原料药和生物生化制品建设项目应位于产业园区，并符合园区产业定位、园区规划、规划环评及审查意见要求。</w:t>
                  </w:r>
                </w:p>
              </w:tc>
              <w:tc>
                <w:tcPr>
                  <w:tcW w:w="1801" w:type="dxa"/>
                  <w:tcBorders>
                    <w:tl2br w:val="nil"/>
                    <w:tr2bl w:val="nil"/>
                  </w:tcBorders>
                  <w:shd w:val="clear" w:color="auto" w:fill="auto"/>
                  <w:tcMar>
                    <w:left w:w="51" w:type="dxa"/>
                    <w:right w:w="51" w:type="dxa"/>
                  </w:tcMar>
                  <w:vAlign w:val="center"/>
                </w:tcPr>
                <w:p w14:paraId="101919E0">
                  <w:pPr>
                    <w:keepNext w:val="0"/>
                    <w:keepLines w:val="0"/>
                    <w:pageBreakBefore w:val="0"/>
                    <w:widowControl/>
                    <w:suppressLineNumbers w:val="0"/>
                    <w:kinsoku/>
                    <w:overflowPunct/>
                    <w:topLinePunct w:val="0"/>
                    <w:bidi w:val="0"/>
                    <w:adjustRightInd w:val="0"/>
                    <w:snapToGrid w:val="0"/>
                    <w:spacing w:before="0" w:beforeAutospacing="0" w:after="0" w:afterAutospacing="0" w:line="360" w:lineRule="exact"/>
                    <w:ind w:left="0" w:right="0"/>
                    <w:jc w:val="both"/>
                    <w:rPr>
                      <w:rFonts w:hint="default"/>
                      <w:kern w:val="24"/>
                      <w:lang w:val="en-US" w:bidi="ar"/>
                    </w:rPr>
                  </w:pPr>
                  <w:r>
                    <w:rPr>
                      <w:rFonts w:hint="eastAsia" w:ascii="Times New Roman" w:hAnsi="Times New Roman" w:eastAsia="宋体" w:cs="宋体"/>
                      <w:kern w:val="24"/>
                      <w:sz w:val="21"/>
                      <w:szCs w:val="21"/>
                      <w:lang w:val="en-US" w:eastAsia="zh-CN" w:bidi="ar"/>
                    </w:rPr>
                    <w:t>不属于化学原料药和生物生化制品建设项目。</w:t>
                  </w:r>
                </w:p>
              </w:tc>
              <w:tc>
                <w:tcPr>
                  <w:tcW w:w="620" w:type="dxa"/>
                  <w:tcBorders>
                    <w:tl2br w:val="nil"/>
                    <w:tr2bl w:val="nil"/>
                  </w:tcBorders>
                  <w:shd w:val="clear" w:color="auto" w:fill="auto"/>
                  <w:tcMar>
                    <w:left w:w="51" w:type="dxa"/>
                    <w:right w:w="51" w:type="dxa"/>
                  </w:tcMar>
                  <w:vAlign w:val="center"/>
                </w:tcPr>
                <w:p w14:paraId="21DD7A04">
                  <w:pPr>
                    <w:keepNext w:val="0"/>
                    <w:keepLines w:val="0"/>
                    <w:pageBreakBefore w:val="0"/>
                    <w:widowControl/>
                    <w:suppressLineNumbers w:val="0"/>
                    <w:kinsoku/>
                    <w:overflowPunct/>
                    <w:topLinePunct w:val="0"/>
                    <w:bidi w:val="0"/>
                    <w:adjustRightInd w:val="0"/>
                    <w:snapToGrid w:val="0"/>
                    <w:spacing w:before="0" w:beforeAutospacing="0" w:after="0" w:afterAutospacing="0" w:line="360" w:lineRule="exact"/>
                    <w:ind w:left="0" w:right="0"/>
                    <w:jc w:val="center"/>
                    <w:rPr>
                      <w:rFonts w:hint="default"/>
                      <w:kern w:val="24"/>
                      <w:lang w:val="en-US"/>
                    </w:rPr>
                  </w:pPr>
                  <w:r>
                    <w:rPr>
                      <w:rFonts w:hint="eastAsia" w:cs="宋体"/>
                      <w:kern w:val="24"/>
                      <w:sz w:val="21"/>
                      <w:szCs w:val="21"/>
                      <w:lang w:val="en-US" w:eastAsia="zh-CN" w:bidi="ar"/>
                    </w:rPr>
                    <w:t>/</w:t>
                  </w:r>
                </w:p>
              </w:tc>
            </w:tr>
            <w:tr w14:paraId="4C09B2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jc w:val="center"/>
              </w:trPr>
              <w:tc>
                <w:tcPr>
                  <w:tcW w:w="623" w:type="dxa"/>
                  <w:vMerge w:val="continue"/>
                  <w:tcBorders>
                    <w:tl2br w:val="nil"/>
                    <w:tr2bl w:val="nil"/>
                  </w:tcBorders>
                  <w:shd w:val="clear" w:color="auto" w:fill="auto"/>
                  <w:tcMar>
                    <w:left w:w="51" w:type="dxa"/>
                    <w:right w:w="51" w:type="dxa"/>
                  </w:tcMar>
                  <w:vAlign w:val="center"/>
                </w:tcPr>
                <w:p w14:paraId="620F691E">
                  <w:pPr>
                    <w:keepNext w:val="0"/>
                    <w:keepLines w:val="0"/>
                    <w:pageBreakBefore w:val="0"/>
                    <w:suppressLineNumbers w:val="0"/>
                    <w:kinsoku/>
                    <w:overflowPunct/>
                    <w:topLinePunct w:val="0"/>
                    <w:bidi w:val="0"/>
                    <w:spacing w:before="0" w:beforeAutospacing="0" w:after="0" w:afterAutospacing="0" w:line="360" w:lineRule="exact"/>
                    <w:ind w:left="0" w:right="0"/>
                    <w:rPr>
                      <w:rFonts w:hint="default" w:ascii="Times New Roman" w:hAnsi="Times New Roman" w:eastAsia="Times New Roman" w:cs="Times New Roman"/>
                      <w:sz w:val="20"/>
                      <w:szCs w:val="20"/>
                    </w:rPr>
                  </w:pPr>
                </w:p>
              </w:tc>
              <w:tc>
                <w:tcPr>
                  <w:tcW w:w="1134" w:type="dxa"/>
                  <w:vMerge w:val="continue"/>
                  <w:tcBorders>
                    <w:tl2br w:val="nil"/>
                    <w:tr2bl w:val="nil"/>
                  </w:tcBorders>
                  <w:shd w:val="clear" w:color="auto" w:fill="auto"/>
                  <w:tcMar>
                    <w:left w:w="51" w:type="dxa"/>
                    <w:right w:w="51" w:type="dxa"/>
                  </w:tcMar>
                  <w:vAlign w:val="center"/>
                </w:tcPr>
                <w:p w14:paraId="5BA1B1A5">
                  <w:pPr>
                    <w:keepNext w:val="0"/>
                    <w:keepLines w:val="0"/>
                    <w:pageBreakBefore w:val="0"/>
                    <w:suppressLineNumbers w:val="0"/>
                    <w:kinsoku/>
                    <w:overflowPunct/>
                    <w:topLinePunct w:val="0"/>
                    <w:bidi w:val="0"/>
                    <w:spacing w:before="0" w:beforeAutospacing="0" w:after="0" w:afterAutospacing="0" w:line="360" w:lineRule="exact"/>
                    <w:ind w:left="0" w:right="0"/>
                    <w:rPr>
                      <w:rFonts w:hint="default" w:ascii="Times New Roman" w:hAnsi="Times New Roman" w:eastAsia="Times New Roman" w:cs="Times New Roman"/>
                      <w:sz w:val="20"/>
                      <w:szCs w:val="20"/>
                    </w:rPr>
                  </w:pPr>
                </w:p>
              </w:tc>
              <w:tc>
                <w:tcPr>
                  <w:tcW w:w="2590" w:type="dxa"/>
                  <w:tcBorders>
                    <w:tl2br w:val="nil"/>
                    <w:tr2bl w:val="nil"/>
                  </w:tcBorders>
                  <w:shd w:val="clear" w:color="auto" w:fill="auto"/>
                  <w:tcMar>
                    <w:left w:w="51" w:type="dxa"/>
                    <w:right w:w="51" w:type="dxa"/>
                  </w:tcMar>
                  <w:vAlign w:val="center"/>
                </w:tcPr>
                <w:p w14:paraId="553F0D20">
                  <w:pPr>
                    <w:keepNext w:val="0"/>
                    <w:keepLines w:val="0"/>
                    <w:pageBreakBefore w:val="0"/>
                    <w:widowControl w:val="0"/>
                    <w:suppressLineNumbers w:val="0"/>
                    <w:kinsoku/>
                    <w:overflowPunct/>
                    <w:topLinePunct w:val="0"/>
                    <w:autoSpaceDE w:val="0"/>
                    <w:autoSpaceDN w:val="0"/>
                    <w:bidi w:val="0"/>
                    <w:adjustRightInd w:val="0"/>
                    <w:snapToGrid w:val="0"/>
                    <w:spacing w:before="0" w:beforeAutospacing="0" w:after="0" w:afterAutospacing="0" w:line="360" w:lineRule="exact"/>
                    <w:ind w:left="0" w:right="0"/>
                    <w:jc w:val="both"/>
                    <w:rPr>
                      <w:rFonts w:hint="default"/>
                      <w:kern w:val="24"/>
                      <w:highlight w:val="yellow"/>
                      <w:lang w:val="en-US"/>
                    </w:rPr>
                  </w:pPr>
                  <w:r>
                    <w:rPr>
                      <w:rFonts w:hint="eastAsia" w:ascii="Times New Roman" w:hAnsi="Times New Roman" w:eastAsia="宋体" w:cs="宋体"/>
                      <w:kern w:val="24"/>
                      <w:sz w:val="21"/>
                      <w:szCs w:val="21"/>
                      <w:lang w:val="en-US" w:eastAsia="zh-CN" w:bidi="ar"/>
                    </w:rPr>
                    <w:t>鼓励发展主导产业，完善产业链条，严格控制非主导产业。</w:t>
                  </w:r>
                </w:p>
              </w:tc>
              <w:tc>
                <w:tcPr>
                  <w:tcW w:w="1801" w:type="dxa"/>
                  <w:tcBorders>
                    <w:tl2br w:val="nil"/>
                    <w:tr2bl w:val="nil"/>
                  </w:tcBorders>
                  <w:shd w:val="clear" w:color="auto" w:fill="auto"/>
                  <w:tcMar>
                    <w:left w:w="51" w:type="dxa"/>
                    <w:right w:w="51" w:type="dxa"/>
                  </w:tcMar>
                  <w:vAlign w:val="center"/>
                </w:tcPr>
                <w:p w14:paraId="0023E5BB">
                  <w:pPr>
                    <w:keepNext w:val="0"/>
                    <w:keepLines w:val="0"/>
                    <w:pageBreakBefore w:val="0"/>
                    <w:widowControl/>
                    <w:suppressLineNumbers w:val="0"/>
                    <w:kinsoku/>
                    <w:overflowPunct/>
                    <w:topLinePunct w:val="0"/>
                    <w:bidi w:val="0"/>
                    <w:adjustRightInd w:val="0"/>
                    <w:snapToGrid w:val="0"/>
                    <w:spacing w:before="0" w:beforeAutospacing="0" w:after="0" w:afterAutospacing="0" w:line="360" w:lineRule="exact"/>
                    <w:ind w:left="0" w:right="0"/>
                    <w:jc w:val="center"/>
                    <w:rPr>
                      <w:rFonts w:hint="default"/>
                      <w:kern w:val="24"/>
                      <w:lang w:val="en-US" w:bidi="ar"/>
                    </w:rPr>
                  </w:pPr>
                  <w:r>
                    <w:rPr>
                      <w:rFonts w:hint="eastAsia" w:ascii="Times New Roman" w:hAnsi="Times New Roman" w:eastAsia="宋体" w:cs="宋体"/>
                      <w:kern w:val="24"/>
                      <w:sz w:val="21"/>
                      <w:szCs w:val="21"/>
                      <w:lang w:val="en-US" w:eastAsia="zh-CN" w:bidi="ar"/>
                    </w:rPr>
                    <w:t>不涉及。</w:t>
                  </w:r>
                </w:p>
              </w:tc>
              <w:tc>
                <w:tcPr>
                  <w:tcW w:w="620" w:type="dxa"/>
                  <w:tcBorders>
                    <w:tl2br w:val="nil"/>
                    <w:tr2bl w:val="nil"/>
                  </w:tcBorders>
                  <w:shd w:val="clear" w:color="auto" w:fill="auto"/>
                  <w:tcMar>
                    <w:left w:w="51" w:type="dxa"/>
                    <w:right w:w="51" w:type="dxa"/>
                  </w:tcMar>
                  <w:vAlign w:val="center"/>
                </w:tcPr>
                <w:p w14:paraId="75D4E57B">
                  <w:pPr>
                    <w:keepNext w:val="0"/>
                    <w:keepLines w:val="0"/>
                    <w:pageBreakBefore w:val="0"/>
                    <w:widowControl/>
                    <w:suppressLineNumbers w:val="0"/>
                    <w:kinsoku/>
                    <w:overflowPunct/>
                    <w:topLinePunct w:val="0"/>
                    <w:bidi w:val="0"/>
                    <w:adjustRightInd w:val="0"/>
                    <w:snapToGrid w:val="0"/>
                    <w:spacing w:before="0" w:beforeAutospacing="0" w:after="0" w:afterAutospacing="0" w:line="360" w:lineRule="exact"/>
                    <w:ind w:left="0" w:right="0"/>
                    <w:jc w:val="center"/>
                    <w:rPr>
                      <w:rFonts w:hint="default"/>
                      <w:kern w:val="24"/>
                      <w:lang w:val="en-US"/>
                    </w:rPr>
                  </w:pPr>
                  <w:r>
                    <w:rPr>
                      <w:rFonts w:hint="eastAsia" w:cs="宋体"/>
                      <w:kern w:val="24"/>
                      <w:sz w:val="21"/>
                      <w:szCs w:val="21"/>
                      <w:lang w:val="en-US" w:eastAsia="zh-CN" w:bidi="ar"/>
                    </w:rPr>
                    <w:t>/</w:t>
                  </w:r>
                </w:p>
              </w:tc>
            </w:tr>
            <w:tr w14:paraId="0EFA72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23" w:type="dxa"/>
                  <w:bottom w:w="0" w:type="dxa"/>
                  <w:right w:w="23" w:type="dxa"/>
                </w:tblCellMar>
              </w:tblPrEx>
              <w:trPr>
                <w:jc w:val="center"/>
              </w:trPr>
              <w:tc>
                <w:tcPr>
                  <w:tcW w:w="623" w:type="dxa"/>
                  <w:vMerge w:val="continue"/>
                  <w:tcBorders>
                    <w:tl2br w:val="nil"/>
                    <w:tr2bl w:val="nil"/>
                  </w:tcBorders>
                  <w:shd w:val="clear" w:color="auto" w:fill="auto"/>
                  <w:tcMar>
                    <w:left w:w="51" w:type="dxa"/>
                    <w:right w:w="51" w:type="dxa"/>
                  </w:tcMar>
                  <w:vAlign w:val="center"/>
                </w:tcPr>
                <w:p w14:paraId="4E5413B1">
                  <w:pPr>
                    <w:keepNext w:val="0"/>
                    <w:keepLines w:val="0"/>
                    <w:pageBreakBefore w:val="0"/>
                    <w:suppressLineNumbers w:val="0"/>
                    <w:kinsoku/>
                    <w:overflowPunct/>
                    <w:topLinePunct w:val="0"/>
                    <w:bidi w:val="0"/>
                    <w:spacing w:before="0" w:beforeAutospacing="0" w:after="0" w:afterAutospacing="0" w:line="360" w:lineRule="exact"/>
                    <w:ind w:left="0" w:right="0"/>
                    <w:rPr>
                      <w:rFonts w:hint="default" w:ascii="Times New Roman" w:hAnsi="Times New Roman" w:eastAsia="Times New Roman" w:cs="Times New Roman"/>
                      <w:sz w:val="20"/>
                      <w:szCs w:val="20"/>
                    </w:rPr>
                  </w:pPr>
                </w:p>
              </w:tc>
              <w:tc>
                <w:tcPr>
                  <w:tcW w:w="1134" w:type="dxa"/>
                  <w:vMerge w:val="continue"/>
                  <w:tcBorders>
                    <w:tl2br w:val="nil"/>
                    <w:tr2bl w:val="nil"/>
                  </w:tcBorders>
                  <w:shd w:val="clear" w:color="auto" w:fill="auto"/>
                  <w:tcMar>
                    <w:left w:w="51" w:type="dxa"/>
                    <w:right w:w="51" w:type="dxa"/>
                  </w:tcMar>
                  <w:vAlign w:val="center"/>
                </w:tcPr>
                <w:p w14:paraId="46647115">
                  <w:pPr>
                    <w:keepNext w:val="0"/>
                    <w:keepLines w:val="0"/>
                    <w:pageBreakBefore w:val="0"/>
                    <w:suppressLineNumbers w:val="0"/>
                    <w:kinsoku/>
                    <w:overflowPunct/>
                    <w:topLinePunct w:val="0"/>
                    <w:bidi w:val="0"/>
                    <w:spacing w:before="0" w:beforeAutospacing="0" w:after="0" w:afterAutospacing="0" w:line="360" w:lineRule="exact"/>
                    <w:ind w:left="0" w:right="0"/>
                    <w:rPr>
                      <w:rFonts w:hint="default" w:ascii="Times New Roman" w:hAnsi="Times New Roman" w:eastAsia="Times New Roman" w:cs="Times New Roman"/>
                      <w:sz w:val="20"/>
                      <w:szCs w:val="20"/>
                    </w:rPr>
                  </w:pPr>
                </w:p>
              </w:tc>
              <w:tc>
                <w:tcPr>
                  <w:tcW w:w="2590" w:type="dxa"/>
                  <w:tcBorders>
                    <w:tl2br w:val="nil"/>
                    <w:tr2bl w:val="nil"/>
                  </w:tcBorders>
                  <w:shd w:val="clear" w:color="auto" w:fill="auto"/>
                  <w:tcMar>
                    <w:left w:w="51" w:type="dxa"/>
                    <w:right w:w="51" w:type="dxa"/>
                  </w:tcMar>
                  <w:vAlign w:val="center"/>
                </w:tcPr>
                <w:p w14:paraId="5713CD90">
                  <w:pPr>
                    <w:keepNext w:val="0"/>
                    <w:keepLines w:val="0"/>
                    <w:pageBreakBefore w:val="0"/>
                    <w:widowControl w:val="0"/>
                    <w:suppressLineNumbers w:val="0"/>
                    <w:kinsoku/>
                    <w:overflowPunct/>
                    <w:topLinePunct w:val="0"/>
                    <w:autoSpaceDE w:val="0"/>
                    <w:autoSpaceDN w:val="0"/>
                    <w:bidi w:val="0"/>
                    <w:adjustRightInd w:val="0"/>
                    <w:snapToGrid w:val="0"/>
                    <w:spacing w:before="0" w:beforeAutospacing="0" w:after="0" w:afterAutospacing="0" w:line="360" w:lineRule="exact"/>
                    <w:ind w:left="0" w:right="0"/>
                    <w:jc w:val="both"/>
                    <w:rPr>
                      <w:rFonts w:hint="default"/>
                      <w:kern w:val="24"/>
                      <w:lang w:val="en-US"/>
                    </w:rPr>
                  </w:pPr>
                  <w:r>
                    <w:rPr>
                      <w:rFonts w:hint="eastAsia" w:ascii="Times New Roman" w:hAnsi="Times New Roman" w:eastAsia="宋体" w:cs="宋体"/>
                      <w:kern w:val="24"/>
                      <w:sz w:val="21"/>
                      <w:szCs w:val="21"/>
                      <w:lang w:val="en-US" w:eastAsia="zh-CN" w:bidi="ar"/>
                    </w:rPr>
                    <w:t>禁止入驻煤化工、石油化工、制浆造纸、水泥、陶瓷、农药、制革及毛皮鞣制等高水耗、高能耗、污染排放量较大的行业。</w:t>
                  </w:r>
                </w:p>
              </w:tc>
              <w:tc>
                <w:tcPr>
                  <w:tcW w:w="1801" w:type="dxa"/>
                  <w:tcBorders>
                    <w:tl2br w:val="nil"/>
                    <w:tr2bl w:val="nil"/>
                  </w:tcBorders>
                  <w:shd w:val="clear" w:color="auto" w:fill="auto"/>
                  <w:tcMar>
                    <w:left w:w="51" w:type="dxa"/>
                    <w:right w:w="51" w:type="dxa"/>
                  </w:tcMar>
                  <w:vAlign w:val="center"/>
                </w:tcPr>
                <w:p w14:paraId="50EE8268">
                  <w:pPr>
                    <w:keepNext w:val="0"/>
                    <w:keepLines w:val="0"/>
                    <w:pageBreakBefore w:val="0"/>
                    <w:widowControl w:val="0"/>
                    <w:suppressLineNumbers w:val="0"/>
                    <w:kinsoku/>
                    <w:overflowPunct/>
                    <w:topLinePunct w:val="0"/>
                    <w:autoSpaceDE w:val="0"/>
                    <w:autoSpaceDN w:val="0"/>
                    <w:bidi w:val="0"/>
                    <w:adjustRightInd w:val="0"/>
                    <w:snapToGrid w:val="0"/>
                    <w:spacing w:before="0" w:beforeAutospacing="0" w:after="0" w:afterAutospacing="0" w:line="360" w:lineRule="exact"/>
                    <w:ind w:left="0" w:right="0"/>
                    <w:jc w:val="center"/>
                    <w:rPr>
                      <w:rFonts w:hint="default"/>
                      <w:kern w:val="24"/>
                      <w:highlight w:val="yellow"/>
                      <w:lang w:val="en-US"/>
                    </w:rPr>
                  </w:pPr>
                  <w:r>
                    <w:rPr>
                      <w:rFonts w:hint="eastAsia" w:ascii="Times New Roman" w:hAnsi="Times New Roman" w:eastAsia="宋体" w:cs="宋体"/>
                      <w:kern w:val="24"/>
                      <w:sz w:val="21"/>
                      <w:szCs w:val="21"/>
                      <w:lang w:val="en-US" w:eastAsia="zh-CN" w:bidi="ar"/>
                    </w:rPr>
                    <w:t>不涉及。</w:t>
                  </w:r>
                </w:p>
              </w:tc>
              <w:tc>
                <w:tcPr>
                  <w:tcW w:w="620" w:type="dxa"/>
                  <w:tcBorders>
                    <w:tl2br w:val="nil"/>
                    <w:tr2bl w:val="nil"/>
                  </w:tcBorders>
                  <w:shd w:val="clear" w:color="auto" w:fill="auto"/>
                  <w:tcMar>
                    <w:left w:w="51" w:type="dxa"/>
                    <w:right w:w="51" w:type="dxa"/>
                  </w:tcMar>
                  <w:vAlign w:val="center"/>
                </w:tcPr>
                <w:p w14:paraId="32210ABE">
                  <w:pPr>
                    <w:keepNext w:val="0"/>
                    <w:keepLines w:val="0"/>
                    <w:pageBreakBefore w:val="0"/>
                    <w:widowControl w:val="0"/>
                    <w:suppressLineNumbers w:val="0"/>
                    <w:kinsoku/>
                    <w:overflowPunct/>
                    <w:topLinePunct w:val="0"/>
                    <w:autoSpaceDE w:val="0"/>
                    <w:autoSpaceDN w:val="0"/>
                    <w:bidi w:val="0"/>
                    <w:adjustRightInd w:val="0"/>
                    <w:snapToGrid w:val="0"/>
                    <w:spacing w:before="0" w:beforeAutospacing="0" w:after="0" w:afterAutospacing="0" w:line="360" w:lineRule="exact"/>
                    <w:ind w:left="0" w:right="0"/>
                    <w:jc w:val="center"/>
                    <w:rPr>
                      <w:rFonts w:hint="default"/>
                      <w:kern w:val="24"/>
                      <w:lang w:val="en-US"/>
                    </w:rPr>
                  </w:pPr>
                  <w:r>
                    <w:rPr>
                      <w:rFonts w:hint="eastAsia" w:cs="宋体"/>
                      <w:kern w:val="24"/>
                      <w:sz w:val="21"/>
                      <w:szCs w:val="21"/>
                      <w:lang w:val="en-US" w:eastAsia="zh-CN" w:bidi="ar"/>
                    </w:rPr>
                    <w:t>/</w:t>
                  </w:r>
                </w:p>
              </w:tc>
            </w:tr>
            <w:tr w14:paraId="5C1BFE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jc w:val="center"/>
              </w:trPr>
              <w:tc>
                <w:tcPr>
                  <w:tcW w:w="623" w:type="dxa"/>
                  <w:vMerge w:val="continue"/>
                  <w:tcBorders>
                    <w:tl2br w:val="nil"/>
                    <w:tr2bl w:val="nil"/>
                  </w:tcBorders>
                  <w:shd w:val="clear" w:color="auto" w:fill="auto"/>
                  <w:tcMar>
                    <w:left w:w="51" w:type="dxa"/>
                    <w:right w:w="51" w:type="dxa"/>
                  </w:tcMar>
                  <w:vAlign w:val="center"/>
                </w:tcPr>
                <w:p w14:paraId="07BF26F2">
                  <w:pPr>
                    <w:keepNext w:val="0"/>
                    <w:keepLines w:val="0"/>
                    <w:pageBreakBefore w:val="0"/>
                    <w:suppressLineNumbers w:val="0"/>
                    <w:kinsoku/>
                    <w:overflowPunct/>
                    <w:topLinePunct w:val="0"/>
                    <w:bidi w:val="0"/>
                    <w:spacing w:before="0" w:beforeAutospacing="0" w:after="0" w:afterAutospacing="0" w:line="360" w:lineRule="exact"/>
                    <w:ind w:left="0" w:right="0"/>
                    <w:rPr>
                      <w:rFonts w:hint="default" w:ascii="Times New Roman" w:hAnsi="Times New Roman" w:eastAsia="Times New Roman" w:cs="Times New Roman"/>
                      <w:sz w:val="20"/>
                      <w:szCs w:val="20"/>
                    </w:rPr>
                  </w:pPr>
                </w:p>
              </w:tc>
              <w:tc>
                <w:tcPr>
                  <w:tcW w:w="1134" w:type="dxa"/>
                  <w:vMerge w:val="continue"/>
                  <w:tcBorders>
                    <w:tl2br w:val="nil"/>
                    <w:tr2bl w:val="nil"/>
                  </w:tcBorders>
                  <w:shd w:val="clear" w:color="auto" w:fill="auto"/>
                  <w:tcMar>
                    <w:left w:w="51" w:type="dxa"/>
                    <w:right w:w="51" w:type="dxa"/>
                  </w:tcMar>
                  <w:vAlign w:val="center"/>
                </w:tcPr>
                <w:p w14:paraId="23494182">
                  <w:pPr>
                    <w:keepNext w:val="0"/>
                    <w:keepLines w:val="0"/>
                    <w:pageBreakBefore w:val="0"/>
                    <w:suppressLineNumbers w:val="0"/>
                    <w:kinsoku/>
                    <w:overflowPunct/>
                    <w:topLinePunct w:val="0"/>
                    <w:bidi w:val="0"/>
                    <w:spacing w:before="0" w:beforeAutospacing="0" w:after="0" w:afterAutospacing="0" w:line="360" w:lineRule="exact"/>
                    <w:ind w:left="0" w:right="0"/>
                    <w:rPr>
                      <w:rFonts w:hint="default" w:ascii="Times New Roman" w:hAnsi="Times New Roman" w:eastAsia="Times New Roman" w:cs="Times New Roman"/>
                      <w:sz w:val="20"/>
                      <w:szCs w:val="20"/>
                    </w:rPr>
                  </w:pPr>
                </w:p>
              </w:tc>
              <w:tc>
                <w:tcPr>
                  <w:tcW w:w="2590" w:type="dxa"/>
                  <w:tcBorders>
                    <w:tl2br w:val="nil"/>
                    <w:tr2bl w:val="nil"/>
                  </w:tcBorders>
                  <w:shd w:val="clear" w:color="auto" w:fill="auto"/>
                  <w:tcMar>
                    <w:left w:w="51" w:type="dxa"/>
                    <w:right w:w="51" w:type="dxa"/>
                  </w:tcMar>
                  <w:vAlign w:val="center"/>
                </w:tcPr>
                <w:p w14:paraId="5CA7B44B">
                  <w:pPr>
                    <w:keepNext w:val="0"/>
                    <w:keepLines w:val="0"/>
                    <w:pageBreakBefore w:val="0"/>
                    <w:widowControl w:val="0"/>
                    <w:suppressLineNumbers w:val="0"/>
                    <w:kinsoku/>
                    <w:overflowPunct/>
                    <w:topLinePunct w:val="0"/>
                    <w:autoSpaceDE w:val="0"/>
                    <w:autoSpaceDN w:val="0"/>
                    <w:bidi w:val="0"/>
                    <w:adjustRightInd w:val="0"/>
                    <w:snapToGrid w:val="0"/>
                    <w:spacing w:before="0" w:beforeAutospacing="0" w:after="0" w:afterAutospacing="0" w:line="360" w:lineRule="exact"/>
                    <w:ind w:left="0" w:right="0"/>
                    <w:jc w:val="both"/>
                    <w:rPr>
                      <w:rFonts w:hint="default"/>
                      <w:kern w:val="24"/>
                      <w:lang w:val="en-US"/>
                    </w:rPr>
                  </w:pPr>
                  <w:r>
                    <w:rPr>
                      <w:rFonts w:hint="eastAsia" w:ascii="Times New Roman" w:hAnsi="Times New Roman" w:eastAsia="宋体" w:cs="宋体"/>
                      <w:kern w:val="24"/>
                      <w:sz w:val="21"/>
                      <w:szCs w:val="21"/>
                      <w:lang w:val="en-US" w:eastAsia="zh-CN" w:bidi="ar"/>
                    </w:rPr>
                    <w:t>新建、改建、扩建</w:t>
                  </w:r>
                  <w:r>
                    <w:rPr>
                      <w:rFonts w:hint="eastAsia" w:ascii="宋体" w:hAnsi="宋体" w:eastAsia="宋体" w:cs="宋体"/>
                      <w:kern w:val="24"/>
                      <w:sz w:val="21"/>
                      <w:szCs w:val="21"/>
                      <w:lang w:val="en-US" w:eastAsia="zh-CN" w:bidi="ar"/>
                    </w:rPr>
                    <w:t>“两高”项目须符合生态环境保护法律</w:t>
                  </w:r>
                  <w:r>
                    <w:rPr>
                      <w:rFonts w:hint="eastAsia" w:ascii="Times New Roman" w:hAnsi="Times New Roman" w:eastAsia="宋体" w:cs="宋体"/>
                      <w:kern w:val="24"/>
                      <w:sz w:val="21"/>
                      <w:szCs w:val="21"/>
                      <w:lang w:val="en-US" w:eastAsia="zh-CN" w:bidi="ar"/>
                    </w:rPr>
                    <w:t>法规和相关法定规划，满足重点污染物排放总量控制、碳排放达峰目标、生态环境准入清单、相关规划环评和相应行业建设项目环境准入条件、环评文件审批原则要求。</w:t>
                  </w:r>
                </w:p>
              </w:tc>
              <w:tc>
                <w:tcPr>
                  <w:tcW w:w="1801" w:type="dxa"/>
                  <w:tcBorders>
                    <w:tl2br w:val="nil"/>
                    <w:tr2bl w:val="nil"/>
                  </w:tcBorders>
                  <w:shd w:val="clear" w:color="auto" w:fill="auto"/>
                  <w:tcMar>
                    <w:left w:w="51" w:type="dxa"/>
                    <w:right w:w="51" w:type="dxa"/>
                  </w:tcMar>
                  <w:vAlign w:val="center"/>
                </w:tcPr>
                <w:p w14:paraId="16DB5C5E">
                  <w:pPr>
                    <w:keepNext w:val="0"/>
                    <w:keepLines w:val="0"/>
                    <w:pageBreakBefore w:val="0"/>
                    <w:widowControl w:val="0"/>
                    <w:suppressLineNumbers w:val="0"/>
                    <w:kinsoku/>
                    <w:overflowPunct/>
                    <w:topLinePunct w:val="0"/>
                    <w:autoSpaceDE w:val="0"/>
                    <w:autoSpaceDN w:val="0"/>
                    <w:bidi w:val="0"/>
                    <w:adjustRightInd w:val="0"/>
                    <w:snapToGrid w:val="0"/>
                    <w:spacing w:before="0" w:beforeAutospacing="0" w:after="0" w:afterAutospacing="0" w:line="360" w:lineRule="exact"/>
                    <w:ind w:left="0" w:right="0"/>
                    <w:jc w:val="both"/>
                    <w:rPr>
                      <w:rFonts w:hint="default"/>
                      <w:kern w:val="24"/>
                      <w:highlight w:val="yellow"/>
                      <w:lang w:val="en-US"/>
                    </w:rPr>
                  </w:pPr>
                  <w:r>
                    <w:rPr>
                      <w:rFonts w:hint="eastAsia" w:ascii="Times New Roman" w:hAnsi="Times New Roman" w:eastAsia="宋体" w:cs="宋体"/>
                      <w:kern w:val="24"/>
                      <w:sz w:val="21"/>
                      <w:szCs w:val="21"/>
                      <w:lang w:val="en-US" w:eastAsia="zh-CN" w:bidi="ar"/>
                    </w:rPr>
                    <w:t>本项目不属于“两高”项目。</w:t>
                  </w:r>
                </w:p>
              </w:tc>
              <w:tc>
                <w:tcPr>
                  <w:tcW w:w="620" w:type="dxa"/>
                  <w:tcBorders>
                    <w:tl2br w:val="nil"/>
                    <w:tr2bl w:val="nil"/>
                  </w:tcBorders>
                  <w:shd w:val="clear" w:color="auto" w:fill="auto"/>
                  <w:tcMar>
                    <w:left w:w="51" w:type="dxa"/>
                    <w:right w:w="51" w:type="dxa"/>
                  </w:tcMar>
                  <w:vAlign w:val="center"/>
                </w:tcPr>
                <w:p w14:paraId="724B1A9F">
                  <w:pPr>
                    <w:keepNext w:val="0"/>
                    <w:keepLines w:val="0"/>
                    <w:pageBreakBefore w:val="0"/>
                    <w:widowControl w:val="0"/>
                    <w:suppressLineNumbers w:val="0"/>
                    <w:kinsoku/>
                    <w:overflowPunct/>
                    <w:topLinePunct w:val="0"/>
                    <w:autoSpaceDE w:val="0"/>
                    <w:autoSpaceDN w:val="0"/>
                    <w:bidi w:val="0"/>
                    <w:adjustRightInd w:val="0"/>
                    <w:snapToGrid w:val="0"/>
                    <w:spacing w:before="0" w:beforeAutospacing="0" w:after="0" w:afterAutospacing="0" w:line="360" w:lineRule="exact"/>
                    <w:ind w:left="0" w:right="0"/>
                    <w:jc w:val="center"/>
                    <w:rPr>
                      <w:rFonts w:hint="default"/>
                      <w:kern w:val="24"/>
                      <w:lang w:val="en-US"/>
                    </w:rPr>
                  </w:pPr>
                  <w:r>
                    <w:rPr>
                      <w:rFonts w:hint="eastAsia" w:cs="宋体"/>
                      <w:kern w:val="24"/>
                      <w:sz w:val="21"/>
                      <w:szCs w:val="21"/>
                      <w:lang w:val="en-US" w:eastAsia="zh-CN" w:bidi="ar"/>
                    </w:rPr>
                    <w:t>/</w:t>
                  </w:r>
                </w:p>
              </w:tc>
            </w:tr>
            <w:tr w14:paraId="6BD40E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jc w:val="center"/>
              </w:trPr>
              <w:tc>
                <w:tcPr>
                  <w:tcW w:w="623" w:type="dxa"/>
                  <w:vMerge w:val="continue"/>
                  <w:tcBorders>
                    <w:tl2br w:val="nil"/>
                    <w:tr2bl w:val="nil"/>
                  </w:tcBorders>
                  <w:shd w:val="clear" w:color="auto" w:fill="auto"/>
                  <w:tcMar>
                    <w:left w:w="51" w:type="dxa"/>
                    <w:right w:w="51" w:type="dxa"/>
                  </w:tcMar>
                  <w:vAlign w:val="center"/>
                </w:tcPr>
                <w:p w14:paraId="4481A680">
                  <w:pPr>
                    <w:keepNext w:val="0"/>
                    <w:keepLines w:val="0"/>
                    <w:pageBreakBefore w:val="0"/>
                    <w:suppressLineNumbers w:val="0"/>
                    <w:kinsoku/>
                    <w:overflowPunct/>
                    <w:topLinePunct w:val="0"/>
                    <w:bidi w:val="0"/>
                    <w:spacing w:before="0" w:beforeAutospacing="0" w:after="0" w:afterAutospacing="0" w:line="360" w:lineRule="exact"/>
                    <w:ind w:left="0" w:right="0"/>
                    <w:rPr>
                      <w:rFonts w:hint="default" w:ascii="Times New Roman" w:hAnsi="Times New Roman" w:eastAsia="Times New Roman" w:cs="Times New Roman"/>
                      <w:sz w:val="20"/>
                      <w:szCs w:val="20"/>
                    </w:rPr>
                  </w:pPr>
                </w:p>
              </w:tc>
              <w:tc>
                <w:tcPr>
                  <w:tcW w:w="1134" w:type="dxa"/>
                  <w:vMerge w:val="restart"/>
                  <w:tcBorders>
                    <w:tl2br w:val="nil"/>
                    <w:tr2bl w:val="nil"/>
                  </w:tcBorders>
                  <w:shd w:val="clear" w:color="auto" w:fill="auto"/>
                  <w:tcMar>
                    <w:left w:w="51" w:type="dxa"/>
                    <w:right w:w="51" w:type="dxa"/>
                  </w:tcMar>
                  <w:vAlign w:val="center"/>
                </w:tcPr>
                <w:p w14:paraId="076C9605">
                  <w:pPr>
                    <w:keepNext w:val="0"/>
                    <w:keepLines w:val="0"/>
                    <w:pageBreakBefore w:val="0"/>
                    <w:widowControl/>
                    <w:suppressLineNumbers w:val="0"/>
                    <w:kinsoku/>
                    <w:overflowPunct/>
                    <w:topLinePunct w:val="0"/>
                    <w:bidi w:val="0"/>
                    <w:adjustRightInd w:val="0"/>
                    <w:snapToGrid w:val="0"/>
                    <w:spacing w:before="0" w:beforeAutospacing="0" w:after="0" w:afterAutospacing="0" w:line="360" w:lineRule="exact"/>
                    <w:ind w:left="0" w:right="0"/>
                    <w:jc w:val="center"/>
                    <w:rPr>
                      <w:rFonts w:hint="default"/>
                      <w:kern w:val="24"/>
                      <w:lang w:val="en-US"/>
                    </w:rPr>
                  </w:pPr>
                  <w:r>
                    <w:rPr>
                      <w:rFonts w:hint="eastAsia" w:ascii="Times New Roman" w:hAnsi="Times New Roman" w:eastAsia="宋体" w:cs="宋体"/>
                      <w:kern w:val="24"/>
                      <w:sz w:val="21"/>
                      <w:szCs w:val="21"/>
                      <w:lang w:val="en-US" w:eastAsia="zh-CN" w:bidi="ar"/>
                    </w:rPr>
                    <w:t>污染物排放管控</w:t>
                  </w:r>
                </w:p>
              </w:tc>
              <w:tc>
                <w:tcPr>
                  <w:tcW w:w="2590" w:type="dxa"/>
                  <w:tcBorders>
                    <w:tl2br w:val="nil"/>
                    <w:tr2bl w:val="nil"/>
                  </w:tcBorders>
                  <w:shd w:val="clear" w:color="auto" w:fill="auto"/>
                  <w:tcMar>
                    <w:left w:w="51" w:type="dxa"/>
                    <w:right w:w="51" w:type="dxa"/>
                  </w:tcMar>
                  <w:vAlign w:val="center"/>
                </w:tcPr>
                <w:p w14:paraId="4A9B196F">
                  <w:pPr>
                    <w:keepNext w:val="0"/>
                    <w:keepLines w:val="0"/>
                    <w:pageBreakBefore w:val="0"/>
                    <w:widowControl/>
                    <w:suppressLineNumbers w:val="0"/>
                    <w:kinsoku/>
                    <w:overflowPunct/>
                    <w:topLinePunct w:val="0"/>
                    <w:bidi w:val="0"/>
                    <w:adjustRightInd w:val="0"/>
                    <w:snapToGrid w:val="0"/>
                    <w:spacing w:before="0" w:beforeAutospacing="0" w:after="0" w:afterAutospacing="0" w:line="360" w:lineRule="exact"/>
                    <w:ind w:left="0" w:right="0"/>
                    <w:jc w:val="both"/>
                    <w:rPr>
                      <w:rFonts w:hint="default"/>
                      <w:kern w:val="24"/>
                      <w:lang w:val="en-US"/>
                    </w:rPr>
                  </w:pPr>
                  <w:r>
                    <w:rPr>
                      <w:rFonts w:hint="eastAsia" w:ascii="Times New Roman" w:hAnsi="Times New Roman" w:eastAsia="宋体" w:cs="宋体"/>
                      <w:kern w:val="24"/>
                      <w:sz w:val="21"/>
                      <w:szCs w:val="21"/>
                      <w:lang w:val="en-US" w:eastAsia="zh-CN" w:bidi="ar"/>
                    </w:rPr>
                    <w:t>涉及挥发性有机物排放的建设项目，实行区域内</w:t>
                  </w:r>
                  <w:r>
                    <w:rPr>
                      <w:rFonts w:hint="default" w:ascii="Times New Roman" w:hAnsi="Times New Roman" w:eastAsia="宋体" w:cs="Times New Roman"/>
                      <w:kern w:val="24"/>
                      <w:sz w:val="21"/>
                      <w:szCs w:val="21"/>
                      <w:lang w:val="en-US" w:eastAsia="zh-CN" w:bidi="ar"/>
                    </w:rPr>
                    <w:t>VOCs</w:t>
                  </w:r>
                  <w:r>
                    <w:rPr>
                      <w:rFonts w:hint="eastAsia" w:ascii="Times New Roman" w:hAnsi="Times New Roman" w:eastAsia="宋体" w:cs="宋体"/>
                      <w:kern w:val="24"/>
                      <w:sz w:val="21"/>
                      <w:szCs w:val="21"/>
                      <w:lang w:val="en-US" w:eastAsia="zh-CN" w:bidi="ar"/>
                    </w:rPr>
                    <w:t>排放等量或倍量削减替代，否则禁止入驻。</w:t>
                  </w:r>
                </w:p>
              </w:tc>
              <w:tc>
                <w:tcPr>
                  <w:tcW w:w="1801" w:type="dxa"/>
                  <w:tcBorders>
                    <w:tl2br w:val="nil"/>
                    <w:tr2bl w:val="nil"/>
                  </w:tcBorders>
                  <w:shd w:val="clear" w:color="auto" w:fill="auto"/>
                  <w:tcMar>
                    <w:left w:w="51" w:type="dxa"/>
                    <w:right w:w="51" w:type="dxa"/>
                  </w:tcMar>
                  <w:vAlign w:val="center"/>
                </w:tcPr>
                <w:p w14:paraId="58F7FEBC">
                  <w:pPr>
                    <w:keepNext w:val="0"/>
                    <w:keepLines w:val="0"/>
                    <w:pageBreakBefore w:val="0"/>
                    <w:widowControl/>
                    <w:suppressLineNumbers w:val="0"/>
                    <w:kinsoku/>
                    <w:overflowPunct/>
                    <w:topLinePunct w:val="0"/>
                    <w:bidi w:val="0"/>
                    <w:adjustRightInd w:val="0"/>
                    <w:snapToGrid w:val="0"/>
                    <w:spacing w:before="0" w:beforeAutospacing="0" w:after="0" w:afterAutospacing="0" w:line="360" w:lineRule="exact"/>
                    <w:ind w:left="0" w:right="0"/>
                    <w:jc w:val="both"/>
                    <w:rPr>
                      <w:rFonts w:hint="default"/>
                      <w:kern w:val="24"/>
                      <w:highlight w:val="yellow"/>
                      <w:lang w:val="en-US"/>
                    </w:rPr>
                  </w:pPr>
                  <w:r>
                    <w:rPr>
                      <w:rFonts w:hint="eastAsia" w:ascii="Times New Roman" w:hAnsi="Times New Roman" w:eastAsia="宋体" w:cs="宋体"/>
                      <w:kern w:val="24"/>
                      <w:sz w:val="21"/>
                      <w:szCs w:val="21"/>
                      <w:lang w:val="en-US" w:eastAsia="zh-CN" w:bidi="ar"/>
                    </w:rPr>
                    <w:t>本项目实行区域内</w:t>
                  </w:r>
                  <w:r>
                    <w:rPr>
                      <w:rFonts w:hint="default" w:ascii="Times New Roman" w:hAnsi="Times New Roman" w:eastAsia="宋体" w:cs="Times New Roman"/>
                      <w:kern w:val="24"/>
                      <w:sz w:val="21"/>
                      <w:szCs w:val="21"/>
                      <w:lang w:val="en-US" w:eastAsia="zh-CN" w:bidi="ar"/>
                    </w:rPr>
                    <w:t>VOCs</w:t>
                  </w:r>
                  <w:r>
                    <w:rPr>
                      <w:rFonts w:hint="eastAsia" w:ascii="Times New Roman" w:hAnsi="Times New Roman" w:eastAsia="宋体" w:cs="宋体"/>
                      <w:kern w:val="24"/>
                      <w:sz w:val="21"/>
                      <w:szCs w:val="21"/>
                      <w:lang w:val="en-US" w:eastAsia="zh-CN" w:bidi="ar"/>
                    </w:rPr>
                    <w:t>排放倍量削减替代。</w:t>
                  </w:r>
                </w:p>
              </w:tc>
              <w:tc>
                <w:tcPr>
                  <w:tcW w:w="620" w:type="dxa"/>
                  <w:tcBorders>
                    <w:tl2br w:val="nil"/>
                    <w:tr2bl w:val="nil"/>
                  </w:tcBorders>
                  <w:shd w:val="clear" w:color="auto" w:fill="auto"/>
                  <w:tcMar>
                    <w:left w:w="51" w:type="dxa"/>
                    <w:right w:w="51" w:type="dxa"/>
                  </w:tcMar>
                  <w:vAlign w:val="center"/>
                </w:tcPr>
                <w:p w14:paraId="4E984CE2">
                  <w:pPr>
                    <w:keepNext w:val="0"/>
                    <w:keepLines w:val="0"/>
                    <w:pageBreakBefore w:val="0"/>
                    <w:widowControl/>
                    <w:suppressLineNumbers w:val="0"/>
                    <w:kinsoku/>
                    <w:overflowPunct/>
                    <w:topLinePunct w:val="0"/>
                    <w:bidi w:val="0"/>
                    <w:adjustRightInd w:val="0"/>
                    <w:snapToGrid w:val="0"/>
                    <w:spacing w:before="0" w:beforeAutospacing="0" w:after="0" w:afterAutospacing="0" w:line="360" w:lineRule="exact"/>
                    <w:ind w:left="0" w:right="0"/>
                    <w:jc w:val="center"/>
                    <w:rPr>
                      <w:rFonts w:hint="default"/>
                      <w:kern w:val="24"/>
                      <w:lang w:val="en-US"/>
                    </w:rPr>
                  </w:pPr>
                  <w:r>
                    <w:rPr>
                      <w:rFonts w:hint="eastAsia" w:cs="宋体"/>
                      <w:kern w:val="24"/>
                      <w:sz w:val="21"/>
                      <w:szCs w:val="21"/>
                      <w:lang w:val="en-US" w:eastAsia="zh-CN" w:bidi="ar"/>
                    </w:rPr>
                    <w:t>相符</w:t>
                  </w:r>
                </w:p>
              </w:tc>
            </w:tr>
            <w:tr w14:paraId="1D8A5B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jc w:val="center"/>
              </w:trPr>
              <w:tc>
                <w:tcPr>
                  <w:tcW w:w="623" w:type="dxa"/>
                  <w:vMerge w:val="continue"/>
                  <w:tcBorders>
                    <w:tl2br w:val="nil"/>
                    <w:tr2bl w:val="nil"/>
                  </w:tcBorders>
                  <w:shd w:val="clear" w:color="auto" w:fill="auto"/>
                  <w:tcMar>
                    <w:left w:w="51" w:type="dxa"/>
                    <w:right w:w="51" w:type="dxa"/>
                  </w:tcMar>
                  <w:vAlign w:val="center"/>
                </w:tcPr>
                <w:p w14:paraId="3DF3E0AD">
                  <w:pPr>
                    <w:keepNext w:val="0"/>
                    <w:keepLines w:val="0"/>
                    <w:pageBreakBefore w:val="0"/>
                    <w:suppressLineNumbers w:val="0"/>
                    <w:kinsoku/>
                    <w:overflowPunct/>
                    <w:topLinePunct w:val="0"/>
                    <w:bidi w:val="0"/>
                    <w:spacing w:before="0" w:beforeAutospacing="0" w:after="0" w:afterAutospacing="0" w:line="360" w:lineRule="exact"/>
                    <w:ind w:left="0" w:right="0"/>
                    <w:rPr>
                      <w:rFonts w:hint="default" w:ascii="Times New Roman" w:hAnsi="Times New Roman" w:eastAsia="Times New Roman" w:cs="Times New Roman"/>
                      <w:sz w:val="20"/>
                      <w:szCs w:val="20"/>
                    </w:rPr>
                  </w:pPr>
                </w:p>
              </w:tc>
              <w:tc>
                <w:tcPr>
                  <w:tcW w:w="1134" w:type="dxa"/>
                  <w:vMerge w:val="continue"/>
                  <w:tcBorders>
                    <w:tl2br w:val="nil"/>
                    <w:tr2bl w:val="nil"/>
                  </w:tcBorders>
                  <w:shd w:val="clear" w:color="auto" w:fill="auto"/>
                  <w:tcMar>
                    <w:left w:w="51" w:type="dxa"/>
                    <w:right w:w="51" w:type="dxa"/>
                  </w:tcMar>
                  <w:vAlign w:val="center"/>
                </w:tcPr>
                <w:p w14:paraId="72A5BE69">
                  <w:pPr>
                    <w:keepNext w:val="0"/>
                    <w:keepLines w:val="0"/>
                    <w:pageBreakBefore w:val="0"/>
                    <w:suppressLineNumbers w:val="0"/>
                    <w:kinsoku/>
                    <w:overflowPunct/>
                    <w:topLinePunct w:val="0"/>
                    <w:bidi w:val="0"/>
                    <w:spacing w:before="0" w:beforeAutospacing="0" w:after="0" w:afterAutospacing="0" w:line="360" w:lineRule="exact"/>
                    <w:ind w:left="0" w:right="0"/>
                    <w:rPr>
                      <w:rFonts w:hint="default" w:ascii="Times New Roman" w:hAnsi="Times New Roman" w:eastAsia="Times New Roman" w:cs="Times New Roman"/>
                      <w:sz w:val="20"/>
                      <w:szCs w:val="20"/>
                    </w:rPr>
                  </w:pPr>
                </w:p>
              </w:tc>
              <w:tc>
                <w:tcPr>
                  <w:tcW w:w="2590" w:type="dxa"/>
                  <w:tcBorders>
                    <w:tl2br w:val="nil"/>
                    <w:tr2bl w:val="nil"/>
                  </w:tcBorders>
                  <w:shd w:val="clear" w:color="auto" w:fill="auto"/>
                  <w:tcMar>
                    <w:left w:w="51" w:type="dxa"/>
                    <w:right w:w="51" w:type="dxa"/>
                  </w:tcMar>
                  <w:vAlign w:val="center"/>
                </w:tcPr>
                <w:p w14:paraId="36713CDA">
                  <w:pPr>
                    <w:keepNext w:val="0"/>
                    <w:keepLines w:val="0"/>
                    <w:pageBreakBefore w:val="0"/>
                    <w:widowControl/>
                    <w:suppressLineNumbers w:val="0"/>
                    <w:kinsoku/>
                    <w:overflowPunct/>
                    <w:topLinePunct w:val="0"/>
                    <w:bidi w:val="0"/>
                    <w:adjustRightInd w:val="0"/>
                    <w:snapToGrid w:val="0"/>
                    <w:spacing w:before="0" w:beforeAutospacing="0" w:after="0" w:afterAutospacing="0" w:line="360" w:lineRule="exact"/>
                    <w:ind w:left="0" w:right="0"/>
                    <w:jc w:val="both"/>
                    <w:rPr>
                      <w:rFonts w:hint="default"/>
                      <w:kern w:val="24"/>
                      <w:lang w:val="en-US"/>
                    </w:rPr>
                  </w:pPr>
                  <w:r>
                    <w:rPr>
                      <w:rFonts w:hint="eastAsia" w:ascii="Times New Roman" w:hAnsi="Times New Roman" w:eastAsia="宋体" w:cs="宋体"/>
                      <w:kern w:val="24"/>
                      <w:sz w:val="21"/>
                      <w:szCs w:val="21"/>
                      <w:lang w:val="en-US" w:eastAsia="zh-CN" w:bidi="ar"/>
                    </w:rPr>
                    <w:t>鼓励现有钢铁、焦化、水泥、铁合金、铸造等</w:t>
                  </w:r>
                  <w:bookmarkStart w:id="3" w:name="OLE_LINK8"/>
                  <w:r>
                    <w:rPr>
                      <w:rFonts w:hint="eastAsia" w:ascii="Times New Roman" w:hAnsi="Times New Roman" w:eastAsia="宋体" w:cs="宋体"/>
                      <w:kern w:val="24"/>
                      <w:sz w:val="21"/>
                      <w:szCs w:val="21"/>
                      <w:lang w:val="en-US" w:eastAsia="zh-CN" w:bidi="ar"/>
                    </w:rPr>
                    <w:t>重点行</w:t>
                  </w:r>
                  <w:r>
                    <w:rPr>
                      <w:rFonts w:hint="eastAsia" w:ascii="宋体" w:hAnsi="宋体" w:eastAsia="宋体" w:cs="宋体"/>
                      <w:kern w:val="24"/>
                      <w:sz w:val="21"/>
                      <w:szCs w:val="21"/>
                      <w:lang w:val="en-US" w:eastAsia="zh-CN" w:bidi="ar"/>
                    </w:rPr>
                    <w:t>业及“两高”行业</w:t>
                  </w:r>
                  <w:bookmarkEnd w:id="3"/>
                  <w:r>
                    <w:rPr>
                      <w:rFonts w:hint="eastAsia" w:ascii="宋体" w:hAnsi="宋体" w:eastAsia="宋体" w:cs="宋体"/>
                      <w:kern w:val="24"/>
                      <w:sz w:val="21"/>
                      <w:szCs w:val="21"/>
                      <w:lang w:val="en-US" w:eastAsia="zh-CN" w:bidi="ar"/>
                    </w:rPr>
                    <w:t>污染治理水</w:t>
                  </w:r>
                  <w:r>
                    <w:rPr>
                      <w:rFonts w:hint="eastAsia" w:ascii="Times New Roman" w:hAnsi="Times New Roman" w:eastAsia="宋体" w:cs="宋体"/>
                      <w:kern w:val="24"/>
                      <w:sz w:val="21"/>
                      <w:szCs w:val="21"/>
                      <w:lang w:val="en-US" w:eastAsia="zh-CN" w:bidi="ar"/>
                    </w:rPr>
                    <w:t>平达到</w:t>
                  </w:r>
                  <w:r>
                    <w:rPr>
                      <w:rFonts w:hint="default" w:ascii="Times New Roman" w:hAnsi="Times New Roman" w:eastAsia="宋体" w:cs="Times New Roman"/>
                      <w:kern w:val="24"/>
                      <w:sz w:val="21"/>
                      <w:szCs w:val="21"/>
                      <w:lang w:val="en-US" w:eastAsia="zh-CN" w:bidi="ar"/>
                    </w:rPr>
                    <w:t>A</w:t>
                  </w:r>
                  <w:r>
                    <w:rPr>
                      <w:rFonts w:hint="eastAsia" w:ascii="Times New Roman" w:hAnsi="Times New Roman" w:eastAsia="宋体" w:cs="宋体"/>
                      <w:kern w:val="24"/>
                      <w:sz w:val="21"/>
                      <w:szCs w:val="21"/>
                      <w:lang w:val="en-US" w:eastAsia="zh-CN" w:bidi="ar"/>
                    </w:rPr>
                    <w:t>级企业或引领性企业水平，其他行业污染治理水平达到</w:t>
                  </w:r>
                  <w:r>
                    <w:rPr>
                      <w:rFonts w:hint="default" w:ascii="Times New Roman" w:hAnsi="Times New Roman" w:eastAsia="宋体" w:cs="Times New Roman"/>
                      <w:kern w:val="24"/>
                      <w:sz w:val="21"/>
                      <w:szCs w:val="21"/>
                      <w:lang w:val="en-US" w:eastAsia="zh-CN" w:bidi="ar"/>
                    </w:rPr>
                    <w:t>B</w:t>
                  </w:r>
                  <w:r>
                    <w:rPr>
                      <w:rFonts w:hint="eastAsia" w:ascii="Times New Roman" w:hAnsi="Times New Roman" w:eastAsia="宋体" w:cs="宋体"/>
                      <w:kern w:val="24"/>
                      <w:sz w:val="21"/>
                      <w:szCs w:val="21"/>
                      <w:lang w:val="en-US" w:eastAsia="zh-CN" w:bidi="ar"/>
                    </w:rPr>
                    <w:t>级企业水平；重点行业新建、扩建项目达到</w:t>
                  </w:r>
                  <w:r>
                    <w:rPr>
                      <w:rFonts w:hint="default" w:ascii="Times New Roman" w:hAnsi="Times New Roman" w:eastAsia="宋体" w:cs="Times New Roman"/>
                      <w:kern w:val="24"/>
                      <w:sz w:val="21"/>
                      <w:szCs w:val="21"/>
                      <w:lang w:val="en-US" w:eastAsia="zh-CN" w:bidi="ar"/>
                    </w:rPr>
                    <w:t>A</w:t>
                  </w:r>
                  <w:r>
                    <w:rPr>
                      <w:rFonts w:hint="eastAsia" w:ascii="Times New Roman" w:hAnsi="Times New Roman" w:eastAsia="宋体" w:cs="宋体"/>
                      <w:kern w:val="24"/>
                      <w:sz w:val="21"/>
                      <w:szCs w:val="21"/>
                      <w:lang w:val="en-US" w:eastAsia="zh-CN" w:bidi="ar"/>
                    </w:rPr>
                    <w:t>级绩效水平，改建项目达到</w:t>
                  </w:r>
                  <w:r>
                    <w:rPr>
                      <w:rFonts w:hint="default" w:ascii="Times New Roman" w:hAnsi="Times New Roman" w:eastAsia="宋体" w:cs="Times New Roman"/>
                      <w:kern w:val="24"/>
                      <w:sz w:val="21"/>
                      <w:szCs w:val="21"/>
                      <w:lang w:val="en-US" w:eastAsia="zh-CN" w:bidi="ar"/>
                    </w:rPr>
                    <w:t>B</w:t>
                  </w:r>
                  <w:r>
                    <w:rPr>
                      <w:rFonts w:hint="eastAsia" w:ascii="Times New Roman" w:hAnsi="Times New Roman" w:eastAsia="宋体" w:cs="宋体"/>
                      <w:kern w:val="24"/>
                      <w:sz w:val="21"/>
                      <w:szCs w:val="21"/>
                      <w:lang w:val="en-US" w:eastAsia="zh-CN" w:bidi="ar"/>
                    </w:rPr>
                    <w:t>级以上绩效水平。</w:t>
                  </w:r>
                </w:p>
              </w:tc>
              <w:tc>
                <w:tcPr>
                  <w:tcW w:w="1801" w:type="dxa"/>
                  <w:tcBorders>
                    <w:tl2br w:val="nil"/>
                    <w:tr2bl w:val="nil"/>
                  </w:tcBorders>
                  <w:shd w:val="clear" w:color="auto" w:fill="auto"/>
                  <w:tcMar>
                    <w:left w:w="51" w:type="dxa"/>
                    <w:right w:w="51" w:type="dxa"/>
                  </w:tcMar>
                  <w:vAlign w:val="center"/>
                </w:tcPr>
                <w:p w14:paraId="52DDAB09">
                  <w:pPr>
                    <w:keepNext w:val="0"/>
                    <w:keepLines w:val="0"/>
                    <w:pageBreakBefore w:val="0"/>
                    <w:widowControl/>
                    <w:suppressLineNumbers w:val="0"/>
                    <w:kinsoku/>
                    <w:overflowPunct/>
                    <w:topLinePunct w:val="0"/>
                    <w:bidi w:val="0"/>
                    <w:adjustRightInd w:val="0"/>
                    <w:snapToGrid w:val="0"/>
                    <w:spacing w:before="0" w:beforeAutospacing="0" w:after="0" w:afterAutospacing="0" w:line="360" w:lineRule="exact"/>
                    <w:ind w:left="0" w:right="0"/>
                    <w:jc w:val="both"/>
                    <w:rPr>
                      <w:rFonts w:hint="default"/>
                      <w:kern w:val="24"/>
                      <w:highlight w:val="yellow"/>
                      <w:lang w:val="en-US"/>
                    </w:rPr>
                  </w:pPr>
                  <w:r>
                    <w:rPr>
                      <w:rFonts w:hint="eastAsia" w:ascii="Times New Roman" w:hAnsi="Times New Roman" w:eastAsia="宋体" w:cs="宋体"/>
                      <w:kern w:val="24"/>
                      <w:sz w:val="21"/>
                      <w:szCs w:val="21"/>
                      <w:lang w:val="en-US" w:eastAsia="zh-CN" w:bidi="ar"/>
                    </w:rPr>
                    <w:t>本项目为</w:t>
                  </w:r>
                  <w:r>
                    <w:rPr>
                      <w:rFonts w:hint="eastAsia" w:ascii="Times New Roman" w:hAnsi="Times New Roman" w:eastAsia="宋体" w:cs="宋体"/>
                      <w:kern w:val="2"/>
                      <w:sz w:val="21"/>
                      <w:szCs w:val="21"/>
                      <w:lang w:val="en-US" w:eastAsia="zh-CN" w:bidi="ar"/>
                    </w:rPr>
                    <w:t>塑料制品业</w:t>
                  </w:r>
                  <w:r>
                    <w:rPr>
                      <w:rFonts w:hint="eastAsia" w:ascii="Times New Roman" w:hAnsi="Times New Roman" w:eastAsia="宋体" w:cs="宋体"/>
                      <w:kern w:val="24"/>
                      <w:sz w:val="21"/>
                      <w:szCs w:val="21"/>
                      <w:lang w:val="en-US" w:eastAsia="zh-CN" w:bidi="ar"/>
                    </w:rPr>
                    <w:t>，按照</w:t>
                  </w:r>
                  <w:r>
                    <w:rPr>
                      <w:rFonts w:hint="eastAsia" w:ascii="Times New Roman" w:hAnsi="Times New Roman" w:eastAsia="宋体" w:cs="宋体"/>
                      <w:kern w:val="2"/>
                      <w:sz w:val="21"/>
                      <w:szCs w:val="21"/>
                      <w:lang w:val="en-US" w:eastAsia="zh-CN" w:bidi="ar"/>
                    </w:rPr>
                    <w:t>《河南省重污染天气重点行业应急减排措施制定技术指南》（</w:t>
                  </w:r>
                  <w:r>
                    <w:rPr>
                      <w:rFonts w:hint="default" w:ascii="Times New Roman" w:hAnsi="Times New Roman" w:eastAsia="宋体" w:cs="Times New Roman"/>
                      <w:kern w:val="2"/>
                      <w:sz w:val="21"/>
                      <w:szCs w:val="21"/>
                      <w:lang w:val="en-US" w:eastAsia="zh-CN" w:bidi="ar"/>
                    </w:rPr>
                    <w:t>2024</w:t>
                  </w:r>
                  <w:r>
                    <w:rPr>
                      <w:rFonts w:hint="eastAsia" w:ascii="Times New Roman" w:hAnsi="Times New Roman" w:eastAsia="宋体" w:cs="宋体"/>
                      <w:kern w:val="2"/>
                      <w:sz w:val="21"/>
                      <w:szCs w:val="21"/>
                      <w:lang w:val="en-US" w:eastAsia="zh-CN" w:bidi="ar"/>
                    </w:rPr>
                    <w:t>年修订版）塑料制品行业</w:t>
                  </w:r>
                  <w:r>
                    <w:rPr>
                      <w:rFonts w:hint="default" w:ascii="Times New Roman" w:hAnsi="Times New Roman" w:eastAsia="宋体" w:cs="Times New Roman"/>
                      <w:kern w:val="2"/>
                      <w:sz w:val="21"/>
                      <w:szCs w:val="21"/>
                      <w:lang w:val="en-US" w:eastAsia="zh-CN" w:bidi="ar"/>
                    </w:rPr>
                    <w:t>A</w:t>
                  </w:r>
                  <w:r>
                    <w:rPr>
                      <w:rFonts w:hint="eastAsia" w:ascii="Times New Roman" w:hAnsi="Times New Roman" w:eastAsia="宋体" w:cs="宋体"/>
                      <w:kern w:val="2"/>
                      <w:sz w:val="21"/>
                      <w:szCs w:val="21"/>
                      <w:lang w:val="en-US" w:eastAsia="zh-CN" w:bidi="ar"/>
                    </w:rPr>
                    <w:t>级绩效要求</w:t>
                  </w:r>
                  <w:r>
                    <w:rPr>
                      <w:rFonts w:hint="eastAsia" w:ascii="Times New Roman" w:hAnsi="Times New Roman" w:eastAsia="宋体" w:cs="宋体"/>
                      <w:kern w:val="24"/>
                      <w:sz w:val="21"/>
                      <w:szCs w:val="21"/>
                      <w:lang w:val="en-US" w:eastAsia="zh-CN" w:bidi="ar"/>
                    </w:rPr>
                    <w:t>建设。</w:t>
                  </w:r>
                </w:p>
              </w:tc>
              <w:tc>
                <w:tcPr>
                  <w:tcW w:w="620" w:type="dxa"/>
                  <w:tcBorders>
                    <w:tl2br w:val="nil"/>
                    <w:tr2bl w:val="nil"/>
                  </w:tcBorders>
                  <w:shd w:val="clear" w:color="auto" w:fill="auto"/>
                  <w:tcMar>
                    <w:left w:w="51" w:type="dxa"/>
                    <w:right w:w="51" w:type="dxa"/>
                  </w:tcMar>
                  <w:vAlign w:val="center"/>
                </w:tcPr>
                <w:p w14:paraId="6F58D166">
                  <w:pPr>
                    <w:keepNext w:val="0"/>
                    <w:keepLines w:val="0"/>
                    <w:pageBreakBefore w:val="0"/>
                    <w:widowControl/>
                    <w:suppressLineNumbers w:val="0"/>
                    <w:kinsoku/>
                    <w:overflowPunct/>
                    <w:topLinePunct w:val="0"/>
                    <w:bidi w:val="0"/>
                    <w:adjustRightInd w:val="0"/>
                    <w:snapToGrid w:val="0"/>
                    <w:spacing w:before="0" w:beforeAutospacing="0" w:after="0" w:afterAutospacing="0" w:line="360" w:lineRule="exact"/>
                    <w:ind w:left="0" w:right="0"/>
                    <w:jc w:val="center"/>
                    <w:rPr>
                      <w:rFonts w:hint="default"/>
                      <w:kern w:val="24"/>
                      <w:lang w:val="en-US"/>
                    </w:rPr>
                  </w:pPr>
                  <w:r>
                    <w:rPr>
                      <w:rFonts w:hint="eastAsia" w:cs="宋体"/>
                      <w:kern w:val="24"/>
                      <w:sz w:val="21"/>
                      <w:szCs w:val="21"/>
                      <w:lang w:val="en-US" w:eastAsia="zh-CN" w:bidi="ar"/>
                    </w:rPr>
                    <w:t>相符</w:t>
                  </w:r>
                </w:p>
              </w:tc>
            </w:tr>
            <w:tr w14:paraId="18FD0E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jc w:val="center"/>
              </w:trPr>
              <w:tc>
                <w:tcPr>
                  <w:tcW w:w="623" w:type="dxa"/>
                  <w:vMerge w:val="continue"/>
                  <w:tcBorders>
                    <w:tl2br w:val="nil"/>
                    <w:tr2bl w:val="nil"/>
                  </w:tcBorders>
                  <w:shd w:val="clear" w:color="auto" w:fill="auto"/>
                  <w:tcMar>
                    <w:left w:w="51" w:type="dxa"/>
                    <w:right w:w="51" w:type="dxa"/>
                  </w:tcMar>
                  <w:vAlign w:val="center"/>
                </w:tcPr>
                <w:p w14:paraId="490293F7">
                  <w:pPr>
                    <w:keepNext w:val="0"/>
                    <w:keepLines w:val="0"/>
                    <w:pageBreakBefore w:val="0"/>
                    <w:suppressLineNumbers w:val="0"/>
                    <w:kinsoku/>
                    <w:overflowPunct/>
                    <w:topLinePunct w:val="0"/>
                    <w:bidi w:val="0"/>
                    <w:spacing w:before="0" w:beforeAutospacing="0" w:after="0" w:afterAutospacing="0" w:line="360" w:lineRule="exact"/>
                    <w:ind w:left="0" w:right="0"/>
                    <w:rPr>
                      <w:rFonts w:hint="default" w:ascii="Times New Roman" w:hAnsi="Times New Roman" w:eastAsia="Times New Roman" w:cs="Times New Roman"/>
                      <w:sz w:val="20"/>
                      <w:szCs w:val="20"/>
                    </w:rPr>
                  </w:pPr>
                </w:p>
              </w:tc>
              <w:tc>
                <w:tcPr>
                  <w:tcW w:w="1134" w:type="dxa"/>
                  <w:vMerge w:val="continue"/>
                  <w:tcBorders>
                    <w:tl2br w:val="nil"/>
                    <w:tr2bl w:val="nil"/>
                  </w:tcBorders>
                  <w:shd w:val="clear" w:color="auto" w:fill="auto"/>
                  <w:tcMar>
                    <w:left w:w="51" w:type="dxa"/>
                    <w:right w:w="51" w:type="dxa"/>
                  </w:tcMar>
                  <w:vAlign w:val="center"/>
                </w:tcPr>
                <w:p w14:paraId="4B496F9C">
                  <w:pPr>
                    <w:keepNext w:val="0"/>
                    <w:keepLines w:val="0"/>
                    <w:pageBreakBefore w:val="0"/>
                    <w:suppressLineNumbers w:val="0"/>
                    <w:kinsoku/>
                    <w:overflowPunct/>
                    <w:topLinePunct w:val="0"/>
                    <w:bidi w:val="0"/>
                    <w:spacing w:before="0" w:beforeAutospacing="0" w:after="0" w:afterAutospacing="0" w:line="360" w:lineRule="exact"/>
                    <w:ind w:left="0" w:right="0"/>
                    <w:rPr>
                      <w:rFonts w:hint="default" w:ascii="Times New Roman" w:hAnsi="Times New Roman" w:eastAsia="Times New Roman" w:cs="Times New Roman"/>
                      <w:sz w:val="20"/>
                      <w:szCs w:val="20"/>
                    </w:rPr>
                  </w:pPr>
                </w:p>
              </w:tc>
              <w:tc>
                <w:tcPr>
                  <w:tcW w:w="2590" w:type="dxa"/>
                  <w:tcBorders>
                    <w:tl2br w:val="nil"/>
                    <w:tr2bl w:val="nil"/>
                  </w:tcBorders>
                  <w:shd w:val="clear" w:color="auto" w:fill="auto"/>
                  <w:tcMar>
                    <w:left w:w="51" w:type="dxa"/>
                    <w:right w:w="51" w:type="dxa"/>
                  </w:tcMar>
                  <w:vAlign w:val="center"/>
                </w:tcPr>
                <w:p w14:paraId="4C703DDA">
                  <w:pPr>
                    <w:keepNext w:val="0"/>
                    <w:keepLines w:val="0"/>
                    <w:pageBreakBefore w:val="0"/>
                    <w:widowControl/>
                    <w:suppressLineNumbers w:val="0"/>
                    <w:kinsoku/>
                    <w:overflowPunct/>
                    <w:topLinePunct w:val="0"/>
                    <w:bidi w:val="0"/>
                    <w:adjustRightInd w:val="0"/>
                    <w:snapToGrid w:val="0"/>
                    <w:spacing w:before="0" w:beforeAutospacing="0" w:after="0" w:afterAutospacing="0" w:line="360" w:lineRule="exact"/>
                    <w:ind w:left="0" w:right="0"/>
                    <w:jc w:val="both"/>
                    <w:rPr>
                      <w:rFonts w:hint="default"/>
                      <w:kern w:val="24"/>
                      <w:lang w:val="en-US"/>
                    </w:rPr>
                  </w:pPr>
                  <w:r>
                    <w:rPr>
                      <w:rFonts w:hint="eastAsia" w:ascii="Times New Roman" w:hAnsi="Times New Roman" w:eastAsia="宋体" w:cs="宋体"/>
                      <w:kern w:val="24"/>
                      <w:sz w:val="21"/>
                      <w:szCs w:val="21"/>
                      <w:lang w:val="en-US" w:eastAsia="zh-CN" w:bidi="ar"/>
                    </w:rPr>
                    <w:t>新、改、扩建项目</w:t>
                  </w:r>
                  <w:bookmarkStart w:id="4" w:name="OLE_LINK205"/>
                  <w:r>
                    <w:rPr>
                      <w:rFonts w:hint="eastAsia" w:ascii="Times New Roman" w:hAnsi="Times New Roman" w:eastAsia="宋体" w:cs="宋体"/>
                      <w:kern w:val="24"/>
                      <w:sz w:val="21"/>
                      <w:szCs w:val="21"/>
                      <w:lang w:val="en-US" w:eastAsia="zh-CN" w:bidi="ar"/>
                    </w:rPr>
                    <w:t>主要污染物排放要求满足当地总量减排和替代要求。</w:t>
                  </w:r>
                  <w:bookmarkEnd w:id="4"/>
                </w:p>
              </w:tc>
              <w:tc>
                <w:tcPr>
                  <w:tcW w:w="1801" w:type="dxa"/>
                  <w:tcBorders>
                    <w:tl2br w:val="nil"/>
                    <w:tr2bl w:val="nil"/>
                  </w:tcBorders>
                  <w:shd w:val="clear" w:color="auto" w:fill="auto"/>
                  <w:tcMar>
                    <w:left w:w="51" w:type="dxa"/>
                    <w:right w:w="51" w:type="dxa"/>
                  </w:tcMar>
                  <w:vAlign w:val="center"/>
                </w:tcPr>
                <w:p w14:paraId="59BA0A71">
                  <w:pPr>
                    <w:keepNext w:val="0"/>
                    <w:keepLines w:val="0"/>
                    <w:pageBreakBefore w:val="0"/>
                    <w:widowControl/>
                    <w:suppressLineNumbers w:val="0"/>
                    <w:kinsoku/>
                    <w:overflowPunct/>
                    <w:topLinePunct w:val="0"/>
                    <w:bidi w:val="0"/>
                    <w:adjustRightInd w:val="0"/>
                    <w:snapToGrid w:val="0"/>
                    <w:spacing w:before="0" w:beforeAutospacing="0" w:after="0" w:afterAutospacing="0" w:line="360" w:lineRule="exact"/>
                    <w:ind w:left="0" w:right="0"/>
                    <w:jc w:val="both"/>
                    <w:rPr>
                      <w:rFonts w:hint="default"/>
                      <w:kern w:val="24"/>
                      <w:lang w:val="en-US"/>
                    </w:rPr>
                  </w:pPr>
                  <w:r>
                    <w:rPr>
                      <w:rFonts w:hint="eastAsia" w:ascii="Times New Roman" w:hAnsi="Times New Roman" w:eastAsia="宋体" w:cs="宋体"/>
                      <w:kern w:val="24"/>
                      <w:sz w:val="21"/>
                      <w:szCs w:val="21"/>
                      <w:lang w:val="en-US" w:eastAsia="zh-CN" w:bidi="ar"/>
                    </w:rPr>
                    <w:t>本项目主要污染物排放要求满足当地总量减排和替代要求。</w:t>
                  </w:r>
                </w:p>
              </w:tc>
              <w:tc>
                <w:tcPr>
                  <w:tcW w:w="620" w:type="dxa"/>
                  <w:tcBorders>
                    <w:tl2br w:val="nil"/>
                    <w:tr2bl w:val="nil"/>
                  </w:tcBorders>
                  <w:shd w:val="clear" w:color="auto" w:fill="auto"/>
                  <w:tcMar>
                    <w:left w:w="51" w:type="dxa"/>
                    <w:right w:w="51" w:type="dxa"/>
                  </w:tcMar>
                  <w:vAlign w:val="center"/>
                </w:tcPr>
                <w:p w14:paraId="24350A5E">
                  <w:pPr>
                    <w:keepNext w:val="0"/>
                    <w:keepLines w:val="0"/>
                    <w:pageBreakBefore w:val="0"/>
                    <w:widowControl/>
                    <w:suppressLineNumbers w:val="0"/>
                    <w:kinsoku/>
                    <w:overflowPunct/>
                    <w:topLinePunct w:val="0"/>
                    <w:bidi w:val="0"/>
                    <w:adjustRightInd w:val="0"/>
                    <w:snapToGrid w:val="0"/>
                    <w:spacing w:before="0" w:beforeAutospacing="0" w:after="0" w:afterAutospacing="0" w:line="360" w:lineRule="exact"/>
                    <w:ind w:left="0" w:right="0"/>
                    <w:jc w:val="center"/>
                    <w:rPr>
                      <w:rFonts w:hint="default"/>
                      <w:kern w:val="24"/>
                      <w:lang w:val="en-US"/>
                    </w:rPr>
                  </w:pPr>
                  <w:r>
                    <w:rPr>
                      <w:rFonts w:hint="eastAsia" w:cs="宋体"/>
                      <w:kern w:val="24"/>
                      <w:sz w:val="21"/>
                      <w:szCs w:val="21"/>
                      <w:lang w:val="en-US" w:eastAsia="zh-CN" w:bidi="ar"/>
                    </w:rPr>
                    <w:t>相符</w:t>
                  </w:r>
                </w:p>
              </w:tc>
            </w:tr>
            <w:tr w14:paraId="0C3A99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23" w:type="dxa"/>
                  <w:bottom w:w="0" w:type="dxa"/>
                  <w:right w:w="23" w:type="dxa"/>
                </w:tblCellMar>
              </w:tblPrEx>
              <w:trPr>
                <w:trHeight w:val="371" w:hRule="atLeast"/>
                <w:jc w:val="center"/>
              </w:trPr>
              <w:tc>
                <w:tcPr>
                  <w:tcW w:w="623" w:type="dxa"/>
                  <w:vMerge w:val="continue"/>
                  <w:tcBorders>
                    <w:tl2br w:val="nil"/>
                    <w:tr2bl w:val="nil"/>
                  </w:tcBorders>
                  <w:shd w:val="clear" w:color="auto" w:fill="auto"/>
                  <w:tcMar>
                    <w:left w:w="51" w:type="dxa"/>
                    <w:right w:w="51" w:type="dxa"/>
                  </w:tcMar>
                  <w:vAlign w:val="center"/>
                </w:tcPr>
                <w:p w14:paraId="4EB9C5B6">
                  <w:pPr>
                    <w:keepNext w:val="0"/>
                    <w:keepLines w:val="0"/>
                    <w:pageBreakBefore w:val="0"/>
                    <w:suppressLineNumbers w:val="0"/>
                    <w:kinsoku/>
                    <w:overflowPunct/>
                    <w:topLinePunct w:val="0"/>
                    <w:bidi w:val="0"/>
                    <w:spacing w:before="0" w:beforeAutospacing="0" w:after="0" w:afterAutospacing="0" w:line="360" w:lineRule="exact"/>
                    <w:ind w:left="0" w:right="0"/>
                    <w:rPr>
                      <w:rFonts w:hint="default" w:ascii="Times New Roman" w:hAnsi="Times New Roman" w:eastAsia="Times New Roman" w:cs="Times New Roman"/>
                      <w:sz w:val="20"/>
                      <w:szCs w:val="20"/>
                    </w:rPr>
                  </w:pPr>
                </w:p>
              </w:tc>
              <w:tc>
                <w:tcPr>
                  <w:tcW w:w="1134" w:type="dxa"/>
                  <w:vMerge w:val="continue"/>
                  <w:tcBorders>
                    <w:tl2br w:val="nil"/>
                    <w:tr2bl w:val="nil"/>
                  </w:tcBorders>
                  <w:shd w:val="clear" w:color="auto" w:fill="auto"/>
                  <w:tcMar>
                    <w:left w:w="51" w:type="dxa"/>
                    <w:right w:w="51" w:type="dxa"/>
                  </w:tcMar>
                  <w:vAlign w:val="center"/>
                </w:tcPr>
                <w:p w14:paraId="307A6953">
                  <w:pPr>
                    <w:keepNext w:val="0"/>
                    <w:keepLines w:val="0"/>
                    <w:pageBreakBefore w:val="0"/>
                    <w:suppressLineNumbers w:val="0"/>
                    <w:kinsoku/>
                    <w:overflowPunct/>
                    <w:topLinePunct w:val="0"/>
                    <w:bidi w:val="0"/>
                    <w:spacing w:before="0" w:beforeAutospacing="0" w:after="0" w:afterAutospacing="0" w:line="360" w:lineRule="exact"/>
                    <w:ind w:left="0" w:right="0"/>
                    <w:rPr>
                      <w:rFonts w:hint="default" w:ascii="Times New Roman" w:hAnsi="Times New Roman" w:eastAsia="Times New Roman" w:cs="Times New Roman"/>
                      <w:sz w:val="20"/>
                      <w:szCs w:val="20"/>
                    </w:rPr>
                  </w:pPr>
                </w:p>
              </w:tc>
              <w:tc>
                <w:tcPr>
                  <w:tcW w:w="2590" w:type="dxa"/>
                  <w:tcBorders>
                    <w:tl2br w:val="nil"/>
                    <w:tr2bl w:val="nil"/>
                  </w:tcBorders>
                  <w:shd w:val="clear" w:color="auto" w:fill="auto"/>
                  <w:tcMar>
                    <w:left w:w="51" w:type="dxa"/>
                    <w:right w:w="51" w:type="dxa"/>
                  </w:tcMar>
                  <w:vAlign w:val="center"/>
                </w:tcPr>
                <w:p w14:paraId="048B50B0">
                  <w:pPr>
                    <w:keepNext w:val="0"/>
                    <w:keepLines w:val="0"/>
                    <w:pageBreakBefore w:val="0"/>
                    <w:widowControl/>
                    <w:suppressLineNumbers w:val="0"/>
                    <w:kinsoku/>
                    <w:overflowPunct/>
                    <w:topLinePunct w:val="0"/>
                    <w:bidi w:val="0"/>
                    <w:adjustRightInd w:val="0"/>
                    <w:snapToGrid w:val="0"/>
                    <w:spacing w:before="0" w:beforeAutospacing="0" w:after="0" w:afterAutospacing="0" w:line="360" w:lineRule="exact"/>
                    <w:ind w:left="0" w:right="0"/>
                    <w:jc w:val="both"/>
                    <w:textAlignment w:val="center"/>
                    <w:rPr>
                      <w:rFonts w:hint="default"/>
                      <w:kern w:val="24"/>
                      <w:lang w:val="en-US"/>
                    </w:rPr>
                  </w:pPr>
                  <w:r>
                    <w:rPr>
                      <w:rFonts w:hint="eastAsia" w:ascii="Times New Roman" w:hAnsi="Times New Roman" w:eastAsia="宋体" w:cs="宋体"/>
                      <w:kern w:val="24"/>
                      <w:sz w:val="21"/>
                      <w:szCs w:val="21"/>
                      <w:lang w:val="en-US" w:eastAsia="zh-CN" w:bidi="ar"/>
                    </w:rPr>
                    <w:t>医药、化工、橡胶、包装印刷、家具、金属表面涂装、合成革、制鞋等涉</w:t>
                  </w:r>
                  <w:r>
                    <w:rPr>
                      <w:rFonts w:hint="default" w:ascii="Times New Roman" w:hAnsi="Times New Roman" w:eastAsia="宋体" w:cs="Times New Roman"/>
                      <w:kern w:val="24"/>
                      <w:sz w:val="21"/>
                      <w:szCs w:val="21"/>
                      <w:lang w:val="en-US" w:eastAsia="zh-CN" w:bidi="ar"/>
                    </w:rPr>
                    <w:t>VOCs</w:t>
                  </w:r>
                  <w:r>
                    <w:rPr>
                      <w:rFonts w:hint="eastAsia" w:ascii="Times New Roman" w:hAnsi="Times New Roman" w:eastAsia="宋体" w:cs="宋体"/>
                      <w:kern w:val="24"/>
                      <w:sz w:val="21"/>
                      <w:szCs w:val="21"/>
                      <w:lang w:val="en-US" w:eastAsia="zh-CN" w:bidi="ar"/>
                    </w:rPr>
                    <w:t>行业应采取密闭式作业，根据不同行业</w:t>
                  </w:r>
                  <w:r>
                    <w:rPr>
                      <w:rFonts w:hint="default" w:ascii="Times New Roman" w:hAnsi="Times New Roman" w:eastAsia="宋体" w:cs="Times New Roman"/>
                      <w:kern w:val="24"/>
                      <w:sz w:val="21"/>
                      <w:szCs w:val="21"/>
                      <w:lang w:val="en-US" w:eastAsia="zh-CN" w:bidi="ar"/>
                    </w:rPr>
                    <w:t>VOCs</w:t>
                  </w:r>
                  <w:r>
                    <w:rPr>
                      <w:rFonts w:hint="eastAsia" w:ascii="Times New Roman" w:hAnsi="Times New Roman" w:eastAsia="宋体" w:cs="宋体"/>
                      <w:kern w:val="24"/>
                      <w:sz w:val="21"/>
                      <w:szCs w:val="21"/>
                      <w:lang w:val="en-US" w:eastAsia="zh-CN" w:bidi="ar"/>
                    </w:rPr>
                    <w:t>排放浓度、成分，选择燃烧、吸附、生物法、冷凝等针对性强、治理效果明显的处理技术或多种技术的组合工艺，提高</w:t>
                  </w:r>
                  <w:r>
                    <w:rPr>
                      <w:rFonts w:hint="default" w:ascii="Times New Roman" w:hAnsi="Times New Roman" w:eastAsia="宋体" w:cs="Times New Roman"/>
                      <w:kern w:val="24"/>
                      <w:sz w:val="21"/>
                      <w:szCs w:val="21"/>
                      <w:lang w:val="en-US" w:eastAsia="zh-CN" w:bidi="ar"/>
                    </w:rPr>
                    <w:t>VOCs</w:t>
                  </w:r>
                  <w:r>
                    <w:rPr>
                      <w:rFonts w:hint="eastAsia" w:ascii="Times New Roman" w:hAnsi="Times New Roman" w:eastAsia="宋体" w:cs="宋体"/>
                      <w:kern w:val="24"/>
                      <w:sz w:val="21"/>
                      <w:szCs w:val="21"/>
                      <w:lang w:val="en-US" w:eastAsia="zh-CN" w:bidi="ar"/>
                    </w:rPr>
                    <w:t>治理效率；</w:t>
                  </w:r>
                  <w:r>
                    <w:rPr>
                      <w:rFonts w:hint="default" w:ascii="Times New Roman" w:hAnsi="Times New Roman" w:eastAsia="宋体" w:cs="Times New Roman"/>
                      <w:kern w:val="24"/>
                      <w:sz w:val="21"/>
                      <w:szCs w:val="21"/>
                      <w:lang w:val="en-US" w:eastAsia="zh-CN" w:bidi="ar"/>
                    </w:rPr>
                    <w:t>VOCs</w:t>
                  </w:r>
                  <w:r>
                    <w:rPr>
                      <w:rFonts w:hint="eastAsia" w:ascii="Times New Roman" w:hAnsi="Times New Roman" w:eastAsia="宋体" w:cs="宋体"/>
                      <w:kern w:val="24"/>
                      <w:sz w:val="21"/>
                      <w:szCs w:val="21"/>
                      <w:lang w:val="en-US" w:eastAsia="zh-CN" w:bidi="ar"/>
                    </w:rPr>
                    <w:t>物料储存、转移和输送、工艺过程、设备与管线组件</w:t>
                  </w:r>
                  <w:r>
                    <w:rPr>
                      <w:rFonts w:hint="default" w:ascii="Times New Roman" w:hAnsi="Times New Roman" w:eastAsia="宋体" w:cs="Times New Roman"/>
                      <w:kern w:val="24"/>
                      <w:sz w:val="21"/>
                      <w:szCs w:val="21"/>
                      <w:lang w:val="en-US" w:eastAsia="zh-CN" w:bidi="ar"/>
                    </w:rPr>
                    <w:t>VOCs</w:t>
                  </w:r>
                  <w:r>
                    <w:rPr>
                      <w:rFonts w:hint="eastAsia" w:ascii="Times New Roman" w:hAnsi="Times New Roman" w:eastAsia="宋体" w:cs="宋体"/>
                      <w:kern w:val="24"/>
                      <w:sz w:val="21"/>
                      <w:szCs w:val="21"/>
                      <w:lang w:val="en-US" w:eastAsia="zh-CN" w:bidi="ar"/>
                    </w:rPr>
                    <w:t>泄漏控制、敞开液面</w:t>
                  </w:r>
                  <w:r>
                    <w:rPr>
                      <w:rFonts w:hint="default" w:ascii="Times New Roman" w:hAnsi="Times New Roman" w:eastAsia="宋体" w:cs="Times New Roman"/>
                      <w:kern w:val="24"/>
                      <w:sz w:val="21"/>
                      <w:szCs w:val="21"/>
                      <w:lang w:val="en-US" w:eastAsia="zh-CN" w:bidi="ar"/>
                    </w:rPr>
                    <w:t>VOCs</w:t>
                  </w:r>
                  <w:r>
                    <w:rPr>
                      <w:rFonts w:hint="eastAsia" w:ascii="Times New Roman" w:hAnsi="Times New Roman" w:eastAsia="宋体" w:cs="宋体"/>
                      <w:kern w:val="24"/>
                      <w:sz w:val="21"/>
                      <w:szCs w:val="21"/>
                      <w:lang w:val="en-US" w:eastAsia="zh-CN" w:bidi="ar"/>
                    </w:rPr>
                    <w:t>无组织排放控制，以及</w:t>
                  </w:r>
                  <w:r>
                    <w:rPr>
                      <w:rFonts w:hint="default" w:ascii="Times New Roman" w:hAnsi="Times New Roman" w:eastAsia="宋体" w:cs="Times New Roman"/>
                      <w:kern w:val="24"/>
                      <w:sz w:val="21"/>
                      <w:szCs w:val="21"/>
                      <w:lang w:val="en-US" w:eastAsia="zh-CN" w:bidi="ar"/>
                    </w:rPr>
                    <w:t>VOCs</w:t>
                  </w:r>
                  <w:r>
                    <w:rPr>
                      <w:rFonts w:hint="eastAsia" w:ascii="Times New Roman" w:hAnsi="Times New Roman" w:eastAsia="宋体" w:cs="宋体"/>
                      <w:kern w:val="24"/>
                      <w:sz w:val="21"/>
                      <w:szCs w:val="21"/>
                      <w:lang w:val="en-US" w:eastAsia="zh-CN" w:bidi="ar"/>
                    </w:rPr>
                    <w:t>无组织排放废气收集处理系统和企业厂区内及周边污染监控应满足《挥发性有机物无组织排放控制标准（</w:t>
                  </w:r>
                  <w:r>
                    <w:rPr>
                      <w:rFonts w:hint="default" w:ascii="Times New Roman" w:hAnsi="Times New Roman" w:eastAsia="宋体" w:cs="Times New Roman"/>
                      <w:kern w:val="24"/>
                      <w:sz w:val="21"/>
                      <w:szCs w:val="21"/>
                      <w:lang w:val="en-US" w:eastAsia="zh-CN" w:bidi="ar"/>
                    </w:rPr>
                    <w:t>GB37822-2019</w:t>
                  </w:r>
                  <w:r>
                    <w:rPr>
                      <w:rFonts w:hint="eastAsia" w:ascii="Times New Roman" w:hAnsi="Times New Roman" w:eastAsia="宋体" w:cs="宋体"/>
                      <w:kern w:val="24"/>
                      <w:sz w:val="21"/>
                      <w:szCs w:val="21"/>
                      <w:lang w:val="en-US" w:eastAsia="zh-CN" w:bidi="ar"/>
                    </w:rPr>
                    <w:t>）》相关要求。</w:t>
                  </w:r>
                </w:p>
              </w:tc>
              <w:tc>
                <w:tcPr>
                  <w:tcW w:w="1801" w:type="dxa"/>
                  <w:tcBorders>
                    <w:tl2br w:val="nil"/>
                    <w:tr2bl w:val="nil"/>
                  </w:tcBorders>
                  <w:shd w:val="clear" w:color="auto" w:fill="auto"/>
                  <w:tcMar>
                    <w:left w:w="51" w:type="dxa"/>
                    <w:right w:w="51" w:type="dxa"/>
                  </w:tcMar>
                  <w:vAlign w:val="center"/>
                </w:tcPr>
                <w:p w14:paraId="1BEB7BF7">
                  <w:pPr>
                    <w:keepNext w:val="0"/>
                    <w:keepLines w:val="0"/>
                    <w:pageBreakBefore w:val="0"/>
                    <w:widowControl/>
                    <w:suppressLineNumbers w:val="0"/>
                    <w:kinsoku/>
                    <w:wordWrap w:val="0"/>
                    <w:overflowPunct/>
                    <w:topLinePunct w:val="0"/>
                    <w:autoSpaceDE w:val="0"/>
                    <w:autoSpaceDN/>
                    <w:bidi w:val="0"/>
                    <w:adjustRightInd w:val="0"/>
                    <w:snapToGrid w:val="0"/>
                    <w:spacing w:before="0" w:beforeAutospacing="0" w:after="0" w:afterAutospacing="0" w:line="360" w:lineRule="exact"/>
                    <w:ind w:left="0" w:right="0"/>
                    <w:jc w:val="both"/>
                    <w:textAlignment w:val="center"/>
                    <w:rPr>
                      <w:rFonts w:hint="default"/>
                      <w:kern w:val="24"/>
                      <w:highlight w:val="yellow"/>
                      <w:lang w:val="en-US"/>
                    </w:rPr>
                  </w:pPr>
                  <w:r>
                    <w:rPr>
                      <w:rFonts w:hint="eastAsia" w:ascii="Times New Roman" w:hAnsi="Times New Roman" w:eastAsia="宋体" w:cs="宋体"/>
                      <w:snapToGrid w:val="0"/>
                      <w:kern w:val="0"/>
                      <w:sz w:val="21"/>
                      <w:szCs w:val="21"/>
                      <w:lang w:val="en-US" w:eastAsia="zh-CN" w:bidi="ar"/>
                    </w:rPr>
                    <w:t>本项目</w:t>
                  </w:r>
                  <w:r>
                    <w:rPr>
                      <w:rFonts w:hint="eastAsia" w:ascii="Times New Roman" w:hAnsi="Times New Roman" w:eastAsia="宋体" w:cs="宋体"/>
                      <w:kern w:val="2"/>
                      <w:sz w:val="21"/>
                      <w:szCs w:val="21"/>
                      <w:lang w:val="en-US" w:eastAsia="zh-CN" w:bidi="ar"/>
                    </w:rPr>
                    <w:t>厂房内密闭作业，采用活性炭吸附浓缩+催化燃烧装置处理技术；</w:t>
                  </w:r>
                  <w:r>
                    <w:rPr>
                      <w:rFonts w:hint="default" w:ascii="Times New Roman" w:hAnsi="Times New Roman" w:eastAsia="宋体" w:cs="Times New Roman"/>
                      <w:kern w:val="24"/>
                      <w:sz w:val="21"/>
                      <w:szCs w:val="21"/>
                      <w:lang w:val="en-US" w:eastAsia="zh-CN" w:bidi="ar"/>
                    </w:rPr>
                    <w:t>VOCs</w:t>
                  </w:r>
                  <w:r>
                    <w:rPr>
                      <w:rFonts w:hint="eastAsia" w:ascii="Times New Roman" w:hAnsi="Times New Roman" w:eastAsia="宋体" w:cs="宋体"/>
                      <w:kern w:val="24"/>
                      <w:sz w:val="21"/>
                      <w:szCs w:val="21"/>
                      <w:lang w:val="en-US" w:eastAsia="zh-CN" w:bidi="ar"/>
                    </w:rPr>
                    <w:t>无组织排放</w:t>
                  </w:r>
                  <w:r>
                    <w:rPr>
                      <w:rFonts w:hint="eastAsia" w:ascii="Times New Roman" w:hAnsi="Times New Roman" w:eastAsia="宋体" w:cs="宋体"/>
                      <w:kern w:val="2"/>
                      <w:sz w:val="21"/>
                      <w:szCs w:val="21"/>
                      <w:lang w:val="en-US" w:eastAsia="zh-CN" w:bidi="ar"/>
                    </w:rPr>
                    <w:t>满足《挥发性有机物无组织排放控制标准（</w:t>
                  </w:r>
                  <w:r>
                    <w:rPr>
                      <w:rFonts w:hint="default" w:ascii="Times New Roman" w:hAnsi="Times New Roman" w:eastAsia="宋体" w:cs="Times New Roman"/>
                      <w:kern w:val="2"/>
                      <w:sz w:val="21"/>
                      <w:szCs w:val="21"/>
                      <w:lang w:val="en-US" w:eastAsia="zh-CN" w:bidi="ar"/>
                    </w:rPr>
                    <w:t>GB37822-2019</w:t>
                  </w:r>
                  <w:r>
                    <w:rPr>
                      <w:rFonts w:hint="eastAsia" w:ascii="Times New Roman" w:hAnsi="Times New Roman" w:eastAsia="宋体" w:cs="宋体"/>
                      <w:kern w:val="2"/>
                      <w:sz w:val="21"/>
                      <w:szCs w:val="21"/>
                      <w:lang w:val="en-US" w:eastAsia="zh-CN" w:bidi="ar"/>
                    </w:rPr>
                    <w:t>）》等相关要求。</w:t>
                  </w:r>
                </w:p>
              </w:tc>
              <w:tc>
                <w:tcPr>
                  <w:tcW w:w="620" w:type="dxa"/>
                  <w:tcBorders>
                    <w:tl2br w:val="nil"/>
                    <w:tr2bl w:val="nil"/>
                  </w:tcBorders>
                  <w:shd w:val="clear" w:color="auto" w:fill="auto"/>
                  <w:tcMar>
                    <w:left w:w="51" w:type="dxa"/>
                    <w:right w:w="51" w:type="dxa"/>
                  </w:tcMar>
                  <w:vAlign w:val="center"/>
                </w:tcPr>
                <w:p w14:paraId="3A8FCDCE">
                  <w:pPr>
                    <w:keepNext w:val="0"/>
                    <w:keepLines w:val="0"/>
                    <w:pageBreakBefore w:val="0"/>
                    <w:widowControl/>
                    <w:suppressLineNumbers w:val="0"/>
                    <w:kinsoku/>
                    <w:overflowPunct/>
                    <w:topLinePunct w:val="0"/>
                    <w:bidi w:val="0"/>
                    <w:adjustRightInd w:val="0"/>
                    <w:snapToGrid w:val="0"/>
                    <w:spacing w:before="0" w:beforeAutospacing="0" w:after="0" w:afterAutospacing="0" w:line="360" w:lineRule="exact"/>
                    <w:ind w:left="0" w:right="0"/>
                    <w:jc w:val="center"/>
                    <w:textAlignment w:val="center"/>
                    <w:rPr>
                      <w:rFonts w:hint="default"/>
                      <w:kern w:val="24"/>
                      <w:lang w:val="en-US"/>
                    </w:rPr>
                  </w:pPr>
                  <w:r>
                    <w:rPr>
                      <w:rFonts w:hint="eastAsia" w:cs="宋体"/>
                      <w:kern w:val="24"/>
                      <w:sz w:val="21"/>
                      <w:szCs w:val="21"/>
                      <w:lang w:val="en-US" w:eastAsia="zh-CN" w:bidi="ar"/>
                    </w:rPr>
                    <w:t>相符</w:t>
                  </w:r>
                </w:p>
              </w:tc>
            </w:tr>
            <w:tr w14:paraId="1A7FAAA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2761" w:hRule="atLeast"/>
                <w:jc w:val="center"/>
              </w:trPr>
              <w:tc>
                <w:tcPr>
                  <w:tcW w:w="623" w:type="dxa"/>
                  <w:vMerge w:val="continue"/>
                  <w:tcBorders>
                    <w:tl2br w:val="nil"/>
                    <w:tr2bl w:val="nil"/>
                  </w:tcBorders>
                  <w:shd w:val="clear" w:color="auto" w:fill="auto"/>
                  <w:tcMar>
                    <w:left w:w="51" w:type="dxa"/>
                    <w:right w:w="51" w:type="dxa"/>
                  </w:tcMar>
                  <w:vAlign w:val="center"/>
                </w:tcPr>
                <w:p w14:paraId="0B5943EF">
                  <w:pPr>
                    <w:keepNext w:val="0"/>
                    <w:keepLines w:val="0"/>
                    <w:pageBreakBefore w:val="0"/>
                    <w:suppressLineNumbers w:val="0"/>
                    <w:kinsoku/>
                    <w:overflowPunct/>
                    <w:topLinePunct w:val="0"/>
                    <w:bidi w:val="0"/>
                    <w:spacing w:before="0" w:beforeAutospacing="0" w:after="0" w:afterAutospacing="0" w:line="360" w:lineRule="exact"/>
                    <w:ind w:left="0" w:right="0"/>
                    <w:rPr>
                      <w:rFonts w:hint="default" w:ascii="Times New Roman" w:hAnsi="Times New Roman" w:eastAsia="Times New Roman" w:cs="Times New Roman"/>
                      <w:sz w:val="20"/>
                      <w:szCs w:val="20"/>
                    </w:rPr>
                  </w:pPr>
                </w:p>
              </w:tc>
              <w:tc>
                <w:tcPr>
                  <w:tcW w:w="1134" w:type="dxa"/>
                  <w:vMerge w:val="continue"/>
                  <w:tcBorders>
                    <w:tl2br w:val="nil"/>
                    <w:tr2bl w:val="nil"/>
                  </w:tcBorders>
                  <w:shd w:val="clear" w:color="auto" w:fill="auto"/>
                  <w:tcMar>
                    <w:left w:w="51" w:type="dxa"/>
                    <w:right w:w="51" w:type="dxa"/>
                  </w:tcMar>
                  <w:vAlign w:val="center"/>
                </w:tcPr>
                <w:p w14:paraId="2AF37BD5">
                  <w:pPr>
                    <w:keepNext w:val="0"/>
                    <w:keepLines w:val="0"/>
                    <w:pageBreakBefore w:val="0"/>
                    <w:suppressLineNumbers w:val="0"/>
                    <w:kinsoku/>
                    <w:overflowPunct/>
                    <w:topLinePunct w:val="0"/>
                    <w:bidi w:val="0"/>
                    <w:spacing w:before="0" w:beforeAutospacing="0" w:after="0" w:afterAutospacing="0" w:line="360" w:lineRule="exact"/>
                    <w:ind w:left="0" w:right="0"/>
                    <w:rPr>
                      <w:rFonts w:hint="default" w:ascii="Times New Roman" w:hAnsi="Times New Roman" w:eastAsia="Times New Roman" w:cs="Times New Roman"/>
                      <w:sz w:val="20"/>
                      <w:szCs w:val="20"/>
                    </w:rPr>
                  </w:pPr>
                </w:p>
              </w:tc>
              <w:tc>
                <w:tcPr>
                  <w:tcW w:w="2590" w:type="dxa"/>
                  <w:tcBorders>
                    <w:tl2br w:val="nil"/>
                    <w:tr2bl w:val="nil"/>
                  </w:tcBorders>
                  <w:shd w:val="clear" w:color="auto" w:fill="auto"/>
                  <w:tcMar>
                    <w:left w:w="51" w:type="dxa"/>
                    <w:right w:w="51" w:type="dxa"/>
                  </w:tcMar>
                  <w:vAlign w:val="center"/>
                </w:tcPr>
                <w:p w14:paraId="554A0FA8">
                  <w:pPr>
                    <w:keepNext w:val="0"/>
                    <w:keepLines w:val="0"/>
                    <w:pageBreakBefore w:val="0"/>
                    <w:widowControl/>
                    <w:suppressLineNumbers w:val="0"/>
                    <w:kinsoku/>
                    <w:overflowPunct/>
                    <w:topLinePunct w:val="0"/>
                    <w:bidi w:val="0"/>
                    <w:adjustRightInd w:val="0"/>
                    <w:snapToGrid w:val="0"/>
                    <w:spacing w:before="0" w:beforeAutospacing="0" w:after="0" w:afterAutospacing="0" w:line="360" w:lineRule="exact"/>
                    <w:ind w:left="0" w:right="0"/>
                    <w:jc w:val="both"/>
                    <w:textAlignment w:val="center"/>
                    <w:rPr>
                      <w:rFonts w:hint="default"/>
                      <w:kern w:val="24"/>
                      <w:lang w:val="en-US"/>
                    </w:rPr>
                  </w:pPr>
                  <w:r>
                    <w:rPr>
                      <w:rFonts w:hint="eastAsia" w:ascii="Times New Roman" w:hAnsi="Times New Roman" w:eastAsia="宋体" w:cs="宋体"/>
                      <w:kern w:val="24"/>
                      <w:sz w:val="21"/>
                      <w:szCs w:val="21"/>
                      <w:lang w:val="en-US" w:eastAsia="zh-CN" w:bidi="ar"/>
                    </w:rPr>
                    <w:t>向污水集中处理设施排放工业废水的，应当按照国家有关规定进行预处理，达到集中处理设施处理工艺要求后方可排放。</w:t>
                  </w:r>
                </w:p>
              </w:tc>
              <w:tc>
                <w:tcPr>
                  <w:tcW w:w="1801" w:type="dxa"/>
                  <w:tcBorders>
                    <w:tl2br w:val="nil"/>
                    <w:tr2bl w:val="nil"/>
                  </w:tcBorders>
                  <w:shd w:val="clear" w:color="auto" w:fill="auto"/>
                  <w:tcMar>
                    <w:left w:w="51" w:type="dxa"/>
                    <w:right w:w="51" w:type="dxa"/>
                  </w:tcMar>
                  <w:vAlign w:val="center"/>
                </w:tcPr>
                <w:p w14:paraId="17C6E81C">
                  <w:pPr>
                    <w:keepNext w:val="0"/>
                    <w:keepLines w:val="0"/>
                    <w:pageBreakBefore w:val="0"/>
                    <w:widowControl/>
                    <w:suppressLineNumbers w:val="0"/>
                    <w:kinsoku/>
                    <w:overflowPunct/>
                    <w:topLinePunct w:val="0"/>
                    <w:bidi w:val="0"/>
                    <w:adjustRightInd w:val="0"/>
                    <w:snapToGrid w:val="0"/>
                    <w:spacing w:before="0" w:beforeAutospacing="0" w:after="0" w:afterAutospacing="0" w:line="360" w:lineRule="exact"/>
                    <w:ind w:left="0" w:right="0"/>
                    <w:jc w:val="both"/>
                    <w:textAlignment w:val="center"/>
                    <w:rPr>
                      <w:rFonts w:hint="default"/>
                      <w:kern w:val="24"/>
                      <w:lang w:val="en-US"/>
                    </w:rPr>
                  </w:pPr>
                  <w:r>
                    <w:rPr>
                      <w:rFonts w:hint="eastAsia" w:ascii="Times New Roman" w:hAnsi="Times New Roman" w:eastAsia="宋体" w:cs="宋体"/>
                      <w:kern w:val="2"/>
                      <w:sz w:val="21"/>
                      <w:szCs w:val="21"/>
                      <w:lang w:val="en-US" w:eastAsia="zh-CN" w:bidi="ar"/>
                    </w:rPr>
                    <w:t>项目生活废水经化粪池预处理后，满足《污水综合排放标准》（</w:t>
                  </w:r>
                  <w:r>
                    <w:rPr>
                      <w:rFonts w:hint="default" w:ascii="Times New Roman" w:hAnsi="Times New Roman" w:eastAsia="宋体" w:cs="Times New Roman"/>
                      <w:kern w:val="2"/>
                      <w:sz w:val="21"/>
                      <w:szCs w:val="21"/>
                      <w:lang w:val="en-US" w:eastAsia="zh-CN" w:bidi="ar"/>
                    </w:rPr>
                    <w:t>GB 8978-1996</w:t>
                  </w:r>
                  <w:r>
                    <w:rPr>
                      <w:rFonts w:hint="eastAsia" w:ascii="Times New Roman" w:hAnsi="Times New Roman" w:eastAsia="宋体" w:cs="宋体"/>
                      <w:kern w:val="2"/>
                      <w:sz w:val="21"/>
                      <w:szCs w:val="21"/>
                      <w:lang w:val="en-US" w:eastAsia="zh-CN" w:bidi="ar"/>
                    </w:rPr>
                    <w:t>）表</w:t>
                  </w:r>
                  <w:r>
                    <w:rPr>
                      <w:rFonts w:hint="default" w:ascii="Times New Roman" w:hAnsi="Times New Roman" w:eastAsia="宋体" w:cs="Times New Roman"/>
                      <w:kern w:val="2"/>
                      <w:sz w:val="21"/>
                      <w:szCs w:val="21"/>
                      <w:lang w:val="en-US" w:eastAsia="zh-CN" w:bidi="ar"/>
                    </w:rPr>
                    <w:t>4</w:t>
                  </w:r>
                  <w:r>
                    <w:rPr>
                      <w:rFonts w:hint="eastAsia" w:ascii="Times New Roman" w:hAnsi="Times New Roman" w:eastAsia="宋体" w:cs="宋体"/>
                      <w:kern w:val="2"/>
                      <w:sz w:val="21"/>
                      <w:szCs w:val="21"/>
                      <w:lang w:val="en-US" w:eastAsia="zh-CN" w:bidi="ar"/>
                    </w:rPr>
                    <w:t>三级标准及</w:t>
                  </w:r>
                  <w:r>
                    <w:rPr>
                      <w:rFonts w:hint="eastAsia" w:cs="宋体"/>
                      <w:kern w:val="2"/>
                      <w:sz w:val="21"/>
                      <w:szCs w:val="21"/>
                      <w:lang w:val="en-US" w:eastAsia="zh-CN" w:bidi="ar"/>
                    </w:rPr>
                    <w:t>污水厂</w:t>
                  </w:r>
                  <w:r>
                    <w:rPr>
                      <w:rFonts w:hint="eastAsia" w:ascii="Times New Roman" w:hAnsi="Times New Roman" w:eastAsia="宋体" w:cs="宋体"/>
                      <w:kern w:val="2"/>
                      <w:sz w:val="21"/>
                      <w:szCs w:val="21"/>
                      <w:lang w:val="en-US" w:eastAsia="zh-CN" w:bidi="ar"/>
                    </w:rPr>
                    <w:t>进水水质要求，通过市政污水管网进入汤阴东方环宇污水处理有限公司。</w:t>
                  </w:r>
                </w:p>
              </w:tc>
              <w:tc>
                <w:tcPr>
                  <w:tcW w:w="620" w:type="dxa"/>
                  <w:tcBorders>
                    <w:tl2br w:val="nil"/>
                    <w:tr2bl w:val="nil"/>
                  </w:tcBorders>
                  <w:shd w:val="clear" w:color="auto" w:fill="auto"/>
                  <w:tcMar>
                    <w:left w:w="51" w:type="dxa"/>
                    <w:right w:w="51" w:type="dxa"/>
                  </w:tcMar>
                  <w:vAlign w:val="center"/>
                </w:tcPr>
                <w:p w14:paraId="2A2307C4">
                  <w:pPr>
                    <w:keepNext w:val="0"/>
                    <w:keepLines w:val="0"/>
                    <w:pageBreakBefore w:val="0"/>
                    <w:widowControl/>
                    <w:suppressLineNumbers w:val="0"/>
                    <w:kinsoku/>
                    <w:overflowPunct/>
                    <w:topLinePunct w:val="0"/>
                    <w:bidi w:val="0"/>
                    <w:adjustRightInd w:val="0"/>
                    <w:snapToGrid w:val="0"/>
                    <w:spacing w:before="0" w:beforeAutospacing="0" w:after="0" w:afterAutospacing="0" w:line="360" w:lineRule="exact"/>
                    <w:ind w:left="0" w:right="0"/>
                    <w:jc w:val="center"/>
                    <w:textAlignment w:val="center"/>
                    <w:rPr>
                      <w:rFonts w:hint="default"/>
                      <w:kern w:val="24"/>
                      <w:lang w:val="en-US"/>
                    </w:rPr>
                  </w:pPr>
                  <w:r>
                    <w:rPr>
                      <w:rFonts w:hint="eastAsia" w:cs="宋体"/>
                      <w:kern w:val="24"/>
                      <w:sz w:val="21"/>
                      <w:szCs w:val="21"/>
                      <w:lang w:val="en-US" w:eastAsia="zh-CN" w:bidi="ar"/>
                    </w:rPr>
                    <w:t>相符</w:t>
                  </w:r>
                </w:p>
              </w:tc>
            </w:tr>
            <w:tr w14:paraId="6BD311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23" w:type="dxa"/>
                  <w:bottom w:w="0" w:type="dxa"/>
                  <w:right w:w="23" w:type="dxa"/>
                </w:tblCellMar>
              </w:tblPrEx>
              <w:trPr>
                <w:trHeight w:val="90" w:hRule="atLeast"/>
                <w:jc w:val="center"/>
              </w:trPr>
              <w:tc>
                <w:tcPr>
                  <w:tcW w:w="623" w:type="dxa"/>
                  <w:vMerge w:val="continue"/>
                  <w:tcBorders>
                    <w:tl2br w:val="nil"/>
                    <w:tr2bl w:val="nil"/>
                  </w:tcBorders>
                  <w:shd w:val="clear" w:color="auto" w:fill="auto"/>
                  <w:tcMar>
                    <w:left w:w="51" w:type="dxa"/>
                    <w:right w:w="51" w:type="dxa"/>
                  </w:tcMar>
                  <w:vAlign w:val="center"/>
                </w:tcPr>
                <w:p w14:paraId="7AFF0444">
                  <w:pPr>
                    <w:keepNext w:val="0"/>
                    <w:keepLines w:val="0"/>
                    <w:pageBreakBefore w:val="0"/>
                    <w:suppressLineNumbers w:val="0"/>
                    <w:kinsoku/>
                    <w:overflowPunct/>
                    <w:topLinePunct w:val="0"/>
                    <w:bidi w:val="0"/>
                    <w:spacing w:before="0" w:beforeAutospacing="0" w:after="0" w:afterAutospacing="0" w:line="360" w:lineRule="exact"/>
                    <w:ind w:left="0" w:right="0"/>
                    <w:rPr>
                      <w:rFonts w:hint="default" w:ascii="Times New Roman" w:hAnsi="Times New Roman" w:eastAsia="Times New Roman" w:cs="Times New Roman"/>
                      <w:sz w:val="20"/>
                      <w:szCs w:val="20"/>
                    </w:rPr>
                  </w:pPr>
                </w:p>
              </w:tc>
              <w:tc>
                <w:tcPr>
                  <w:tcW w:w="1134" w:type="dxa"/>
                  <w:vMerge w:val="continue"/>
                  <w:tcBorders>
                    <w:tl2br w:val="nil"/>
                    <w:tr2bl w:val="nil"/>
                  </w:tcBorders>
                  <w:shd w:val="clear" w:color="auto" w:fill="auto"/>
                  <w:tcMar>
                    <w:left w:w="51" w:type="dxa"/>
                    <w:right w:w="51" w:type="dxa"/>
                  </w:tcMar>
                  <w:vAlign w:val="center"/>
                </w:tcPr>
                <w:p w14:paraId="25BEC740">
                  <w:pPr>
                    <w:keepNext w:val="0"/>
                    <w:keepLines w:val="0"/>
                    <w:pageBreakBefore w:val="0"/>
                    <w:suppressLineNumbers w:val="0"/>
                    <w:kinsoku/>
                    <w:overflowPunct/>
                    <w:topLinePunct w:val="0"/>
                    <w:bidi w:val="0"/>
                    <w:spacing w:before="0" w:beforeAutospacing="0" w:after="0" w:afterAutospacing="0" w:line="360" w:lineRule="exact"/>
                    <w:ind w:left="0" w:right="0"/>
                    <w:rPr>
                      <w:rFonts w:hint="default" w:ascii="Times New Roman" w:hAnsi="Times New Roman" w:eastAsia="Times New Roman" w:cs="Times New Roman"/>
                      <w:sz w:val="20"/>
                      <w:szCs w:val="20"/>
                    </w:rPr>
                  </w:pPr>
                </w:p>
              </w:tc>
              <w:tc>
                <w:tcPr>
                  <w:tcW w:w="2590" w:type="dxa"/>
                  <w:tcBorders>
                    <w:tl2br w:val="nil"/>
                    <w:tr2bl w:val="nil"/>
                  </w:tcBorders>
                  <w:shd w:val="clear" w:color="auto" w:fill="auto"/>
                  <w:tcMar>
                    <w:left w:w="51" w:type="dxa"/>
                    <w:right w:w="51" w:type="dxa"/>
                  </w:tcMar>
                  <w:vAlign w:val="center"/>
                </w:tcPr>
                <w:p w14:paraId="51D84CD3">
                  <w:pPr>
                    <w:keepNext w:val="0"/>
                    <w:keepLines w:val="0"/>
                    <w:pageBreakBefore w:val="0"/>
                    <w:widowControl w:val="0"/>
                    <w:suppressLineNumbers w:val="0"/>
                    <w:kinsoku/>
                    <w:overflowPunct/>
                    <w:topLinePunct w:val="0"/>
                    <w:bidi w:val="0"/>
                    <w:adjustRightInd w:val="0"/>
                    <w:snapToGrid w:val="0"/>
                    <w:spacing w:before="0" w:beforeAutospacing="0" w:after="0" w:afterAutospacing="0" w:line="360" w:lineRule="exact"/>
                    <w:ind w:left="0" w:right="0"/>
                    <w:jc w:val="both"/>
                    <w:rPr>
                      <w:rFonts w:hint="default"/>
                      <w:kern w:val="24"/>
                      <w:lang w:val="en-US"/>
                    </w:rPr>
                  </w:pPr>
                  <w:r>
                    <w:rPr>
                      <w:rFonts w:hint="eastAsia" w:ascii="Times New Roman" w:hAnsi="Times New Roman" w:eastAsia="宋体" w:cs="宋体"/>
                      <w:kern w:val="24"/>
                      <w:sz w:val="21"/>
                      <w:szCs w:val="21"/>
                      <w:lang w:val="en-US" w:eastAsia="zh-CN" w:bidi="ar"/>
                    </w:rPr>
                    <w:t>新建</w:t>
                  </w:r>
                  <w:r>
                    <w:rPr>
                      <w:rFonts w:hint="default" w:ascii="Times New Roman" w:hAnsi="Times New Roman" w:eastAsia="宋体" w:cs="Times New Roman"/>
                      <w:kern w:val="24"/>
                      <w:sz w:val="21"/>
                      <w:szCs w:val="21"/>
                      <w:lang w:val="en-US" w:eastAsia="zh-CN" w:bidi="ar"/>
                    </w:rPr>
                    <w:t>“</w:t>
                  </w:r>
                  <w:r>
                    <w:rPr>
                      <w:rFonts w:hint="eastAsia" w:ascii="Times New Roman" w:hAnsi="Times New Roman" w:eastAsia="宋体" w:cs="宋体"/>
                      <w:kern w:val="24"/>
                      <w:sz w:val="21"/>
                      <w:szCs w:val="21"/>
                      <w:lang w:val="en-US" w:eastAsia="zh-CN" w:bidi="ar"/>
                    </w:rPr>
                    <w:t>两高</w:t>
                  </w:r>
                  <w:r>
                    <w:rPr>
                      <w:rFonts w:hint="default" w:ascii="Times New Roman" w:hAnsi="Times New Roman" w:eastAsia="宋体" w:cs="Times New Roman"/>
                      <w:kern w:val="24"/>
                      <w:sz w:val="21"/>
                      <w:szCs w:val="21"/>
                      <w:lang w:val="en-US" w:eastAsia="zh-CN" w:bidi="ar"/>
                    </w:rPr>
                    <w:t>”</w:t>
                  </w:r>
                  <w:r>
                    <w:rPr>
                      <w:rFonts w:hint="eastAsia" w:ascii="Times New Roman" w:hAnsi="Times New Roman" w:eastAsia="宋体" w:cs="宋体"/>
                      <w:kern w:val="24"/>
                      <w:sz w:val="21"/>
                      <w:szCs w:val="21"/>
                      <w:lang w:val="en-US" w:eastAsia="zh-CN" w:bidi="ar"/>
                    </w:rPr>
                    <w:t>项目应按照《关于加强重点行业建设项目区域削减措施监督管理的通知》要求，依据区域环境质量改善目标，制定配套区域污染物削减方案，采取有效的污染物区域削减措施，腾出足够的环境容量。</w:t>
                  </w:r>
                </w:p>
              </w:tc>
              <w:tc>
                <w:tcPr>
                  <w:tcW w:w="1801" w:type="dxa"/>
                  <w:tcBorders>
                    <w:tl2br w:val="nil"/>
                    <w:tr2bl w:val="nil"/>
                  </w:tcBorders>
                  <w:shd w:val="clear" w:color="auto" w:fill="auto"/>
                  <w:tcMar>
                    <w:left w:w="51" w:type="dxa"/>
                    <w:right w:w="51" w:type="dxa"/>
                  </w:tcMar>
                  <w:vAlign w:val="center"/>
                </w:tcPr>
                <w:p w14:paraId="5C652329">
                  <w:pPr>
                    <w:keepNext w:val="0"/>
                    <w:keepLines w:val="0"/>
                    <w:pageBreakBefore w:val="0"/>
                    <w:widowControl w:val="0"/>
                    <w:suppressLineNumbers w:val="0"/>
                    <w:kinsoku/>
                    <w:overflowPunct/>
                    <w:topLinePunct w:val="0"/>
                    <w:bidi w:val="0"/>
                    <w:adjustRightInd w:val="0"/>
                    <w:snapToGrid w:val="0"/>
                    <w:spacing w:before="0" w:beforeAutospacing="0" w:after="0" w:afterAutospacing="0" w:line="360" w:lineRule="exact"/>
                    <w:ind w:left="0" w:right="0"/>
                    <w:jc w:val="both"/>
                    <w:rPr>
                      <w:rFonts w:hint="default"/>
                      <w:kern w:val="24"/>
                      <w:highlight w:val="yellow"/>
                      <w:lang w:val="en-US"/>
                    </w:rPr>
                  </w:pPr>
                  <w:r>
                    <w:rPr>
                      <w:rFonts w:hint="eastAsia" w:ascii="Times New Roman" w:hAnsi="Times New Roman" w:eastAsia="宋体" w:cs="宋体"/>
                      <w:kern w:val="24"/>
                      <w:sz w:val="21"/>
                      <w:szCs w:val="21"/>
                      <w:lang w:val="en-US" w:eastAsia="zh-CN" w:bidi="ar"/>
                    </w:rPr>
                    <w:t>本项目不属</w:t>
                  </w:r>
                  <w:r>
                    <w:rPr>
                      <w:rFonts w:hint="eastAsia" w:ascii="宋体" w:hAnsi="宋体" w:eastAsia="宋体" w:cs="宋体"/>
                      <w:kern w:val="24"/>
                      <w:sz w:val="21"/>
                      <w:szCs w:val="21"/>
                      <w:lang w:val="en-US" w:eastAsia="zh-CN" w:bidi="ar"/>
                    </w:rPr>
                    <w:t>于“两高”</w:t>
                  </w:r>
                  <w:r>
                    <w:rPr>
                      <w:rFonts w:hint="eastAsia" w:ascii="Times New Roman" w:hAnsi="Times New Roman" w:eastAsia="宋体" w:cs="宋体"/>
                      <w:kern w:val="24"/>
                      <w:sz w:val="21"/>
                      <w:szCs w:val="21"/>
                      <w:lang w:val="en-US" w:eastAsia="zh-CN" w:bidi="ar"/>
                    </w:rPr>
                    <w:t>项目。</w:t>
                  </w:r>
                </w:p>
              </w:tc>
              <w:tc>
                <w:tcPr>
                  <w:tcW w:w="620" w:type="dxa"/>
                  <w:tcBorders>
                    <w:tl2br w:val="nil"/>
                    <w:tr2bl w:val="nil"/>
                  </w:tcBorders>
                  <w:shd w:val="clear" w:color="auto" w:fill="auto"/>
                  <w:tcMar>
                    <w:left w:w="51" w:type="dxa"/>
                    <w:right w:w="51" w:type="dxa"/>
                  </w:tcMar>
                  <w:vAlign w:val="center"/>
                </w:tcPr>
                <w:p w14:paraId="4BF5BE21">
                  <w:pPr>
                    <w:keepNext w:val="0"/>
                    <w:keepLines w:val="0"/>
                    <w:pageBreakBefore w:val="0"/>
                    <w:widowControl w:val="0"/>
                    <w:suppressLineNumbers w:val="0"/>
                    <w:kinsoku/>
                    <w:overflowPunct/>
                    <w:topLinePunct w:val="0"/>
                    <w:bidi w:val="0"/>
                    <w:adjustRightInd w:val="0"/>
                    <w:snapToGrid w:val="0"/>
                    <w:spacing w:before="0" w:beforeAutospacing="0" w:after="0" w:afterAutospacing="0" w:line="360" w:lineRule="exact"/>
                    <w:ind w:left="0" w:right="0"/>
                    <w:jc w:val="center"/>
                    <w:rPr>
                      <w:rFonts w:hint="default"/>
                      <w:kern w:val="24"/>
                      <w:lang w:val="en-US"/>
                    </w:rPr>
                  </w:pPr>
                  <w:r>
                    <w:rPr>
                      <w:rFonts w:hint="eastAsia" w:cs="宋体"/>
                      <w:kern w:val="24"/>
                      <w:sz w:val="21"/>
                      <w:szCs w:val="21"/>
                      <w:lang w:val="en-US" w:eastAsia="zh-CN" w:bidi="ar"/>
                    </w:rPr>
                    <w:t>/</w:t>
                  </w:r>
                </w:p>
              </w:tc>
            </w:tr>
            <w:tr w14:paraId="6A8ADA0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23" w:type="dxa"/>
                  <w:bottom w:w="0" w:type="dxa"/>
                  <w:right w:w="23" w:type="dxa"/>
                </w:tblCellMar>
              </w:tblPrEx>
              <w:trPr>
                <w:trHeight w:val="1091" w:hRule="atLeast"/>
                <w:jc w:val="center"/>
              </w:trPr>
              <w:tc>
                <w:tcPr>
                  <w:tcW w:w="623" w:type="dxa"/>
                  <w:vMerge w:val="continue"/>
                  <w:tcBorders>
                    <w:tl2br w:val="nil"/>
                    <w:tr2bl w:val="nil"/>
                  </w:tcBorders>
                  <w:shd w:val="clear" w:color="auto" w:fill="auto"/>
                  <w:tcMar>
                    <w:left w:w="51" w:type="dxa"/>
                    <w:right w:w="51" w:type="dxa"/>
                  </w:tcMar>
                  <w:vAlign w:val="center"/>
                </w:tcPr>
                <w:p w14:paraId="2413E661">
                  <w:pPr>
                    <w:keepNext w:val="0"/>
                    <w:keepLines w:val="0"/>
                    <w:pageBreakBefore w:val="0"/>
                    <w:suppressLineNumbers w:val="0"/>
                    <w:kinsoku/>
                    <w:overflowPunct/>
                    <w:topLinePunct w:val="0"/>
                    <w:bidi w:val="0"/>
                    <w:spacing w:before="0" w:beforeAutospacing="0" w:after="0" w:afterAutospacing="0" w:line="360" w:lineRule="exact"/>
                    <w:ind w:left="0" w:right="0"/>
                    <w:rPr>
                      <w:rFonts w:hint="default" w:ascii="Times New Roman" w:hAnsi="Times New Roman" w:eastAsia="Times New Roman" w:cs="Times New Roman"/>
                      <w:sz w:val="20"/>
                      <w:szCs w:val="20"/>
                    </w:rPr>
                  </w:pPr>
                </w:p>
              </w:tc>
              <w:tc>
                <w:tcPr>
                  <w:tcW w:w="1134" w:type="dxa"/>
                  <w:vMerge w:val="continue"/>
                  <w:tcBorders>
                    <w:tl2br w:val="nil"/>
                    <w:tr2bl w:val="nil"/>
                  </w:tcBorders>
                  <w:shd w:val="clear" w:color="auto" w:fill="auto"/>
                  <w:tcMar>
                    <w:left w:w="51" w:type="dxa"/>
                    <w:right w:w="51" w:type="dxa"/>
                  </w:tcMar>
                  <w:vAlign w:val="center"/>
                </w:tcPr>
                <w:p w14:paraId="47E7037D">
                  <w:pPr>
                    <w:keepNext w:val="0"/>
                    <w:keepLines w:val="0"/>
                    <w:pageBreakBefore w:val="0"/>
                    <w:suppressLineNumbers w:val="0"/>
                    <w:kinsoku/>
                    <w:overflowPunct/>
                    <w:topLinePunct w:val="0"/>
                    <w:bidi w:val="0"/>
                    <w:spacing w:before="0" w:beforeAutospacing="0" w:after="0" w:afterAutospacing="0" w:line="360" w:lineRule="exact"/>
                    <w:ind w:left="0" w:right="0"/>
                    <w:rPr>
                      <w:rFonts w:hint="default" w:ascii="Times New Roman" w:hAnsi="Times New Roman" w:eastAsia="Times New Roman" w:cs="Times New Roman"/>
                      <w:sz w:val="20"/>
                      <w:szCs w:val="20"/>
                    </w:rPr>
                  </w:pPr>
                </w:p>
              </w:tc>
              <w:tc>
                <w:tcPr>
                  <w:tcW w:w="2590" w:type="dxa"/>
                  <w:tcBorders>
                    <w:tl2br w:val="nil"/>
                    <w:tr2bl w:val="nil"/>
                  </w:tcBorders>
                  <w:shd w:val="clear" w:color="auto" w:fill="auto"/>
                  <w:tcMar>
                    <w:left w:w="51" w:type="dxa"/>
                    <w:right w:w="51" w:type="dxa"/>
                  </w:tcMar>
                  <w:vAlign w:val="center"/>
                </w:tcPr>
                <w:p w14:paraId="27ECA294">
                  <w:pPr>
                    <w:keepNext w:val="0"/>
                    <w:keepLines w:val="0"/>
                    <w:pageBreakBefore w:val="0"/>
                    <w:widowControl w:val="0"/>
                    <w:suppressLineNumbers w:val="0"/>
                    <w:kinsoku/>
                    <w:overflowPunct/>
                    <w:topLinePunct w:val="0"/>
                    <w:bidi w:val="0"/>
                    <w:adjustRightInd w:val="0"/>
                    <w:snapToGrid w:val="0"/>
                    <w:spacing w:before="0" w:beforeAutospacing="0" w:after="0" w:afterAutospacing="0" w:line="360" w:lineRule="exact"/>
                    <w:ind w:left="0" w:right="0"/>
                    <w:jc w:val="both"/>
                    <w:rPr>
                      <w:rFonts w:hint="default"/>
                      <w:kern w:val="24"/>
                      <w:lang w:val="en-US"/>
                    </w:rPr>
                  </w:pPr>
                  <w:r>
                    <w:rPr>
                      <w:rFonts w:hint="eastAsia" w:ascii="Times New Roman" w:hAnsi="Times New Roman" w:eastAsia="宋体" w:cs="宋体"/>
                      <w:kern w:val="24"/>
                      <w:sz w:val="21"/>
                      <w:szCs w:val="21"/>
                      <w:lang w:val="en-US" w:eastAsia="zh-CN" w:bidi="ar"/>
                    </w:rPr>
                    <w:t>新建耗煤项目应严格按规定采取煤炭消费减量替代措施，不得使用高污染燃料作为煤炭减量替代措施。</w:t>
                  </w:r>
                </w:p>
              </w:tc>
              <w:tc>
                <w:tcPr>
                  <w:tcW w:w="1801" w:type="dxa"/>
                  <w:tcBorders>
                    <w:tl2br w:val="nil"/>
                    <w:tr2bl w:val="nil"/>
                  </w:tcBorders>
                  <w:shd w:val="clear" w:color="auto" w:fill="auto"/>
                  <w:tcMar>
                    <w:left w:w="51" w:type="dxa"/>
                    <w:right w:w="51" w:type="dxa"/>
                  </w:tcMar>
                  <w:vAlign w:val="center"/>
                </w:tcPr>
                <w:p w14:paraId="0867939D">
                  <w:pPr>
                    <w:keepNext w:val="0"/>
                    <w:keepLines w:val="0"/>
                    <w:pageBreakBefore w:val="0"/>
                    <w:widowControl w:val="0"/>
                    <w:suppressLineNumbers w:val="0"/>
                    <w:kinsoku/>
                    <w:overflowPunct/>
                    <w:topLinePunct w:val="0"/>
                    <w:bidi w:val="0"/>
                    <w:adjustRightInd w:val="0"/>
                    <w:snapToGrid w:val="0"/>
                    <w:spacing w:before="0" w:beforeAutospacing="0" w:after="0" w:afterAutospacing="0" w:line="360" w:lineRule="exact"/>
                    <w:ind w:left="0" w:right="0"/>
                    <w:jc w:val="both"/>
                    <w:rPr>
                      <w:rFonts w:hint="default"/>
                      <w:kern w:val="24"/>
                      <w:highlight w:val="yellow"/>
                      <w:lang w:val="en-US"/>
                    </w:rPr>
                  </w:pPr>
                  <w:r>
                    <w:rPr>
                      <w:rFonts w:hint="eastAsia" w:ascii="Times New Roman" w:hAnsi="Times New Roman" w:eastAsia="宋体" w:cs="宋体"/>
                      <w:kern w:val="24"/>
                      <w:sz w:val="21"/>
                      <w:szCs w:val="21"/>
                      <w:lang w:val="en-US" w:eastAsia="zh-CN" w:bidi="ar"/>
                    </w:rPr>
                    <w:t>本项目不涉及煤炭使用。</w:t>
                  </w:r>
                </w:p>
              </w:tc>
              <w:tc>
                <w:tcPr>
                  <w:tcW w:w="620" w:type="dxa"/>
                  <w:tcBorders>
                    <w:tl2br w:val="nil"/>
                    <w:tr2bl w:val="nil"/>
                  </w:tcBorders>
                  <w:shd w:val="clear" w:color="auto" w:fill="auto"/>
                  <w:tcMar>
                    <w:left w:w="51" w:type="dxa"/>
                    <w:right w:w="51" w:type="dxa"/>
                  </w:tcMar>
                  <w:vAlign w:val="center"/>
                </w:tcPr>
                <w:p w14:paraId="4BF53B1F">
                  <w:pPr>
                    <w:keepNext w:val="0"/>
                    <w:keepLines w:val="0"/>
                    <w:pageBreakBefore w:val="0"/>
                    <w:widowControl w:val="0"/>
                    <w:suppressLineNumbers w:val="0"/>
                    <w:kinsoku/>
                    <w:overflowPunct/>
                    <w:topLinePunct w:val="0"/>
                    <w:bidi w:val="0"/>
                    <w:adjustRightInd w:val="0"/>
                    <w:snapToGrid w:val="0"/>
                    <w:spacing w:before="0" w:beforeAutospacing="0" w:after="0" w:afterAutospacing="0" w:line="360" w:lineRule="exact"/>
                    <w:ind w:left="0" w:right="0"/>
                    <w:jc w:val="center"/>
                    <w:rPr>
                      <w:rFonts w:hint="default"/>
                      <w:kern w:val="24"/>
                      <w:lang w:val="en-US"/>
                    </w:rPr>
                  </w:pPr>
                  <w:r>
                    <w:rPr>
                      <w:rFonts w:hint="eastAsia" w:cs="宋体"/>
                      <w:kern w:val="24"/>
                      <w:sz w:val="21"/>
                      <w:szCs w:val="21"/>
                      <w:lang w:val="en-US" w:eastAsia="zh-CN" w:bidi="ar"/>
                    </w:rPr>
                    <w:t>/</w:t>
                  </w:r>
                </w:p>
              </w:tc>
            </w:tr>
            <w:tr w14:paraId="6976FE3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894" w:hRule="atLeast"/>
                <w:jc w:val="center"/>
              </w:trPr>
              <w:tc>
                <w:tcPr>
                  <w:tcW w:w="623" w:type="dxa"/>
                  <w:vMerge w:val="continue"/>
                  <w:tcBorders>
                    <w:tl2br w:val="nil"/>
                    <w:tr2bl w:val="nil"/>
                  </w:tcBorders>
                  <w:shd w:val="clear" w:color="auto" w:fill="auto"/>
                  <w:tcMar>
                    <w:left w:w="51" w:type="dxa"/>
                    <w:right w:w="51" w:type="dxa"/>
                  </w:tcMar>
                  <w:vAlign w:val="center"/>
                </w:tcPr>
                <w:p w14:paraId="231FF63B">
                  <w:pPr>
                    <w:keepNext w:val="0"/>
                    <w:keepLines w:val="0"/>
                    <w:pageBreakBefore w:val="0"/>
                    <w:suppressLineNumbers w:val="0"/>
                    <w:kinsoku/>
                    <w:overflowPunct/>
                    <w:topLinePunct w:val="0"/>
                    <w:bidi w:val="0"/>
                    <w:spacing w:before="0" w:beforeAutospacing="0" w:after="0" w:afterAutospacing="0" w:line="360" w:lineRule="exact"/>
                    <w:ind w:left="0" w:right="0"/>
                    <w:rPr>
                      <w:rFonts w:hint="default" w:ascii="Times New Roman" w:hAnsi="Times New Roman" w:eastAsia="Times New Roman" w:cs="Times New Roman"/>
                      <w:sz w:val="20"/>
                      <w:szCs w:val="20"/>
                    </w:rPr>
                  </w:pPr>
                </w:p>
              </w:tc>
              <w:tc>
                <w:tcPr>
                  <w:tcW w:w="1134" w:type="dxa"/>
                  <w:vMerge w:val="continue"/>
                  <w:tcBorders>
                    <w:tl2br w:val="nil"/>
                    <w:tr2bl w:val="nil"/>
                  </w:tcBorders>
                  <w:shd w:val="clear" w:color="auto" w:fill="auto"/>
                  <w:tcMar>
                    <w:left w:w="51" w:type="dxa"/>
                    <w:right w:w="51" w:type="dxa"/>
                  </w:tcMar>
                  <w:vAlign w:val="center"/>
                </w:tcPr>
                <w:p w14:paraId="0FF808E0">
                  <w:pPr>
                    <w:keepNext w:val="0"/>
                    <w:keepLines w:val="0"/>
                    <w:pageBreakBefore w:val="0"/>
                    <w:suppressLineNumbers w:val="0"/>
                    <w:kinsoku/>
                    <w:overflowPunct/>
                    <w:topLinePunct w:val="0"/>
                    <w:bidi w:val="0"/>
                    <w:spacing w:before="0" w:beforeAutospacing="0" w:after="0" w:afterAutospacing="0" w:line="360" w:lineRule="exact"/>
                    <w:ind w:left="0" w:right="0"/>
                    <w:rPr>
                      <w:rFonts w:hint="default" w:ascii="Times New Roman" w:hAnsi="Times New Roman" w:eastAsia="Times New Roman" w:cs="Times New Roman"/>
                      <w:sz w:val="20"/>
                      <w:szCs w:val="20"/>
                    </w:rPr>
                  </w:pPr>
                </w:p>
              </w:tc>
              <w:tc>
                <w:tcPr>
                  <w:tcW w:w="2590" w:type="dxa"/>
                  <w:tcBorders>
                    <w:tl2br w:val="nil"/>
                    <w:tr2bl w:val="nil"/>
                  </w:tcBorders>
                  <w:shd w:val="clear" w:color="auto" w:fill="auto"/>
                  <w:tcMar>
                    <w:left w:w="51" w:type="dxa"/>
                    <w:right w:w="51" w:type="dxa"/>
                  </w:tcMar>
                  <w:vAlign w:val="center"/>
                </w:tcPr>
                <w:p w14:paraId="3F07D3F7">
                  <w:pPr>
                    <w:keepNext w:val="0"/>
                    <w:keepLines w:val="0"/>
                    <w:pageBreakBefore w:val="0"/>
                    <w:widowControl/>
                    <w:suppressLineNumbers w:val="0"/>
                    <w:kinsoku/>
                    <w:overflowPunct/>
                    <w:topLinePunct w:val="0"/>
                    <w:bidi w:val="0"/>
                    <w:adjustRightInd w:val="0"/>
                    <w:snapToGrid w:val="0"/>
                    <w:spacing w:before="0" w:beforeAutospacing="0" w:after="0" w:afterAutospacing="0" w:line="360" w:lineRule="exact"/>
                    <w:ind w:left="0" w:right="0"/>
                    <w:jc w:val="both"/>
                    <w:rPr>
                      <w:rFonts w:hint="default"/>
                      <w:kern w:val="24"/>
                      <w:lang w:val="en-US"/>
                    </w:rPr>
                  </w:pPr>
                  <w:r>
                    <w:rPr>
                      <w:rFonts w:hint="eastAsia" w:ascii="Times New Roman" w:hAnsi="Times New Roman" w:eastAsia="宋体" w:cs="宋体"/>
                      <w:kern w:val="24"/>
                      <w:sz w:val="21"/>
                      <w:szCs w:val="21"/>
                      <w:lang w:val="en-US" w:eastAsia="zh-CN" w:bidi="ar"/>
                    </w:rPr>
                    <w:t>已出台超低排放要求</w:t>
                  </w:r>
                  <w:r>
                    <w:rPr>
                      <w:rFonts w:hint="eastAsia" w:ascii="宋体" w:hAnsi="宋体" w:eastAsia="宋体" w:cs="宋体"/>
                      <w:kern w:val="24"/>
                      <w:sz w:val="21"/>
                      <w:szCs w:val="21"/>
                      <w:lang w:val="en-US" w:eastAsia="zh-CN" w:bidi="ar"/>
                    </w:rPr>
                    <w:t>的“两高”</w:t>
                  </w:r>
                  <w:r>
                    <w:rPr>
                      <w:rFonts w:hint="eastAsia" w:ascii="Times New Roman" w:hAnsi="Times New Roman" w:eastAsia="宋体" w:cs="宋体"/>
                      <w:kern w:val="24"/>
                      <w:sz w:val="21"/>
                      <w:szCs w:val="21"/>
                      <w:lang w:val="en-US" w:eastAsia="zh-CN" w:bidi="ar"/>
                    </w:rPr>
                    <w:t>行业建设项目应满足超低排放要求。</w:t>
                  </w:r>
                </w:p>
              </w:tc>
              <w:tc>
                <w:tcPr>
                  <w:tcW w:w="1801" w:type="dxa"/>
                  <w:tcBorders>
                    <w:tl2br w:val="nil"/>
                    <w:tr2bl w:val="nil"/>
                  </w:tcBorders>
                  <w:shd w:val="clear" w:color="auto" w:fill="auto"/>
                  <w:tcMar>
                    <w:left w:w="51" w:type="dxa"/>
                    <w:right w:w="51" w:type="dxa"/>
                  </w:tcMar>
                  <w:vAlign w:val="center"/>
                </w:tcPr>
                <w:p w14:paraId="46FC11C0">
                  <w:pPr>
                    <w:keepNext w:val="0"/>
                    <w:keepLines w:val="0"/>
                    <w:pageBreakBefore w:val="0"/>
                    <w:widowControl/>
                    <w:suppressLineNumbers w:val="0"/>
                    <w:kinsoku/>
                    <w:overflowPunct/>
                    <w:topLinePunct w:val="0"/>
                    <w:bidi w:val="0"/>
                    <w:adjustRightInd w:val="0"/>
                    <w:snapToGrid w:val="0"/>
                    <w:spacing w:before="0" w:beforeAutospacing="0" w:after="0" w:afterAutospacing="0" w:line="360" w:lineRule="exact"/>
                    <w:ind w:left="0" w:right="0"/>
                    <w:jc w:val="both"/>
                    <w:rPr>
                      <w:rFonts w:hint="default"/>
                      <w:kern w:val="24"/>
                      <w:highlight w:val="yellow"/>
                      <w:lang w:val="en-US"/>
                    </w:rPr>
                  </w:pPr>
                  <w:r>
                    <w:rPr>
                      <w:rFonts w:hint="eastAsia" w:ascii="Times New Roman" w:hAnsi="Times New Roman" w:eastAsia="宋体" w:cs="宋体"/>
                      <w:kern w:val="24"/>
                      <w:sz w:val="21"/>
                      <w:szCs w:val="21"/>
                      <w:lang w:val="en-US" w:eastAsia="zh-CN" w:bidi="ar"/>
                    </w:rPr>
                    <w:t>本项目不属</w:t>
                  </w:r>
                  <w:r>
                    <w:rPr>
                      <w:rFonts w:hint="eastAsia" w:ascii="宋体" w:hAnsi="宋体" w:eastAsia="宋体" w:cs="宋体"/>
                      <w:kern w:val="24"/>
                      <w:sz w:val="21"/>
                      <w:szCs w:val="21"/>
                      <w:lang w:val="en-US" w:eastAsia="zh-CN" w:bidi="ar"/>
                    </w:rPr>
                    <w:t>于“两高”</w:t>
                  </w:r>
                  <w:r>
                    <w:rPr>
                      <w:rFonts w:hint="eastAsia" w:ascii="Times New Roman" w:hAnsi="Times New Roman" w:eastAsia="宋体" w:cs="宋体"/>
                      <w:kern w:val="24"/>
                      <w:sz w:val="21"/>
                      <w:szCs w:val="21"/>
                      <w:lang w:val="en-US" w:eastAsia="zh-CN" w:bidi="ar"/>
                    </w:rPr>
                    <w:t>行业建设项目。</w:t>
                  </w:r>
                </w:p>
              </w:tc>
              <w:tc>
                <w:tcPr>
                  <w:tcW w:w="620" w:type="dxa"/>
                  <w:tcBorders>
                    <w:tl2br w:val="nil"/>
                    <w:tr2bl w:val="nil"/>
                  </w:tcBorders>
                  <w:shd w:val="clear" w:color="auto" w:fill="auto"/>
                  <w:tcMar>
                    <w:left w:w="51" w:type="dxa"/>
                    <w:right w:w="51" w:type="dxa"/>
                  </w:tcMar>
                  <w:vAlign w:val="center"/>
                </w:tcPr>
                <w:p w14:paraId="15D5336E">
                  <w:pPr>
                    <w:keepNext w:val="0"/>
                    <w:keepLines w:val="0"/>
                    <w:pageBreakBefore w:val="0"/>
                    <w:widowControl/>
                    <w:suppressLineNumbers w:val="0"/>
                    <w:kinsoku/>
                    <w:overflowPunct/>
                    <w:topLinePunct w:val="0"/>
                    <w:bidi w:val="0"/>
                    <w:adjustRightInd w:val="0"/>
                    <w:snapToGrid w:val="0"/>
                    <w:spacing w:before="0" w:beforeAutospacing="0" w:after="0" w:afterAutospacing="0" w:line="360" w:lineRule="exact"/>
                    <w:ind w:left="0" w:right="0"/>
                    <w:jc w:val="center"/>
                    <w:rPr>
                      <w:rFonts w:hint="default"/>
                      <w:kern w:val="24"/>
                      <w:lang w:val="en-US"/>
                    </w:rPr>
                  </w:pPr>
                  <w:r>
                    <w:rPr>
                      <w:rFonts w:hint="eastAsia" w:cs="宋体"/>
                      <w:kern w:val="24"/>
                      <w:sz w:val="21"/>
                      <w:szCs w:val="21"/>
                      <w:lang w:val="en-US" w:eastAsia="zh-CN" w:bidi="ar"/>
                    </w:rPr>
                    <w:t>/</w:t>
                  </w:r>
                </w:p>
              </w:tc>
            </w:tr>
            <w:tr w14:paraId="71A8DB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1843" w:hRule="atLeast"/>
                <w:jc w:val="center"/>
              </w:trPr>
              <w:tc>
                <w:tcPr>
                  <w:tcW w:w="623" w:type="dxa"/>
                  <w:vMerge w:val="continue"/>
                  <w:tcBorders>
                    <w:tl2br w:val="nil"/>
                    <w:tr2bl w:val="nil"/>
                  </w:tcBorders>
                  <w:shd w:val="clear" w:color="auto" w:fill="auto"/>
                  <w:tcMar>
                    <w:left w:w="51" w:type="dxa"/>
                    <w:right w:w="51" w:type="dxa"/>
                  </w:tcMar>
                  <w:vAlign w:val="center"/>
                </w:tcPr>
                <w:p w14:paraId="774A6BC0">
                  <w:pPr>
                    <w:keepNext w:val="0"/>
                    <w:keepLines w:val="0"/>
                    <w:pageBreakBefore w:val="0"/>
                    <w:suppressLineNumbers w:val="0"/>
                    <w:kinsoku/>
                    <w:overflowPunct/>
                    <w:topLinePunct w:val="0"/>
                    <w:bidi w:val="0"/>
                    <w:spacing w:before="0" w:beforeAutospacing="0" w:after="0" w:afterAutospacing="0" w:line="360" w:lineRule="exact"/>
                    <w:ind w:left="0" w:right="0"/>
                    <w:rPr>
                      <w:rFonts w:hint="default" w:ascii="Times New Roman" w:hAnsi="Times New Roman" w:eastAsia="Times New Roman" w:cs="Times New Roman"/>
                      <w:sz w:val="20"/>
                      <w:szCs w:val="20"/>
                    </w:rPr>
                  </w:pPr>
                </w:p>
              </w:tc>
              <w:tc>
                <w:tcPr>
                  <w:tcW w:w="1134" w:type="dxa"/>
                  <w:vMerge w:val="restart"/>
                  <w:tcBorders>
                    <w:tl2br w:val="nil"/>
                    <w:tr2bl w:val="nil"/>
                  </w:tcBorders>
                  <w:shd w:val="clear" w:color="auto" w:fill="auto"/>
                  <w:tcMar>
                    <w:left w:w="51" w:type="dxa"/>
                    <w:right w:w="51" w:type="dxa"/>
                  </w:tcMar>
                  <w:vAlign w:val="center"/>
                </w:tcPr>
                <w:p w14:paraId="73A29D66">
                  <w:pPr>
                    <w:keepNext w:val="0"/>
                    <w:keepLines w:val="0"/>
                    <w:pageBreakBefore w:val="0"/>
                    <w:widowControl/>
                    <w:suppressLineNumbers w:val="0"/>
                    <w:kinsoku/>
                    <w:overflowPunct/>
                    <w:topLinePunct w:val="0"/>
                    <w:bidi w:val="0"/>
                    <w:adjustRightInd w:val="0"/>
                    <w:snapToGrid w:val="0"/>
                    <w:spacing w:before="0" w:beforeAutospacing="0" w:after="0" w:afterAutospacing="0" w:line="360" w:lineRule="exact"/>
                    <w:ind w:left="0" w:right="0"/>
                    <w:jc w:val="center"/>
                    <w:rPr>
                      <w:rFonts w:hint="default"/>
                      <w:kern w:val="24"/>
                      <w:lang w:val="en-US" w:bidi="ar"/>
                    </w:rPr>
                  </w:pPr>
                  <w:r>
                    <w:rPr>
                      <w:rFonts w:hint="eastAsia" w:ascii="Times New Roman" w:hAnsi="Times New Roman" w:eastAsia="宋体" w:cs="宋体"/>
                      <w:kern w:val="24"/>
                      <w:sz w:val="21"/>
                      <w:szCs w:val="21"/>
                      <w:lang w:val="en-US" w:eastAsia="zh-CN" w:bidi="ar"/>
                    </w:rPr>
                    <w:t>环境风险</w:t>
                  </w:r>
                </w:p>
                <w:p w14:paraId="68E40CAE">
                  <w:pPr>
                    <w:keepNext w:val="0"/>
                    <w:keepLines w:val="0"/>
                    <w:pageBreakBefore w:val="0"/>
                    <w:widowControl/>
                    <w:suppressLineNumbers w:val="0"/>
                    <w:kinsoku/>
                    <w:overflowPunct/>
                    <w:topLinePunct w:val="0"/>
                    <w:bidi w:val="0"/>
                    <w:adjustRightInd w:val="0"/>
                    <w:snapToGrid w:val="0"/>
                    <w:spacing w:before="0" w:beforeAutospacing="0" w:after="0" w:afterAutospacing="0" w:line="360" w:lineRule="exact"/>
                    <w:ind w:left="0" w:right="0"/>
                    <w:jc w:val="center"/>
                    <w:rPr>
                      <w:rFonts w:hint="default"/>
                      <w:kern w:val="24"/>
                      <w:lang w:val="en-US"/>
                    </w:rPr>
                  </w:pPr>
                  <w:r>
                    <w:rPr>
                      <w:rFonts w:hint="eastAsia" w:ascii="Times New Roman" w:hAnsi="Times New Roman" w:eastAsia="宋体" w:cs="宋体"/>
                      <w:kern w:val="24"/>
                      <w:sz w:val="21"/>
                      <w:szCs w:val="21"/>
                      <w:lang w:val="en-US" w:eastAsia="zh-CN" w:bidi="ar"/>
                    </w:rPr>
                    <w:t>防控</w:t>
                  </w:r>
                </w:p>
              </w:tc>
              <w:tc>
                <w:tcPr>
                  <w:tcW w:w="2590" w:type="dxa"/>
                  <w:tcBorders>
                    <w:tl2br w:val="nil"/>
                    <w:tr2bl w:val="nil"/>
                  </w:tcBorders>
                  <w:shd w:val="clear" w:color="auto" w:fill="auto"/>
                  <w:tcMar>
                    <w:left w:w="51" w:type="dxa"/>
                    <w:right w:w="51" w:type="dxa"/>
                  </w:tcMar>
                  <w:vAlign w:val="center"/>
                </w:tcPr>
                <w:p w14:paraId="04331B84">
                  <w:pPr>
                    <w:pStyle w:val="21"/>
                    <w:keepNext w:val="0"/>
                    <w:keepLines w:val="0"/>
                    <w:pageBreakBefore w:val="0"/>
                    <w:widowControl w:val="0"/>
                    <w:suppressLineNumbers w:val="0"/>
                    <w:kinsoku/>
                    <w:overflowPunct/>
                    <w:topLinePunct w:val="0"/>
                    <w:bidi w:val="0"/>
                    <w:adjustRightInd w:val="0"/>
                    <w:snapToGrid w:val="0"/>
                    <w:spacing w:before="0" w:beforeAutospacing="0" w:after="0" w:afterAutospacing="0" w:line="360" w:lineRule="exact"/>
                    <w:ind w:left="0" w:right="0"/>
                    <w:jc w:val="both"/>
                    <w:rPr>
                      <w:rFonts w:hint="default" w:ascii="Times New Roman" w:hAnsi="Times New Roman" w:cs="Times New Roman"/>
                      <w:kern w:val="24"/>
                      <w:sz w:val="21"/>
                      <w:szCs w:val="21"/>
                      <w:lang w:val="en-US"/>
                    </w:rPr>
                  </w:pPr>
                  <w:r>
                    <w:rPr>
                      <w:rFonts w:hint="default" w:ascii="Times New Roman" w:hAnsi="Times New Roman"/>
                      <w:kern w:val="24"/>
                      <w:sz w:val="21"/>
                      <w:szCs w:val="21"/>
                      <w:lang w:bidi="ar"/>
                    </w:rPr>
                    <w:t>涉及危险化学品、危险废物及可能发生突发环境事件的污染物排放企业，应按照突发环境事件应急预案备案管理办法的要求，制定完善的环境应急预案，并报环境管理部门备案管理。未落实有关要求的，应停产整改。</w:t>
                  </w:r>
                </w:p>
              </w:tc>
              <w:tc>
                <w:tcPr>
                  <w:tcW w:w="1801" w:type="dxa"/>
                  <w:tcBorders>
                    <w:tl2br w:val="nil"/>
                    <w:tr2bl w:val="nil"/>
                  </w:tcBorders>
                  <w:shd w:val="clear" w:color="auto" w:fill="auto"/>
                  <w:tcMar>
                    <w:left w:w="51" w:type="dxa"/>
                    <w:right w:w="51" w:type="dxa"/>
                  </w:tcMar>
                  <w:vAlign w:val="center"/>
                </w:tcPr>
                <w:p w14:paraId="0803765E">
                  <w:pPr>
                    <w:pStyle w:val="21"/>
                    <w:keepNext w:val="0"/>
                    <w:keepLines w:val="0"/>
                    <w:pageBreakBefore w:val="0"/>
                    <w:widowControl w:val="0"/>
                    <w:suppressLineNumbers w:val="0"/>
                    <w:kinsoku/>
                    <w:overflowPunct/>
                    <w:topLinePunct w:val="0"/>
                    <w:bidi w:val="0"/>
                    <w:adjustRightInd w:val="0"/>
                    <w:snapToGrid w:val="0"/>
                    <w:spacing w:before="0" w:beforeAutospacing="0" w:after="0" w:afterAutospacing="0" w:line="360" w:lineRule="exact"/>
                    <w:ind w:left="0" w:right="0"/>
                    <w:jc w:val="both"/>
                    <w:rPr>
                      <w:rFonts w:hint="default" w:ascii="Times New Roman" w:hAnsi="Times New Roman" w:cs="Times New Roman"/>
                      <w:kern w:val="24"/>
                      <w:sz w:val="21"/>
                      <w:szCs w:val="21"/>
                      <w:highlight w:val="yellow"/>
                      <w:lang w:val="en-US"/>
                    </w:rPr>
                  </w:pPr>
                  <w:r>
                    <w:rPr>
                      <w:rFonts w:hint="default" w:ascii="Times New Roman" w:hAnsi="Times New Roman"/>
                      <w:kern w:val="24"/>
                      <w:sz w:val="21"/>
                      <w:szCs w:val="21"/>
                      <w:lang w:bidi="ar"/>
                    </w:rPr>
                    <w:t>企业建设完成后按照要求制定完善的环境应急预案，并报环境管理部门备案管理。</w:t>
                  </w:r>
                </w:p>
              </w:tc>
              <w:tc>
                <w:tcPr>
                  <w:tcW w:w="620" w:type="dxa"/>
                  <w:tcBorders>
                    <w:tl2br w:val="nil"/>
                    <w:tr2bl w:val="nil"/>
                  </w:tcBorders>
                  <w:shd w:val="clear" w:color="auto" w:fill="auto"/>
                  <w:tcMar>
                    <w:left w:w="51" w:type="dxa"/>
                    <w:right w:w="51" w:type="dxa"/>
                  </w:tcMar>
                  <w:vAlign w:val="center"/>
                </w:tcPr>
                <w:p w14:paraId="3EE953CB">
                  <w:pPr>
                    <w:pStyle w:val="21"/>
                    <w:keepNext w:val="0"/>
                    <w:keepLines w:val="0"/>
                    <w:pageBreakBefore w:val="0"/>
                    <w:widowControl w:val="0"/>
                    <w:suppressLineNumbers w:val="0"/>
                    <w:kinsoku/>
                    <w:overflowPunct/>
                    <w:topLinePunct w:val="0"/>
                    <w:bidi w:val="0"/>
                    <w:adjustRightInd w:val="0"/>
                    <w:snapToGrid w:val="0"/>
                    <w:spacing w:before="0" w:beforeAutospacing="0" w:after="0" w:afterAutospacing="0" w:line="360" w:lineRule="exact"/>
                    <w:ind w:left="0" w:right="0"/>
                    <w:jc w:val="center"/>
                    <w:rPr>
                      <w:rFonts w:hint="default" w:ascii="Times New Roman" w:hAnsi="Times New Roman" w:cs="Times New Roman"/>
                      <w:kern w:val="24"/>
                      <w:sz w:val="21"/>
                      <w:szCs w:val="21"/>
                      <w:lang w:val="en-US"/>
                    </w:rPr>
                  </w:pPr>
                  <w:r>
                    <w:rPr>
                      <w:rFonts w:hint="eastAsia" w:cs="宋体"/>
                      <w:kern w:val="24"/>
                      <w:sz w:val="21"/>
                      <w:szCs w:val="21"/>
                      <w:lang w:val="en-US" w:eastAsia="zh-CN" w:bidi="ar"/>
                    </w:rPr>
                    <w:t>相符</w:t>
                  </w:r>
                </w:p>
              </w:tc>
            </w:tr>
            <w:tr w14:paraId="5F304B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23" w:type="dxa"/>
                  <w:bottom w:w="0" w:type="dxa"/>
                  <w:right w:w="23" w:type="dxa"/>
                </w:tblCellMar>
              </w:tblPrEx>
              <w:trPr>
                <w:trHeight w:val="649" w:hRule="atLeast"/>
                <w:jc w:val="center"/>
              </w:trPr>
              <w:tc>
                <w:tcPr>
                  <w:tcW w:w="623" w:type="dxa"/>
                  <w:vMerge w:val="continue"/>
                  <w:tcBorders>
                    <w:tl2br w:val="nil"/>
                    <w:tr2bl w:val="nil"/>
                  </w:tcBorders>
                  <w:shd w:val="clear" w:color="auto" w:fill="auto"/>
                  <w:tcMar>
                    <w:left w:w="51" w:type="dxa"/>
                    <w:right w:w="51" w:type="dxa"/>
                  </w:tcMar>
                  <w:vAlign w:val="center"/>
                </w:tcPr>
                <w:p w14:paraId="264EB5F8">
                  <w:pPr>
                    <w:keepNext w:val="0"/>
                    <w:keepLines w:val="0"/>
                    <w:pageBreakBefore w:val="0"/>
                    <w:suppressLineNumbers w:val="0"/>
                    <w:kinsoku/>
                    <w:overflowPunct/>
                    <w:topLinePunct w:val="0"/>
                    <w:bidi w:val="0"/>
                    <w:spacing w:before="0" w:beforeAutospacing="0" w:after="0" w:afterAutospacing="0" w:line="360" w:lineRule="exact"/>
                    <w:ind w:left="0" w:right="0"/>
                    <w:rPr>
                      <w:rFonts w:hint="default" w:ascii="Times New Roman" w:hAnsi="Times New Roman" w:eastAsia="Times New Roman" w:cs="Times New Roman"/>
                      <w:sz w:val="20"/>
                      <w:szCs w:val="20"/>
                    </w:rPr>
                  </w:pPr>
                </w:p>
              </w:tc>
              <w:tc>
                <w:tcPr>
                  <w:tcW w:w="1134" w:type="dxa"/>
                  <w:vMerge w:val="continue"/>
                  <w:tcBorders>
                    <w:tl2br w:val="nil"/>
                    <w:tr2bl w:val="nil"/>
                  </w:tcBorders>
                  <w:shd w:val="clear" w:color="auto" w:fill="auto"/>
                  <w:tcMar>
                    <w:left w:w="51" w:type="dxa"/>
                    <w:right w:w="51" w:type="dxa"/>
                  </w:tcMar>
                  <w:vAlign w:val="center"/>
                </w:tcPr>
                <w:p w14:paraId="3AB7535A">
                  <w:pPr>
                    <w:keepNext w:val="0"/>
                    <w:keepLines w:val="0"/>
                    <w:pageBreakBefore w:val="0"/>
                    <w:suppressLineNumbers w:val="0"/>
                    <w:kinsoku/>
                    <w:overflowPunct/>
                    <w:topLinePunct w:val="0"/>
                    <w:bidi w:val="0"/>
                    <w:spacing w:before="0" w:beforeAutospacing="0" w:after="0" w:afterAutospacing="0" w:line="360" w:lineRule="exact"/>
                    <w:ind w:left="0" w:right="0"/>
                    <w:rPr>
                      <w:rFonts w:hint="default" w:ascii="Times New Roman" w:hAnsi="Times New Roman" w:eastAsia="Times New Roman" w:cs="Times New Roman"/>
                      <w:sz w:val="20"/>
                      <w:szCs w:val="20"/>
                    </w:rPr>
                  </w:pPr>
                </w:p>
              </w:tc>
              <w:tc>
                <w:tcPr>
                  <w:tcW w:w="2590" w:type="dxa"/>
                  <w:tcBorders>
                    <w:tl2br w:val="nil"/>
                    <w:tr2bl w:val="nil"/>
                  </w:tcBorders>
                  <w:shd w:val="clear" w:color="auto" w:fill="auto"/>
                  <w:tcMar>
                    <w:left w:w="51" w:type="dxa"/>
                    <w:right w:w="51" w:type="dxa"/>
                  </w:tcMar>
                  <w:vAlign w:val="center"/>
                </w:tcPr>
                <w:p w14:paraId="7DB8C815">
                  <w:pPr>
                    <w:keepNext w:val="0"/>
                    <w:keepLines w:val="0"/>
                    <w:pageBreakBefore w:val="0"/>
                    <w:widowControl/>
                    <w:suppressLineNumbers w:val="0"/>
                    <w:kinsoku/>
                    <w:overflowPunct/>
                    <w:topLinePunct w:val="0"/>
                    <w:bidi w:val="0"/>
                    <w:adjustRightInd w:val="0"/>
                    <w:snapToGrid w:val="0"/>
                    <w:spacing w:before="0" w:beforeAutospacing="0" w:after="0" w:afterAutospacing="0" w:line="360" w:lineRule="exact"/>
                    <w:ind w:left="0" w:right="0"/>
                    <w:jc w:val="both"/>
                    <w:rPr>
                      <w:rFonts w:hint="default"/>
                      <w:kern w:val="24"/>
                      <w:lang w:val="en-US"/>
                    </w:rPr>
                  </w:pPr>
                  <w:r>
                    <w:rPr>
                      <w:rFonts w:hint="eastAsia" w:ascii="Times New Roman" w:hAnsi="Times New Roman" w:eastAsia="宋体" w:cs="宋体"/>
                      <w:kern w:val="24"/>
                      <w:sz w:val="21"/>
                      <w:szCs w:val="21"/>
                      <w:lang w:val="en-US" w:eastAsia="zh-CN" w:bidi="ar"/>
                    </w:rPr>
                    <w:t>项目环境风险防范措施未严格按照环境影响评价文件要求落实的，应停产整改。</w:t>
                  </w:r>
                </w:p>
              </w:tc>
              <w:tc>
                <w:tcPr>
                  <w:tcW w:w="1801" w:type="dxa"/>
                  <w:tcBorders>
                    <w:tl2br w:val="nil"/>
                    <w:tr2bl w:val="nil"/>
                  </w:tcBorders>
                  <w:shd w:val="clear" w:color="auto" w:fill="auto"/>
                  <w:tcMar>
                    <w:left w:w="51" w:type="dxa"/>
                    <w:right w:w="51" w:type="dxa"/>
                  </w:tcMar>
                  <w:vAlign w:val="center"/>
                </w:tcPr>
                <w:p w14:paraId="780701EC">
                  <w:pPr>
                    <w:keepNext w:val="0"/>
                    <w:keepLines w:val="0"/>
                    <w:pageBreakBefore w:val="0"/>
                    <w:widowControl/>
                    <w:suppressLineNumbers w:val="0"/>
                    <w:kinsoku/>
                    <w:overflowPunct/>
                    <w:topLinePunct w:val="0"/>
                    <w:bidi w:val="0"/>
                    <w:adjustRightInd w:val="0"/>
                    <w:snapToGrid w:val="0"/>
                    <w:spacing w:before="0" w:beforeAutospacing="0" w:after="0" w:afterAutospacing="0" w:line="360" w:lineRule="exact"/>
                    <w:ind w:left="0" w:right="0"/>
                    <w:jc w:val="both"/>
                    <w:rPr>
                      <w:rFonts w:hint="default"/>
                      <w:kern w:val="24"/>
                      <w:highlight w:val="yellow"/>
                      <w:lang w:val="en-US"/>
                    </w:rPr>
                  </w:pPr>
                  <w:r>
                    <w:rPr>
                      <w:rFonts w:hint="eastAsia" w:ascii="Times New Roman" w:hAnsi="Times New Roman" w:eastAsia="宋体" w:cs="宋体"/>
                      <w:kern w:val="24"/>
                      <w:sz w:val="21"/>
                      <w:szCs w:val="21"/>
                      <w:lang w:val="en-US" w:eastAsia="zh-CN" w:bidi="ar"/>
                    </w:rPr>
                    <w:t>项目环境风险防范措施严格按照环境影响评价文件要求落实。</w:t>
                  </w:r>
                </w:p>
              </w:tc>
              <w:tc>
                <w:tcPr>
                  <w:tcW w:w="620" w:type="dxa"/>
                  <w:tcBorders>
                    <w:tl2br w:val="nil"/>
                    <w:tr2bl w:val="nil"/>
                  </w:tcBorders>
                  <w:shd w:val="clear" w:color="auto" w:fill="auto"/>
                  <w:tcMar>
                    <w:left w:w="51" w:type="dxa"/>
                    <w:right w:w="51" w:type="dxa"/>
                  </w:tcMar>
                  <w:vAlign w:val="center"/>
                </w:tcPr>
                <w:p w14:paraId="285BADE1">
                  <w:pPr>
                    <w:keepNext w:val="0"/>
                    <w:keepLines w:val="0"/>
                    <w:pageBreakBefore w:val="0"/>
                    <w:widowControl/>
                    <w:suppressLineNumbers w:val="0"/>
                    <w:kinsoku/>
                    <w:overflowPunct/>
                    <w:topLinePunct w:val="0"/>
                    <w:bidi w:val="0"/>
                    <w:adjustRightInd w:val="0"/>
                    <w:snapToGrid w:val="0"/>
                    <w:spacing w:before="0" w:beforeAutospacing="0" w:after="0" w:afterAutospacing="0" w:line="360" w:lineRule="exact"/>
                    <w:ind w:left="0" w:right="0"/>
                    <w:jc w:val="center"/>
                    <w:rPr>
                      <w:rFonts w:hint="default"/>
                      <w:kern w:val="24"/>
                      <w:lang w:val="en-US"/>
                    </w:rPr>
                  </w:pPr>
                  <w:r>
                    <w:rPr>
                      <w:rFonts w:hint="eastAsia" w:cs="宋体"/>
                      <w:kern w:val="24"/>
                      <w:sz w:val="21"/>
                      <w:szCs w:val="21"/>
                      <w:lang w:val="en-US" w:eastAsia="zh-CN" w:bidi="ar"/>
                    </w:rPr>
                    <w:t>相符</w:t>
                  </w:r>
                </w:p>
              </w:tc>
            </w:tr>
            <w:tr w14:paraId="332E81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792" w:hRule="atLeast"/>
                <w:jc w:val="center"/>
              </w:trPr>
              <w:tc>
                <w:tcPr>
                  <w:tcW w:w="623" w:type="dxa"/>
                  <w:vMerge w:val="continue"/>
                  <w:tcBorders>
                    <w:tl2br w:val="nil"/>
                    <w:tr2bl w:val="nil"/>
                  </w:tcBorders>
                  <w:shd w:val="clear" w:color="auto" w:fill="auto"/>
                  <w:tcMar>
                    <w:left w:w="51" w:type="dxa"/>
                    <w:right w:w="51" w:type="dxa"/>
                  </w:tcMar>
                  <w:vAlign w:val="center"/>
                </w:tcPr>
                <w:p w14:paraId="3E686335">
                  <w:pPr>
                    <w:keepNext w:val="0"/>
                    <w:keepLines w:val="0"/>
                    <w:pageBreakBefore w:val="0"/>
                    <w:suppressLineNumbers w:val="0"/>
                    <w:kinsoku/>
                    <w:overflowPunct/>
                    <w:topLinePunct w:val="0"/>
                    <w:bidi w:val="0"/>
                    <w:spacing w:before="0" w:beforeAutospacing="0" w:after="0" w:afterAutospacing="0" w:line="360" w:lineRule="exact"/>
                    <w:ind w:left="0" w:right="0"/>
                    <w:rPr>
                      <w:rFonts w:hint="default" w:ascii="Times New Roman" w:hAnsi="Times New Roman" w:eastAsia="Times New Roman" w:cs="Times New Roman"/>
                      <w:sz w:val="20"/>
                      <w:szCs w:val="20"/>
                    </w:rPr>
                  </w:pPr>
                </w:p>
              </w:tc>
              <w:tc>
                <w:tcPr>
                  <w:tcW w:w="1134" w:type="dxa"/>
                  <w:vMerge w:val="continue"/>
                  <w:tcBorders>
                    <w:tl2br w:val="nil"/>
                    <w:tr2bl w:val="nil"/>
                  </w:tcBorders>
                  <w:shd w:val="clear" w:color="auto" w:fill="auto"/>
                  <w:tcMar>
                    <w:left w:w="51" w:type="dxa"/>
                    <w:right w:w="51" w:type="dxa"/>
                  </w:tcMar>
                  <w:vAlign w:val="center"/>
                </w:tcPr>
                <w:p w14:paraId="7DF71AB2">
                  <w:pPr>
                    <w:keepNext w:val="0"/>
                    <w:keepLines w:val="0"/>
                    <w:pageBreakBefore w:val="0"/>
                    <w:suppressLineNumbers w:val="0"/>
                    <w:kinsoku/>
                    <w:overflowPunct/>
                    <w:topLinePunct w:val="0"/>
                    <w:bidi w:val="0"/>
                    <w:spacing w:before="0" w:beforeAutospacing="0" w:after="0" w:afterAutospacing="0" w:line="360" w:lineRule="exact"/>
                    <w:ind w:left="0" w:right="0"/>
                    <w:rPr>
                      <w:rFonts w:hint="default" w:ascii="Times New Roman" w:hAnsi="Times New Roman" w:eastAsia="Times New Roman" w:cs="Times New Roman"/>
                      <w:sz w:val="20"/>
                      <w:szCs w:val="20"/>
                    </w:rPr>
                  </w:pPr>
                </w:p>
              </w:tc>
              <w:tc>
                <w:tcPr>
                  <w:tcW w:w="2590" w:type="dxa"/>
                  <w:tcBorders>
                    <w:tl2br w:val="nil"/>
                    <w:tr2bl w:val="nil"/>
                  </w:tcBorders>
                  <w:shd w:val="clear" w:color="auto" w:fill="auto"/>
                  <w:tcMar>
                    <w:left w:w="51" w:type="dxa"/>
                    <w:right w:w="51" w:type="dxa"/>
                  </w:tcMar>
                  <w:vAlign w:val="center"/>
                </w:tcPr>
                <w:p w14:paraId="78A0F010">
                  <w:pPr>
                    <w:keepNext w:val="0"/>
                    <w:keepLines w:val="0"/>
                    <w:pageBreakBefore w:val="0"/>
                    <w:widowControl/>
                    <w:suppressLineNumbers w:val="0"/>
                    <w:kinsoku/>
                    <w:overflowPunct/>
                    <w:topLinePunct w:val="0"/>
                    <w:bidi w:val="0"/>
                    <w:adjustRightInd w:val="0"/>
                    <w:snapToGrid w:val="0"/>
                    <w:spacing w:before="0" w:beforeAutospacing="0" w:after="0" w:afterAutospacing="0" w:line="360" w:lineRule="exact"/>
                    <w:ind w:left="0" w:right="0"/>
                    <w:jc w:val="both"/>
                    <w:rPr>
                      <w:rFonts w:hint="default"/>
                      <w:kern w:val="24"/>
                      <w:lang w:val="en-US"/>
                    </w:rPr>
                  </w:pPr>
                  <w:r>
                    <w:rPr>
                      <w:rFonts w:hint="eastAsia" w:ascii="Times New Roman" w:hAnsi="Times New Roman" w:eastAsia="宋体" w:cs="宋体"/>
                      <w:kern w:val="24"/>
                      <w:sz w:val="21"/>
                      <w:szCs w:val="21"/>
                      <w:lang w:val="en-US" w:eastAsia="zh-CN" w:bidi="ar"/>
                    </w:rPr>
                    <w:t>必须符合国家和河南省、安阳市有关安全生产的法律、法规和标准。</w:t>
                  </w:r>
                </w:p>
              </w:tc>
              <w:tc>
                <w:tcPr>
                  <w:tcW w:w="1801" w:type="dxa"/>
                  <w:tcBorders>
                    <w:tl2br w:val="nil"/>
                    <w:tr2bl w:val="nil"/>
                  </w:tcBorders>
                  <w:shd w:val="clear" w:color="auto" w:fill="auto"/>
                  <w:tcMar>
                    <w:left w:w="51" w:type="dxa"/>
                    <w:right w:w="51" w:type="dxa"/>
                  </w:tcMar>
                  <w:vAlign w:val="center"/>
                </w:tcPr>
                <w:p w14:paraId="68085F4A">
                  <w:pPr>
                    <w:keepNext w:val="0"/>
                    <w:keepLines w:val="0"/>
                    <w:pageBreakBefore w:val="0"/>
                    <w:widowControl/>
                    <w:suppressLineNumbers w:val="0"/>
                    <w:kinsoku/>
                    <w:overflowPunct/>
                    <w:topLinePunct w:val="0"/>
                    <w:bidi w:val="0"/>
                    <w:adjustRightInd w:val="0"/>
                    <w:snapToGrid w:val="0"/>
                    <w:spacing w:before="0" w:beforeAutospacing="0" w:after="0" w:afterAutospacing="0" w:line="360" w:lineRule="exact"/>
                    <w:ind w:left="0" w:right="0"/>
                    <w:jc w:val="both"/>
                    <w:rPr>
                      <w:rFonts w:hint="default"/>
                      <w:kern w:val="24"/>
                      <w:lang w:val="en-US"/>
                    </w:rPr>
                  </w:pPr>
                  <w:r>
                    <w:rPr>
                      <w:rFonts w:hint="eastAsia" w:ascii="Times New Roman" w:hAnsi="Times New Roman" w:eastAsia="宋体" w:cs="宋体"/>
                      <w:kern w:val="24"/>
                      <w:sz w:val="21"/>
                      <w:szCs w:val="21"/>
                      <w:lang w:val="en-US" w:eastAsia="zh-CN" w:bidi="ar"/>
                    </w:rPr>
                    <w:t>符合国家和河南省、安阳市有关安全生产的法律、法规和标准。</w:t>
                  </w:r>
                </w:p>
              </w:tc>
              <w:tc>
                <w:tcPr>
                  <w:tcW w:w="620" w:type="dxa"/>
                  <w:tcBorders>
                    <w:tl2br w:val="nil"/>
                    <w:tr2bl w:val="nil"/>
                  </w:tcBorders>
                  <w:shd w:val="clear" w:color="auto" w:fill="auto"/>
                  <w:tcMar>
                    <w:left w:w="51" w:type="dxa"/>
                    <w:right w:w="51" w:type="dxa"/>
                  </w:tcMar>
                  <w:vAlign w:val="center"/>
                </w:tcPr>
                <w:p w14:paraId="3681B70B">
                  <w:pPr>
                    <w:keepNext w:val="0"/>
                    <w:keepLines w:val="0"/>
                    <w:pageBreakBefore w:val="0"/>
                    <w:widowControl/>
                    <w:suppressLineNumbers w:val="0"/>
                    <w:kinsoku/>
                    <w:overflowPunct/>
                    <w:topLinePunct w:val="0"/>
                    <w:bidi w:val="0"/>
                    <w:adjustRightInd w:val="0"/>
                    <w:snapToGrid w:val="0"/>
                    <w:spacing w:before="0" w:beforeAutospacing="0" w:after="0" w:afterAutospacing="0" w:line="360" w:lineRule="exact"/>
                    <w:ind w:left="0" w:right="0"/>
                    <w:jc w:val="center"/>
                    <w:rPr>
                      <w:rFonts w:hint="default"/>
                      <w:kern w:val="24"/>
                      <w:lang w:val="en-US"/>
                    </w:rPr>
                  </w:pPr>
                  <w:r>
                    <w:rPr>
                      <w:rFonts w:hint="eastAsia" w:cs="宋体"/>
                      <w:kern w:val="24"/>
                      <w:sz w:val="21"/>
                      <w:szCs w:val="21"/>
                      <w:lang w:val="en-US" w:eastAsia="zh-CN" w:bidi="ar"/>
                    </w:rPr>
                    <w:t>相符</w:t>
                  </w:r>
                </w:p>
              </w:tc>
            </w:tr>
            <w:tr w14:paraId="32B98B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jc w:val="center"/>
              </w:trPr>
              <w:tc>
                <w:tcPr>
                  <w:tcW w:w="623" w:type="dxa"/>
                  <w:vMerge w:val="continue"/>
                  <w:tcBorders>
                    <w:tl2br w:val="nil"/>
                    <w:tr2bl w:val="nil"/>
                  </w:tcBorders>
                  <w:shd w:val="clear" w:color="auto" w:fill="auto"/>
                  <w:tcMar>
                    <w:left w:w="51" w:type="dxa"/>
                    <w:right w:w="51" w:type="dxa"/>
                  </w:tcMar>
                  <w:vAlign w:val="center"/>
                </w:tcPr>
                <w:p w14:paraId="2E19D408">
                  <w:pPr>
                    <w:keepNext w:val="0"/>
                    <w:keepLines w:val="0"/>
                    <w:pageBreakBefore w:val="0"/>
                    <w:suppressLineNumbers w:val="0"/>
                    <w:kinsoku/>
                    <w:overflowPunct/>
                    <w:topLinePunct w:val="0"/>
                    <w:bidi w:val="0"/>
                    <w:spacing w:before="0" w:beforeAutospacing="0" w:after="0" w:afterAutospacing="0" w:line="360" w:lineRule="exact"/>
                    <w:ind w:left="0" w:right="0"/>
                    <w:rPr>
                      <w:rFonts w:hint="default" w:ascii="Times New Roman" w:hAnsi="Times New Roman" w:eastAsia="Times New Roman" w:cs="Times New Roman"/>
                      <w:sz w:val="20"/>
                      <w:szCs w:val="20"/>
                    </w:rPr>
                  </w:pPr>
                </w:p>
              </w:tc>
              <w:tc>
                <w:tcPr>
                  <w:tcW w:w="1134" w:type="dxa"/>
                  <w:vMerge w:val="restart"/>
                  <w:tcBorders>
                    <w:tl2br w:val="nil"/>
                    <w:tr2bl w:val="nil"/>
                  </w:tcBorders>
                  <w:shd w:val="clear" w:color="auto" w:fill="auto"/>
                  <w:tcMar>
                    <w:left w:w="51" w:type="dxa"/>
                    <w:right w:w="51" w:type="dxa"/>
                  </w:tcMar>
                  <w:vAlign w:val="center"/>
                </w:tcPr>
                <w:p w14:paraId="1B800126">
                  <w:pPr>
                    <w:keepNext w:val="0"/>
                    <w:keepLines w:val="0"/>
                    <w:pageBreakBefore w:val="0"/>
                    <w:widowControl/>
                    <w:suppressLineNumbers w:val="0"/>
                    <w:kinsoku/>
                    <w:overflowPunct/>
                    <w:topLinePunct w:val="0"/>
                    <w:bidi w:val="0"/>
                    <w:adjustRightInd w:val="0"/>
                    <w:snapToGrid w:val="0"/>
                    <w:spacing w:before="0" w:beforeAutospacing="0" w:after="0" w:afterAutospacing="0" w:line="360" w:lineRule="exact"/>
                    <w:ind w:left="0" w:right="0"/>
                    <w:jc w:val="center"/>
                    <w:rPr>
                      <w:rFonts w:hint="default"/>
                      <w:kern w:val="24"/>
                      <w:lang w:val="en-US" w:bidi="ar"/>
                    </w:rPr>
                  </w:pPr>
                  <w:r>
                    <w:rPr>
                      <w:rFonts w:hint="eastAsia" w:ascii="Times New Roman" w:hAnsi="Times New Roman" w:eastAsia="宋体" w:cs="宋体"/>
                      <w:kern w:val="24"/>
                      <w:sz w:val="21"/>
                      <w:szCs w:val="21"/>
                      <w:lang w:val="en-US" w:eastAsia="zh-CN" w:bidi="ar"/>
                    </w:rPr>
                    <w:t>资源开发</w:t>
                  </w:r>
                </w:p>
                <w:p w14:paraId="6A1F38E8">
                  <w:pPr>
                    <w:keepNext w:val="0"/>
                    <w:keepLines w:val="0"/>
                    <w:pageBreakBefore w:val="0"/>
                    <w:widowControl/>
                    <w:suppressLineNumbers w:val="0"/>
                    <w:kinsoku/>
                    <w:overflowPunct/>
                    <w:topLinePunct w:val="0"/>
                    <w:bidi w:val="0"/>
                    <w:adjustRightInd w:val="0"/>
                    <w:snapToGrid w:val="0"/>
                    <w:spacing w:before="0" w:beforeAutospacing="0" w:after="0" w:afterAutospacing="0" w:line="360" w:lineRule="exact"/>
                    <w:ind w:left="0" w:right="0"/>
                    <w:jc w:val="center"/>
                    <w:rPr>
                      <w:rFonts w:hint="default"/>
                      <w:kern w:val="24"/>
                      <w:lang w:val="en-US"/>
                    </w:rPr>
                  </w:pPr>
                  <w:r>
                    <w:rPr>
                      <w:rFonts w:hint="eastAsia" w:ascii="Times New Roman" w:hAnsi="Times New Roman" w:eastAsia="宋体" w:cs="宋体"/>
                      <w:kern w:val="24"/>
                      <w:sz w:val="21"/>
                      <w:szCs w:val="21"/>
                      <w:lang w:val="en-US" w:eastAsia="zh-CN" w:bidi="ar"/>
                    </w:rPr>
                    <w:t>利用</w:t>
                  </w:r>
                </w:p>
              </w:tc>
              <w:tc>
                <w:tcPr>
                  <w:tcW w:w="2590" w:type="dxa"/>
                  <w:tcBorders>
                    <w:tl2br w:val="nil"/>
                    <w:tr2bl w:val="nil"/>
                  </w:tcBorders>
                  <w:shd w:val="clear" w:color="auto" w:fill="auto"/>
                  <w:tcMar>
                    <w:left w:w="51" w:type="dxa"/>
                    <w:right w:w="51" w:type="dxa"/>
                  </w:tcMar>
                  <w:vAlign w:val="center"/>
                </w:tcPr>
                <w:p w14:paraId="5F6A2C41">
                  <w:pPr>
                    <w:keepNext w:val="0"/>
                    <w:keepLines w:val="0"/>
                    <w:pageBreakBefore w:val="0"/>
                    <w:widowControl/>
                    <w:suppressLineNumbers w:val="0"/>
                    <w:kinsoku/>
                    <w:overflowPunct/>
                    <w:topLinePunct w:val="0"/>
                    <w:bidi w:val="0"/>
                    <w:adjustRightInd w:val="0"/>
                    <w:snapToGrid w:val="0"/>
                    <w:spacing w:before="0" w:beforeAutospacing="0" w:after="0" w:afterAutospacing="0" w:line="360" w:lineRule="exact"/>
                    <w:ind w:left="0" w:right="0"/>
                    <w:jc w:val="both"/>
                    <w:rPr>
                      <w:rFonts w:hint="default"/>
                      <w:kern w:val="24"/>
                      <w:lang w:val="en-US"/>
                    </w:rPr>
                  </w:pPr>
                  <w:r>
                    <w:rPr>
                      <w:rFonts w:hint="eastAsia" w:ascii="Times New Roman" w:hAnsi="Times New Roman" w:eastAsia="宋体" w:cs="宋体"/>
                      <w:kern w:val="24"/>
                      <w:sz w:val="21"/>
                      <w:szCs w:val="21"/>
                      <w:lang w:val="en-US" w:eastAsia="zh-CN" w:bidi="ar"/>
                    </w:rPr>
                    <w:t>工业用水应优先使用污水处理厂中水，不断提高中水回用率。</w:t>
                  </w:r>
                </w:p>
              </w:tc>
              <w:tc>
                <w:tcPr>
                  <w:tcW w:w="1801" w:type="dxa"/>
                  <w:tcBorders>
                    <w:tl2br w:val="nil"/>
                    <w:tr2bl w:val="nil"/>
                  </w:tcBorders>
                  <w:shd w:val="clear" w:color="auto" w:fill="auto"/>
                  <w:tcMar>
                    <w:left w:w="51" w:type="dxa"/>
                    <w:right w:w="51" w:type="dxa"/>
                  </w:tcMar>
                  <w:vAlign w:val="center"/>
                </w:tcPr>
                <w:p w14:paraId="44FAAAB2">
                  <w:pPr>
                    <w:keepNext w:val="0"/>
                    <w:keepLines w:val="0"/>
                    <w:pageBreakBefore w:val="0"/>
                    <w:widowControl/>
                    <w:suppressLineNumbers w:val="0"/>
                    <w:kinsoku/>
                    <w:overflowPunct/>
                    <w:topLinePunct w:val="0"/>
                    <w:bidi w:val="0"/>
                    <w:adjustRightInd w:val="0"/>
                    <w:snapToGrid w:val="0"/>
                    <w:spacing w:before="0" w:beforeAutospacing="0" w:after="0" w:afterAutospacing="0" w:line="360" w:lineRule="exact"/>
                    <w:ind w:left="0" w:right="0"/>
                    <w:jc w:val="both"/>
                    <w:rPr>
                      <w:rFonts w:hint="default"/>
                      <w:kern w:val="24"/>
                      <w:highlight w:val="yellow"/>
                      <w:lang w:val="en-US"/>
                    </w:rPr>
                  </w:pPr>
                  <w:r>
                    <w:rPr>
                      <w:rFonts w:hint="eastAsia" w:ascii="Times New Roman" w:hAnsi="Times New Roman" w:eastAsia="宋体" w:cs="宋体"/>
                      <w:kern w:val="24"/>
                      <w:sz w:val="21"/>
                      <w:szCs w:val="21"/>
                      <w:lang w:val="en-US" w:eastAsia="zh-CN" w:bidi="ar"/>
                    </w:rPr>
                    <w:t>本项目采用市政集中供水。</w:t>
                  </w:r>
                </w:p>
              </w:tc>
              <w:tc>
                <w:tcPr>
                  <w:tcW w:w="620" w:type="dxa"/>
                  <w:tcBorders>
                    <w:tl2br w:val="nil"/>
                    <w:tr2bl w:val="nil"/>
                  </w:tcBorders>
                  <w:shd w:val="clear" w:color="auto" w:fill="auto"/>
                  <w:tcMar>
                    <w:left w:w="51" w:type="dxa"/>
                    <w:right w:w="51" w:type="dxa"/>
                  </w:tcMar>
                  <w:vAlign w:val="center"/>
                </w:tcPr>
                <w:p w14:paraId="5956C0DD">
                  <w:pPr>
                    <w:keepNext w:val="0"/>
                    <w:keepLines w:val="0"/>
                    <w:pageBreakBefore w:val="0"/>
                    <w:widowControl/>
                    <w:suppressLineNumbers w:val="0"/>
                    <w:kinsoku/>
                    <w:overflowPunct/>
                    <w:topLinePunct w:val="0"/>
                    <w:bidi w:val="0"/>
                    <w:adjustRightInd w:val="0"/>
                    <w:snapToGrid w:val="0"/>
                    <w:spacing w:before="0" w:beforeAutospacing="0" w:after="0" w:afterAutospacing="0" w:line="360" w:lineRule="exact"/>
                    <w:ind w:left="0" w:right="0"/>
                    <w:jc w:val="center"/>
                    <w:rPr>
                      <w:rFonts w:hint="default"/>
                      <w:kern w:val="24"/>
                      <w:lang w:val="en-US"/>
                    </w:rPr>
                  </w:pPr>
                  <w:r>
                    <w:rPr>
                      <w:rFonts w:hint="eastAsia" w:cs="宋体"/>
                      <w:kern w:val="24"/>
                      <w:sz w:val="21"/>
                      <w:szCs w:val="21"/>
                      <w:lang w:val="en-US" w:eastAsia="zh-CN" w:bidi="ar"/>
                    </w:rPr>
                    <w:t>相符</w:t>
                  </w:r>
                </w:p>
              </w:tc>
            </w:tr>
            <w:tr w14:paraId="63AD76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23" w:type="dxa"/>
                  <w:bottom w:w="0" w:type="dxa"/>
                  <w:right w:w="23" w:type="dxa"/>
                </w:tblCellMar>
              </w:tblPrEx>
              <w:trPr>
                <w:jc w:val="center"/>
              </w:trPr>
              <w:tc>
                <w:tcPr>
                  <w:tcW w:w="623" w:type="dxa"/>
                  <w:vMerge w:val="continue"/>
                  <w:tcBorders>
                    <w:tl2br w:val="nil"/>
                    <w:tr2bl w:val="nil"/>
                  </w:tcBorders>
                  <w:shd w:val="clear" w:color="auto" w:fill="auto"/>
                  <w:tcMar>
                    <w:left w:w="51" w:type="dxa"/>
                    <w:right w:w="51" w:type="dxa"/>
                  </w:tcMar>
                  <w:vAlign w:val="center"/>
                </w:tcPr>
                <w:p w14:paraId="00A21D59">
                  <w:pPr>
                    <w:keepNext w:val="0"/>
                    <w:keepLines w:val="0"/>
                    <w:pageBreakBefore w:val="0"/>
                    <w:suppressLineNumbers w:val="0"/>
                    <w:kinsoku/>
                    <w:overflowPunct/>
                    <w:topLinePunct w:val="0"/>
                    <w:bidi w:val="0"/>
                    <w:spacing w:before="0" w:beforeAutospacing="0" w:after="0" w:afterAutospacing="0" w:line="360" w:lineRule="exact"/>
                    <w:ind w:left="0" w:right="0"/>
                    <w:rPr>
                      <w:rFonts w:hint="default" w:ascii="Times New Roman" w:hAnsi="Times New Roman" w:eastAsia="Times New Roman" w:cs="Times New Roman"/>
                      <w:sz w:val="20"/>
                      <w:szCs w:val="20"/>
                    </w:rPr>
                  </w:pPr>
                </w:p>
              </w:tc>
              <w:tc>
                <w:tcPr>
                  <w:tcW w:w="1134" w:type="dxa"/>
                  <w:vMerge w:val="continue"/>
                  <w:tcBorders>
                    <w:tl2br w:val="nil"/>
                    <w:tr2bl w:val="nil"/>
                  </w:tcBorders>
                  <w:shd w:val="clear" w:color="auto" w:fill="auto"/>
                  <w:tcMar>
                    <w:left w:w="51" w:type="dxa"/>
                    <w:right w:w="51" w:type="dxa"/>
                  </w:tcMar>
                  <w:vAlign w:val="center"/>
                </w:tcPr>
                <w:p w14:paraId="71D01B69">
                  <w:pPr>
                    <w:keepNext w:val="0"/>
                    <w:keepLines w:val="0"/>
                    <w:pageBreakBefore w:val="0"/>
                    <w:suppressLineNumbers w:val="0"/>
                    <w:kinsoku/>
                    <w:overflowPunct/>
                    <w:topLinePunct w:val="0"/>
                    <w:bidi w:val="0"/>
                    <w:spacing w:before="0" w:beforeAutospacing="0" w:after="0" w:afterAutospacing="0" w:line="360" w:lineRule="exact"/>
                    <w:ind w:left="0" w:right="0"/>
                    <w:rPr>
                      <w:rFonts w:hint="default" w:ascii="Times New Roman" w:hAnsi="Times New Roman" w:eastAsia="Times New Roman" w:cs="Times New Roman"/>
                      <w:sz w:val="20"/>
                      <w:szCs w:val="20"/>
                    </w:rPr>
                  </w:pPr>
                </w:p>
              </w:tc>
              <w:tc>
                <w:tcPr>
                  <w:tcW w:w="2590" w:type="dxa"/>
                  <w:tcBorders>
                    <w:tl2br w:val="nil"/>
                    <w:tr2bl w:val="nil"/>
                  </w:tcBorders>
                  <w:shd w:val="clear" w:color="auto" w:fill="auto"/>
                  <w:tcMar>
                    <w:left w:w="51" w:type="dxa"/>
                    <w:right w:w="51" w:type="dxa"/>
                  </w:tcMar>
                  <w:vAlign w:val="center"/>
                </w:tcPr>
                <w:p w14:paraId="43F7397B">
                  <w:pPr>
                    <w:pStyle w:val="21"/>
                    <w:keepNext w:val="0"/>
                    <w:keepLines w:val="0"/>
                    <w:pageBreakBefore w:val="0"/>
                    <w:widowControl w:val="0"/>
                    <w:suppressLineNumbers w:val="0"/>
                    <w:kinsoku/>
                    <w:overflowPunct/>
                    <w:topLinePunct w:val="0"/>
                    <w:bidi w:val="0"/>
                    <w:adjustRightInd w:val="0"/>
                    <w:snapToGrid w:val="0"/>
                    <w:spacing w:before="0" w:beforeAutospacing="0" w:after="0" w:afterAutospacing="0" w:line="360" w:lineRule="exact"/>
                    <w:ind w:left="0" w:right="0"/>
                    <w:jc w:val="both"/>
                    <w:rPr>
                      <w:rFonts w:hint="default" w:ascii="Times New Roman" w:hAnsi="Times New Roman" w:cs="Times New Roman"/>
                      <w:kern w:val="24"/>
                      <w:sz w:val="21"/>
                      <w:szCs w:val="21"/>
                      <w:lang w:val="en-US"/>
                    </w:rPr>
                  </w:pPr>
                  <w:r>
                    <w:rPr>
                      <w:rFonts w:hint="default" w:ascii="Times New Roman" w:hAnsi="Times New Roman"/>
                      <w:kern w:val="24"/>
                      <w:sz w:val="21"/>
                      <w:szCs w:val="21"/>
                      <w:lang w:bidi="ar"/>
                    </w:rPr>
                    <w:t>禁止入驻投资强度不符合《工业项目建设用地控制指标》（国土资发</w:t>
                  </w:r>
                  <w:bookmarkStart w:id="5" w:name="OLE_LINK209"/>
                  <w:r>
                    <w:rPr>
                      <w:rFonts w:hint="default" w:ascii="Times New Roman" w:hAnsi="Times New Roman"/>
                      <w:kern w:val="24"/>
                      <w:sz w:val="21"/>
                      <w:szCs w:val="21"/>
                      <w:lang w:bidi="ar"/>
                    </w:rPr>
                    <w:t>〔</w:t>
                  </w:r>
                  <w:r>
                    <w:rPr>
                      <w:rFonts w:hint="default" w:ascii="Times New Roman" w:hAnsi="Times New Roman" w:cs="Times New Roman"/>
                      <w:kern w:val="24"/>
                      <w:sz w:val="21"/>
                      <w:szCs w:val="21"/>
                      <w:lang w:val="en-US" w:bidi="ar"/>
                    </w:rPr>
                    <w:t>2008</w:t>
                  </w:r>
                  <w:r>
                    <w:rPr>
                      <w:rFonts w:hint="default" w:ascii="Times New Roman" w:hAnsi="Times New Roman"/>
                      <w:kern w:val="24"/>
                      <w:sz w:val="21"/>
                      <w:szCs w:val="21"/>
                      <w:lang w:bidi="ar"/>
                    </w:rPr>
                    <w:t>〕</w:t>
                  </w:r>
                  <w:bookmarkEnd w:id="5"/>
                  <w:r>
                    <w:rPr>
                      <w:rFonts w:hint="default" w:ascii="Times New Roman" w:hAnsi="Times New Roman" w:cs="Times New Roman"/>
                      <w:kern w:val="24"/>
                      <w:sz w:val="21"/>
                      <w:szCs w:val="21"/>
                      <w:lang w:val="en-US" w:bidi="ar"/>
                    </w:rPr>
                    <w:t>24</w:t>
                  </w:r>
                  <w:r>
                    <w:rPr>
                      <w:rFonts w:hint="default" w:ascii="Times New Roman" w:hAnsi="Times New Roman"/>
                      <w:kern w:val="24"/>
                      <w:sz w:val="21"/>
                      <w:szCs w:val="21"/>
                      <w:lang w:bidi="ar"/>
                    </w:rPr>
                    <w:t>号文件）和《河南省人民政府关于进一步加强节约集约用地的意见》（豫政〔</w:t>
                  </w:r>
                  <w:r>
                    <w:rPr>
                      <w:rFonts w:hint="default" w:ascii="Times New Roman" w:hAnsi="Times New Roman" w:cs="Times New Roman"/>
                      <w:kern w:val="24"/>
                      <w:sz w:val="21"/>
                      <w:szCs w:val="21"/>
                      <w:lang w:val="en-US" w:bidi="ar"/>
                    </w:rPr>
                    <w:t>2015</w:t>
                  </w:r>
                  <w:r>
                    <w:rPr>
                      <w:rFonts w:hint="default" w:ascii="Times New Roman" w:hAnsi="Times New Roman"/>
                      <w:kern w:val="24"/>
                      <w:sz w:val="21"/>
                      <w:szCs w:val="21"/>
                      <w:lang w:bidi="ar"/>
                    </w:rPr>
                    <w:t>〕</w:t>
                  </w:r>
                  <w:r>
                    <w:rPr>
                      <w:rFonts w:hint="default" w:ascii="Times New Roman" w:hAnsi="Times New Roman" w:cs="Times New Roman"/>
                      <w:kern w:val="24"/>
                      <w:sz w:val="21"/>
                      <w:szCs w:val="21"/>
                      <w:lang w:val="en-US" w:bidi="ar"/>
                    </w:rPr>
                    <w:t>66</w:t>
                  </w:r>
                  <w:r>
                    <w:rPr>
                      <w:rFonts w:hint="default" w:ascii="Times New Roman" w:hAnsi="Times New Roman"/>
                      <w:kern w:val="24"/>
                      <w:sz w:val="21"/>
                      <w:szCs w:val="21"/>
                      <w:lang w:bidi="ar"/>
                    </w:rPr>
                    <w:t>号）要求的项目。</w:t>
                  </w:r>
                </w:p>
              </w:tc>
              <w:tc>
                <w:tcPr>
                  <w:tcW w:w="1801" w:type="dxa"/>
                  <w:tcBorders>
                    <w:tl2br w:val="nil"/>
                    <w:tr2bl w:val="nil"/>
                  </w:tcBorders>
                  <w:shd w:val="clear" w:color="auto" w:fill="auto"/>
                  <w:tcMar>
                    <w:left w:w="51" w:type="dxa"/>
                    <w:right w:w="51" w:type="dxa"/>
                  </w:tcMar>
                  <w:vAlign w:val="center"/>
                </w:tcPr>
                <w:p w14:paraId="679BFF63">
                  <w:pPr>
                    <w:pStyle w:val="21"/>
                    <w:keepNext w:val="0"/>
                    <w:keepLines w:val="0"/>
                    <w:pageBreakBefore w:val="0"/>
                    <w:widowControl w:val="0"/>
                    <w:suppressLineNumbers w:val="0"/>
                    <w:kinsoku/>
                    <w:overflowPunct/>
                    <w:topLinePunct w:val="0"/>
                    <w:bidi w:val="0"/>
                    <w:adjustRightInd w:val="0"/>
                    <w:snapToGrid w:val="0"/>
                    <w:spacing w:before="0" w:beforeAutospacing="0" w:after="0" w:afterAutospacing="0" w:line="360" w:lineRule="exact"/>
                    <w:ind w:left="0" w:right="0"/>
                    <w:jc w:val="both"/>
                    <w:rPr>
                      <w:rFonts w:hint="default" w:ascii="Times New Roman" w:hAnsi="Times New Roman" w:cs="Times New Roman"/>
                      <w:kern w:val="24"/>
                      <w:sz w:val="21"/>
                      <w:szCs w:val="21"/>
                      <w:highlight w:val="yellow"/>
                      <w:lang w:val="en-US"/>
                    </w:rPr>
                  </w:pPr>
                  <w:r>
                    <w:rPr>
                      <w:rFonts w:hint="default" w:ascii="Times New Roman" w:hAnsi="Times New Roman"/>
                      <w:kern w:val="24"/>
                      <w:sz w:val="21"/>
                      <w:szCs w:val="21"/>
                      <w:lang w:bidi="ar"/>
                    </w:rPr>
                    <w:t>豫政〔</w:t>
                  </w:r>
                  <w:r>
                    <w:rPr>
                      <w:rFonts w:hint="default" w:ascii="Times New Roman" w:hAnsi="Times New Roman" w:cs="Times New Roman"/>
                      <w:kern w:val="24"/>
                      <w:sz w:val="21"/>
                      <w:szCs w:val="21"/>
                      <w:lang w:val="en-US" w:bidi="ar"/>
                    </w:rPr>
                    <w:t>2015</w:t>
                  </w:r>
                  <w:r>
                    <w:rPr>
                      <w:rFonts w:hint="default" w:ascii="Times New Roman" w:hAnsi="Times New Roman"/>
                      <w:kern w:val="24"/>
                      <w:sz w:val="21"/>
                      <w:szCs w:val="21"/>
                      <w:lang w:bidi="ar"/>
                    </w:rPr>
                    <w:t>〕</w:t>
                  </w:r>
                  <w:r>
                    <w:rPr>
                      <w:rFonts w:hint="default" w:ascii="Times New Roman" w:hAnsi="Times New Roman" w:cs="Times New Roman"/>
                      <w:kern w:val="24"/>
                      <w:sz w:val="21"/>
                      <w:szCs w:val="21"/>
                      <w:lang w:val="en-US" w:bidi="ar"/>
                    </w:rPr>
                    <w:t>66</w:t>
                  </w:r>
                  <w:r>
                    <w:rPr>
                      <w:rFonts w:hint="default" w:ascii="Times New Roman" w:hAnsi="Times New Roman"/>
                      <w:kern w:val="24"/>
                      <w:sz w:val="21"/>
                      <w:szCs w:val="21"/>
                      <w:lang w:bidi="ar"/>
                    </w:rPr>
                    <w:t>号文件失效。</w:t>
                  </w:r>
                </w:p>
              </w:tc>
              <w:tc>
                <w:tcPr>
                  <w:tcW w:w="620" w:type="dxa"/>
                  <w:tcBorders>
                    <w:tl2br w:val="nil"/>
                    <w:tr2bl w:val="nil"/>
                  </w:tcBorders>
                  <w:shd w:val="clear" w:color="auto" w:fill="auto"/>
                  <w:tcMar>
                    <w:left w:w="51" w:type="dxa"/>
                    <w:right w:w="51" w:type="dxa"/>
                  </w:tcMar>
                  <w:vAlign w:val="center"/>
                </w:tcPr>
                <w:p w14:paraId="18436CCB">
                  <w:pPr>
                    <w:pStyle w:val="21"/>
                    <w:keepNext w:val="0"/>
                    <w:keepLines w:val="0"/>
                    <w:pageBreakBefore w:val="0"/>
                    <w:widowControl w:val="0"/>
                    <w:suppressLineNumbers w:val="0"/>
                    <w:kinsoku/>
                    <w:overflowPunct/>
                    <w:topLinePunct w:val="0"/>
                    <w:bidi w:val="0"/>
                    <w:adjustRightInd w:val="0"/>
                    <w:snapToGrid w:val="0"/>
                    <w:spacing w:before="0" w:beforeAutospacing="0" w:after="0" w:afterAutospacing="0" w:line="360" w:lineRule="exact"/>
                    <w:ind w:left="0" w:right="0"/>
                    <w:jc w:val="center"/>
                    <w:rPr>
                      <w:rFonts w:hint="eastAsia" w:ascii="Times New Roman" w:hAnsi="Times New Roman" w:eastAsia="宋体" w:cs="Times New Roman"/>
                      <w:kern w:val="24"/>
                      <w:sz w:val="21"/>
                      <w:szCs w:val="21"/>
                      <w:lang w:val="en-US" w:eastAsia="zh-CN"/>
                    </w:rPr>
                  </w:pPr>
                  <w:r>
                    <w:rPr>
                      <w:rFonts w:hint="eastAsia" w:ascii="Times New Roman" w:hAnsi="Times New Roman"/>
                      <w:kern w:val="24"/>
                      <w:sz w:val="21"/>
                      <w:szCs w:val="21"/>
                      <w:lang w:val="en-US" w:eastAsia="zh-CN" w:bidi="ar"/>
                    </w:rPr>
                    <w:t>/</w:t>
                  </w:r>
                </w:p>
              </w:tc>
            </w:tr>
            <w:tr w14:paraId="53D6DF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23" w:type="dxa"/>
                  <w:bottom w:w="0" w:type="dxa"/>
                  <w:right w:w="23" w:type="dxa"/>
                </w:tblCellMar>
              </w:tblPrEx>
              <w:trPr>
                <w:jc w:val="center"/>
              </w:trPr>
              <w:tc>
                <w:tcPr>
                  <w:tcW w:w="623" w:type="dxa"/>
                  <w:vMerge w:val="continue"/>
                  <w:tcBorders>
                    <w:tl2br w:val="nil"/>
                    <w:tr2bl w:val="nil"/>
                  </w:tcBorders>
                  <w:shd w:val="clear" w:color="auto" w:fill="auto"/>
                  <w:tcMar>
                    <w:left w:w="51" w:type="dxa"/>
                    <w:right w:w="51" w:type="dxa"/>
                  </w:tcMar>
                  <w:vAlign w:val="center"/>
                </w:tcPr>
                <w:p w14:paraId="0D40653B">
                  <w:pPr>
                    <w:keepNext w:val="0"/>
                    <w:keepLines w:val="0"/>
                    <w:pageBreakBefore w:val="0"/>
                    <w:suppressLineNumbers w:val="0"/>
                    <w:kinsoku/>
                    <w:overflowPunct/>
                    <w:topLinePunct w:val="0"/>
                    <w:bidi w:val="0"/>
                    <w:spacing w:before="0" w:beforeAutospacing="0" w:after="0" w:afterAutospacing="0" w:line="360" w:lineRule="exact"/>
                    <w:ind w:left="0" w:right="0"/>
                    <w:rPr>
                      <w:rFonts w:hint="default" w:ascii="Times New Roman" w:hAnsi="Times New Roman" w:eastAsia="Times New Roman" w:cs="Times New Roman"/>
                      <w:sz w:val="20"/>
                      <w:szCs w:val="20"/>
                    </w:rPr>
                  </w:pPr>
                </w:p>
              </w:tc>
              <w:tc>
                <w:tcPr>
                  <w:tcW w:w="1134" w:type="dxa"/>
                  <w:vMerge w:val="continue"/>
                  <w:tcBorders>
                    <w:tl2br w:val="nil"/>
                    <w:tr2bl w:val="nil"/>
                  </w:tcBorders>
                  <w:shd w:val="clear" w:color="auto" w:fill="auto"/>
                  <w:tcMar>
                    <w:left w:w="51" w:type="dxa"/>
                    <w:right w:w="51" w:type="dxa"/>
                  </w:tcMar>
                  <w:vAlign w:val="center"/>
                </w:tcPr>
                <w:p w14:paraId="44ADE616">
                  <w:pPr>
                    <w:keepNext w:val="0"/>
                    <w:keepLines w:val="0"/>
                    <w:pageBreakBefore w:val="0"/>
                    <w:suppressLineNumbers w:val="0"/>
                    <w:kinsoku/>
                    <w:overflowPunct/>
                    <w:topLinePunct w:val="0"/>
                    <w:bidi w:val="0"/>
                    <w:spacing w:before="0" w:beforeAutospacing="0" w:after="0" w:afterAutospacing="0" w:line="360" w:lineRule="exact"/>
                    <w:ind w:left="0" w:right="0"/>
                    <w:rPr>
                      <w:rFonts w:hint="default" w:ascii="Times New Roman" w:hAnsi="Times New Roman" w:eastAsia="Times New Roman" w:cs="Times New Roman"/>
                      <w:sz w:val="20"/>
                      <w:szCs w:val="20"/>
                    </w:rPr>
                  </w:pPr>
                </w:p>
              </w:tc>
              <w:tc>
                <w:tcPr>
                  <w:tcW w:w="2590" w:type="dxa"/>
                  <w:tcBorders>
                    <w:tl2br w:val="nil"/>
                    <w:tr2bl w:val="nil"/>
                  </w:tcBorders>
                  <w:shd w:val="clear" w:color="auto" w:fill="auto"/>
                  <w:tcMar>
                    <w:left w:w="51" w:type="dxa"/>
                    <w:right w:w="51" w:type="dxa"/>
                  </w:tcMar>
                  <w:vAlign w:val="center"/>
                </w:tcPr>
                <w:p w14:paraId="6C9FF00F">
                  <w:pPr>
                    <w:pStyle w:val="21"/>
                    <w:keepNext w:val="0"/>
                    <w:keepLines w:val="0"/>
                    <w:pageBreakBefore w:val="0"/>
                    <w:widowControl w:val="0"/>
                    <w:suppressLineNumbers w:val="0"/>
                    <w:kinsoku/>
                    <w:overflowPunct/>
                    <w:topLinePunct w:val="0"/>
                    <w:bidi w:val="0"/>
                    <w:adjustRightInd w:val="0"/>
                    <w:snapToGrid w:val="0"/>
                    <w:spacing w:before="0" w:beforeAutospacing="0" w:after="0" w:afterAutospacing="0" w:line="360" w:lineRule="exact"/>
                    <w:ind w:left="0" w:right="0"/>
                    <w:jc w:val="both"/>
                    <w:rPr>
                      <w:rFonts w:hint="default" w:ascii="Times New Roman" w:hAnsi="Times New Roman" w:cs="Times New Roman"/>
                      <w:kern w:val="24"/>
                      <w:sz w:val="21"/>
                      <w:szCs w:val="21"/>
                      <w:lang w:val="en-US"/>
                    </w:rPr>
                  </w:pPr>
                  <w:r>
                    <w:rPr>
                      <w:rFonts w:hint="default" w:ascii="Times New Roman" w:hAnsi="Times New Roman"/>
                      <w:kern w:val="24"/>
                      <w:sz w:val="21"/>
                      <w:szCs w:val="21"/>
                      <w:lang w:bidi="ar"/>
                    </w:rPr>
                    <w:t>用水指标不符合河南省地方标准《工业与城镇生活用水定额》（</w:t>
                  </w:r>
                  <w:r>
                    <w:rPr>
                      <w:rFonts w:hint="default" w:ascii="Times New Roman" w:hAnsi="Times New Roman" w:cs="Times New Roman"/>
                      <w:kern w:val="24"/>
                      <w:sz w:val="21"/>
                      <w:szCs w:val="21"/>
                      <w:lang w:val="en-US" w:bidi="ar"/>
                    </w:rPr>
                    <w:t>DB41/T385-2020</w:t>
                  </w:r>
                  <w:r>
                    <w:rPr>
                      <w:rFonts w:hint="default" w:ascii="Times New Roman" w:hAnsi="Times New Roman"/>
                      <w:kern w:val="24"/>
                      <w:sz w:val="21"/>
                      <w:szCs w:val="21"/>
                      <w:lang w:bidi="ar"/>
                    </w:rPr>
                    <w:t>）要求的项目禁止入驻。</w:t>
                  </w:r>
                </w:p>
              </w:tc>
              <w:tc>
                <w:tcPr>
                  <w:tcW w:w="1801" w:type="dxa"/>
                  <w:tcBorders>
                    <w:tl2br w:val="nil"/>
                    <w:tr2bl w:val="nil"/>
                  </w:tcBorders>
                  <w:shd w:val="clear" w:color="auto" w:fill="auto"/>
                  <w:tcMar>
                    <w:left w:w="51" w:type="dxa"/>
                    <w:right w:w="51" w:type="dxa"/>
                  </w:tcMar>
                  <w:vAlign w:val="center"/>
                </w:tcPr>
                <w:p w14:paraId="3CB6AC86">
                  <w:pPr>
                    <w:pStyle w:val="21"/>
                    <w:keepNext w:val="0"/>
                    <w:keepLines w:val="0"/>
                    <w:pageBreakBefore w:val="0"/>
                    <w:widowControl w:val="0"/>
                    <w:suppressLineNumbers w:val="0"/>
                    <w:kinsoku/>
                    <w:wordWrap w:val="0"/>
                    <w:overflowPunct/>
                    <w:topLinePunct w:val="0"/>
                    <w:autoSpaceDE w:val="0"/>
                    <w:autoSpaceDN/>
                    <w:bidi w:val="0"/>
                    <w:adjustRightInd w:val="0"/>
                    <w:snapToGrid w:val="0"/>
                    <w:spacing w:before="0" w:beforeAutospacing="0" w:after="0" w:afterAutospacing="0" w:line="360" w:lineRule="exact"/>
                    <w:ind w:left="0" w:right="0"/>
                    <w:jc w:val="both"/>
                    <w:rPr>
                      <w:rFonts w:hint="default" w:ascii="Times New Roman" w:hAnsi="Times New Roman" w:cs="Times New Roman"/>
                      <w:kern w:val="24"/>
                      <w:sz w:val="21"/>
                      <w:szCs w:val="21"/>
                      <w:lang w:val="en-US"/>
                    </w:rPr>
                  </w:pPr>
                  <w:r>
                    <w:rPr>
                      <w:rFonts w:hint="default" w:ascii="Times New Roman" w:hAnsi="Times New Roman"/>
                      <w:kern w:val="24"/>
                      <w:sz w:val="21"/>
                      <w:szCs w:val="21"/>
                      <w:lang w:bidi="ar"/>
                    </w:rPr>
                    <w:t>项目用水指标符合河南省地方标准《</w:t>
                  </w:r>
                  <w:bookmarkStart w:id="6" w:name="OLE_LINK10"/>
                  <w:r>
                    <w:rPr>
                      <w:rFonts w:hint="default" w:ascii="Times New Roman" w:hAnsi="Times New Roman"/>
                      <w:kern w:val="24"/>
                      <w:sz w:val="21"/>
                      <w:szCs w:val="21"/>
                      <w:lang w:bidi="ar"/>
                    </w:rPr>
                    <w:t>工业与城镇生活用水定额</w:t>
                  </w:r>
                  <w:bookmarkEnd w:id="6"/>
                  <w:r>
                    <w:rPr>
                      <w:rFonts w:hint="default" w:ascii="Times New Roman" w:hAnsi="Times New Roman"/>
                      <w:kern w:val="24"/>
                      <w:sz w:val="21"/>
                      <w:szCs w:val="21"/>
                      <w:lang w:bidi="ar"/>
                    </w:rPr>
                    <w:t>》（</w:t>
                  </w:r>
                  <w:r>
                    <w:rPr>
                      <w:rFonts w:hint="default" w:ascii="Times New Roman" w:hAnsi="Times New Roman" w:cs="Times New Roman"/>
                      <w:kern w:val="24"/>
                      <w:sz w:val="21"/>
                      <w:szCs w:val="21"/>
                      <w:lang w:val="en-US" w:bidi="ar"/>
                    </w:rPr>
                    <w:t>DB41/T385-2020</w:t>
                  </w:r>
                  <w:r>
                    <w:rPr>
                      <w:rFonts w:hint="default" w:ascii="Times New Roman" w:hAnsi="Times New Roman"/>
                      <w:kern w:val="24"/>
                      <w:sz w:val="21"/>
                      <w:szCs w:val="21"/>
                      <w:lang w:bidi="ar"/>
                    </w:rPr>
                    <w:t>）要求。</w:t>
                  </w:r>
                </w:p>
              </w:tc>
              <w:tc>
                <w:tcPr>
                  <w:tcW w:w="620" w:type="dxa"/>
                  <w:tcBorders>
                    <w:tl2br w:val="nil"/>
                    <w:tr2bl w:val="nil"/>
                  </w:tcBorders>
                  <w:shd w:val="clear" w:color="auto" w:fill="auto"/>
                  <w:tcMar>
                    <w:left w:w="51" w:type="dxa"/>
                    <w:right w:w="51" w:type="dxa"/>
                  </w:tcMar>
                  <w:vAlign w:val="center"/>
                </w:tcPr>
                <w:p w14:paraId="3279221D">
                  <w:pPr>
                    <w:pStyle w:val="21"/>
                    <w:keepNext w:val="0"/>
                    <w:keepLines w:val="0"/>
                    <w:pageBreakBefore w:val="0"/>
                    <w:widowControl w:val="0"/>
                    <w:suppressLineNumbers w:val="0"/>
                    <w:kinsoku/>
                    <w:overflowPunct/>
                    <w:topLinePunct w:val="0"/>
                    <w:bidi w:val="0"/>
                    <w:adjustRightInd w:val="0"/>
                    <w:snapToGrid w:val="0"/>
                    <w:spacing w:before="0" w:beforeAutospacing="0" w:after="0" w:afterAutospacing="0" w:line="360" w:lineRule="exact"/>
                    <w:ind w:left="0" w:right="0"/>
                    <w:jc w:val="center"/>
                    <w:rPr>
                      <w:rFonts w:hint="default" w:ascii="Times New Roman" w:hAnsi="Times New Roman" w:cs="Times New Roman"/>
                      <w:kern w:val="24"/>
                      <w:sz w:val="21"/>
                      <w:szCs w:val="21"/>
                      <w:lang w:val="en-US"/>
                    </w:rPr>
                  </w:pPr>
                  <w:r>
                    <w:rPr>
                      <w:rFonts w:hint="eastAsia" w:cs="宋体"/>
                      <w:kern w:val="24"/>
                      <w:sz w:val="21"/>
                      <w:szCs w:val="21"/>
                      <w:lang w:val="en-US" w:eastAsia="zh-CN" w:bidi="ar"/>
                    </w:rPr>
                    <w:t>相符</w:t>
                  </w:r>
                </w:p>
              </w:tc>
            </w:tr>
            <w:tr w14:paraId="3FD73C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jc w:val="center"/>
              </w:trPr>
              <w:tc>
                <w:tcPr>
                  <w:tcW w:w="623" w:type="dxa"/>
                  <w:vMerge w:val="continue"/>
                  <w:tcBorders>
                    <w:tl2br w:val="nil"/>
                    <w:tr2bl w:val="nil"/>
                  </w:tcBorders>
                  <w:shd w:val="clear" w:color="auto" w:fill="auto"/>
                  <w:tcMar>
                    <w:left w:w="51" w:type="dxa"/>
                    <w:right w:w="51" w:type="dxa"/>
                  </w:tcMar>
                  <w:vAlign w:val="center"/>
                </w:tcPr>
                <w:p w14:paraId="409B6701">
                  <w:pPr>
                    <w:keepNext w:val="0"/>
                    <w:keepLines w:val="0"/>
                    <w:pageBreakBefore w:val="0"/>
                    <w:suppressLineNumbers w:val="0"/>
                    <w:kinsoku/>
                    <w:overflowPunct/>
                    <w:topLinePunct w:val="0"/>
                    <w:bidi w:val="0"/>
                    <w:spacing w:before="0" w:beforeAutospacing="0" w:after="0" w:afterAutospacing="0" w:line="360" w:lineRule="exact"/>
                    <w:ind w:left="0" w:right="0"/>
                    <w:rPr>
                      <w:rFonts w:hint="default" w:ascii="Times New Roman" w:hAnsi="Times New Roman" w:eastAsia="Times New Roman" w:cs="Times New Roman"/>
                      <w:sz w:val="20"/>
                      <w:szCs w:val="20"/>
                    </w:rPr>
                  </w:pPr>
                </w:p>
              </w:tc>
              <w:tc>
                <w:tcPr>
                  <w:tcW w:w="1134" w:type="dxa"/>
                  <w:vMerge w:val="continue"/>
                  <w:tcBorders>
                    <w:tl2br w:val="nil"/>
                    <w:tr2bl w:val="nil"/>
                  </w:tcBorders>
                  <w:shd w:val="clear" w:color="auto" w:fill="auto"/>
                  <w:tcMar>
                    <w:left w:w="51" w:type="dxa"/>
                    <w:right w:w="51" w:type="dxa"/>
                  </w:tcMar>
                  <w:vAlign w:val="center"/>
                </w:tcPr>
                <w:p w14:paraId="55E05033">
                  <w:pPr>
                    <w:keepNext w:val="0"/>
                    <w:keepLines w:val="0"/>
                    <w:pageBreakBefore w:val="0"/>
                    <w:suppressLineNumbers w:val="0"/>
                    <w:kinsoku/>
                    <w:overflowPunct/>
                    <w:topLinePunct w:val="0"/>
                    <w:bidi w:val="0"/>
                    <w:spacing w:before="0" w:beforeAutospacing="0" w:after="0" w:afterAutospacing="0" w:line="360" w:lineRule="exact"/>
                    <w:ind w:left="0" w:right="0"/>
                    <w:rPr>
                      <w:rFonts w:hint="default" w:ascii="Times New Roman" w:hAnsi="Times New Roman" w:eastAsia="Times New Roman" w:cs="Times New Roman"/>
                      <w:sz w:val="20"/>
                      <w:szCs w:val="20"/>
                    </w:rPr>
                  </w:pPr>
                </w:p>
              </w:tc>
              <w:tc>
                <w:tcPr>
                  <w:tcW w:w="2590" w:type="dxa"/>
                  <w:tcBorders>
                    <w:tl2br w:val="nil"/>
                    <w:tr2bl w:val="nil"/>
                  </w:tcBorders>
                  <w:shd w:val="clear" w:color="auto" w:fill="auto"/>
                  <w:tcMar>
                    <w:left w:w="51" w:type="dxa"/>
                    <w:right w:w="51" w:type="dxa"/>
                  </w:tcMar>
                  <w:vAlign w:val="center"/>
                </w:tcPr>
                <w:p w14:paraId="45A847D8">
                  <w:pPr>
                    <w:pStyle w:val="21"/>
                    <w:keepNext w:val="0"/>
                    <w:keepLines w:val="0"/>
                    <w:pageBreakBefore w:val="0"/>
                    <w:widowControl w:val="0"/>
                    <w:suppressLineNumbers w:val="0"/>
                    <w:kinsoku/>
                    <w:overflowPunct/>
                    <w:topLinePunct w:val="0"/>
                    <w:bidi w:val="0"/>
                    <w:adjustRightInd w:val="0"/>
                    <w:snapToGrid w:val="0"/>
                    <w:spacing w:before="0" w:beforeAutospacing="0" w:after="0" w:afterAutospacing="0" w:line="360" w:lineRule="exact"/>
                    <w:ind w:left="0" w:right="0"/>
                    <w:jc w:val="both"/>
                    <w:rPr>
                      <w:rFonts w:hint="default" w:ascii="Times New Roman" w:hAnsi="Times New Roman" w:cs="Times New Roman"/>
                      <w:kern w:val="24"/>
                      <w:sz w:val="21"/>
                      <w:szCs w:val="21"/>
                      <w:lang w:val="en-US"/>
                    </w:rPr>
                  </w:pPr>
                  <w:bookmarkStart w:id="7" w:name="OLE_LINK206"/>
                  <w:r>
                    <w:rPr>
                      <w:rFonts w:hint="default" w:ascii="Times New Roman" w:hAnsi="Times New Roman"/>
                      <w:kern w:val="24"/>
                      <w:sz w:val="21"/>
                      <w:szCs w:val="21"/>
                      <w:lang w:bidi="ar"/>
                    </w:rPr>
                    <w:t>单位</w:t>
                  </w:r>
                  <w:r>
                    <w:rPr>
                      <w:rFonts w:hint="default" w:ascii="Times New Roman" w:hAnsi="Times New Roman" w:cs="Times New Roman"/>
                      <w:kern w:val="24"/>
                      <w:sz w:val="21"/>
                      <w:szCs w:val="21"/>
                      <w:lang w:val="en-US" w:bidi="ar"/>
                    </w:rPr>
                    <w:t>GDP</w:t>
                  </w:r>
                  <w:r>
                    <w:rPr>
                      <w:rFonts w:hint="default" w:ascii="Times New Roman" w:hAnsi="Times New Roman"/>
                      <w:kern w:val="24"/>
                      <w:sz w:val="21"/>
                      <w:szCs w:val="21"/>
                      <w:lang w:bidi="ar"/>
                    </w:rPr>
                    <w:t>新鲜水耗</w:t>
                  </w:r>
                  <w:r>
                    <w:rPr>
                      <w:rFonts w:hint="default" w:ascii="Times New Roman" w:hAnsi="Times New Roman" w:cs="Times New Roman"/>
                      <w:kern w:val="24"/>
                      <w:sz w:val="21"/>
                      <w:szCs w:val="21"/>
                      <w:lang w:val="en-US" w:bidi="ar"/>
                    </w:rPr>
                    <w:t>≤8m</w:t>
                  </w:r>
                  <w:r>
                    <w:rPr>
                      <w:rFonts w:hint="default" w:ascii="Times New Roman" w:hAnsi="Times New Roman" w:cs="Times New Roman"/>
                      <w:kern w:val="24"/>
                      <w:sz w:val="21"/>
                      <w:szCs w:val="21"/>
                      <w:vertAlign w:val="superscript"/>
                      <w:lang w:val="en-US" w:bidi="ar"/>
                    </w:rPr>
                    <w:t>3</w:t>
                  </w:r>
                  <w:r>
                    <w:rPr>
                      <w:rFonts w:hint="default" w:ascii="Times New Roman" w:hAnsi="Times New Roman" w:cs="Times New Roman"/>
                      <w:kern w:val="24"/>
                      <w:sz w:val="21"/>
                      <w:szCs w:val="21"/>
                      <w:lang w:val="en-US" w:bidi="ar"/>
                    </w:rPr>
                    <w:t>/</w:t>
                  </w:r>
                  <w:r>
                    <w:rPr>
                      <w:rFonts w:hint="default" w:ascii="Times New Roman" w:hAnsi="Times New Roman"/>
                      <w:kern w:val="24"/>
                      <w:sz w:val="21"/>
                      <w:szCs w:val="21"/>
                      <w:lang w:bidi="ar"/>
                    </w:rPr>
                    <w:t>万元。</w:t>
                  </w:r>
                  <w:bookmarkEnd w:id="7"/>
                </w:p>
              </w:tc>
              <w:tc>
                <w:tcPr>
                  <w:tcW w:w="1801" w:type="dxa"/>
                  <w:tcBorders>
                    <w:tl2br w:val="nil"/>
                    <w:tr2bl w:val="nil"/>
                  </w:tcBorders>
                  <w:shd w:val="clear" w:color="auto" w:fill="auto"/>
                  <w:tcMar>
                    <w:left w:w="51" w:type="dxa"/>
                    <w:right w:w="51" w:type="dxa"/>
                  </w:tcMar>
                  <w:vAlign w:val="center"/>
                </w:tcPr>
                <w:p w14:paraId="0C24FB4E">
                  <w:pPr>
                    <w:pStyle w:val="21"/>
                    <w:keepNext w:val="0"/>
                    <w:keepLines w:val="0"/>
                    <w:pageBreakBefore w:val="0"/>
                    <w:widowControl w:val="0"/>
                    <w:suppressLineNumbers w:val="0"/>
                    <w:kinsoku/>
                    <w:overflowPunct/>
                    <w:topLinePunct w:val="0"/>
                    <w:bidi w:val="0"/>
                    <w:adjustRightInd w:val="0"/>
                    <w:snapToGrid w:val="0"/>
                    <w:spacing w:before="0" w:beforeAutospacing="0" w:after="0" w:afterAutospacing="0" w:line="360" w:lineRule="exact"/>
                    <w:ind w:left="0" w:right="0"/>
                    <w:jc w:val="both"/>
                    <w:rPr>
                      <w:rFonts w:hint="default" w:ascii="Times New Roman" w:hAnsi="Times New Roman" w:cs="Times New Roman"/>
                      <w:kern w:val="24"/>
                      <w:sz w:val="21"/>
                      <w:szCs w:val="21"/>
                      <w:highlight w:val="yellow"/>
                      <w:lang w:val="en-US"/>
                    </w:rPr>
                  </w:pPr>
                  <w:r>
                    <w:rPr>
                      <w:rFonts w:hint="default" w:ascii="Times New Roman" w:hAnsi="Times New Roman"/>
                      <w:kern w:val="24"/>
                      <w:sz w:val="21"/>
                      <w:szCs w:val="21"/>
                      <w:lang w:bidi="ar"/>
                    </w:rPr>
                    <w:t>本项目单位</w:t>
                  </w:r>
                  <w:r>
                    <w:rPr>
                      <w:rFonts w:hint="default" w:ascii="Times New Roman" w:hAnsi="Times New Roman" w:cs="Times New Roman"/>
                      <w:kern w:val="24"/>
                      <w:sz w:val="21"/>
                      <w:szCs w:val="21"/>
                      <w:lang w:val="en-US" w:bidi="ar"/>
                    </w:rPr>
                    <w:t>GDP</w:t>
                  </w:r>
                  <w:r>
                    <w:rPr>
                      <w:rFonts w:hint="default" w:ascii="Times New Roman" w:hAnsi="Times New Roman"/>
                      <w:kern w:val="24"/>
                      <w:sz w:val="21"/>
                      <w:szCs w:val="21"/>
                      <w:lang w:bidi="ar"/>
                    </w:rPr>
                    <w:t>新鲜水耗</w:t>
                  </w:r>
                  <w:r>
                    <w:rPr>
                      <w:rFonts w:hint="default" w:ascii="Times New Roman" w:hAnsi="Times New Roman" w:cs="Times New Roman"/>
                      <w:kern w:val="24"/>
                      <w:sz w:val="21"/>
                      <w:szCs w:val="21"/>
                      <w:lang w:val="en-US" w:bidi="ar"/>
                    </w:rPr>
                    <w:t>≤8m</w:t>
                  </w:r>
                  <w:r>
                    <w:rPr>
                      <w:rFonts w:hint="default" w:ascii="Times New Roman" w:hAnsi="Times New Roman" w:cs="Times New Roman"/>
                      <w:kern w:val="24"/>
                      <w:sz w:val="21"/>
                      <w:szCs w:val="21"/>
                      <w:vertAlign w:val="superscript"/>
                      <w:lang w:val="en-US" w:bidi="ar"/>
                    </w:rPr>
                    <w:t>3</w:t>
                  </w:r>
                  <w:r>
                    <w:rPr>
                      <w:rFonts w:hint="default" w:ascii="Times New Roman" w:hAnsi="Times New Roman" w:cs="Times New Roman"/>
                      <w:kern w:val="24"/>
                      <w:sz w:val="21"/>
                      <w:szCs w:val="21"/>
                      <w:lang w:val="en-US" w:bidi="ar"/>
                    </w:rPr>
                    <w:t>/</w:t>
                  </w:r>
                  <w:r>
                    <w:rPr>
                      <w:rFonts w:hint="default" w:ascii="Times New Roman" w:hAnsi="Times New Roman"/>
                      <w:kern w:val="24"/>
                      <w:sz w:val="21"/>
                      <w:szCs w:val="21"/>
                      <w:lang w:bidi="ar"/>
                    </w:rPr>
                    <w:t>万元。</w:t>
                  </w:r>
                </w:p>
              </w:tc>
              <w:tc>
                <w:tcPr>
                  <w:tcW w:w="620" w:type="dxa"/>
                  <w:tcBorders>
                    <w:tl2br w:val="nil"/>
                    <w:tr2bl w:val="nil"/>
                  </w:tcBorders>
                  <w:shd w:val="clear" w:color="auto" w:fill="auto"/>
                  <w:tcMar>
                    <w:left w:w="51" w:type="dxa"/>
                    <w:right w:w="51" w:type="dxa"/>
                  </w:tcMar>
                  <w:vAlign w:val="center"/>
                </w:tcPr>
                <w:p w14:paraId="54CB7FB4">
                  <w:pPr>
                    <w:keepNext w:val="0"/>
                    <w:keepLines w:val="0"/>
                    <w:pageBreakBefore w:val="0"/>
                    <w:widowControl w:val="0"/>
                    <w:suppressLineNumbers w:val="0"/>
                    <w:kinsoku/>
                    <w:overflowPunct/>
                    <w:topLinePunct w:val="0"/>
                    <w:bidi w:val="0"/>
                    <w:adjustRightInd w:val="0"/>
                    <w:snapToGrid w:val="0"/>
                    <w:spacing w:before="0" w:beforeAutospacing="0" w:after="0" w:afterAutospacing="0" w:line="360" w:lineRule="exact"/>
                    <w:ind w:left="0" w:right="0"/>
                    <w:jc w:val="center"/>
                    <w:rPr>
                      <w:rFonts w:hint="default" w:ascii="Times New Roman" w:hAnsi="Times New Roman" w:cs="Times New Roman"/>
                      <w:kern w:val="24"/>
                      <w:sz w:val="21"/>
                      <w:szCs w:val="21"/>
                      <w:lang w:val="en-US"/>
                    </w:rPr>
                  </w:pPr>
                  <w:r>
                    <w:rPr>
                      <w:rFonts w:hint="eastAsia" w:cs="宋体"/>
                      <w:kern w:val="24"/>
                      <w:sz w:val="21"/>
                      <w:szCs w:val="21"/>
                      <w:lang w:val="en-US" w:eastAsia="zh-CN" w:bidi="ar"/>
                    </w:rPr>
                    <w:t>相符</w:t>
                  </w:r>
                </w:p>
              </w:tc>
            </w:tr>
            <w:tr w14:paraId="7A2E112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jc w:val="center"/>
              </w:trPr>
              <w:tc>
                <w:tcPr>
                  <w:tcW w:w="623" w:type="dxa"/>
                  <w:vMerge w:val="continue"/>
                  <w:tcBorders>
                    <w:tl2br w:val="nil"/>
                    <w:tr2bl w:val="nil"/>
                  </w:tcBorders>
                  <w:shd w:val="clear" w:color="auto" w:fill="auto"/>
                  <w:tcMar>
                    <w:left w:w="51" w:type="dxa"/>
                    <w:right w:w="51" w:type="dxa"/>
                  </w:tcMar>
                  <w:vAlign w:val="center"/>
                </w:tcPr>
                <w:p w14:paraId="078888BE">
                  <w:pPr>
                    <w:keepNext w:val="0"/>
                    <w:keepLines w:val="0"/>
                    <w:pageBreakBefore w:val="0"/>
                    <w:suppressLineNumbers w:val="0"/>
                    <w:kinsoku/>
                    <w:overflowPunct/>
                    <w:topLinePunct w:val="0"/>
                    <w:bidi w:val="0"/>
                    <w:spacing w:before="0" w:beforeAutospacing="0" w:after="0" w:afterAutospacing="0" w:line="360" w:lineRule="exact"/>
                    <w:ind w:left="0" w:right="0"/>
                    <w:rPr>
                      <w:rFonts w:hint="default" w:ascii="Times New Roman" w:hAnsi="Times New Roman" w:eastAsia="Times New Roman" w:cs="Times New Roman"/>
                      <w:sz w:val="20"/>
                      <w:szCs w:val="20"/>
                    </w:rPr>
                  </w:pPr>
                </w:p>
              </w:tc>
              <w:tc>
                <w:tcPr>
                  <w:tcW w:w="1134" w:type="dxa"/>
                  <w:vMerge w:val="continue"/>
                  <w:tcBorders>
                    <w:tl2br w:val="nil"/>
                    <w:tr2bl w:val="nil"/>
                  </w:tcBorders>
                  <w:shd w:val="clear" w:color="auto" w:fill="auto"/>
                  <w:tcMar>
                    <w:left w:w="51" w:type="dxa"/>
                    <w:right w:w="51" w:type="dxa"/>
                  </w:tcMar>
                  <w:vAlign w:val="center"/>
                </w:tcPr>
                <w:p w14:paraId="7841014F">
                  <w:pPr>
                    <w:keepNext w:val="0"/>
                    <w:keepLines w:val="0"/>
                    <w:pageBreakBefore w:val="0"/>
                    <w:suppressLineNumbers w:val="0"/>
                    <w:kinsoku/>
                    <w:overflowPunct/>
                    <w:topLinePunct w:val="0"/>
                    <w:bidi w:val="0"/>
                    <w:spacing w:before="0" w:beforeAutospacing="0" w:after="0" w:afterAutospacing="0" w:line="360" w:lineRule="exact"/>
                    <w:ind w:left="0" w:right="0"/>
                    <w:rPr>
                      <w:rFonts w:hint="default" w:ascii="Times New Roman" w:hAnsi="Times New Roman" w:eastAsia="Times New Roman" w:cs="Times New Roman"/>
                      <w:sz w:val="20"/>
                      <w:szCs w:val="20"/>
                    </w:rPr>
                  </w:pPr>
                </w:p>
              </w:tc>
              <w:tc>
                <w:tcPr>
                  <w:tcW w:w="2590" w:type="dxa"/>
                  <w:tcBorders>
                    <w:tl2br w:val="nil"/>
                    <w:tr2bl w:val="nil"/>
                  </w:tcBorders>
                  <w:shd w:val="clear" w:color="auto" w:fill="auto"/>
                  <w:tcMar>
                    <w:left w:w="51" w:type="dxa"/>
                    <w:right w:w="51" w:type="dxa"/>
                  </w:tcMar>
                  <w:vAlign w:val="center"/>
                </w:tcPr>
                <w:p w14:paraId="035B8E3F">
                  <w:pPr>
                    <w:pStyle w:val="21"/>
                    <w:keepNext w:val="0"/>
                    <w:keepLines w:val="0"/>
                    <w:pageBreakBefore w:val="0"/>
                    <w:widowControl w:val="0"/>
                    <w:suppressLineNumbers w:val="0"/>
                    <w:kinsoku/>
                    <w:overflowPunct/>
                    <w:topLinePunct w:val="0"/>
                    <w:bidi w:val="0"/>
                    <w:adjustRightInd w:val="0"/>
                    <w:snapToGrid w:val="0"/>
                    <w:spacing w:before="0" w:beforeAutospacing="0" w:after="0" w:afterAutospacing="0" w:line="360" w:lineRule="exact"/>
                    <w:ind w:left="0" w:right="0"/>
                    <w:jc w:val="both"/>
                    <w:rPr>
                      <w:rFonts w:hint="default" w:ascii="Times New Roman" w:hAnsi="Times New Roman" w:cs="Times New Roman"/>
                      <w:kern w:val="24"/>
                      <w:sz w:val="21"/>
                      <w:szCs w:val="21"/>
                      <w:lang w:val="en-US"/>
                    </w:rPr>
                  </w:pPr>
                  <w:r>
                    <w:rPr>
                      <w:rFonts w:hint="default" w:ascii="Times New Roman" w:hAnsi="Times New Roman"/>
                      <w:kern w:val="24"/>
                      <w:sz w:val="21"/>
                      <w:szCs w:val="21"/>
                      <w:lang w:bidi="ar"/>
                    </w:rPr>
                    <w:t>必须在国家规定的行业单位能耗以内，鼓励引进能源、资源消耗低的项目和循环经济项目。</w:t>
                  </w:r>
                </w:p>
              </w:tc>
              <w:tc>
                <w:tcPr>
                  <w:tcW w:w="1801" w:type="dxa"/>
                  <w:tcBorders>
                    <w:tl2br w:val="nil"/>
                    <w:tr2bl w:val="nil"/>
                  </w:tcBorders>
                  <w:shd w:val="clear" w:color="auto" w:fill="auto"/>
                  <w:tcMar>
                    <w:left w:w="51" w:type="dxa"/>
                    <w:right w:w="51" w:type="dxa"/>
                  </w:tcMar>
                  <w:vAlign w:val="center"/>
                </w:tcPr>
                <w:p w14:paraId="532FBBCF">
                  <w:pPr>
                    <w:pStyle w:val="21"/>
                    <w:keepNext w:val="0"/>
                    <w:keepLines w:val="0"/>
                    <w:pageBreakBefore w:val="0"/>
                    <w:widowControl w:val="0"/>
                    <w:suppressLineNumbers w:val="0"/>
                    <w:kinsoku/>
                    <w:overflowPunct/>
                    <w:topLinePunct w:val="0"/>
                    <w:bidi w:val="0"/>
                    <w:adjustRightInd w:val="0"/>
                    <w:snapToGrid w:val="0"/>
                    <w:spacing w:before="0" w:beforeAutospacing="0" w:after="0" w:afterAutospacing="0" w:line="360" w:lineRule="exact"/>
                    <w:ind w:left="0" w:right="0"/>
                    <w:jc w:val="both"/>
                    <w:rPr>
                      <w:rFonts w:hint="default" w:ascii="Times New Roman" w:hAnsi="Times New Roman" w:cs="Times New Roman"/>
                      <w:kern w:val="24"/>
                      <w:sz w:val="21"/>
                      <w:szCs w:val="21"/>
                      <w:lang w:val="en-US"/>
                    </w:rPr>
                  </w:pPr>
                  <w:r>
                    <w:rPr>
                      <w:rFonts w:hint="default" w:ascii="Times New Roman" w:hAnsi="Times New Roman"/>
                      <w:kern w:val="24"/>
                      <w:sz w:val="21"/>
                      <w:szCs w:val="21"/>
                      <w:lang w:bidi="ar"/>
                    </w:rPr>
                    <w:t>本项目能耗符合行业要求。</w:t>
                  </w:r>
                </w:p>
              </w:tc>
              <w:tc>
                <w:tcPr>
                  <w:tcW w:w="620" w:type="dxa"/>
                  <w:tcBorders>
                    <w:tl2br w:val="nil"/>
                    <w:tr2bl w:val="nil"/>
                  </w:tcBorders>
                  <w:shd w:val="clear" w:color="auto" w:fill="auto"/>
                  <w:tcMar>
                    <w:left w:w="51" w:type="dxa"/>
                    <w:right w:w="51" w:type="dxa"/>
                  </w:tcMar>
                  <w:vAlign w:val="center"/>
                </w:tcPr>
                <w:p w14:paraId="7F963D00">
                  <w:pPr>
                    <w:keepNext w:val="0"/>
                    <w:keepLines w:val="0"/>
                    <w:pageBreakBefore w:val="0"/>
                    <w:widowControl w:val="0"/>
                    <w:suppressLineNumbers w:val="0"/>
                    <w:kinsoku/>
                    <w:overflowPunct/>
                    <w:topLinePunct w:val="0"/>
                    <w:bidi w:val="0"/>
                    <w:adjustRightInd w:val="0"/>
                    <w:snapToGrid w:val="0"/>
                    <w:spacing w:before="0" w:beforeAutospacing="0" w:after="0" w:afterAutospacing="0" w:line="360" w:lineRule="exact"/>
                    <w:ind w:left="0" w:right="0"/>
                    <w:jc w:val="center"/>
                    <w:rPr>
                      <w:rFonts w:hint="default" w:ascii="Times New Roman" w:hAnsi="Times New Roman" w:cs="Times New Roman"/>
                      <w:kern w:val="24"/>
                      <w:sz w:val="21"/>
                      <w:szCs w:val="21"/>
                      <w:lang w:val="en-US"/>
                    </w:rPr>
                  </w:pPr>
                  <w:r>
                    <w:rPr>
                      <w:rFonts w:hint="eastAsia" w:cs="宋体"/>
                      <w:kern w:val="24"/>
                      <w:sz w:val="21"/>
                      <w:szCs w:val="21"/>
                      <w:lang w:val="en-US" w:eastAsia="zh-CN" w:bidi="ar"/>
                    </w:rPr>
                    <w:t>相符</w:t>
                  </w:r>
                </w:p>
              </w:tc>
            </w:tr>
          </w:tbl>
          <w:p w14:paraId="1968B261">
            <w:pPr>
              <w:pStyle w:val="21"/>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13" w:leftChars="6" w:right="57" w:firstLine="480" w:firstLineChars="200"/>
              <w:jc w:val="both"/>
              <w:textAlignment w:val="auto"/>
              <w:rPr>
                <w:rFonts w:hint="default"/>
                <w:szCs w:val="24"/>
                <w:lang w:val="en-US" w:bidi="ar"/>
              </w:rPr>
            </w:pPr>
            <w:r>
              <w:rPr>
                <w:rFonts w:hint="eastAsia" w:ascii="Times New Roman" w:hAnsi="Times New Roman" w:eastAsia="宋体" w:cs="宋体"/>
                <w:kern w:val="2"/>
                <w:sz w:val="24"/>
                <w:szCs w:val="24"/>
                <w:lang w:val="en-US" w:eastAsia="zh-CN" w:bidi="ar"/>
              </w:rPr>
              <w:t>本项目建设符合《汤阴高新技术产业开发区总体发展规划（</w:t>
            </w:r>
            <w:r>
              <w:rPr>
                <w:rFonts w:hint="default" w:ascii="Times New Roman" w:hAnsi="Times New Roman" w:eastAsia="宋体" w:cs="Times New Roman"/>
                <w:kern w:val="2"/>
                <w:sz w:val="24"/>
                <w:szCs w:val="24"/>
                <w:lang w:val="en-US" w:eastAsia="zh-CN" w:bidi="ar"/>
              </w:rPr>
              <w:t>2022-2035</w:t>
            </w:r>
            <w:r>
              <w:rPr>
                <w:rFonts w:hint="eastAsia" w:ascii="Times New Roman" w:hAnsi="Times New Roman" w:eastAsia="宋体" w:cs="宋体"/>
                <w:kern w:val="2"/>
                <w:sz w:val="24"/>
                <w:szCs w:val="24"/>
                <w:lang w:val="en-US" w:eastAsia="zh-CN" w:bidi="ar"/>
              </w:rPr>
              <w:t>）》（送审版）中生态环境准入要求。</w:t>
            </w:r>
          </w:p>
          <w:p w14:paraId="4D64D851">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jc w:val="center"/>
              <w:textAlignment w:val="auto"/>
              <w:outlineLvl w:val="0"/>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pPr>
          </w:p>
          <w:p w14:paraId="6E70D9AE">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jc w:val="center"/>
              <w:textAlignment w:val="auto"/>
              <w:outlineLvl w:val="0"/>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pPr>
          </w:p>
          <w:p w14:paraId="4AB75E34">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jc w:val="center"/>
              <w:textAlignment w:val="auto"/>
              <w:outlineLvl w:val="0"/>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pPr>
          </w:p>
          <w:p w14:paraId="48DF8B6E">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jc w:val="center"/>
              <w:textAlignment w:val="auto"/>
              <w:outlineLvl w:val="0"/>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pPr>
          </w:p>
          <w:p w14:paraId="7198A0CB">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jc w:val="center"/>
              <w:textAlignment w:val="auto"/>
              <w:outlineLvl w:val="0"/>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pPr>
          </w:p>
          <w:p w14:paraId="058193BB">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jc w:val="center"/>
              <w:textAlignment w:val="auto"/>
              <w:outlineLvl w:val="0"/>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pPr>
          </w:p>
          <w:p w14:paraId="1F26D431">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jc w:val="center"/>
              <w:textAlignment w:val="auto"/>
              <w:outlineLvl w:val="0"/>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pPr>
          </w:p>
          <w:p w14:paraId="7636173A">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jc w:val="center"/>
              <w:textAlignment w:val="auto"/>
              <w:outlineLvl w:val="0"/>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pPr>
          </w:p>
          <w:p w14:paraId="02A4E0D9">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jc w:val="center"/>
              <w:textAlignment w:val="auto"/>
              <w:outlineLvl w:val="0"/>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pPr>
          </w:p>
          <w:p w14:paraId="03FEADF3">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jc w:val="center"/>
              <w:textAlignment w:val="auto"/>
              <w:outlineLvl w:val="0"/>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pPr>
          </w:p>
          <w:p w14:paraId="4054A7CA">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jc w:val="center"/>
              <w:textAlignment w:val="auto"/>
              <w:outlineLvl w:val="0"/>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pPr>
          </w:p>
          <w:p w14:paraId="43243F9F">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jc w:val="center"/>
              <w:textAlignment w:val="auto"/>
              <w:outlineLvl w:val="0"/>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pPr>
          </w:p>
          <w:p w14:paraId="7681AEA9">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jc w:val="center"/>
              <w:textAlignment w:val="auto"/>
              <w:outlineLvl w:val="0"/>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pPr>
          </w:p>
          <w:p w14:paraId="40AC243C">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jc w:val="center"/>
              <w:textAlignment w:val="auto"/>
              <w:outlineLvl w:val="0"/>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pPr>
          </w:p>
          <w:p w14:paraId="4B9E2909">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jc w:val="center"/>
              <w:textAlignment w:val="auto"/>
              <w:outlineLvl w:val="0"/>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pPr>
          </w:p>
          <w:p w14:paraId="0B9ED77F">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jc w:val="center"/>
              <w:textAlignment w:val="auto"/>
              <w:outlineLvl w:val="0"/>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pPr>
          </w:p>
          <w:p w14:paraId="3F0B3B84">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jc w:val="center"/>
              <w:textAlignment w:val="auto"/>
              <w:outlineLvl w:val="0"/>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pPr>
          </w:p>
          <w:p w14:paraId="336D4C4B">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jc w:val="center"/>
              <w:textAlignment w:val="auto"/>
              <w:outlineLvl w:val="0"/>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pPr>
          </w:p>
          <w:p w14:paraId="47499597">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jc w:val="center"/>
              <w:textAlignment w:val="auto"/>
              <w:outlineLvl w:val="0"/>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pPr>
          </w:p>
        </w:tc>
      </w:tr>
      <w:tr w14:paraId="7B02C7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85" w:type="dxa"/>
            <w:bottom w:w="0" w:type="dxa"/>
            <w:right w:w="85" w:type="dxa"/>
          </w:tblCellMar>
        </w:tblPrEx>
        <w:trPr>
          <w:trHeight w:val="454" w:hRule="atLeast"/>
          <w:jc w:val="center"/>
        </w:trPr>
        <w:tc>
          <w:tcPr>
            <w:tcW w:w="448" w:type="pct"/>
            <w:noWrap w:val="0"/>
            <w:vAlign w:val="center"/>
          </w:tcPr>
          <w:p w14:paraId="083E1969">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000000" w:themeColor="text1"/>
                <w:kern w:val="0"/>
                <w:sz w:val="24"/>
                <w:szCs w:val="24"/>
                <w14:textFill>
                  <w14:solidFill>
                    <w14:schemeClr w14:val="tx1"/>
                  </w14:solidFill>
                </w14:textFill>
              </w:rPr>
            </w:pPr>
            <w:r>
              <w:rPr>
                <w:rFonts w:hint="default" w:ascii="Times New Roman" w:hAnsi="Times New Roman" w:cs="Times New Roman"/>
                <w:color w:val="000000" w:themeColor="text1"/>
                <w:kern w:val="0"/>
                <w:sz w:val="24"/>
                <w:szCs w:val="24"/>
                <w14:textFill>
                  <w14:solidFill>
                    <w14:schemeClr w14:val="tx1"/>
                  </w14:solidFill>
                </w14:textFill>
              </w:rPr>
              <w:t>符合性分析</w:t>
            </w:r>
          </w:p>
        </w:tc>
        <w:tc>
          <w:tcPr>
            <w:tcW w:w="4551" w:type="pct"/>
            <w:gridSpan w:val="4"/>
            <w:noWrap w:val="0"/>
            <w:vAlign w:val="center"/>
          </w:tcPr>
          <w:p w14:paraId="60FB1F66">
            <w:pPr>
              <w:pStyle w:val="66"/>
              <w:keepNext w:val="0"/>
              <w:keepLines w:val="0"/>
              <w:pageBreakBefore w:val="0"/>
              <w:widowControl w:val="0"/>
              <w:suppressLineNumbers w:val="0"/>
              <w:kinsoku/>
              <w:wordWrap/>
              <w:overflowPunct/>
              <w:topLinePunct w:val="0"/>
              <w:autoSpaceDE/>
              <w:autoSpaceDN/>
              <w:bidi w:val="0"/>
              <w:adjustRightInd w:val="0"/>
              <w:snapToGrid/>
              <w:spacing w:before="0" w:beforeLines="0" w:beforeAutospacing="0" w:after="0" w:afterAutospacing="0" w:line="520" w:lineRule="exact"/>
              <w:ind w:left="0" w:leftChars="0" w:right="0"/>
              <w:textAlignment w:val="auto"/>
              <w:outlineLvl w:val="1"/>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pPr>
            <w:bookmarkStart w:id="8" w:name="_Toc18539"/>
            <w:r>
              <w:rPr>
                <w:rFonts w:hint="eastAsia" w:ascii="Times New Roman" w:hAnsi="Times New Roman" w:eastAsia="宋体" w:cs="Times New Roman"/>
                <w:b w:val="0"/>
                <w:bCs w:val="0"/>
                <w:color w:val="000000" w:themeColor="text1"/>
                <w:sz w:val="24"/>
                <w:szCs w:val="24"/>
                <w:lang w:val="en-US" w:eastAsia="zh-CN"/>
                <w14:textFill>
                  <w14:solidFill>
                    <w14:schemeClr w14:val="tx1"/>
                  </w14:solidFill>
                </w14:textFill>
              </w:rPr>
              <w:t>一、</w:t>
            </w:r>
            <w:r>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t>与“三线一单”相符性分析</w:t>
            </w:r>
            <w:bookmarkEnd w:id="8"/>
          </w:p>
          <w:p w14:paraId="4F17F7AB">
            <w:pPr>
              <w:pStyle w:val="66"/>
              <w:keepNext w:val="0"/>
              <w:keepLines w:val="0"/>
              <w:pageBreakBefore w:val="0"/>
              <w:widowControl w:val="0"/>
              <w:suppressLineNumbers w:val="0"/>
              <w:kinsoku/>
              <w:wordWrap/>
              <w:overflowPunct/>
              <w:topLinePunct w:val="0"/>
              <w:autoSpaceDE/>
              <w:autoSpaceDN/>
              <w:bidi w:val="0"/>
              <w:adjustRightInd w:val="0"/>
              <w:snapToGrid/>
              <w:spacing w:before="0" w:beforeLines="0" w:beforeAutospacing="0" w:after="0" w:afterAutospacing="0" w:line="520" w:lineRule="exact"/>
              <w:ind w:left="0" w:leftChars="0" w:right="0"/>
              <w:textAlignment w:val="auto"/>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4"/>
                <w:szCs w:val="24"/>
                <w:lang w:val="en-US" w:eastAsia="zh-CN"/>
                <w14:textFill>
                  <w14:solidFill>
                    <w14:schemeClr w14:val="tx1"/>
                  </w14:solidFill>
                </w14:textFill>
              </w:rPr>
              <w:t>1、</w:t>
            </w:r>
            <w:r>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t>生态保护红线</w:t>
            </w:r>
          </w:p>
          <w:p w14:paraId="3110F635">
            <w:pPr>
              <w:pStyle w:val="66"/>
              <w:keepNext w:val="0"/>
              <w:keepLines w:val="0"/>
              <w:pageBreakBefore w:val="0"/>
              <w:widowControl w:val="0"/>
              <w:suppressLineNumbers w:val="0"/>
              <w:kinsoku/>
              <w:wordWrap/>
              <w:overflowPunct/>
              <w:topLinePunct w:val="0"/>
              <w:autoSpaceDE/>
              <w:autoSpaceDN/>
              <w:bidi w:val="0"/>
              <w:adjustRightInd w:val="0"/>
              <w:snapToGrid/>
              <w:spacing w:before="0" w:beforeLines="0" w:beforeAutospacing="0" w:after="0" w:afterAutospacing="0" w:line="520" w:lineRule="exact"/>
              <w:ind w:left="0" w:leftChars="0" w:right="0" w:firstLine="480" w:firstLineChars="200"/>
              <w:textAlignment w:val="auto"/>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sz w:val="24"/>
                <w:szCs w:val="24"/>
                <w:lang w:val="en-US"/>
                <w14:textFill>
                  <w14:solidFill>
                    <w14:schemeClr w14:val="tx1"/>
                  </w14:solidFill>
                </w14:textFill>
              </w:rPr>
              <w:t>本项目</w:t>
            </w:r>
            <w:r>
              <w:rPr>
                <w:rFonts w:hint="eastAsia" w:ascii="Times New Roman" w:eastAsia="宋体" w:cs="Times New Roman"/>
                <w:color w:val="000000" w:themeColor="text1"/>
                <w:sz w:val="24"/>
                <w:szCs w:val="24"/>
                <w:lang w:val="en-US" w:eastAsia="zh-CN"/>
                <w14:textFill>
                  <w14:solidFill>
                    <w14:schemeClr w14:val="tx1"/>
                  </w14:solidFill>
                </w14:textFill>
              </w:rPr>
              <w:t>选址位于安阳市汤阴县韩庄镇工兴大道与岳庙街交叉口东南角，</w:t>
            </w:r>
            <w:r>
              <w:rPr>
                <w:rFonts w:hint="default" w:ascii="Times New Roman" w:hAnsi="Times New Roman" w:eastAsia="宋体" w:cs="Times New Roman"/>
                <w:color w:val="000000" w:themeColor="text1"/>
                <w:sz w:val="24"/>
                <w:szCs w:val="24"/>
                <w:lang w:val="en-US"/>
                <w14:textFill>
                  <w14:solidFill>
                    <w14:schemeClr w14:val="tx1"/>
                  </w14:solidFill>
                </w14:textFill>
              </w:rPr>
              <w:t>不涉及水源保护区、自然保护区、风景名胜区、重点文物保护单位等禁止或限制开发的环境敏感目标，不在生态保护红线区范围内</w:t>
            </w:r>
            <w:r>
              <w:rPr>
                <w:rFonts w:hint="eastAsia" w:ascii="Times New Roman" w:eastAsia="宋体" w:cs="Times New Roman"/>
                <w:color w:val="000000" w:themeColor="text1"/>
                <w:sz w:val="24"/>
                <w:szCs w:val="24"/>
                <w:lang w:val="en-US" w:eastAsia="zh-CN"/>
                <w14:textFill>
                  <w14:solidFill>
                    <w14:schemeClr w14:val="tx1"/>
                  </w14:solidFill>
                </w14:textFill>
              </w:rPr>
              <w:t>。</w:t>
            </w:r>
          </w:p>
          <w:p w14:paraId="07BE518D">
            <w:pPr>
              <w:pStyle w:val="66"/>
              <w:keepNext w:val="0"/>
              <w:keepLines w:val="0"/>
              <w:pageBreakBefore w:val="0"/>
              <w:widowControl w:val="0"/>
              <w:suppressLineNumbers w:val="0"/>
              <w:kinsoku/>
              <w:wordWrap/>
              <w:overflowPunct/>
              <w:topLinePunct w:val="0"/>
              <w:autoSpaceDE/>
              <w:autoSpaceDN/>
              <w:bidi w:val="0"/>
              <w:adjustRightInd w:val="0"/>
              <w:snapToGrid/>
              <w:spacing w:before="0" w:beforeLines="0" w:beforeAutospacing="0" w:after="0" w:afterAutospacing="0" w:line="520" w:lineRule="exact"/>
              <w:ind w:left="0" w:leftChars="0" w:right="0"/>
              <w:textAlignment w:val="auto"/>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2、</w:t>
            </w:r>
            <w:r>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环境质量底线</w:t>
            </w:r>
          </w:p>
          <w:p w14:paraId="3D7E9467">
            <w:pPr>
              <w:pStyle w:val="66"/>
              <w:keepNext w:val="0"/>
              <w:keepLines w:val="0"/>
              <w:pageBreakBefore w:val="0"/>
              <w:widowControl w:val="0"/>
              <w:suppressLineNumbers w:val="0"/>
              <w:kinsoku/>
              <w:wordWrap/>
              <w:overflowPunct/>
              <w:topLinePunct w:val="0"/>
              <w:autoSpaceDE/>
              <w:autoSpaceDN/>
              <w:bidi w:val="0"/>
              <w:adjustRightInd w:val="0"/>
              <w:snapToGrid/>
              <w:spacing w:before="0" w:beforeLines="0" w:beforeAutospacing="0" w:after="0" w:afterAutospacing="0" w:line="520" w:lineRule="exact"/>
              <w:ind w:left="0" w:leftChars="0" w:right="0" w:firstLine="480" w:firstLineChars="200"/>
              <w:textAlignment w:val="auto"/>
              <w:rPr>
                <w:rFonts w:hint="default" w:ascii="Times New Roman" w:hAnsi="Times New Roman" w:eastAsia="宋体" w:cs="Times New Roman"/>
                <w:color w:val="000000" w:themeColor="text1"/>
                <w:sz w:val="24"/>
                <w:szCs w:val="24"/>
                <w:highlight w:val="yellow"/>
                <w:lang w:val="en-US"/>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本</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项目</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所在区域环境空气质量目前为不达标区，新增大气污染物实行倍量替代，不会导致区域内环境空气功能降低；</w:t>
            </w:r>
            <w:r>
              <w:rPr>
                <w:rFonts w:hint="eastAsia" w:ascii="Times New Roman" w:eastAsia="宋体" w:cs="Times New Roman"/>
                <w:color w:val="000000" w:themeColor="text1"/>
                <w:sz w:val="24"/>
                <w:szCs w:val="24"/>
                <w:highlight w:val="none"/>
                <w:lang w:val="en-US" w:eastAsia="zh-CN"/>
                <w14:textFill>
                  <w14:solidFill>
                    <w14:schemeClr w14:val="tx1"/>
                  </w14:solidFill>
                </w14:textFill>
              </w:rPr>
              <w:t>本项目设备冷却水循环使用，</w:t>
            </w:r>
            <w:r>
              <w:rPr>
                <w:rFonts w:hint="eastAsia" w:ascii="Times New Roman" w:hAnsi="Times New Roman" w:eastAsia="宋体" w:cs="Times New Roman"/>
                <w:kern w:val="2"/>
                <w:sz w:val="24"/>
                <w:szCs w:val="24"/>
                <w:highlight w:val="none"/>
                <w:lang w:val="en-US" w:eastAsia="zh-CN" w:bidi="ar"/>
              </w:rPr>
              <w:t>职工生活废水</w:t>
            </w:r>
            <w:r>
              <w:rPr>
                <w:rFonts w:hint="eastAsia" w:ascii="Times New Roman" w:eastAsia="宋体" w:cs="Times New Roman"/>
                <w:kern w:val="2"/>
                <w:sz w:val="24"/>
                <w:szCs w:val="24"/>
                <w:highlight w:val="none"/>
                <w:lang w:val="en-US" w:eastAsia="zh-CN" w:bidi="ar"/>
              </w:rPr>
              <w:t>经</w:t>
            </w:r>
            <w:r>
              <w:rPr>
                <w:rFonts w:hint="eastAsia" w:ascii="Times New Roman" w:hAnsi="Times New Roman" w:eastAsia="宋体" w:cs="Times New Roman"/>
                <w:kern w:val="2"/>
                <w:sz w:val="24"/>
                <w:szCs w:val="24"/>
                <w:highlight w:val="none"/>
                <w:lang w:val="en-US" w:eastAsia="zh-CN" w:bidi="ar"/>
              </w:rPr>
              <w:t>化粪池处理后</w:t>
            </w:r>
            <w:r>
              <w:rPr>
                <w:rFonts w:hint="eastAsia" w:ascii="Times New Roman" w:eastAsia="宋体" w:cs="Times New Roman"/>
                <w:kern w:val="2"/>
                <w:sz w:val="24"/>
                <w:szCs w:val="24"/>
                <w:highlight w:val="none"/>
                <w:lang w:val="en-US" w:eastAsia="zh-CN" w:bidi="ar"/>
              </w:rPr>
              <w:t>排入污水处理厂</w:t>
            </w:r>
            <w:r>
              <w:rPr>
                <w:rFonts w:hint="eastAsia" w:ascii="Times New Roman" w:hAnsi="Times New Roman" w:eastAsia="宋体" w:cs="Times New Roman"/>
                <w:kern w:val="2"/>
                <w:sz w:val="24"/>
                <w:szCs w:val="24"/>
                <w:highlight w:val="none"/>
                <w:lang w:val="en-US" w:eastAsia="zh-CN" w:bidi="ar"/>
              </w:rPr>
              <w:t>，对地表水环境影响较小</w:t>
            </w:r>
            <w:r>
              <w:rPr>
                <w:rFonts w:hint="eastAsia" w:ascii="Times New Roman" w:hAnsi="Times New Roman" w:eastAsia="宋体" w:cs="Times New Roman"/>
                <w:kern w:val="2"/>
                <w:sz w:val="24"/>
                <w:szCs w:val="24"/>
                <w:lang w:val="en-US" w:eastAsia="zh-CN" w:bidi="ar"/>
              </w:rPr>
              <w:t>；项</w:t>
            </w:r>
            <w:r>
              <w:rPr>
                <w:rFonts w:hint="eastAsia" w:ascii="Times New Roman" w:eastAsia="宋体" w:cs="Times New Roman"/>
                <w:color w:val="000000" w:themeColor="text1"/>
                <w:sz w:val="24"/>
                <w:szCs w:val="24"/>
                <w:highlight w:val="none"/>
                <w:lang w:val="en-US" w:eastAsia="zh-CN"/>
                <w14:textFill>
                  <w14:solidFill>
                    <w14:schemeClr w14:val="tx1"/>
                  </w14:solidFill>
                </w14:textFill>
              </w:rPr>
              <w:t>目噪声在采取相应环保措施后，厂界噪声贡献值满足《工业企业厂界环境噪声排放标准》（GB12348-2008）中3类标准，对周围声环境影响不大；本项目固体废物均能够得到合理暂存及处置。</w:t>
            </w:r>
            <w:r>
              <w:rPr>
                <w:rFonts w:hint="default" w:ascii="Times New Roman" w:hAnsi="Times New Roman" w:eastAsia="宋体" w:cs="Times New Roman"/>
                <w:color w:val="000000" w:themeColor="text1"/>
                <w:sz w:val="24"/>
                <w:szCs w:val="24"/>
                <w:highlight w:val="none"/>
                <w:lang w:val="en-US"/>
                <w14:textFill>
                  <w14:solidFill>
                    <w14:schemeClr w14:val="tx1"/>
                  </w14:solidFill>
                </w14:textFill>
              </w:rPr>
              <w:t>因此，项目建设能够满足环境质量底线管控要求。</w:t>
            </w:r>
          </w:p>
          <w:p w14:paraId="716795E7">
            <w:pPr>
              <w:pStyle w:val="66"/>
              <w:keepNext w:val="0"/>
              <w:keepLines w:val="0"/>
              <w:pageBreakBefore w:val="0"/>
              <w:widowControl w:val="0"/>
              <w:suppressLineNumbers w:val="0"/>
              <w:kinsoku/>
              <w:wordWrap/>
              <w:overflowPunct/>
              <w:topLinePunct w:val="0"/>
              <w:autoSpaceDE/>
              <w:autoSpaceDN/>
              <w:bidi w:val="0"/>
              <w:adjustRightInd w:val="0"/>
              <w:snapToGrid/>
              <w:spacing w:before="0" w:beforeLines="0" w:beforeAutospacing="0" w:after="0" w:afterAutospacing="0" w:line="520" w:lineRule="exact"/>
              <w:ind w:left="0" w:leftChars="0" w:right="0"/>
              <w:textAlignment w:val="auto"/>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4"/>
                <w:szCs w:val="24"/>
                <w:lang w:val="en-US" w:eastAsia="zh-CN"/>
                <w14:textFill>
                  <w14:solidFill>
                    <w14:schemeClr w14:val="tx1"/>
                  </w14:solidFill>
                </w14:textFill>
              </w:rPr>
              <w:t>3、</w:t>
            </w:r>
            <w:r>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t>资源利用上限</w:t>
            </w:r>
          </w:p>
          <w:p w14:paraId="7ACEB229">
            <w:pPr>
              <w:pStyle w:val="66"/>
              <w:keepNext w:val="0"/>
              <w:keepLines w:val="0"/>
              <w:pageBreakBefore w:val="0"/>
              <w:widowControl w:val="0"/>
              <w:suppressLineNumbers w:val="0"/>
              <w:kinsoku/>
              <w:wordWrap/>
              <w:overflowPunct/>
              <w:topLinePunct w:val="0"/>
              <w:autoSpaceDE/>
              <w:autoSpaceDN/>
              <w:bidi w:val="0"/>
              <w:adjustRightInd w:val="0"/>
              <w:snapToGrid/>
              <w:spacing w:before="0" w:beforeLines="0" w:beforeAutospacing="0" w:after="0" w:afterAutospacing="0" w:line="520" w:lineRule="exact"/>
              <w:ind w:left="0" w:leftChars="0" w:right="0" w:firstLine="480" w:firstLineChars="200"/>
              <w:textAlignment w:val="auto"/>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eastAsia" w:ascii="Times New Roman" w:eastAsia="宋体" w:cs="Times New Roman"/>
                <w:color w:val="000000" w:themeColor="text1"/>
                <w:sz w:val="24"/>
                <w:szCs w:val="24"/>
                <w:lang w:val="en-US" w:eastAsia="zh-CN"/>
                <w14:textFill>
                  <w14:solidFill>
                    <w14:schemeClr w14:val="tx1"/>
                  </w14:solidFill>
                </w14:textFill>
              </w:rPr>
              <w:t>本项目用水由园区管网提供，供电由当地电网提供</w:t>
            </w:r>
            <w:r>
              <w:rPr>
                <w:rFonts w:hint="default" w:ascii="Times New Roman" w:hAnsi="Times New Roman" w:eastAsia="宋体" w:cs="Times New Roman"/>
                <w:color w:val="000000" w:themeColor="text1"/>
                <w:sz w:val="24"/>
                <w:szCs w:val="24"/>
                <w:lang w:val="en-US"/>
                <w14:textFill>
                  <w14:solidFill>
                    <w14:schemeClr w14:val="tx1"/>
                  </w14:solidFill>
                </w14:textFill>
              </w:rPr>
              <w:t>，</w:t>
            </w:r>
            <w:r>
              <w:rPr>
                <w:rFonts w:hint="eastAsia" w:ascii="Times New Roman" w:eastAsia="宋体" w:cs="Times New Roman"/>
                <w:color w:val="000000" w:themeColor="text1"/>
                <w:sz w:val="24"/>
                <w:szCs w:val="24"/>
                <w:lang w:val="en-US" w:eastAsia="zh-CN"/>
                <w14:textFill>
                  <w14:solidFill>
                    <w14:schemeClr w14:val="tx1"/>
                  </w14:solidFill>
                </w14:textFill>
              </w:rPr>
              <w:t>能够满足需求，</w:t>
            </w:r>
            <w:r>
              <w:rPr>
                <w:rFonts w:hint="eastAsia" w:ascii="Times New Roman" w:eastAsia="宋体" w:cs="Times New Roman"/>
                <w:color w:val="000000" w:themeColor="text1"/>
                <w:sz w:val="24"/>
                <w:szCs w:val="24"/>
                <w:highlight w:val="none"/>
                <w:lang w:val="en-US" w:eastAsia="zh-CN"/>
                <w14:textFill>
                  <w14:solidFill>
                    <w14:schemeClr w14:val="tx1"/>
                  </w14:solidFill>
                </w14:textFill>
              </w:rPr>
              <w:t>项目占地用地为工业用地，符合土地利用规划，</w:t>
            </w:r>
            <w:r>
              <w:rPr>
                <w:rFonts w:hint="default" w:ascii="Times New Roman" w:hAnsi="Times New Roman" w:eastAsia="宋体" w:cs="Times New Roman"/>
                <w:color w:val="000000" w:themeColor="text1"/>
                <w:sz w:val="24"/>
                <w:szCs w:val="24"/>
                <w:highlight w:val="none"/>
                <w:lang w:val="en-US"/>
                <w14:textFill>
                  <w14:solidFill>
                    <w14:schemeClr w14:val="tx1"/>
                  </w14:solidFill>
                </w14:textFill>
              </w:rPr>
              <w:t>符合资源利用上限</w:t>
            </w:r>
            <w:r>
              <w:rPr>
                <w:rFonts w:hint="eastAsia" w:ascii="Times New Roman" w:eastAsia="宋体" w:cs="Times New Roman"/>
                <w:color w:val="000000" w:themeColor="text1"/>
                <w:sz w:val="24"/>
                <w:szCs w:val="24"/>
                <w:highlight w:val="none"/>
                <w:lang w:val="en-US" w:eastAsia="zh-CN"/>
                <w14:textFill>
                  <w14:solidFill>
                    <w14:schemeClr w14:val="tx1"/>
                  </w14:solidFill>
                </w14:textFill>
              </w:rPr>
              <w:t>要求</w:t>
            </w:r>
            <w:r>
              <w:rPr>
                <w:rFonts w:hint="default" w:ascii="Times New Roman" w:hAnsi="Times New Roman" w:eastAsia="宋体" w:cs="Times New Roman"/>
                <w:color w:val="000000" w:themeColor="text1"/>
                <w:sz w:val="24"/>
                <w:szCs w:val="24"/>
                <w:lang w:val="en-US"/>
                <w14:textFill>
                  <w14:solidFill>
                    <w14:schemeClr w14:val="tx1"/>
                  </w14:solidFill>
                </w14:textFill>
              </w:rPr>
              <w:t>。</w:t>
            </w:r>
          </w:p>
          <w:p w14:paraId="72C04C6F">
            <w:pPr>
              <w:pStyle w:val="66"/>
              <w:keepNext w:val="0"/>
              <w:keepLines w:val="0"/>
              <w:pageBreakBefore w:val="0"/>
              <w:widowControl w:val="0"/>
              <w:suppressLineNumbers w:val="0"/>
              <w:kinsoku/>
              <w:wordWrap/>
              <w:overflowPunct/>
              <w:topLinePunct w:val="0"/>
              <w:autoSpaceDE/>
              <w:autoSpaceDN/>
              <w:bidi w:val="0"/>
              <w:adjustRightInd w:val="0"/>
              <w:snapToGrid/>
              <w:spacing w:before="0" w:beforeLines="0" w:beforeAutospacing="0" w:after="0" w:afterAutospacing="0" w:line="520" w:lineRule="exact"/>
              <w:ind w:left="0" w:leftChars="0" w:right="0"/>
              <w:textAlignment w:val="auto"/>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4"/>
                <w:szCs w:val="24"/>
                <w:lang w:val="en-US" w:eastAsia="zh-CN"/>
                <w14:textFill>
                  <w14:solidFill>
                    <w14:schemeClr w14:val="tx1"/>
                  </w14:solidFill>
                </w14:textFill>
              </w:rPr>
              <w:t>4、</w:t>
            </w:r>
            <w:r>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t>环境准入负面清单</w:t>
            </w:r>
          </w:p>
          <w:p w14:paraId="34AEF44C">
            <w:pPr>
              <w:pStyle w:val="21"/>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520" w:lineRule="exact"/>
              <w:ind w:left="0" w:right="0" w:firstLine="480" w:firstLineChars="200"/>
              <w:jc w:val="both"/>
              <w:textAlignment w:val="auto"/>
              <w:rPr>
                <w:rFonts w:hint="default" w:ascii="Times New Roman" w:hAnsi="Times New Roman" w:eastAsia="宋体" w:cs="Times New Roman"/>
                <w:color w:val="000000"/>
                <w:sz w:val="24"/>
                <w:szCs w:val="24"/>
                <w:lang w:val="en-US"/>
              </w:rPr>
            </w:pPr>
            <w:r>
              <w:rPr>
                <w:rFonts w:hint="eastAsia" w:ascii="Times New Roman" w:hAnsi="Times New Roman" w:eastAsia="宋体" w:cs="宋体"/>
                <w:color w:val="000000"/>
                <w:kern w:val="2"/>
                <w:sz w:val="24"/>
                <w:szCs w:val="24"/>
                <w:lang w:val="en-US" w:eastAsia="zh-CN" w:bidi="ar"/>
              </w:rPr>
              <w:t>①河南省生态环境管控要求</w:t>
            </w:r>
          </w:p>
          <w:p w14:paraId="253273F7">
            <w:pPr>
              <w:pStyle w:val="21"/>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520" w:lineRule="exact"/>
              <w:ind w:left="0" w:right="0" w:firstLine="480" w:firstLineChars="200"/>
              <w:jc w:val="both"/>
              <w:textAlignment w:val="auto"/>
              <w:rPr>
                <w:rFonts w:hint="default" w:ascii="Times New Roman" w:hAnsi="Times New Roman" w:eastAsia="宋体" w:cs="Times New Roman"/>
                <w:color w:val="000000"/>
                <w:sz w:val="24"/>
                <w:szCs w:val="24"/>
                <w:lang w:val="en-US"/>
              </w:rPr>
            </w:pPr>
            <w:r>
              <w:rPr>
                <w:rFonts w:hint="eastAsia" w:ascii="Times New Roman" w:hAnsi="Times New Roman" w:eastAsia="宋体" w:cs="宋体"/>
                <w:color w:val="000000"/>
                <w:kern w:val="2"/>
                <w:sz w:val="24"/>
                <w:szCs w:val="24"/>
                <w:lang w:val="en-US" w:eastAsia="zh-CN" w:bidi="ar"/>
              </w:rPr>
              <w:t>根据《河南省生态环境分区管控总体要求》（</w:t>
            </w:r>
            <w:r>
              <w:rPr>
                <w:rFonts w:hint="default" w:ascii="Times New Roman" w:hAnsi="Times New Roman" w:eastAsia="宋体" w:cs="Times New Roman"/>
                <w:color w:val="000000"/>
                <w:kern w:val="2"/>
                <w:sz w:val="24"/>
                <w:szCs w:val="24"/>
                <w:lang w:val="en-US" w:eastAsia="zh-CN" w:bidi="ar"/>
              </w:rPr>
              <w:t>2023</w:t>
            </w:r>
            <w:r>
              <w:rPr>
                <w:rFonts w:hint="eastAsia" w:ascii="Times New Roman" w:hAnsi="Times New Roman" w:eastAsia="宋体" w:cs="宋体"/>
                <w:color w:val="000000"/>
                <w:kern w:val="2"/>
                <w:sz w:val="24"/>
                <w:szCs w:val="24"/>
                <w:lang w:val="en-US" w:eastAsia="zh-CN" w:bidi="ar"/>
              </w:rPr>
              <w:t>年版），对项目符合性进行分析：</w:t>
            </w:r>
          </w:p>
          <w:p w14:paraId="7E5E1A2F">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20" w:lineRule="exact"/>
              <w:ind w:left="0" w:right="0"/>
              <w:jc w:val="center"/>
              <w:textAlignment w:val="auto"/>
              <w:rPr>
                <w:rFonts w:hint="default" w:eastAsia="黑体"/>
                <w:sz w:val="24"/>
                <w:szCs w:val="24"/>
                <w:lang w:val="en-US"/>
              </w:rPr>
            </w:pPr>
            <w:r>
              <w:rPr>
                <w:rFonts w:hint="eastAsia" w:ascii="Times New Roman" w:hAnsi="Times New Roman" w:eastAsia="黑体" w:cs="黑体"/>
                <w:kern w:val="2"/>
                <w:sz w:val="24"/>
                <w:szCs w:val="24"/>
                <w:lang w:val="en-US" w:eastAsia="zh-CN" w:bidi="ar"/>
              </w:rPr>
              <w:t>表</w:t>
            </w:r>
            <w:r>
              <w:rPr>
                <w:rFonts w:hint="default" w:ascii="Times New Roman" w:hAnsi="Times New Roman" w:eastAsia="黑体" w:cs="Times New Roman"/>
                <w:kern w:val="2"/>
                <w:sz w:val="24"/>
                <w:szCs w:val="24"/>
                <w:lang w:val="en-US" w:eastAsia="zh-CN" w:bidi="ar"/>
              </w:rPr>
              <w:t>1-</w:t>
            </w:r>
            <w:r>
              <w:rPr>
                <w:rFonts w:hint="eastAsia" w:eastAsia="黑体" w:cs="Times New Roman"/>
                <w:kern w:val="2"/>
                <w:sz w:val="24"/>
                <w:szCs w:val="24"/>
                <w:lang w:val="en-US" w:eastAsia="zh-CN" w:bidi="ar"/>
              </w:rPr>
              <w:t>5</w:t>
            </w:r>
            <w:r>
              <w:rPr>
                <w:rFonts w:hint="default" w:ascii="Times New Roman" w:hAnsi="Times New Roman" w:eastAsia="黑体" w:cs="Times New Roman"/>
                <w:kern w:val="2"/>
                <w:sz w:val="24"/>
                <w:szCs w:val="24"/>
                <w:lang w:val="en-US" w:eastAsia="zh-CN" w:bidi="ar"/>
              </w:rPr>
              <w:t xml:space="preserve">  </w:t>
            </w:r>
            <w:r>
              <w:rPr>
                <w:rFonts w:hint="eastAsia" w:ascii="Times New Roman" w:hAnsi="Times New Roman" w:eastAsia="黑体" w:cs="黑体"/>
                <w:kern w:val="2"/>
                <w:sz w:val="24"/>
                <w:szCs w:val="24"/>
                <w:lang w:val="en-US" w:eastAsia="zh-CN" w:bidi="ar"/>
              </w:rPr>
              <w:t>河南省生态环境分区管控总体要求相符性分析一览表</w:t>
            </w:r>
          </w:p>
          <w:tbl>
            <w:tblPr>
              <w:tblStyle w:val="25"/>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713"/>
              <w:gridCol w:w="665"/>
              <w:gridCol w:w="3719"/>
              <w:gridCol w:w="1986"/>
              <w:gridCol w:w="848"/>
            </w:tblGrid>
            <w:tr w14:paraId="27B0D5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450" w:type="pct"/>
                  <w:tcBorders>
                    <w:tl2br w:val="nil"/>
                    <w:tr2bl w:val="nil"/>
                  </w:tcBorders>
                  <w:shd w:val="clear" w:color="auto" w:fill="auto"/>
                  <w:vAlign w:val="center"/>
                </w:tcPr>
                <w:p w14:paraId="3396E503">
                  <w:pPr>
                    <w:keepNext w:val="0"/>
                    <w:keepLines w:val="0"/>
                    <w:pageBreakBefore w:val="0"/>
                    <w:widowControl w:val="0"/>
                    <w:suppressLineNumbers w:val="0"/>
                    <w:kinsoku/>
                    <w:wordWrap/>
                    <w:overflowPunct/>
                    <w:topLinePunct w:val="0"/>
                    <w:autoSpaceDE/>
                    <w:autoSpaceDN/>
                    <w:bidi w:val="0"/>
                    <w:adjustRightInd w:val="0"/>
                    <w:spacing w:before="0" w:beforeAutospacing="0" w:after="0" w:afterAutospacing="0" w:line="360" w:lineRule="exact"/>
                    <w:ind w:left="0" w:right="0"/>
                    <w:jc w:val="center"/>
                    <w:textAlignment w:val="auto"/>
                    <w:rPr>
                      <w:rFonts w:hint="default"/>
                    </w:rPr>
                  </w:pPr>
                  <w:r>
                    <w:rPr>
                      <w:rFonts w:hint="eastAsia" w:ascii="Times New Roman" w:hAnsi="Times New Roman" w:eastAsia="宋体" w:cs="宋体"/>
                      <w:bCs/>
                      <w:kern w:val="2"/>
                      <w:sz w:val="21"/>
                      <w:szCs w:val="24"/>
                      <w:lang w:val="en-US" w:eastAsia="zh-CN" w:bidi="ar"/>
                    </w:rPr>
                    <w:t>维度</w:t>
                  </w:r>
                </w:p>
              </w:tc>
              <w:tc>
                <w:tcPr>
                  <w:tcW w:w="419" w:type="pct"/>
                  <w:tcBorders>
                    <w:tl2br w:val="nil"/>
                    <w:tr2bl w:val="nil"/>
                  </w:tcBorders>
                  <w:shd w:val="clear" w:color="auto" w:fill="auto"/>
                  <w:vAlign w:val="center"/>
                </w:tcPr>
                <w:p w14:paraId="1730DD80">
                  <w:pPr>
                    <w:keepNext w:val="0"/>
                    <w:keepLines w:val="0"/>
                    <w:pageBreakBefore w:val="0"/>
                    <w:widowControl w:val="0"/>
                    <w:suppressLineNumbers w:val="0"/>
                    <w:kinsoku/>
                    <w:wordWrap/>
                    <w:overflowPunct/>
                    <w:topLinePunct w:val="0"/>
                    <w:autoSpaceDE/>
                    <w:autoSpaceDN/>
                    <w:bidi w:val="0"/>
                    <w:adjustRightInd w:val="0"/>
                    <w:spacing w:before="0" w:beforeAutospacing="0" w:after="0" w:afterAutospacing="0" w:line="360" w:lineRule="exact"/>
                    <w:ind w:left="0" w:right="0"/>
                    <w:jc w:val="center"/>
                    <w:textAlignment w:val="auto"/>
                    <w:rPr>
                      <w:rFonts w:hint="default"/>
                    </w:rPr>
                  </w:pPr>
                  <w:r>
                    <w:rPr>
                      <w:rFonts w:hint="eastAsia" w:ascii="Times New Roman" w:hAnsi="Times New Roman" w:eastAsia="宋体" w:cs="宋体"/>
                      <w:kern w:val="2"/>
                      <w:sz w:val="21"/>
                      <w:szCs w:val="21"/>
                      <w:lang w:val="en-US" w:eastAsia="zh-CN" w:bidi="ar"/>
                    </w:rPr>
                    <w:t>编号</w:t>
                  </w:r>
                </w:p>
              </w:tc>
              <w:tc>
                <w:tcPr>
                  <w:tcW w:w="2343" w:type="pct"/>
                  <w:tcBorders>
                    <w:tl2br w:val="nil"/>
                    <w:tr2bl w:val="nil"/>
                  </w:tcBorders>
                  <w:shd w:val="clear" w:color="auto" w:fill="auto"/>
                  <w:vAlign w:val="center"/>
                </w:tcPr>
                <w:p w14:paraId="0D9F07C1">
                  <w:pPr>
                    <w:keepNext w:val="0"/>
                    <w:keepLines w:val="0"/>
                    <w:pageBreakBefore w:val="0"/>
                    <w:widowControl w:val="0"/>
                    <w:suppressLineNumbers w:val="0"/>
                    <w:kinsoku/>
                    <w:wordWrap/>
                    <w:overflowPunct/>
                    <w:topLinePunct w:val="0"/>
                    <w:autoSpaceDE/>
                    <w:autoSpaceDN/>
                    <w:bidi w:val="0"/>
                    <w:adjustRightInd w:val="0"/>
                    <w:spacing w:before="0" w:beforeAutospacing="0" w:after="0" w:afterAutospacing="0" w:line="360" w:lineRule="exact"/>
                    <w:ind w:left="0" w:right="0"/>
                    <w:jc w:val="center"/>
                    <w:textAlignment w:val="auto"/>
                    <w:rPr>
                      <w:rFonts w:hint="default"/>
                    </w:rPr>
                  </w:pPr>
                  <w:r>
                    <w:rPr>
                      <w:rFonts w:hint="eastAsia" w:ascii="Times New Roman" w:hAnsi="Times New Roman" w:eastAsia="宋体" w:cs="宋体"/>
                      <w:bCs/>
                      <w:kern w:val="2"/>
                      <w:sz w:val="21"/>
                      <w:szCs w:val="24"/>
                      <w:lang w:val="en-US" w:eastAsia="zh-CN" w:bidi="ar"/>
                    </w:rPr>
                    <w:t>管控要求</w:t>
                  </w:r>
                </w:p>
              </w:tc>
              <w:tc>
                <w:tcPr>
                  <w:tcW w:w="1251" w:type="pct"/>
                  <w:tcBorders>
                    <w:tl2br w:val="nil"/>
                    <w:tr2bl w:val="nil"/>
                  </w:tcBorders>
                  <w:shd w:val="clear" w:color="auto" w:fill="auto"/>
                  <w:vAlign w:val="center"/>
                </w:tcPr>
                <w:p w14:paraId="42B3049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rPr>
                  </w:pPr>
                  <w:r>
                    <w:rPr>
                      <w:rFonts w:hint="eastAsia" w:ascii="Times New Roman" w:hAnsi="Times New Roman" w:eastAsia="宋体" w:cs="宋体"/>
                      <w:bCs/>
                      <w:kern w:val="2"/>
                      <w:sz w:val="21"/>
                      <w:szCs w:val="24"/>
                      <w:lang w:val="en-US" w:eastAsia="zh-CN" w:bidi="ar"/>
                    </w:rPr>
                    <w:t>项目建设情况</w:t>
                  </w:r>
                </w:p>
              </w:tc>
              <w:tc>
                <w:tcPr>
                  <w:tcW w:w="534" w:type="pct"/>
                  <w:tcBorders>
                    <w:tl2br w:val="nil"/>
                    <w:tr2bl w:val="nil"/>
                  </w:tcBorders>
                  <w:shd w:val="clear" w:color="auto" w:fill="auto"/>
                  <w:vAlign w:val="center"/>
                </w:tcPr>
                <w:p w14:paraId="51415DD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rPr>
                  </w:pPr>
                  <w:r>
                    <w:rPr>
                      <w:rFonts w:hint="eastAsia" w:ascii="Times New Roman" w:hAnsi="Times New Roman" w:eastAsia="宋体" w:cs="宋体"/>
                      <w:bCs/>
                      <w:kern w:val="2"/>
                      <w:sz w:val="21"/>
                      <w:szCs w:val="24"/>
                      <w:lang w:val="en-US" w:eastAsia="zh-CN" w:bidi="ar"/>
                    </w:rPr>
                    <w:t>符合性</w:t>
                  </w:r>
                </w:p>
              </w:tc>
            </w:tr>
            <w:tr w14:paraId="0E0622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71" w:hRule="atLeast"/>
              </w:trPr>
              <w:tc>
                <w:tcPr>
                  <w:tcW w:w="450" w:type="pct"/>
                  <w:vMerge w:val="restart"/>
                  <w:tcBorders>
                    <w:tl2br w:val="nil"/>
                    <w:tr2bl w:val="nil"/>
                  </w:tcBorders>
                  <w:shd w:val="clear" w:color="auto" w:fill="auto"/>
                  <w:vAlign w:val="center"/>
                </w:tcPr>
                <w:p w14:paraId="759C0FE4">
                  <w:pPr>
                    <w:keepNext w:val="0"/>
                    <w:keepLines w:val="0"/>
                    <w:pageBreakBefore w:val="0"/>
                    <w:widowControl w:val="0"/>
                    <w:suppressLineNumbers w:val="0"/>
                    <w:kinsoku/>
                    <w:wordWrap/>
                    <w:overflowPunct/>
                    <w:topLinePunct w:val="0"/>
                    <w:autoSpaceDE/>
                    <w:autoSpaceDN/>
                    <w:bidi w:val="0"/>
                    <w:adjustRightInd w:val="0"/>
                    <w:spacing w:before="0" w:beforeAutospacing="0" w:after="0" w:afterAutospacing="0" w:line="360" w:lineRule="exact"/>
                    <w:ind w:left="0" w:right="0"/>
                    <w:jc w:val="center"/>
                    <w:textAlignment w:val="auto"/>
                    <w:rPr>
                      <w:rFonts w:hint="default"/>
                    </w:rPr>
                  </w:pPr>
                  <w:r>
                    <w:rPr>
                      <w:rFonts w:hint="eastAsia" w:ascii="Times New Roman" w:hAnsi="Times New Roman" w:eastAsia="宋体" w:cs="宋体"/>
                      <w:kern w:val="2"/>
                      <w:sz w:val="21"/>
                      <w:szCs w:val="24"/>
                      <w:lang w:val="en-US" w:eastAsia="zh-CN" w:bidi="ar"/>
                    </w:rPr>
                    <w:t>空间布局约束</w:t>
                  </w:r>
                </w:p>
              </w:tc>
              <w:tc>
                <w:tcPr>
                  <w:tcW w:w="419" w:type="pct"/>
                  <w:tcBorders>
                    <w:tl2br w:val="nil"/>
                    <w:tr2bl w:val="nil"/>
                  </w:tcBorders>
                  <w:shd w:val="clear" w:color="auto" w:fill="auto"/>
                  <w:vAlign w:val="center"/>
                </w:tcPr>
                <w:p w14:paraId="1E281E61">
                  <w:pPr>
                    <w:keepNext w:val="0"/>
                    <w:keepLines w:val="0"/>
                    <w:pageBreakBefore w:val="0"/>
                    <w:widowControl w:val="0"/>
                    <w:suppressLineNumbers w:val="0"/>
                    <w:kinsoku/>
                    <w:wordWrap/>
                    <w:overflowPunct/>
                    <w:topLinePunct w:val="0"/>
                    <w:autoSpaceDE/>
                    <w:autoSpaceDN/>
                    <w:bidi w:val="0"/>
                    <w:adjustRightInd w:val="0"/>
                    <w:spacing w:before="0" w:beforeAutospacing="0" w:after="0" w:afterAutospacing="0" w:line="360" w:lineRule="exact"/>
                    <w:ind w:left="0" w:right="0"/>
                    <w:jc w:val="center"/>
                    <w:textAlignment w:val="auto"/>
                    <w:rPr>
                      <w:rFonts w:hint="default"/>
                      <w:bCs/>
                      <w:lang w:val="en-US"/>
                    </w:rPr>
                  </w:pPr>
                  <w:r>
                    <w:rPr>
                      <w:rFonts w:hint="default" w:ascii="Times New Roman" w:hAnsi="Times New Roman" w:eastAsia="宋体" w:cs="Times New Roman"/>
                      <w:bCs/>
                      <w:kern w:val="2"/>
                      <w:sz w:val="21"/>
                      <w:szCs w:val="21"/>
                      <w:lang w:val="en-US" w:eastAsia="zh-CN" w:bidi="ar"/>
                    </w:rPr>
                    <w:t>1</w:t>
                  </w:r>
                </w:p>
              </w:tc>
              <w:tc>
                <w:tcPr>
                  <w:tcW w:w="2343" w:type="pct"/>
                  <w:tcBorders>
                    <w:tl2br w:val="nil"/>
                    <w:tr2bl w:val="nil"/>
                  </w:tcBorders>
                  <w:shd w:val="clear" w:color="auto" w:fill="auto"/>
                  <w:vAlign w:val="center"/>
                </w:tcPr>
                <w:p w14:paraId="25F5C35C">
                  <w:pPr>
                    <w:keepNext w:val="0"/>
                    <w:keepLines w:val="0"/>
                    <w:pageBreakBefore w:val="0"/>
                    <w:widowControl w:val="0"/>
                    <w:suppressLineNumbers w:val="0"/>
                    <w:kinsoku/>
                    <w:wordWrap/>
                    <w:overflowPunct/>
                    <w:topLinePunct w:val="0"/>
                    <w:autoSpaceDE/>
                    <w:autoSpaceDN/>
                    <w:bidi w:val="0"/>
                    <w:adjustRightInd w:val="0"/>
                    <w:spacing w:before="0" w:beforeAutospacing="0" w:after="0" w:afterAutospacing="0" w:line="360" w:lineRule="exact"/>
                    <w:ind w:left="0" w:right="0"/>
                    <w:jc w:val="center"/>
                    <w:textAlignment w:val="auto"/>
                    <w:rPr>
                      <w:rFonts w:hint="default"/>
                      <w:bCs/>
                      <w:lang w:val="en-US"/>
                    </w:rPr>
                  </w:pPr>
                  <w:r>
                    <w:rPr>
                      <w:rFonts w:hint="eastAsia" w:ascii="Times New Roman" w:hAnsi="Times New Roman" w:eastAsia="宋体" w:cs="宋体"/>
                      <w:bCs/>
                      <w:kern w:val="2"/>
                      <w:sz w:val="21"/>
                      <w:szCs w:val="21"/>
                      <w:lang w:val="en-US" w:eastAsia="zh-CN" w:bidi="ar"/>
                    </w:rPr>
                    <w:t>坚决遏制“两高”项目盲目发展，落实《中共河南省委</w:t>
                  </w:r>
                  <w:r>
                    <w:rPr>
                      <w:rFonts w:hint="default" w:ascii="Times New Roman" w:hAnsi="Times New Roman" w:eastAsia="宋体" w:cs="Times New Roman"/>
                      <w:bCs/>
                      <w:kern w:val="2"/>
                      <w:sz w:val="21"/>
                      <w:szCs w:val="21"/>
                      <w:lang w:val="en-US" w:eastAsia="zh-CN" w:bidi="ar"/>
                    </w:rPr>
                    <w:t xml:space="preserve"> </w:t>
                  </w:r>
                  <w:r>
                    <w:rPr>
                      <w:rFonts w:hint="eastAsia" w:ascii="Times New Roman" w:hAnsi="Times New Roman" w:eastAsia="宋体" w:cs="宋体"/>
                      <w:bCs/>
                      <w:kern w:val="2"/>
                      <w:sz w:val="21"/>
                      <w:szCs w:val="21"/>
                      <w:lang w:val="en-US" w:eastAsia="zh-CN" w:bidi="ar"/>
                    </w:rPr>
                    <w:t>河南省人民政府</w:t>
                  </w:r>
                  <w:r>
                    <w:rPr>
                      <w:rFonts w:hint="default" w:ascii="Times New Roman" w:hAnsi="Times New Roman" w:eastAsia="宋体" w:cs="Times New Roman"/>
                      <w:bCs/>
                      <w:kern w:val="2"/>
                      <w:sz w:val="21"/>
                      <w:szCs w:val="21"/>
                      <w:lang w:val="en-US" w:eastAsia="zh-CN" w:bidi="ar"/>
                    </w:rPr>
                    <w:t xml:space="preserve"> </w:t>
                  </w:r>
                  <w:r>
                    <w:rPr>
                      <w:rFonts w:hint="eastAsia" w:ascii="Times New Roman" w:hAnsi="Times New Roman" w:eastAsia="宋体" w:cs="宋体"/>
                      <w:bCs/>
                      <w:kern w:val="2"/>
                      <w:sz w:val="21"/>
                      <w:szCs w:val="21"/>
                      <w:lang w:val="en-US" w:eastAsia="zh-CN" w:bidi="ar"/>
                    </w:rPr>
                    <w:t>关于深入打好污染防治攻坚战的实施意见》中关于空间布局约束的相关要求。</w:t>
                  </w:r>
                </w:p>
              </w:tc>
              <w:tc>
                <w:tcPr>
                  <w:tcW w:w="1251" w:type="pct"/>
                  <w:tcBorders>
                    <w:tl2br w:val="nil"/>
                    <w:tr2bl w:val="nil"/>
                  </w:tcBorders>
                  <w:shd w:val="clear" w:color="auto" w:fill="auto"/>
                  <w:vAlign w:val="center"/>
                </w:tcPr>
                <w:p w14:paraId="4FEAB697">
                  <w:pPr>
                    <w:keepNext w:val="0"/>
                    <w:keepLines w:val="0"/>
                    <w:pageBreakBefore w:val="0"/>
                    <w:widowControl w:val="0"/>
                    <w:suppressLineNumbers w:val="0"/>
                    <w:kinsoku/>
                    <w:wordWrap/>
                    <w:overflowPunct/>
                    <w:topLinePunct w:val="0"/>
                    <w:autoSpaceDE/>
                    <w:autoSpaceDN/>
                    <w:bidi w:val="0"/>
                    <w:adjustRightInd w:val="0"/>
                    <w:spacing w:before="0" w:beforeAutospacing="0" w:after="0" w:afterAutospacing="0" w:line="360" w:lineRule="exact"/>
                    <w:ind w:left="0" w:right="0"/>
                    <w:jc w:val="center"/>
                    <w:textAlignment w:val="auto"/>
                    <w:rPr>
                      <w:rFonts w:hint="default"/>
                      <w:bCs/>
                      <w:lang w:val="en-US"/>
                    </w:rPr>
                  </w:pPr>
                  <w:r>
                    <w:rPr>
                      <w:rFonts w:hint="eastAsia" w:ascii="Times New Roman" w:hAnsi="Times New Roman" w:eastAsia="宋体" w:cs="宋体"/>
                      <w:bCs/>
                      <w:kern w:val="2"/>
                      <w:sz w:val="21"/>
                      <w:szCs w:val="21"/>
                      <w:lang w:val="en-US" w:eastAsia="zh-CN" w:bidi="ar"/>
                    </w:rPr>
                    <w:t>本项目不属于“两高”项目。</w:t>
                  </w:r>
                </w:p>
              </w:tc>
              <w:tc>
                <w:tcPr>
                  <w:tcW w:w="534" w:type="pct"/>
                  <w:tcBorders>
                    <w:tl2br w:val="nil"/>
                    <w:tr2bl w:val="nil"/>
                  </w:tcBorders>
                  <w:shd w:val="clear" w:color="auto" w:fill="auto"/>
                  <w:vAlign w:val="center"/>
                </w:tcPr>
                <w:p w14:paraId="153B2270">
                  <w:pPr>
                    <w:keepNext w:val="0"/>
                    <w:keepLines w:val="0"/>
                    <w:pageBreakBefore w:val="0"/>
                    <w:widowControl w:val="0"/>
                    <w:suppressLineNumbers w:val="0"/>
                    <w:kinsoku/>
                    <w:wordWrap/>
                    <w:overflowPunct/>
                    <w:topLinePunct w:val="0"/>
                    <w:autoSpaceDE/>
                    <w:autoSpaceDN/>
                    <w:bidi w:val="0"/>
                    <w:adjustRightInd w:val="0"/>
                    <w:spacing w:before="0" w:beforeAutospacing="0" w:after="0" w:afterAutospacing="0" w:line="360" w:lineRule="exact"/>
                    <w:ind w:left="0" w:right="0"/>
                    <w:jc w:val="center"/>
                    <w:textAlignment w:val="auto"/>
                    <w:rPr>
                      <w:rFonts w:hint="default"/>
                      <w:b/>
                      <w:bCs/>
                      <w:lang w:val="en-US"/>
                    </w:rPr>
                  </w:pPr>
                  <w:r>
                    <w:rPr>
                      <w:rFonts w:hint="eastAsia" w:ascii="Times New Roman" w:hAnsi="Times New Roman" w:eastAsia="宋体" w:cs="宋体"/>
                      <w:kern w:val="2"/>
                      <w:sz w:val="21"/>
                      <w:szCs w:val="21"/>
                      <w:lang w:val="en-US" w:eastAsia="zh-CN" w:bidi="ar"/>
                    </w:rPr>
                    <w:t>符合</w:t>
                  </w:r>
                </w:p>
              </w:tc>
            </w:tr>
            <w:tr w14:paraId="2D30A76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450" w:type="pct"/>
                  <w:vMerge w:val="continue"/>
                  <w:tcBorders>
                    <w:tl2br w:val="nil"/>
                    <w:tr2bl w:val="nil"/>
                  </w:tcBorders>
                  <w:shd w:val="clear" w:color="auto" w:fill="auto"/>
                  <w:vAlign w:val="center"/>
                </w:tcPr>
                <w:p w14:paraId="6E10154C">
                  <w:pPr>
                    <w:keepNext w:val="0"/>
                    <w:keepLines w:val="0"/>
                    <w:pageBreakBefore w:val="0"/>
                    <w:suppressLineNumbers w:val="0"/>
                    <w:kinsoku/>
                    <w:wordWrap/>
                    <w:overflowPunct/>
                    <w:topLinePunct w:val="0"/>
                    <w:autoSpaceDE/>
                    <w:autoSpaceDN/>
                    <w:bidi w:val="0"/>
                    <w:spacing w:before="0" w:beforeAutospacing="0" w:after="0" w:afterAutospacing="0" w:line="360" w:lineRule="exact"/>
                    <w:ind w:left="0" w:right="0"/>
                    <w:textAlignment w:val="auto"/>
                    <w:rPr>
                      <w:rFonts w:hint="default" w:ascii="Times New Roman" w:hAnsi="Times New Roman" w:eastAsia="Times New Roman" w:cs="Times New Roman"/>
                      <w:sz w:val="20"/>
                      <w:szCs w:val="20"/>
                    </w:rPr>
                  </w:pPr>
                </w:p>
              </w:tc>
              <w:tc>
                <w:tcPr>
                  <w:tcW w:w="419" w:type="pct"/>
                  <w:tcBorders>
                    <w:tl2br w:val="nil"/>
                    <w:tr2bl w:val="nil"/>
                  </w:tcBorders>
                  <w:shd w:val="clear" w:color="auto" w:fill="auto"/>
                  <w:vAlign w:val="center"/>
                </w:tcPr>
                <w:p w14:paraId="3F29666D">
                  <w:pPr>
                    <w:keepNext w:val="0"/>
                    <w:keepLines w:val="0"/>
                    <w:pageBreakBefore w:val="0"/>
                    <w:widowControl w:val="0"/>
                    <w:suppressLineNumbers w:val="0"/>
                    <w:kinsoku/>
                    <w:wordWrap/>
                    <w:overflowPunct/>
                    <w:topLinePunct w:val="0"/>
                    <w:autoSpaceDE/>
                    <w:autoSpaceDN/>
                    <w:bidi w:val="0"/>
                    <w:adjustRightInd w:val="0"/>
                    <w:spacing w:before="0" w:beforeAutospacing="0" w:after="0" w:afterAutospacing="0" w:line="360" w:lineRule="exact"/>
                    <w:ind w:left="0" w:right="0"/>
                    <w:jc w:val="center"/>
                    <w:textAlignment w:val="auto"/>
                    <w:rPr>
                      <w:rFonts w:hint="default"/>
                      <w:bCs/>
                      <w:lang w:val="en-US"/>
                    </w:rPr>
                  </w:pPr>
                  <w:r>
                    <w:rPr>
                      <w:rFonts w:hint="default" w:ascii="Times New Roman" w:hAnsi="Times New Roman" w:eastAsia="宋体" w:cs="Times New Roman"/>
                      <w:bCs/>
                      <w:kern w:val="2"/>
                      <w:sz w:val="21"/>
                      <w:szCs w:val="21"/>
                      <w:lang w:val="en-US" w:eastAsia="zh-CN" w:bidi="ar"/>
                    </w:rPr>
                    <w:t>2</w:t>
                  </w:r>
                </w:p>
              </w:tc>
              <w:tc>
                <w:tcPr>
                  <w:tcW w:w="2343" w:type="pct"/>
                  <w:tcBorders>
                    <w:tl2br w:val="nil"/>
                    <w:tr2bl w:val="nil"/>
                  </w:tcBorders>
                  <w:shd w:val="clear" w:color="auto" w:fill="auto"/>
                  <w:vAlign w:val="center"/>
                </w:tcPr>
                <w:p w14:paraId="7BC2B9CF">
                  <w:pPr>
                    <w:keepNext w:val="0"/>
                    <w:keepLines w:val="0"/>
                    <w:pageBreakBefore w:val="0"/>
                    <w:widowControl w:val="0"/>
                    <w:suppressLineNumbers w:val="0"/>
                    <w:kinsoku/>
                    <w:wordWrap/>
                    <w:overflowPunct/>
                    <w:topLinePunct w:val="0"/>
                    <w:autoSpaceDE/>
                    <w:autoSpaceDN/>
                    <w:bidi w:val="0"/>
                    <w:adjustRightInd w:val="0"/>
                    <w:spacing w:before="0" w:beforeAutospacing="0" w:after="0" w:afterAutospacing="0" w:line="360" w:lineRule="exact"/>
                    <w:ind w:left="0" w:right="0"/>
                    <w:jc w:val="center"/>
                    <w:textAlignment w:val="auto"/>
                    <w:rPr>
                      <w:rFonts w:hint="default"/>
                      <w:bCs/>
                      <w:lang w:val="en-US"/>
                    </w:rPr>
                  </w:pPr>
                  <w:r>
                    <w:rPr>
                      <w:rFonts w:hint="eastAsia" w:ascii="Times New Roman" w:hAnsi="Times New Roman" w:eastAsia="宋体" w:cs="宋体"/>
                      <w:bCs/>
                      <w:kern w:val="2"/>
                      <w:sz w:val="21"/>
                      <w:szCs w:val="21"/>
                      <w:lang w:val="en-US" w:eastAsia="zh-CN" w:bidi="ar"/>
                    </w:rPr>
                    <w:t>严控磷铵、电石、黄磷等行业新增产能，禁止新建用汞的（聚）氯乙烯产能，加快低效落后产能退出。</w:t>
                  </w:r>
                </w:p>
              </w:tc>
              <w:tc>
                <w:tcPr>
                  <w:tcW w:w="1251" w:type="pct"/>
                  <w:tcBorders>
                    <w:tl2br w:val="nil"/>
                    <w:tr2bl w:val="nil"/>
                  </w:tcBorders>
                  <w:shd w:val="clear" w:color="auto" w:fill="auto"/>
                  <w:vAlign w:val="center"/>
                </w:tcPr>
                <w:p w14:paraId="17005907">
                  <w:pPr>
                    <w:keepNext w:val="0"/>
                    <w:keepLines w:val="0"/>
                    <w:pageBreakBefore w:val="0"/>
                    <w:widowControl w:val="0"/>
                    <w:suppressLineNumbers w:val="0"/>
                    <w:kinsoku/>
                    <w:wordWrap/>
                    <w:overflowPunct/>
                    <w:topLinePunct w:val="0"/>
                    <w:autoSpaceDE/>
                    <w:autoSpaceDN/>
                    <w:bidi w:val="0"/>
                    <w:adjustRightInd w:val="0"/>
                    <w:spacing w:before="0" w:beforeAutospacing="0" w:after="0" w:afterAutospacing="0" w:line="360" w:lineRule="exact"/>
                    <w:ind w:left="0" w:right="0"/>
                    <w:jc w:val="center"/>
                    <w:textAlignment w:val="auto"/>
                    <w:rPr>
                      <w:rFonts w:hint="default"/>
                      <w:bCs/>
                      <w:lang w:val="en-US"/>
                    </w:rPr>
                  </w:pPr>
                  <w:r>
                    <w:rPr>
                      <w:rFonts w:hint="eastAsia" w:ascii="Times New Roman" w:hAnsi="Times New Roman" w:eastAsia="宋体" w:cs="宋体"/>
                      <w:bCs/>
                      <w:kern w:val="2"/>
                      <w:sz w:val="21"/>
                      <w:szCs w:val="21"/>
                      <w:lang w:val="en-US" w:eastAsia="zh-CN" w:bidi="ar"/>
                    </w:rPr>
                    <w:t>项目不属于磷铵、电石、黄磷等行业，不涉及新建用汞的（聚）氯乙烯产能。</w:t>
                  </w:r>
                </w:p>
              </w:tc>
              <w:tc>
                <w:tcPr>
                  <w:tcW w:w="534" w:type="pct"/>
                  <w:tcBorders>
                    <w:tl2br w:val="nil"/>
                    <w:tr2bl w:val="nil"/>
                  </w:tcBorders>
                  <w:shd w:val="clear" w:color="auto" w:fill="auto"/>
                  <w:vAlign w:val="center"/>
                </w:tcPr>
                <w:p w14:paraId="78987BF3">
                  <w:pPr>
                    <w:keepNext w:val="0"/>
                    <w:keepLines w:val="0"/>
                    <w:pageBreakBefore w:val="0"/>
                    <w:widowControl w:val="0"/>
                    <w:suppressLineNumbers w:val="0"/>
                    <w:kinsoku/>
                    <w:wordWrap/>
                    <w:overflowPunct/>
                    <w:topLinePunct w:val="0"/>
                    <w:autoSpaceDE/>
                    <w:autoSpaceDN/>
                    <w:bidi w:val="0"/>
                    <w:adjustRightInd w:val="0"/>
                    <w:spacing w:before="0" w:beforeAutospacing="0" w:after="0" w:afterAutospacing="0" w:line="360" w:lineRule="exact"/>
                    <w:ind w:left="0" w:right="0"/>
                    <w:jc w:val="center"/>
                    <w:textAlignment w:val="auto"/>
                    <w:rPr>
                      <w:rFonts w:hint="default"/>
                      <w:b/>
                      <w:bCs/>
                      <w:lang w:val="en-US"/>
                    </w:rPr>
                  </w:pPr>
                  <w:r>
                    <w:rPr>
                      <w:rFonts w:hint="eastAsia" w:ascii="Times New Roman" w:hAnsi="Times New Roman" w:eastAsia="宋体" w:cs="宋体"/>
                      <w:kern w:val="2"/>
                      <w:sz w:val="21"/>
                      <w:szCs w:val="21"/>
                      <w:lang w:val="en-US" w:eastAsia="zh-CN" w:bidi="ar"/>
                    </w:rPr>
                    <w:t>/</w:t>
                  </w:r>
                </w:p>
              </w:tc>
            </w:tr>
            <w:tr w14:paraId="2FFF01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5" w:hRule="atLeast"/>
              </w:trPr>
              <w:tc>
                <w:tcPr>
                  <w:tcW w:w="450" w:type="pct"/>
                  <w:vMerge w:val="continue"/>
                  <w:tcBorders>
                    <w:tl2br w:val="nil"/>
                    <w:tr2bl w:val="nil"/>
                  </w:tcBorders>
                  <w:shd w:val="clear" w:color="auto" w:fill="auto"/>
                  <w:vAlign w:val="center"/>
                </w:tcPr>
                <w:p w14:paraId="2A8E80EC">
                  <w:pPr>
                    <w:keepNext w:val="0"/>
                    <w:keepLines w:val="0"/>
                    <w:pageBreakBefore w:val="0"/>
                    <w:suppressLineNumbers w:val="0"/>
                    <w:kinsoku/>
                    <w:wordWrap/>
                    <w:overflowPunct/>
                    <w:topLinePunct w:val="0"/>
                    <w:autoSpaceDE/>
                    <w:autoSpaceDN/>
                    <w:bidi w:val="0"/>
                    <w:spacing w:before="0" w:beforeAutospacing="0" w:after="0" w:afterAutospacing="0" w:line="360" w:lineRule="exact"/>
                    <w:ind w:left="0" w:right="0"/>
                    <w:textAlignment w:val="auto"/>
                    <w:rPr>
                      <w:rFonts w:hint="default" w:ascii="Times New Roman" w:hAnsi="Times New Roman" w:eastAsia="Times New Roman" w:cs="Times New Roman"/>
                      <w:sz w:val="20"/>
                      <w:szCs w:val="20"/>
                    </w:rPr>
                  </w:pPr>
                </w:p>
              </w:tc>
              <w:tc>
                <w:tcPr>
                  <w:tcW w:w="419" w:type="pct"/>
                  <w:tcBorders>
                    <w:tl2br w:val="nil"/>
                    <w:tr2bl w:val="nil"/>
                  </w:tcBorders>
                  <w:shd w:val="clear" w:color="auto" w:fill="auto"/>
                  <w:vAlign w:val="center"/>
                </w:tcPr>
                <w:p w14:paraId="66BE256B">
                  <w:pPr>
                    <w:keepNext w:val="0"/>
                    <w:keepLines w:val="0"/>
                    <w:pageBreakBefore w:val="0"/>
                    <w:widowControl w:val="0"/>
                    <w:suppressLineNumbers w:val="0"/>
                    <w:kinsoku/>
                    <w:wordWrap/>
                    <w:overflowPunct/>
                    <w:topLinePunct w:val="0"/>
                    <w:autoSpaceDE/>
                    <w:autoSpaceDN/>
                    <w:bidi w:val="0"/>
                    <w:adjustRightInd w:val="0"/>
                    <w:spacing w:before="0" w:beforeAutospacing="0" w:after="0" w:afterAutospacing="0" w:line="360" w:lineRule="exact"/>
                    <w:ind w:left="0" w:right="0"/>
                    <w:jc w:val="center"/>
                    <w:textAlignment w:val="auto"/>
                    <w:rPr>
                      <w:rFonts w:hint="default"/>
                      <w:bCs/>
                      <w:lang w:val="en-US"/>
                    </w:rPr>
                  </w:pPr>
                  <w:r>
                    <w:rPr>
                      <w:rFonts w:hint="default" w:ascii="Times New Roman" w:hAnsi="Times New Roman" w:eastAsia="宋体" w:cs="Times New Roman"/>
                      <w:bCs/>
                      <w:kern w:val="2"/>
                      <w:sz w:val="21"/>
                      <w:szCs w:val="21"/>
                      <w:lang w:val="en-US" w:eastAsia="zh-CN" w:bidi="ar"/>
                    </w:rPr>
                    <w:t>3</w:t>
                  </w:r>
                </w:p>
              </w:tc>
              <w:tc>
                <w:tcPr>
                  <w:tcW w:w="2343" w:type="pct"/>
                  <w:tcBorders>
                    <w:tl2br w:val="nil"/>
                    <w:tr2bl w:val="nil"/>
                  </w:tcBorders>
                  <w:shd w:val="clear" w:color="auto" w:fill="auto"/>
                  <w:vAlign w:val="center"/>
                </w:tcPr>
                <w:p w14:paraId="78923C47">
                  <w:pPr>
                    <w:keepNext w:val="0"/>
                    <w:keepLines w:val="0"/>
                    <w:pageBreakBefore w:val="0"/>
                    <w:widowControl w:val="0"/>
                    <w:suppressLineNumbers w:val="0"/>
                    <w:kinsoku/>
                    <w:wordWrap/>
                    <w:overflowPunct/>
                    <w:topLinePunct w:val="0"/>
                    <w:autoSpaceDE/>
                    <w:autoSpaceDN/>
                    <w:bidi w:val="0"/>
                    <w:adjustRightInd w:val="0"/>
                    <w:spacing w:before="0" w:beforeAutospacing="0" w:after="0" w:afterAutospacing="0" w:line="360" w:lineRule="exact"/>
                    <w:ind w:left="0" w:right="0"/>
                    <w:jc w:val="center"/>
                    <w:textAlignment w:val="auto"/>
                    <w:rPr>
                      <w:rFonts w:hint="default"/>
                      <w:bCs/>
                      <w:lang w:val="en-US"/>
                    </w:rPr>
                  </w:pPr>
                  <w:r>
                    <w:rPr>
                      <w:rFonts w:hint="eastAsia" w:ascii="Times New Roman" w:hAnsi="Times New Roman" w:eastAsia="宋体" w:cs="宋体"/>
                      <w:bCs/>
                      <w:kern w:val="2"/>
                      <w:sz w:val="21"/>
                      <w:szCs w:val="21"/>
                      <w:lang w:val="en-US" w:eastAsia="zh-CN" w:bidi="ar"/>
                    </w:rPr>
                    <w:t>原则上禁止新建企业自备燃煤机组，有序关停整合</w:t>
                  </w:r>
                  <w:r>
                    <w:rPr>
                      <w:rFonts w:hint="default" w:ascii="Times New Roman" w:hAnsi="Times New Roman" w:eastAsia="宋体" w:cs="Times New Roman"/>
                      <w:bCs/>
                      <w:kern w:val="2"/>
                      <w:sz w:val="21"/>
                      <w:szCs w:val="21"/>
                      <w:lang w:val="en-US" w:eastAsia="zh-CN" w:bidi="ar"/>
                    </w:rPr>
                    <w:t>30</w:t>
                  </w:r>
                  <w:r>
                    <w:rPr>
                      <w:rFonts w:hint="eastAsia" w:ascii="Times New Roman" w:hAnsi="Times New Roman" w:eastAsia="宋体" w:cs="宋体"/>
                      <w:bCs/>
                      <w:kern w:val="2"/>
                      <w:sz w:val="21"/>
                      <w:szCs w:val="21"/>
                      <w:lang w:val="en-US" w:eastAsia="zh-CN" w:bidi="ar"/>
                    </w:rPr>
                    <w:t>万千瓦以上热电联产机组供热合理半径范围内的落后燃煤小热电机组（含自备电厂）。</w:t>
                  </w:r>
                </w:p>
              </w:tc>
              <w:tc>
                <w:tcPr>
                  <w:tcW w:w="1251" w:type="pct"/>
                  <w:tcBorders>
                    <w:tl2br w:val="nil"/>
                    <w:tr2bl w:val="nil"/>
                  </w:tcBorders>
                  <w:shd w:val="clear" w:color="auto" w:fill="auto"/>
                  <w:vAlign w:val="center"/>
                </w:tcPr>
                <w:p w14:paraId="3763E33A">
                  <w:pPr>
                    <w:keepNext w:val="0"/>
                    <w:keepLines w:val="0"/>
                    <w:pageBreakBefore w:val="0"/>
                    <w:widowControl w:val="0"/>
                    <w:suppressLineNumbers w:val="0"/>
                    <w:kinsoku/>
                    <w:wordWrap/>
                    <w:overflowPunct/>
                    <w:topLinePunct w:val="0"/>
                    <w:autoSpaceDE/>
                    <w:autoSpaceDN/>
                    <w:bidi w:val="0"/>
                    <w:adjustRightInd w:val="0"/>
                    <w:spacing w:before="0" w:beforeAutospacing="0" w:after="0" w:afterAutospacing="0" w:line="360" w:lineRule="exact"/>
                    <w:ind w:left="0" w:right="0"/>
                    <w:jc w:val="center"/>
                    <w:textAlignment w:val="auto"/>
                    <w:rPr>
                      <w:rFonts w:hint="default"/>
                      <w:bCs/>
                      <w:lang w:val="en-US"/>
                    </w:rPr>
                  </w:pPr>
                  <w:r>
                    <w:rPr>
                      <w:rFonts w:hint="eastAsia" w:ascii="Times New Roman" w:hAnsi="Times New Roman" w:eastAsia="宋体" w:cs="宋体"/>
                      <w:bCs/>
                      <w:kern w:val="2"/>
                      <w:sz w:val="21"/>
                      <w:szCs w:val="21"/>
                      <w:lang w:val="en-US" w:eastAsia="zh-CN" w:bidi="ar"/>
                    </w:rPr>
                    <w:t>不涉及。</w:t>
                  </w:r>
                </w:p>
              </w:tc>
              <w:tc>
                <w:tcPr>
                  <w:tcW w:w="534" w:type="pct"/>
                  <w:tcBorders>
                    <w:tl2br w:val="nil"/>
                    <w:tr2bl w:val="nil"/>
                  </w:tcBorders>
                  <w:shd w:val="clear" w:color="auto" w:fill="auto"/>
                  <w:vAlign w:val="center"/>
                </w:tcPr>
                <w:p w14:paraId="212DEE71">
                  <w:pPr>
                    <w:keepNext w:val="0"/>
                    <w:keepLines w:val="0"/>
                    <w:pageBreakBefore w:val="0"/>
                    <w:widowControl w:val="0"/>
                    <w:suppressLineNumbers w:val="0"/>
                    <w:kinsoku/>
                    <w:wordWrap/>
                    <w:overflowPunct/>
                    <w:topLinePunct w:val="0"/>
                    <w:autoSpaceDE/>
                    <w:autoSpaceDN/>
                    <w:bidi w:val="0"/>
                    <w:adjustRightInd w:val="0"/>
                    <w:spacing w:before="0" w:beforeAutospacing="0" w:after="0" w:afterAutospacing="0" w:line="360" w:lineRule="exact"/>
                    <w:ind w:left="0" w:right="0"/>
                    <w:jc w:val="center"/>
                    <w:textAlignment w:val="auto"/>
                    <w:rPr>
                      <w:rFonts w:hint="eastAsia" w:eastAsia="宋体"/>
                      <w:bCs/>
                      <w:lang w:val="en-US" w:eastAsia="zh-CN"/>
                    </w:rPr>
                  </w:pPr>
                  <w:r>
                    <w:rPr>
                      <w:rFonts w:hint="eastAsia"/>
                      <w:bCs/>
                      <w:lang w:val="en-US" w:eastAsia="zh-CN"/>
                    </w:rPr>
                    <w:t>/</w:t>
                  </w:r>
                </w:p>
              </w:tc>
            </w:tr>
            <w:tr w14:paraId="639214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67" w:hRule="atLeast"/>
              </w:trPr>
              <w:tc>
                <w:tcPr>
                  <w:tcW w:w="450" w:type="pct"/>
                  <w:vMerge w:val="continue"/>
                  <w:tcBorders>
                    <w:tl2br w:val="nil"/>
                    <w:tr2bl w:val="nil"/>
                  </w:tcBorders>
                  <w:shd w:val="clear" w:color="auto" w:fill="auto"/>
                  <w:vAlign w:val="center"/>
                </w:tcPr>
                <w:p w14:paraId="4DDC1C73">
                  <w:pPr>
                    <w:keepNext w:val="0"/>
                    <w:keepLines w:val="0"/>
                    <w:pageBreakBefore w:val="0"/>
                    <w:suppressLineNumbers w:val="0"/>
                    <w:kinsoku/>
                    <w:wordWrap/>
                    <w:overflowPunct/>
                    <w:topLinePunct w:val="0"/>
                    <w:autoSpaceDE/>
                    <w:autoSpaceDN/>
                    <w:bidi w:val="0"/>
                    <w:spacing w:before="0" w:beforeAutospacing="0" w:after="0" w:afterAutospacing="0" w:line="360" w:lineRule="exact"/>
                    <w:ind w:left="0" w:right="0"/>
                    <w:textAlignment w:val="auto"/>
                    <w:rPr>
                      <w:rFonts w:hint="default" w:ascii="Times New Roman" w:hAnsi="Times New Roman" w:eastAsia="Times New Roman" w:cs="Times New Roman"/>
                      <w:sz w:val="20"/>
                      <w:szCs w:val="20"/>
                    </w:rPr>
                  </w:pPr>
                </w:p>
              </w:tc>
              <w:tc>
                <w:tcPr>
                  <w:tcW w:w="419" w:type="pct"/>
                  <w:tcBorders>
                    <w:tl2br w:val="nil"/>
                    <w:tr2bl w:val="nil"/>
                  </w:tcBorders>
                  <w:shd w:val="clear" w:color="auto" w:fill="auto"/>
                  <w:vAlign w:val="center"/>
                </w:tcPr>
                <w:p w14:paraId="0D29A168">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textAlignment w:val="auto"/>
                    <w:rPr>
                      <w:rFonts w:hint="default"/>
                    </w:rPr>
                  </w:pPr>
                  <w:r>
                    <w:rPr>
                      <w:rFonts w:hint="default" w:ascii="Times New Roman" w:hAnsi="Times New Roman" w:eastAsia="宋体" w:cs="Times New Roman"/>
                      <w:kern w:val="2"/>
                      <w:sz w:val="21"/>
                      <w:szCs w:val="21"/>
                      <w:lang w:val="en-US" w:eastAsia="zh-CN" w:bidi="ar"/>
                    </w:rPr>
                    <w:t>4</w:t>
                  </w:r>
                </w:p>
              </w:tc>
              <w:tc>
                <w:tcPr>
                  <w:tcW w:w="2343" w:type="pct"/>
                  <w:tcBorders>
                    <w:tl2br w:val="nil"/>
                    <w:tr2bl w:val="nil"/>
                  </w:tcBorders>
                  <w:shd w:val="clear" w:color="auto" w:fill="auto"/>
                  <w:vAlign w:val="center"/>
                </w:tcPr>
                <w:p w14:paraId="7001CCD4">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both"/>
                    <w:textAlignment w:val="auto"/>
                    <w:rPr>
                      <w:rFonts w:hint="default"/>
                    </w:rPr>
                  </w:pPr>
                  <w:r>
                    <w:rPr>
                      <w:rFonts w:hint="eastAsia" w:ascii="Times New Roman" w:hAnsi="Times New Roman" w:eastAsia="宋体" w:cs="宋体"/>
                      <w:kern w:val="2"/>
                      <w:sz w:val="21"/>
                      <w:szCs w:val="21"/>
                      <w:lang w:val="en-US" w:eastAsia="zh-CN" w:bidi="ar"/>
                    </w:rPr>
                    <w:t>优化危险化学品生产布局，禁止在化工园区外新建、扩建危险化学品生产项目。新建危险化学品生产项目必须进入通过认定的一般或较低安全风险的化工园区（与其他行业生产装置配套建设的项目除外）。</w:t>
                  </w:r>
                </w:p>
              </w:tc>
              <w:tc>
                <w:tcPr>
                  <w:tcW w:w="1251" w:type="pct"/>
                  <w:tcBorders>
                    <w:tl2br w:val="nil"/>
                    <w:tr2bl w:val="nil"/>
                  </w:tcBorders>
                  <w:shd w:val="clear" w:color="auto" w:fill="auto"/>
                  <w:vAlign w:val="center"/>
                </w:tcPr>
                <w:p w14:paraId="5D6FE74D">
                  <w:pPr>
                    <w:keepNext w:val="0"/>
                    <w:keepLines w:val="0"/>
                    <w:pageBreakBefore w:val="0"/>
                    <w:widowControl w:val="0"/>
                    <w:suppressLineNumbers w:val="0"/>
                    <w:kinsoku/>
                    <w:wordWrap/>
                    <w:overflowPunct/>
                    <w:topLinePunct w:val="0"/>
                    <w:autoSpaceDE/>
                    <w:autoSpaceDN/>
                    <w:bidi w:val="0"/>
                    <w:adjustRightInd w:val="0"/>
                    <w:spacing w:before="0" w:beforeAutospacing="0" w:after="0" w:afterAutospacing="0" w:line="360" w:lineRule="exact"/>
                    <w:ind w:left="0" w:right="0"/>
                    <w:jc w:val="center"/>
                    <w:textAlignment w:val="auto"/>
                    <w:rPr>
                      <w:rFonts w:hint="default"/>
                    </w:rPr>
                  </w:pPr>
                  <w:r>
                    <w:rPr>
                      <w:rFonts w:hint="eastAsia" w:ascii="Times New Roman" w:hAnsi="Times New Roman" w:eastAsia="宋体" w:cs="宋体"/>
                      <w:bCs/>
                      <w:kern w:val="2"/>
                      <w:sz w:val="21"/>
                      <w:szCs w:val="21"/>
                      <w:lang w:val="en-US" w:eastAsia="zh-CN" w:bidi="ar"/>
                    </w:rPr>
                    <w:t>不涉及。</w:t>
                  </w:r>
                </w:p>
              </w:tc>
              <w:tc>
                <w:tcPr>
                  <w:tcW w:w="534" w:type="pct"/>
                  <w:tcBorders>
                    <w:tl2br w:val="nil"/>
                    <w:tr2bl w:val="nil"/>
                  </w:tcBorders>
                  <w:shd w:val="clear" w:color="auto" w:fill="auto"/>
                  <w:vAlign w:val="center"/>
                </w:tcPr>
                <w:p w14:paraId="2FFDD0F4">
                  <w:pPr>
                    <w:keepNext w:val="0"/>
                    <w:keepLines w:val="0"/>
                    <w:pageBreakBefore w:val="0"/>
                    <w:widowControl w:val="0"/>
                    <w:suppressLineNumbers w:val="0"/>
                    <w:kinsoku/>
                    <w:wordWrap/>
                    <w:overflowPunct/>
                    <w:topLinePunct w:val="0"/>
                    <w:autoSpaceDE/>
                    <w:autoSpaceDN/>
                    <w:bidi w:val="0"/>
                    <w:adjustRightInd w:val="0"/>
                    <w:spacing w:before="0" w:beforeAutospacing="0" w:after="0" w:afterAutospacing="0" w:line="360" w:lineRule="exact"/>
                    <w:ind w:left="0" w:right="0"/>
                    <w:jc w:val="center"/>
                    <w:textAlignment w:val="auto"/>
                    <w:rPr>
                      <w:rFonts w:hint="default"/>
                      <w:bCs/>
                      <w:lang w:val="en-US"/>
                    </w:rPr>
                  </w:pPr>
                  <w:r>
                    <w:rPr>
                      <w:rFonts w:hint="eastAsia" w:ascii="Times New Roman" w:hAnsi="Times New Roman" w:eastAsia="宋体" w:cs="宋体"/>
                      <w:kern w:val="2"/>
                      <w:sz w:val="21"/>
                      <w:szCs w:val="21"/>
                      <w:lang w:val="en-US" w:eastAsia="zh-CN" w:bidi="ar"/>
                    </w:rPr>
                    <w:t>/</w:t>
                  </w:r>
                </w:p>
              </w:tc>
            </w:tr>
            <w:tr w14:paraId="4B47982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67" w:hRule="atLeast"/>
              </w:trPr>
              <w:tc>
                <w:tcPr>
                  <w:tcW w:w="450" w:type="pct"/>
                  <w:vMerge w:val="continue"/>
                  <w:tcBorders>
                    <w:tl2br w:val="nil"/>
                    <w:tr2bl w:val="nil"/>
                  </w:tcBorders>
                  <w:shd w:val="clear" w:color="auto" w:fill="auto"/>
                  <w:vAlign w:val="center"/>
                </w:tcPr>
                <w:p w14:paraId="2F566740">
                  <w:pPr>
                    <w:keepNext w:val="0"/>
                    <w:keepLines w:val="0"/>
                    <w:pageBreakBefore w:val="0"/>
                    <w:suppressLineNumbers w:val="0"/>
                    <w:kinsoku/>
                    <w:wordWrap/>
                    <w:overflowPunct/>
                    <w:topLinePunct w:val="0"/>
                    <w:autoSpaceDE/>
                    <w:autoSpaceDN/>
                    <w:bidi w:val="0"/>
                    <w:spacing w:before="0" w:beforeAutospacing="0" w:after="0" w:afterAutospacing="0" w:line="360" w:lineRule="exact"/>
                    <w:ind w:left="0" w:right="0"/>
                    <w:textAlignment w:val="auto"/>
                    <w:rPr>
                      <w:rFonts w:hint="default" w:ascii="Times New Roman" w:hAnsi="Times New Roman" w:eastAsia="Times New Roman" w:cs="Times New Roman"/>
                      <w:sz w:val="20"/>
                      <w:szCs w:val="20"/>
                    </w:rPr>
                  </w:pPr>
                </w:p>
              </w:tc>
              <w:tc>
                <w:tcPr>
                  <w:tcW w:w="419" w:type="pct"/>
                  <w:tcBorders>
                    <w:tl2br w:val="nil"/>
                    <w:tr2bl w:val="nil"/>
                  </w:tcBorders>
                  <w:shd w:val="clear" w:color="auto" w:fill="auto"/>
                  <w:vAlign w:val="center"/>
                </w:tcPr>
                <w:p w14:paraId="13F04074">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textAlignment w:val="auto"/>
                    <w:rPr>
                      <w:rFonts w:hint="default"/>
                    </w:rPr>
                  </w:pPr>
                  <w:r>
                    <w:rPr>
                      <w:rFonts w:hint="default" w:ascii="Times New Roman" w:hAnsi="Times New Roman" w:eastAsia="宋体" w:cs="Times New Roman"/>
                      <w:kern w:val="2"/>
                      <w:sz w:val="21"/>
                      <w:szCs w:val="21"/>
                      <w:lang w:val="en-US" w:eastAsia="zh-CN" w:bidi="ar"/>
                    </w:rPr>
                    <w:t>5</w:t>
                  </w:r>
                </w:p>
              </w:tc>
              <w:tc>
                <w:tcPr>
                  <w:tcW w:w="2343" w:type="pct"/>
                  <w:tcBorders>
                    <w:tl2br w:val="nil"/>
                    <w:tr2bl w:val="nil"/>
                  </w:tcBorders>
                  <w:shd w:val="clear" w:color="auto" w:fill="auto"/>
                  <w:vAlign w:val="center"/>
                </w:tcPr>
                <w:p w14:paraId="0816B14C">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textAlignment w:val="auto"/>
                    <w:rPr>
                      <w:rFonts w:hint="default"/>
                    </w:rPr>
                  </w:pPr>
                  <w:r>
                    <w:rPr>
                      <w:rFonts w:hint="eastAsia" w:ascii="Times New Roman" w:hAnsi="Times New Roman" w:eastAsia="宋体" w:cs="宋体"/>
                      <w:kern w:val="2"/>
                      <w:sz w:val="21"/>
                      <w:szCs w:val="21"/>
                      <w:lang w:val="en-US" w:eastAsia="zh-CN" w:bidi="ar"/>
                    </w:rPr>
                    <w:t>新建、扩建石化项目不得位于黄河干支流岸线管控范围内等法律法规明令禁止的区域，尽可能远离居民集中区、医院、学校等环境敏感区。</w:t>
                  </w:r>
                </w:p>
              </w:tc>
              <w:tc>
                <w:tcPr>
                  <w:tcW w:w="1251" w:type="pct"/>
                  <w:tcBorders>
                    <w:tl2br w:val="nil"/>
                    <w:tr2bl w:val="nil"/>
                  </w:tcBorders>
                  <w:shd w:val="clear" w:color="auto" w:fill="auto"/>
                  <w:vAlign w:val="center"/>
                </w:tcPr>
                <w:p w14:paraId="307CC6E6">
                  <w:pPr>
                    <w:keepNext w:val="0"/>
                    <w:keepLines w:val="0"/>
                    <w:pageBreakBefore w:val="0"/>
                    <w:widowControl w:val="0"/>
                    <w:suppressLineNumbers w:val="0"/>
                    <w:kinsoku/>
                    <w:wordWrap/>
                    <w:overflowPunct/>
                    <w:topLinePunct w:val="0"/>
                    <w:autoSpaceDE/>
                    <w:autoSpaceDN/>
                    <w:bidi w:val="0"/>
                    <w:adjustRightInd w:val="0"/>
                    <w:spacing w:before="0" w:beforeAutospacing="0" w:after="0" w:afterAutospacing="0" w:line="360" w:lineRule="exact"/>
                    <w:ind w:left="0" w:right="0"/>
                    <w:jc w:val="center"/>
                    <w:textAlignment w:val="auto"/>
                    <w:rPr>
                      <w:rFonts w:hint="default"/>
                    </w:rPr>
                  </w:pPr>
                  <w:r>
                    <w:rPr>
                      <w:rFonts w:hint="eastAsia" w:ascii="Times New Roman" w:hAnsi="Times New Roman" w:eastAsia="宋体" w:cs="宋体"/>
                      <w:bCs/>
                      <w:kern w:val="2"/>
                      <w:sz w:val="21"/>
                      <w:szCs w:val="21"/>
                      <w:lang w:val="en-US" w:eastAsia="zh-CN" w:bidi="ar"/>
                    </w:rPr>
                    <w:t>项目不属于</w:t>
                  </w:r>
                  <w:r>
                    <w:rPr>
                      <w:rFonts w:hint="eastAsia" w:ascii="Times New Roman" w:hAnsi="Times New Roman" w:eastAsia="宋体" w:cs="宋体"/>
                      <w:kern w:val="2"/>
                      <w:sz w:val="21"/>
                      <w:szCs w:val="21"/>
                      <w:lang w:val="en-US" w:eastAsia="zh-CN" w:bidi="ar"/>
                    </w:rPr>
                    <w:t>石化项目</w:t>
                  </w:r>
                  <w:r>
                    <w:rPr>
                      <w:rFonts w:hint="eastAsia" w:ascii="Times New Roman" w:hAnsi="Times New Roman" w:eastAsia="宋体" w:cs="宋体"/>
                      <w:bCs/>
                      <w:kern w:val="2"/>
                      <w:sz w:val="21"/>
                      <w:szCs w:val="21"/>
                      <w:lang w:val="en-US" w:eastAsia="zh-CN" w:bidi="ar"/>
                    </w:rPr>
                    <w:t>。</w:t>
                  </w:r>
                </w:p>
              </w:tc>
              <w:tc>
                <w:tcPr>
                  <w:tcW w:w="534" w:type="pct"/>
                  <w:tcBorders>
                    <w:tl2br w:val="nil"/>
                    <w:tr2bl w:val="nil"/>
                  </w:tcBorders>
                  <w:shd w:val="clear" w:color="auto" w:fill="auto"/>
                  <w:vAlign w:val="center"/>
                </w:tcPr>
                <w:p w14:paraId="69B6F206">
                  <w:pPr>
                    <w:keepNext w:val="0"/>
                    <w:keepLines w:val="0"/>
                    <w:pageBreakBefore w:val="0"/>
                    <w:widowControl w:val="0"/>
                    <w:suppressLineNumbers w:val="0"/>
                    <w:kinsoku/>
                    <w:wordWrap/>
                    <w:overflowPunct/>
                    <w:topLinePunct w:val="0"/>
                    <w:autoSpaceDE/>
                    <w:autoSpaceDN/>
                    <w:bidi w:val="0"/>
                    <w:adjustRightInd w:val="0"/>
                    <w:spacing w:before="0" w:beforeAutospacing="0" w:after="0" w:afterAutospacing="0" w:line="360" w:lineRule="exact"/>
                    <w:ind w:left="0" w:right="0"/>
                    <w:jc w:val="center"/>
                    <w:textAlignment w:val="auto"/>
                    <w:rPr>
                      <w:rFonts w:hint="default"/>
                      <w:bCs/>
                      <w:lang w:val="en-US"/>
                    </w:rPr>
                  </w:pPr>
                  <w:r>
                    <w:rPr>
                      <w:rFonts w:hint="eastAsia" w:ascii="Times New Roman" w:hAnsi="Times New Roman" w:eastAsia="宋体" w:cs="宋体"/>
                      <w:kern w:val="2"/>
                      <w:sz w:val="21"/>
                      <w:szCs w:val="21"/>
                      <w:lang w:val="en-US" w:eastAsia="zh-CN" w:bidi="ar"/>
                    </w:rPr>
                    <w:t>/</w:t>
                  </w:r>
                </w:p>
              </w:tc>
            </w:tr>
            <w:tr w14:paraId="781DA2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67" w:hRule="atLeast"/>
              </w:trPr>
              <w:tc>
                <w:tcPr>
                  <w:tcW w:w="450" w:type="pct"/>
                  <w:vMerge w:val="continue"/>
                  <w:tcBorders>
                    <w:tl2br w:val="nil"/>
                    <w:tr2bl w:val="nil"/>
                  </w:tcBorders>
                  <w:shd w:val="clear" w:color="auto" w:fill="auto"/>
                  <w:vAlign w:val="center"/>
                </w:tcPr>
                <w:p w14:paraId="7FC58B7C">
                  <w:pPr>
                    <w:keepNext w:val="0"/>
                    <w:keepLines w:val="0"/>
                    <w:pageBreakBefore w:val="0"/>
                    <w:suppressLineNumbers w:val="0"/>
                    <w:kinsoku/>
                    <w:wordWrap/>
                    <w:overflowPunct/>
                    <w:topLinePunct w:val="0"/>
                    <w:autoSpaceDE/>
                    <w:autoSpaceDN/>
                    <w:bidi w:val="0"/>
                    <w:spacing w:before="0" w:beforeAutospacing="0" w:after="0" w:afterAutospacing="0" w:line="360" w:lineRule="exact"/>
                    <w:ind w:left="0" w:right="0"/>
                    <w:textAlignment w:val="auto"/>
                    <w:rPr>
                      <w:rFonts w:hint="default" w:ascii="Times New Roman" w:hAnsi="Times New Roman" w:eastAsia="Times New Roman" w:cs="Times New Roman"/>
                      <w:sz w:val="20"/>
                      <w:szCs w:val="20"/>
                    </w:rPr>
                  </w:pPr>
                </w:p>
              </w:tc>
              <w:tc>
                <w:tcPr>
                  <w:tcW w:w="419" w:type="pct"/>
                  <w:tcBorders>
                    <w:tl2br w:val="nil"/>
                    <w:tr2bl w:val="nil"/>
                  </w:tcBorders>
                  <w:shd w:val="clear" w:color="auto" w:fill="auto"/>
                  <w:vAlign w:val="center"/>
                </w:tcPr>
                <w:p w14:paraId="70E47151">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textAlignment w:val="auto"/>
                    <w:rPr>
                      <w:rFonts w:hint="default"/>
                    </w:rPr>
                  </w:pPr>
                  <w:r>
                    <w:rPr>
                      <w:rFonts w:hint="default" w:ascii="Times New Roman" w:hAnsi="Times New Roman" w:eastAsia="宋体" w:cs="Times New Roman"/>
                      <w:kern w:val="2"/>
                      <w:sz w:val="21"/>
                      <w:szCs w:val="21"/>
                      <w:lang w:val="en-US" w:eastAsia="zh-CN" w:bidi="ar"/>
                    </w:rPr>
                    <w:t>6</w:t>
                  </w:r>
                </w:p>
              </w:tc>
              <w:tc>
                <w:tcPr>
                  <w:tcW w:w="2343" w:type="pct"/>
                  <w:tcBorders>
                    <w:tl2br w:val="nil"/>
                    <w:tr2bl w:val="nil"/>
                  </w:tcBorders>
                  <w:shd w:val="clear" w:color="auto" w:fill="auto"/>
                  <w:vAlign w:val="center"/>
                </w:tcPr>
                <w:p w14:paraId="70D45EF6">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textAlignment w:val="auto"/>
                    <w:rPr>
                      <w:rFonts w:hint="default"/>
                    </w:rPr>
                  </w:pPr>
                  <w:r>
                    <w:rPr>
                      <w:rFonts w:hint="eastAsia" w:ascii="Times New Roman" w:hAnsi="Times New Roman" w:eastAsia="宋体" w:cs="宋体"/>
                      <w:kern w:val="2"/>
                      <w:sz w:val="21"/>
                      <w:szCs w:val="21"/>
                      <w:lang w:val="en-US" w:eastAsia="zh-CN" w:bidi="ar"/>
                    </w:rPr>
                    <w:t>严格采矿权准入管理，新建露天矿山项目原则上必须位于省级矿产资源规划划定的重点开采区内，鼓励集中连片规模化开发。</w:t>
                  </w:r>
                </w:p>
              </w:tc>
              <w:tc>
                <w:tcPr>
                  <w:tcW w:w="1251" w:type="pct"/>
                  <w:tcBorders>
                    <w:tl2br w:val="nil"/>
                    <w:tr2bl w:val="nil"/>
                  </w:tcBorders>
                  <w:shd w:val="clear" w:color="auto" w:fill="auto"/>
                  <w:vAlign w:val="center"/>
                </w:tcPr>
                <w:p w14:paraId="7D145F16">
                  <w:pPr>
                    <w:keepNext w:val="0"/>
                    <w:keepLines w:val="0"/>
                    <w:pageBreakBefore w:val="0"/>
                    <w:widowControl w:val="0"/>
                    <w:suppressLineNumbers w:val="0"/>
                    <w:kinsoku/>
                    <w:wordWrap/>
                    <w:overflowPunct/>
                    <w:topLinePunct w:val="0"/>
                    <w:autoSpaceDE/>
                    <w:autoSpaceDN/>
                    <w:bidi w:val="0"/>
                    <w:adjustRightInd w:val="0"/>
                    <w:spacing w:before="0" w:beforeAutospacing="0" w:after="0" w:afterAutospacing="0" w:line="360" w:lineRule="exact"/>
                    <w:ind w:left="0" w:right="0"/>
                    <w:jc w:val="center"/>
                    <w:textAlignment w:val="auto"/>
                    <w:rPr>
                      <w:rFonts w:hint="default"/>
                    </w:rPr>
                  </w:pPr>
                  <w:r>
                    <w:rPr>
                      <w:rFonts w:hint="eastAsia" w:ascii="Times New Roman" w:hAnsi="Times New Roman" w:eastAsia="宋体" w:cs="宋体"/>
                      <w:bCs/>
                      <w:kern w:val="2"/>
                      <w:sz w:val="21"/>
                      <w:szCs w:val="21"/>
                      <w:lang w:val="en-US" w:eastAsia="zh-CN" w:bidi="ar"/>
                    </w:rPr>
                    <w:t>不涉及。</w:t>
                  </w:r>
                </w:p>
              </w:tc>
              <w:tc>
                <w:tcPr>
                  <w:tcW w:w="534" w:type="pct"/>
                  <w:tcBorders>
                    <w:tl2br w:val="nil"/>
                    <w:tr2bl w:val="nil"/>
                  </w:tcBorders>
                  <w:shd w:val="clear" w:color="auto" w:fill="auto"/>
                  <w:vAlign w:val="center"/>
                </w:tcPr>
                <w:p w14:paraId="2007ACDF">
                  <w:pPr>
                    <w:keepNext w:val="0"/>
                    <w:keepLines w:val="0"/>
                    <w:pageBreakBefore w:val="0"/>
                    <w:widowControl w:val="0"/>
                    <w:suppressLineNumbers w:val="0"/>
                    <w:kinsoku/>
                    <w:wordWrap/>
                    <w:overflowPunct/>
                    <w:topLinePunct w:val="0"/>
                    <w:autoSpaceDE/>
                    <w:autoSpaceDN/>
                    <w:bidi w:val="0"/>
                    <w:adjustRightInd w:val="0"/>
                    <w:spacing w:before="0" w:beforeAutospacing="0" w:after="0" w:afterAutospacing="0" w:line="360" w:lineRule="exact"/>
                    <w:ind w:left="0" w:right="0"/>
                    <w:jc w:val="center"/>
                    <w:textAlignment w:val="auto"/>
                    <w:rPr>
                      <w:rFonts w:hint="default"/>
                      <w:bCs/>
                      <w:lang w:val="en-US"/>
                    </w:rPr>
                  </w:pPr>
                  <w:r>
                    <w:rPr>
                      <w:rFonts w:hint="eastAsia" w:ascii="Times New Roman" w:hAnsi="Times New Roman" w:eastAsia="宋体" w:cs="宋体"/>
                      <w:kern w:val="2"/>
                      <w:sz w:val="21"/>
                      <w:szCs w:val="21"/>
                      <w:lang w:val="en-US" w:eastAsia="zh-CN" w:bidi="ar"/>
                    </w:rPr>
                    <w:t>/</w:t>
                  </w:r>
                </w:p>
              </w:tc>
            </w:tr>
            <w:tr w14:paraId="1D57CA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67" w:hRule="atLeast"/>
              </w:trPr>
              <w:tc>
                <w:tcPr>
                  <w:tcW w:w="450" w:type="pct"/>
                  <w:vMerge w:val="restart"/>
                  <w:tcBorders>
                    <w:tl2br w:val="nil"/>
                    <w:tr2bl w:val="nil"/>
                  </w:tcBorders>
                  <w:shd w:val="clear" w:color="auto" w:fill="auto"/>
                  <w:vAlign w:val="center"/>
                </w:tcPr>
                <w:p w14:paraId="57E0E42A">
                  <w:pPr>
                    <w:keepNext w:val="0"/>
                    <w:keepLines w:val="0"/>
                    <w:pageBreakBefore w:val="0"/>
                    <w:widowControl w:val="0"/>
                    <w:suppressLineNumbers w:val="0"/>
                    <w:kinsoku/>
                    <w:wordWrap/>
                    <w:overflowPunct/>
                    <w:topLinePunct w:val="0"/>
                    <w:autoSpaceDE/>
                    <w:autoSpaceDN/>
                    <w:bidi w:val="0"/>
                    <w:adjustRightInd w:val="0"/>
                    <w:spacing w:before="0" w:beforeAutospacing="0" w:after="0" w:afterAutospacing="0" w:line="360" w:lineRule="exact"/>
                    <w:ind w:left="0" w:right="0"/>
                    <w:jc w:val="center"/>
                    <w:textAlignment w:val="auto"/>
                    <w:rPr>
                      <w:rFonts w:hint="default"/>
                      <w:bCs/>
                      <w:lang w:val="en-US"/>
                    </w:rPr>
                  </w:pPr>
                  <w:r>
                    <w:rPr>
                      <w:rFonts w:hint="eastAsia" w:ascii="Times New Roman" w:hAnsi="Times New Roman" w:eastAsia="宋体" w:cs="宋体"/>
                      <w:kern w:val="2"/>
                      <w:sz w:val="21"/>
                      <w:szCs w:val="21"/>
                      <w:lang w:val="en-US" w:eastAsia="zh-CN" w:bidi="ar"/>
                    </w:rPr>
                    <w:t>污染物排放管控</w:t>
                  </w:r>
                </w:p>
              </w:tc>
              <w:tc>
                <w:tcPr>
                  <w:tcW w:w="419" w:type="pct"/>
                  <w:tcBorders>
                    <w:tl2br w:val="nil"/>
                    <w:tr2bl w:val="nil"/>
                  </w:tcBorders>
                  <w:shd w:val="clear" w:color="auto" w:fill="auto"/>
                  <w:vAlign w:val="center"/>
                </w:tcPr>
                <w:p w14:paraId="2D6AB3A6">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textAlignment w:val="auto"/>
                    <w:rPr>
                      <w:rFonts w:hint="default"/>
                    </w:rPr>
                  </w:pPr>
                  <w:r>
                    <w:rPr>
                      <w:rFonts w:hint="default" w:ascii="Times New Roman" w:hAnsi="Times New Roman" w:eastAsia="宋体" w:cs="Times New Roman"/>
                      <w:kern w:val="2"/>
                      <w:sz w:val="21"/>
                      <w:szCs w:val="21"/>
                      <w:lang w:val="en-US" w:eastAsia="zh-CN" w:bidi="ar"/>
                    </w:rPr>
                    <w:t>1</w:t>
                  </w:r>
                </w:p>
              </w:tc>
              <w:tc>
                <w:tcPr>
                  <w:tcW w:w="2343" w:type="pct"/>
                  <w:tcBorders>
                    <w:tl2br w:val="nil"/>
                    <w:tr2bl w:val="nil"/>
                  </w:tcBorders>
                  <w:shd w:val="clear" w:color="auto" w:fill="auto"/>
                  <w:vAlign w:val="center"/>
                </w:tcPr>
                <w:p w14:paraId="5EF87451">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textAlignment w:val="auto"/>
                    <w:rPr>
                      <w:rFonts w:hint="default"/>
                    </w:rPr>
                  </w:pPr>
                  <w:r>
                    <w:rPr>
                      <w:rFonts w:hint="eastAsia" w:ascii="Times New Roman" w:hAnsi="Times New Roman" w:eastAsia="宋体" w:cs="宋体"/>
                      <w:kern w:val="2"/>
                      <w:sz w:val="21"/>
                      <w:szCs w:val="21"/>
                      <w:lang w:val="en-US" w:eastAsia="zh-CN" w:bidi="ar"/>
                    </w:rPr>
                    <w:t>落实超低排放要求、无组织排放特别控制要求。</w:t>
                  </w:r>
                </w:p>
              </w:tc>
              <w:tc>
                <w:tcPr>
                  <w:tcW w:w="1251" w:type="pct"/>
                  <w:tcBorders>
                    <w:tl2br w:val="nil"/>
                    <w:tr2bl w:val="nil"/>
                  </w:tcBorders>
                  <w:shd w:val="clear" w:color="auto" w:fill="auto"/>
                  <w:vAlign w:val="center"/>
                </w:tcPr>
                <w:p w14:paraId="1000F78B">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textAlignment w:val="auto"/>
                    <w:rPr>
                      <w:rFonts w:hint="default"/>
                    </w:rPr>
                  </w:pPr>
                  <w:r>
                    <w:rPr>
                      <w:rFonts w:hint="eastAsia" w:ascii="Times New Roman" w:hAnsi="Times New Roman" w:eastAsia="宋体" w:cs="宋体"/>
                      <w:kern w:val="2"/>
                      <w:sz w:val="21"/>
                      <w:szCs w:val="21"/>
                      <w:lang w:val="en-US" w:eastAsia="zh-CN" w:bidi="ar"/>
                    </w:rPr>
                    <w:t>项目执行超低排放要求、无组织排放特别控制要求。</w:t>
                  </w:r>
                </w:p>
              </w:tc>
              <w:tc>
                <w:tcPr>
                  <w:tcW w:w="534" w:type="pct"/>
                  <w:tcBorders>
                    <w:tl2br w:val="nil"/>
                    <w:tr2bl w:val="nil"/>
                  </w:tcBorders>
                  <w:shd w:val="clear" w:color="auto" w:fill="auto"/>
                  <w:vAlign w:val="center"/>
                </w:tcPr>
                <w:p w14:paraId="52103DC8">
                  <w:pPr>
                    <w:keepNext w:val="0"/>
                    <w:keepLines w:val="0"/>
                    <w:pageBreakBefore w:val="0"/>
                    <w:widowControl w:val="0"/>
                    <w:suppressLineNumbers w:val="0"/>
                    <w:kinsoku/>
                    <w:wordWrap/>
                    <w:overflowPunct/>
                    <w:topLinePunct w:val="0"/>
                    <w:autoSpaceDE/>
                    <w:autoSpaceDN/>
                    <w:bidi w:val="0"/>
                    <w:adjustRightInd w:val="0"/>
                    <w:spacing w:before="0" w:beforeAutospacing="0" w:after="0" w:afterAutospacing="0" w:line="360" w:lineRule="exact"/>
                    <w:ind w:left="0" w:right="0"/>
                    <w:jc w:val="center"/>
                    <w:textAlignment w:val="auto"/>
                    <w:rPr>
                      <w:rFonts w:hint="default"/>
                      <w:bCs/>
                      <w:lang w:val="en-US"/>
                    </w:rPr>
                  </w:pPr>
                  <w:r>
                    <w:rPr>
                      <w:rFonts w:hint="eastAsia" w:ascii="Times New Roman" w:hAnsi="Times New Roman" w:eastAsia="宋体" w:cs="宋体"/>
                      <w:kern w:val="2"/>
                      <w:sz w:val="21"/>
                      <w:szCs w:val="21"/>
                      <w:lang w:val="en-US" w:eastAsia="zh-CN" w:bidi="ar"/>
                    </w:rPr>
                    <w:t>符合</w:t>
                  </w:r>
                </w:p>
              </w:tc>
            </w:tr>
            <w:tr w14:paraId="0FBB9D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50" w:type="pct"/>
                  <w:vMerge w:val="continue"/>
                  <w:tcBorders>
                    <w:tl2br w:val="nil"/>
                    <w:tr2bl w:val="nil"/>
                  </w:tcBorders>
                  <w:shd w:val="clear" w:color="auto" w:fill="auto"/>
                  <w:vAlign w:val="center"/>
                </w:tcPr>
                <w:p w14:paraId="4469A50F">
                  <w:pPr>
                    <w:keepNext w:val="0"/>
                    <w:keepLines w:val="0"/>
                    <w:pageBreakBefore w:val="0"/>
                    <w:suppressLineNumbers w:val="0"/>
                    <w:kinsoku/>
                    <w:wordWrap/>
                    <w:overflowPunct/>
                    <w:topLinePunct w:val="0"/>
                    <w:autoSpaceDE/>
                    <w:autoSpaceDN/>
                    <w:bidi w:val="0"/>
                    <w:spacing w:before="0" w:beforeAutospacing="0" w:after="0" w:afterAutospacing="0" w:line="360" w:lineRule="exact"/>
                    <w:ind w:left="0" w:right="0"/>
                    <w:textAlignment w:val="auto"/>
                    <w:rPr>
                      <w:rFonts w:hint="default" w:ascii="Times New Roman" w:hAnsi="Times New Roman" w:eastAsia="Times New Roman" w:cs="Times New Roman"/>
                      <w:sz w:val="20"/>
                      <w:szCs w:val="20"/>
                    </w:rPr>
                  </w:pPr>
                </w:p>
              </w:tc>
              <w:tc>
                <w:tcPr>
                  <w:tcW w:w="419" w:type="pct"/>
                  <w:tcBorders>
                    <w:tl2br w:val="nil"/>
                    <w:tr2bl w:val="nil"/>
                  </w:tcBorders>
                  <w:shd w:val="clear" w:color="auto" w:fill="auto"/>
                  <w:vAlign w:val="center"/>
                </w:tcPr>
                <w:p w14:paraId="4F1786D0">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textAlignment w:val="auto"/>
                    <w:rPr>
                      <w:rFonts w:hint="default"/>
                    </w:rPr>
                  </w:pPr>
                  <w:r>
                    <w:rPr>
                      <w:rFonts w:hint="default" w:ascii="Times New Roman" w:hAnsi="Times New Roman" w:eastAsia="宋体" w:cs="Times New Roman"/>
                      <w:kern w:val="2"/>
                      <w:sz w:val="21"/>
                      <w:szCs w:val="21"/>
                      <w:lang w:val="en-US" w:eastAsia="zh-CN" w:bidi="ar"/>
                    </w:rPr>
                    <w:t>2</w:t>
                  </w:r>
                </w:p>
              </w:tc>
              <w:tc>
                <w:tcPr>
                  <w:tcW w:w="2343" w:type="pct"/>
                  <w:tcBorders>
                    <w:tl2br w:val="nil"/>
                    <w:tr2bl w:val="nil"/>
                  </w:tcBorders>
                  <w:shd w:val="clear" w:color="auto" w:fill="auto"/>
                  <w:vAlign w:val="center"/>
                </w:tcPr>
                <w:p w14:paraId="0FEFEF26">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textAlignment w:val="auto"/>
                    <w:rPr>
                      <w:rFonts w:hint="default"/>
                    </w:rPr>
                  </w:pPr>
                  <w:r>
                    <w:rPr>
                      <w:rFonts w:hint="eastAsia" w:ascii="Times New Roman" w:hAnsi="Times New Roman" w:eastAsia="宋体" w:cs="宋体"/>
                      <w:kern w:val="2"/>
                      <w:sz w:val="21"/>
                      <w:szCs w:val="21"/>
                      <w:lang w:val="en-US" w:eastAsia="zh-CN" w:bidi="ar"/>
                    </w:rPr>
                    <w:t>聚焦夏秋季臭氧污染，推进挥发性有机物和氮氧化物协同减排。以石化、化工、涂装、医药、包装印刷、油品储运销等行业领域为重点，推进挥发性有机物综合治理，实施原辅材料和产品源头替代工程。</w:t>
                  </w:r>
                </w:p>
              </w:tc>
              <w:tc>
                <w:tcPr>
                  <w:tcW w:w="1251" w:type="pct"/>
                  <w:tcBorders>
                    <w:tl2br w:val="nil"/>
                    <w:tr2bl w:val="nil"/>
                  </w:tcBorders>
                  <w:shd w:val="clear" w:color="auto" w:fill="auto"/>
                  <w:vAlign w:val="center"/>
                </w:tcPr>
                <w:p w14:paraId="78FDF6CF">
                  <w:pPr>
                    <w:keepNext w:val="0"/>
                    <w:keepLines w:val="0"/>
                    <w:pageBreakBefore w:val="0"/>
                    <w:widowControl w:val="0"/>
                    <w:suppressLineNumbers w:val="0"/>
                    <w:kinsoku/>
                    <w:wordWrap/>
                    <w:overflowPunct/>
                    <w:topLinePunct w:val="0"/>
                    <w:autoSpaceDE/>
                    <w:autoSpaceDN/>
                    <w:bidi w:val="0"/>
                    <w:adjustRightInd w:val="0"/>
                    <w:spacing w:before="0" w:beforeAutospacing="0" w:after="0" w:afterAutospacing="0" w:line="360" w:lineRule="exact"/>
                    <w:ind w:left="0" w:right="0"/>
                    <w:jc w:val="center"/>
                    <w:textAlignment w:val="auto"/>
                    <w:rPr>
                      <w:rFonts w:hint="default"/>
                    </w:rPr>
                  </w:pPr>
                  <w:r>
                    <w:rPr>
                      <w:rFonts w:hint="eastAsia" w:ascii="Times New Roman" w:hAnsi="Times New Roman" w:eastAsia="宋体" w:cs="宋体"/>
                      <w:bCs/>
                      <w:kern w:val="2"/>
                      <w:sz w:val="21"/>
                      <w:szCs w:val="21"/>
                      <w:lang w:val="en-US" w:eastAsia="zh-CN" w:bidi="ar"/>
                    </w:rPr>
                    <w:t>不涉及。</w:t>
                  </w:r>
                </w:p>
              </w:tc>
              <w:tc>
                <w:tcPr>
                  <w:tcW w:w="534" w:type="pct"/>
                  <w:tcBorders>
                    <w:tl2br w:val="nil"/>
                    <w:tr2bl w:val="nil"/>
                  </w:tcBorders>
                  <w:shd w:val="clear" w:color="auto" w:fill="auto"/>
                  <w:vAlign w:val="center"/>
                </w:tcPr>
                <w:p w14:paraId="2EF824D5">
                  <w:pPr>
                    <w:keepNext w:val="0"/>
                    <w:keepLines w:val="0"/>
                    <w:pageBreakBefore w:val="0"/>
                    <w:widowControl w:val="0"/>
                    <w:suppressLineNumbers w:val="0"/>
                    <w:kinsoku/>
                    <w:wordWrap/>
                    <w:overflowPunct/>
                    <w:topLinePunct w:val="0"/>
                    <w:autoSpaceDE/>
                    <w:autoSpaceDN/>
                    <w:bidi w:val="0"/>
                    <w:adjustRightInd w:val="0"/>
                    <w:spacing w:before="0" w:beforeAutospacing="0" w:after="0" w:afterAutospacing="0" w:line="360" w:lineRule="exact"/>
                    <w:ind w:left="0" w:right="0"/>
                    <w:jc w:val="center"/>
                    <w:textAlignment w:val="auto"/>
                    <w:rPr>
                      <w:rFonts w:hint="default"/>
                      <w:bCs/>
                      <w:lang w:val="en-US"/>
                    </w:rPr>
                  </w:pPr>
                  <w:r>
                    <w:rPr>
                      <w:rFonts w:hint="eastAsia" w:ascii="Times New Roman" w:hAnsi="Times New Roman" w:eastAsia="宋体" w:cs="宋体"/>
                      <w:kern w:val="2"/>
                      <w:sz w:val="21"/>
                      <w:szCs w:val="21"/>
                      <w:lang w:val="en-US" w:eastAsia="zh-CN" w:bidi="ar"/>
                    </w:rPr>
                    <w:t>/</w:t>
                  </w:r>
                </w:p>
              </w:tc>
            </w:tr>
            <w:tr w14:paraId="35F070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12" w:hRule="atLeast"/>
              </w:trPr>
              <w:tc>
                <w:tcPr>
                  <w:tcW w:w="450" w:type="pct"/>
                  <w:vMerge w:val="continue"/>
                  <w:tcBorders>
                    <w:tl2br w:val="nil"/>
                    <w:tr2bl w:val="nil"/>
                  </w:tcBorders>
                  <w:shd w:val="clear" w:color="auto" w:fill="auto"/>
                  <w:vAlign w:val="center"/>
                </w:tcPr>
                <w:p w14:paraId="1248DB36">
                  <w:pPr>
                    <w:keepNext w:val="0"/>
                    <w:keepLines w:val="0"/>
                    <w:pageBreakBefore w:val="0"/>
                    <w:suppressLineNumbers w:val="0"/>
                    <w:kinsoku/>
                    <w:wordWrap/>
                    <w:overflowPunct/>
                    <w:topLinePunct w:val="0"/>
                    <w:autoSpaceDE/>
                    <w:autoSpaceDN/>
                    <w:bidi w:val="0"/>
                    <w:spacing w:before="0" w:beforeAutospacing="0" w:after="0" w:afterAutospacing="0" w:line="360" w:lineRule="exact"/>
                    <w:ind w:left="0" w:right="0"/>
                    <w:textAlignment w:val="auto"/>
                    <w:rPr>
                      <w:rFonts w:hint="default" w:ascii="Times New Roman" w:hAnsi="Times New Roman" w:eastAsia="Times New Roman" w:cs="Times New Roman"/>
                      <w:sz w:val="20"/>
                      <w:szCs w:val="20"/>
                    </w:rPr>
                  </w:pPr>
                </w:p>
              </w:tc>
              <w:tc>
                <w:tcPr>
                  <w:tcW w:w="419" w:type="pct"/>
                  <w:tcBorders>
                    <w:tl2br w:val="nil"/>
                    <w:tr2bl w:val="nil"/>
                  </w:tcBorders>
                  <w:shd w:val="clear" w:color="auto" w:fill="auto"/>
                  <w:vAlign w:val="center"/>
                </w:tcPr>
                <w:p w14:paraId="4BDC4EF7">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textAlignment w:val="auto"/>
                    <w:rPr>
                      <w:rFonts w:hint="default"/>
                    </w:rPr>
                  </w:pPr>
                  <w:r>
                    <w:rPr>
                      <w:rFonts w:hint="default" w:ascii="Times New Roman" w:hAnsi="Times New Roman" w:eastAsia="宋体" w:cs="Times New Roman"/>
                      <w:kern w:val="2"/>
                      <w:sz w:val="21"/>
                      <w:szCs w:val="21"/>
                      <w:lang w:val="en-US" w:eastAsia="zh-CN" w:bidi="ar"/>
                    </w:rPr>
                    <w:t>3</w:t>
                  </w:r>
                </w:p>
              </w:tc>
              <w:tc>
                <w:tcPr>
                  <w:tcW w:w="2343" w:type="pct"/>
                  <w:tcBorders>
                    <w:tl2br w:val="nil"/>
                    <w:tr2bl w:val="nil"/>
                  </w:tcBorders>
                  <w:shd w:val="clear" w:color="auto" w:fill="auto"/>
                  <w:vAlign w:val="center"/>
                </w:tcPr>
                <w:p w14:paraId="7EA841C9">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textAlignment w:val="auto"/>
                    <w:rPr>
                      <w:rFonts w:hint="default"/>
                    </w:rPr>
                  </w:pPr>
                  <w:r>
                    <w:rPr>
                      <w:rFonts w:hint="eastAsia" w:ascii="Times New Roman" w:hAnsi="Times New Roman" w:eastAsia="宋体" w:cs="宋体"/>
                      <w:kern w:val="2"/>
                      <w:sz w:val="21"/>
                      <w:szCs w:val="21"/>
                      <w:lang w:val="en-US" w:eastAsia="zh-CN" w:bidi="ar"/>
                    </w:rPr>
                    <w:t>全面淘汰国三及以下排放标准营运中重型柴油货车；推进大宗货物</w:t>
                  </w:r>
                  <w:r>
                    <w:rPr>
                      <w:rFonts w:hint="eastAsia" w:ascii="宋体" w:hAnsi="宋体" w:eastAsia="宋体" w:cs="宋体"/>
                      <w:kern w:val="2"/>
                      <w:sz w:val="21"/>
                      <w:szCs w:val="21"/>
                      <w:lang w:val="en-US" w:eastAsia="zh-CN" w:bidi="ar"/>
                    </w:rPr>
                    <w:t>“公转铁”“公转水”</w:t>
                  </w:r>
                  <w:r>
                    <w:rPr>
                      <w:rFonts w:hint="eastAsia" w:ascii="Times New Roman" w:hAnsi="Times New Roman" w:eastAsia="宋体" w:cs="宋体"/>
                      <w:kern w:val="2"/>
                      <w:sz w:val="21"/>
                      <w:szCs w:val="21"/>
                      <w:lang w:val="en-US" w:eastAsia="zh-CN" w:bidi="ar"/>
                    </w:rPr>
                    <w:t>。</w:t>
                  </w:r>
                </w:p>
              </w:tc>
              <w:tc>
                <w:tcPr>
                  <w:tcW w:w="1251" w:type="pct"/>
                  <w:tcBorders>
                    <w:tl2br w:val="nil"/>
                    <w:tr2bl w:val="nil"/>
                  </w:tcBorders>
                  <w:shd w:val="clear" w:color="auto" w:fill="auto"/>
                  <w:vAlign w:val="center"/>
                </w:tcPr>
                <w:p w14:paraId="032F0E5E">
                  <w:pPr>
                    <w:keepNext w:val="0"/>
                    <w:keepLines w:val="0"/>
                    <w:pageBreakBefore w:val="0"/>
                    <w:widowControl w:val="0"/>
                    <w:suppressLineNumbers w:val="0"/>
                    <w:kinsoku/>
                    <w:wordWrap/>
                    <w:overflowPunct/>
                    <w:topLinePunct w:val="0"/>
                    <w:autoSpaceDE/>
                    <w:autoSpaceDN/>
                    <w:bidi w:val="0"/>
                    <w:adjustRightInd w:val="0"/>
                    <w:spacing w:before="0" w:beforeAutospacing="0" w:after="0" w:afterAutospacing="0" w:line="360" w:lineRule="exact"/>
                    <w:ind w:left="0" w:right="0"/>
                    <w:jc w:val="center"/>
                    <w:textAlignment w:val="auto"/>
                    <w:rPr>
                      <w:rFonts w:hint="default"/>
                    </w:rPr>
                  </w:pPr>
                  <w:r>
                    <w:rPr>
                      <w:rFonts w:hint="eastAsia" w:ascii="Times New Roman" w:hAnsi="Times New Roman" w:eastAsia="宋体" w:cs="宋体"/>
                      <w:bCs/>
                      <w:kern w:val="2"/>
                      <w:sz w:val="21"/>
                      <w:szCs w:val="21"/>
                      <w:lang w:val="en-US" w:eastAsia="zh-CN" w:bidi="ar"/>
                    </w:rPr>
                    <w:t>项目</w:t>
                  </w:r>
                  <w:r>
                    <w:rPr>
                      <w:rFonts w:hint="eastAsia" w:cs="宋体"/>
                      <w:bCs/>
                      <w:kern w:val="2"/>
                      <w:sz w:val="21"/>
                      <w:szCs w:val="21"/>
                      <w:lang w:val="en-US" w:eastAsia="zh-CN" w:bidi="ar"/>
                    </w:rPr>
                    <w:t>不</w:t>
                  </w:r>
                  <w:r>
                    <w:rPr>
                      <w:rFonts w:hint="eastAsia" w:ascii="Times New Roman" w:hAnsi="Times New Roman" w:eastAsia="宋体" w:cs="宋体"/>
                      <w:bCs/>
                      <w:kern w:val="2"/>
                      <w:sz w:val="21"/>
                      <w:szCs w:val="21"/>
                      <w:lang w:val="en-US" w:eastAsia="zh-CN" w:bidi="ar"/>
                    </w:rPr>
                    <w:t>使用国三及以下排放标准营业货车，不涉及大宗货物运输。</w:t>
                  </w:r>
                </w:p>
              </w:tc>
              <w:tc>
                <w:tcPr>
                  <w:tcW w:w="534" w:type="pct"/>
                  <w:tcBorders>
                    <w:tl2br w:val="nil"/>
                    <w:tr2bl w:val="nil"/>
                  </w:tcBorders>
                  <w:shd w:val="clear" w:color="auto" w:fill="auto"/>
                  <w:vAlign w:val="center"/>
                </w:tcPr>
                <w:p w14:paraId="5C1C787D">
                  <w:pPr>
                    <w:keepNext w:val="0"/>
                    <w:keepLines w:val="0"/>
                    <w:pageBreakBefore w:val="0"/>
                    <w:widowControl w:val="0"/>
                    <w:suppressLineNumbers w:val="0"/>
                    <w:kinsoku/>
                    <w:wordWrap/>
                    <w:overflowPunct/>
                    <w:topLinePunct w:val="0"/>
                    <w:autoSpaceDE/>
                    <w:autoSpaceDN/>
                    <w:bidi w:val="0"/>
                    <w:adjustRightInd w:val="0"/>
                    <w:spacing w:before="0" w:beforeAutospacing="0" w:after="0" w:afterAutospacing="0" w:line="360" w:lineRule="exact"/>
                    <w:ind w:left="0" w:right="0"/>
                    <w:jc w:val="center"/>
                    <w:textAlignment w:val="auto"/>
                    <w:rPr>
                      <w:rFonts w:hint="default"/>
                      <w:bCs/>
                      <w:lang w:val="en-US"/>
                    </w:rPr>
                  </w:pPr>
                  <w:r>
                    <w:rPr>
                      <w:rFonts w:hint="eastAsia" w:ascii="Times New Roman" w:hAnsi="Times New Roman" w:eastAsia="宋体" w:cs="宋体"/>
                      <w:kern w:val="2"/>
                      <w:sz w:val="21"/>
                      <w:szCs w:val="21"/>
                      <w:lang w:val="en-US" w:eastAsia="zh-CN" w:bidi="ar"/>
                    </w:rPr>
                    <w:t>符合</w:t>
                  </w:r>
                </w:p>
              </w:tc>
            </w:tr>
            <w:tr w14:paraId="0CEED7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69" w:hRule="atLeast"/>
              </w:trPr>
              <w:tc>
                <w:tcPr>
                  <w:tcW w:w="450" w:type="pct"/>
                  <w:vMerge w:val="continue"/>
                  <w:tcBorders>
                    <w:tl2br w:val="nil"/>
                    <w:tr2bl w:val="nil"/>
                  </w:tcBorders>
                  <w:shd w:val="clear" w:color="auto" w:fill="auto"/>
                  <w:vAlign w:val="center"/>
                </w:tcPr>
                <w:p w14:paraId="5C9684DE">
                  <w:pPr>
                    <w:keepNext w:val="0"/>
                    <w:keepLines w:val="0"/>
                    <w:pageBreakBefore w:val="0"/>
                    <w:suppressLineNumbers w:val="0"/>
                    <w:kinsoku/>
                    <w:wordWrap/>
                    <w:overflowPunct/>
                    <w:topLinePunct w:val="0"/>
                    <w:autoSpaceDE/>
                    <w:autoSpaceDN/>
                    <w:bidi w:val="0"/>
                    <w:spacing w:before="0" w:beforeAutospacing="0" w:after="0" w:afterAutospacing="0" w:line="360" w:lineRule="exact"/>
                    <w:ind w:left="0" w:right="0"/>
                    <w:textAlignment w:val="auto"/>
                    <w:rPr>
                      <w:rFonts w:hint="default" w:ascii="Times New Roman" w:hAnsi="Times New Roman" w:eastAsia="Times New Roman" w:cs="Times New Roman"/>
                      <w:sz w:val="20"/>
                      <w:szCs w:val="20"/>
                    </w:rPr>
                  </w:pPr>
                </w:p>
              </w:tc>
              <w:tc>
                <w:tcPr>
                  <w:tcW w:w="419" w:type="pct"/>
                  <w:tcBorders>
                    <w:tl2br w:val="nil"/>
                    <w:tr2bl w:val="nil"/>
                  </w:tcBorders>
                  <w:shd w:val="clear" w:color="auto" w:fill="auto"/>
                  <w:vAlign w:val="center"/>
                </w:tcPr>
                <w:p w14:paraId="26C66491">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textAlignment w:val="auto"/>
                    <w:rPr>
                      <w:rFonts w:hint="default"/>
                    </w:rPr>
                  </w:pPr>
                  <w:r>
                    <w:rPr>
                      <w:rFonts w:hint="default" w:ascii="Times New Roman" w:hAnsi="Times New Roman" w:eastAsia="宋体" w:cs="Times New Roman"/>
                      <w:kern w:val="2"/>
                      <w:sz w:val="21"/>
                      <w:szCs w:val="21"/>
                      <w:lang w:val="en-US" w:eastAsia="zh-CN" w:bidi="ar"/>
                    </w:rPr>
                    <w:t>4</w:t>
                  </w:r>
                </w:p>
              </w:tc>
              <w:tc>
                <w:tcPr>
                  <w:tcW w:w="2343" w:type="pct"/>
                  <w:tcBorders>
                    <w:tl2br w:val="nil"/>
                    <w:tr2bl w:val="nil"/>
                  </w:tcBorders>
                  <w:shd w:val="clear" w:color="auto" w:fill="auto"/>
                  <w:vAlign w:val="center"/>
                </w:tcPr>
                <w:p w14:paraId="4737F297">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textAlignment w:val="auto"/>
                    <w:rPr>
                      <w:rFonts w:hint="default"/>
                    </w:rPr>
                  </w:pPr>
                  <w:r>
                    <w:rPr>
                      <w:rFonts w:hint="eastAsia" w:ascii="Times New Roman" w:hAnsi="Times New Roman" w:eastAsia="宋体" w:cs="宋体"/>
                      <w:kern w:val="2"/>
                      <w:sz w:val="21"/>
                      <w:szCs w:val="21"/>
                      <w:lang w:val="en-US" w:eastAsia="zh-CN" w:bidi="ar"/>
                    </w:rPr>
                    <w:t>全面推广绿色化工制造技术，实现化工原料和反应介质、生产工艺和制造过程绿色化，从源头上控制和减少污染。</w:t>
                  </w:r>
                </w:p>
              </w:tc>
              <w:tc>
                <w:tcPr>
                  <w:tcW w:w="1251" w:type="pct"/>
                  <w:tcBorders>
                    <w:tl2br w:val="nil"/>
                    <w:tr2bl w:val="nil"/>
                  </w:tcBorders>
                  <w:shd w:val="clear" w:color="auto" w:fill="auto"/>
                  <w:vAlign w:val="center"/>
                </w:tcPr>
                <w:p w14:paraId="0CE2E2EE">
                  <w:pPr>
                    <w:keepNext w:val="0"/>
                    <w:keepLines w:val="0"/>
                    <w:pageBreakBefore w:val="0"/>
                    <w:widowControl w:val="0"/>
                    <w:suppressLineNumbers w:val="0"/>
                    <w:kinsoku/>
                    <w:wordWrap/>
                    <w:overflowPunct/>
                    <w:topLinePunct w:val="0"/>
                    <w:autoSpaceDE/>
                    <w:autoSpaceDN/>
                    <w:bidi w:val="0"/>
                    <w:adjustRightInd w:val="0"/>
                    <w:spacing w:before="0" w:beforeAutospacing="0" w:after="0" w:afterAutospacing="0" w:line="360" w:lineRule="exact"/>
                    <w:ind w:left="0" w:right="0"/>
                    <w:jc w:val="center"/>
                    <w:textAlignment w:val="auto"/>
                    <w:rPr>
                      <w:rFonts w:hint="default"/>
                    </w:rPr>
                  </w:pPr>
                  <w:r>
                    <w:rPr>
                      <w:rFonts w:hint="eastAsia" w:ascii="Times New Roman" w:hAnsi="Times New Roman" w:eastAsia="宋体" w:cs="宋体"/>
                      <w:bCs/>
                      <w:kern w:val="2"/>
                      <w:sz w:val="21"/>
                      <w:szCs w:val="21"/>
                      <w:lang w:val="en-US" w:eastAsia="zh-CN" w:bidi="ar"/>
                    </w:rPr>
                    <w:t>不涉及。</w:t>
                  </w:r>
                </w:p>
              </w:tc>
              <w:tc>
                <w:tcPr>
                  <w:tcW w:w="534" w:type="pct"/>
                  <w:tcBorders>
                    <w:tl2br w:val="nil"/>
                    <w:tr2bl w:val="nil"/>
                  </w:tcBorders>
                  <w:shd w:val="clear" w:color="auto" w:fill="auto"/>
                  <w:vAlign w:val="center"/>
                </w:tcPr>
                <w:p w14:paraId="5BC98B0E">
                  <w:pPr>
                    <w:keepNext w:val="0"/>
                    <w:keepLines w:val="0"/>
                    <w:pageBreakBefore w:val="0"/>
                    <w:widowControl w:val="0"/>
                    <w:suppressLineNumbers w:val="0"/>
                    <w:kinsoku/>
                    <w:wordWrap/>
                    <w:overflowPunct/>
                    <w:topLinePunct w:val="0"/>
                    <w:autoSpaceDE/>
                    <w:autoSpaceDN/>
                    <w:bidi w:val="0"/>
                    <w:adjustRightInd w:val="0"/>
                    <w:spacing w:before="0" w:beforeAutospacing="0" w:after="0" w:afterAutospacing="0" w:line="360" w:lineRule="exact"/>
                    <w:ind w:left="0" w:right="0"/>
                    <w:jc w:val="center"/>
                    <w:textAlignment w:val="auto"/>
                    <w:rPr>
                      <w:rFonts w:hint="default"/>
                      <w:bCs/>
                      <w:lang w:val="en-US"/>
                    </w:rPr>
                  </w:pPr>
                  <w:r>
                    <w:rPr>
                      <w:rFonts w:hint="eastAsia" w:ascii="Times New Roman" w:hAnsi="Times New Roman" w:eastAsia="宋体" w:cs="宋体"/>
                      <w:kern w:val="2"/>
                      <w:sz w:val="21"/>
                      <w:szCs w:val="21"/>
                      <w:lang w:val="en-US" w:eastAsia="zh-CN" w:bidi="ar"/>
                    </w:rPr>
                    <w:t>/</w:t>
                  </w:r>
                </w:p>
              </w:tc>
            </w:tr>
            <w:tr w14:paraId="3094D8A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59" w:hRule="atLeast"/>
              </w:trPr>
              <w:tc>
                <w:tcPr>
                  <w:tcW w:w="450" w:type="pct"/>
                  <w:vMerge w:val="continue"/>
                  <w:tcBorders>
                    <w:tl2br w:val="nil"/>
                    <w:tr2bl w:val="nil"/>
                  </w:tcBorders>
                  <w:shd w:val="clear" w:color="auto" w:fill="auto"/>
                  <w:vAlign w:val="center"/>
                </w:tcPr>
                <w:p w14:paraId="248AEEB6">
                  <w:pPr>
                    <w:keepNext w:val="0"/>
                    <w:keepLines w:val="0"/>
                    <w:pageBreakBefore w:val="0"/>
                    <w:widowControl w:val="0"/>
                    <w:suppressLineNumbers w:val="0"/>
                    <w:kinsoku/>
                    <w:wordWrap/>
                    <w:overflowPunct/>
                    <w:topLinePunct w:val="0"/>
                    <w:autoSpaceDE/>
                    <w:autoSpaceDN/>
                    <w:bidi w:val="0"/>
                    <w:adjustRightInd w:val="0"/>
                    <w:spacing w:before="0" w:beforeAutospacing="0" w:after="0" w:afterAutospacing="0" w:line="360" w:lineRule="exact"/>
                    <w:ind w:left="0" w:right="0"/>
                    <w:jc w:val="center"/>
                    <w:textAlignment w:val="auto"/>
                    <w:rPr>
                      <w:rFonts w:hint="default"/>
                      <w:bCs/>
                      <w:lang w:val="en-US"/>
                    </w:rPr>
                  </w:pPr>
                </w:p>
              </w:tc>
              <w:tc>
                <w:tcPr>
                  <w:tcW w:w="419" w:type="pct"/>
                  <w:tcBorders>
                    <w:tl2br w:val="nil"/>
                    <w:tr2bl w:val="nil"/>
                  </w:tcBorders>
                  <w:shd w:val="clear" w:color="auto" w:fill="auto"/>
                  <w:vAlign w:val="center"/>
                </w:tcPr>
                <w:p w14:paraId="7AA899AB">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textAlignment w:val="auto"/>
                    <w:rPr>
                      <w:rFonts w:hint="default"/>
                    </w:rPr>
                  </w:pPr>
                  <w:r>
                    <w:rPr>
                      <w:rFonts w:hint="default" w:ascii="Times New Roman" w:hAnsi="Times New Roman" w:eastAsia="宋体" w:cs="Times New Roman"/>
                      <w:kern w:val="2"/>
                      <w:sz w:val="21"/>
                      <w:szCs w:val="21"/>
                      <w:lang w:val="en-US" w:eastAsia="zh-CN" w:bidi="ar"/>
                    </w:rPr>
                    <w:t>5</w:t>
                  </w:r>
                </w:p>
              </w:tc>
              <w:tc>
                <w:tcPr>
                  <w:tcW w:w="2343" w:type="pct"/>
                  <w:tcBorders>
                    <w:tl2br w:val="nil"/>
                    <w:tr2bl w:val="nil"/>
                  </w:tcBorders>
                  <w:shd w:val="clear" w:color="auto" w:fill="auto"/>
                  <w:vAlign w:val="center"/>
                </w:tcPr>
                <w:p w14:paraId="7A2CAB16">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textAlignment w:val="auto"/>
                    <w:rPr>
                      <w:rFonts w:hint="default"/>
                    </w:rPr>
                  </w:pPr>
                  <w:r>
                    <w:rPr>
                      <w:rFonts w:hint="eastAsia" w:ascii="Times New Roman" w:hAnsi="Times New Roman" w:eastAsia="宋体" w:cs="宋体"/>
                      <w:kern w:val="2"/>
                      <w:sz w:val="21"/>
                      <w:szCs w:val="21"/>
                      <w:lang w:val="en-US" w:eastAsia="zh-CN" w:bidi="ar"/>
                    </w:rPr>
                    <w:t>推行农业绿色生产方式，协同推进种植业、养殖业节能减排与污染治理；推广生物质能、太阳能等绿色用能模式，加快农业及农产品加工设施等可再生能源替代。</w:t>
                  </w:r>
                </w:p>
              </w:tc>
              <w:tc>
                <w:tcPr>
                  <w:tcW w:w="1251" w:type="pct"/>
                  <w:tcBorders>
                    <w:tl2br w:val="nil"/>
                    <w:tr2bl w:val="nil"/>
                  </w:tcBorders>
                  <w:shd w:val="clear" w:color="auto" w:fill="auto"/>
                  <w:vAlign w:val="center"/>
                </w:tcPr>
                <w:p w14:paraId="56F23581">
                  <w:pPr>
                    <w:keepNext w:val="0"/>
                    <w:keepLines w:val="0"/>
                    <w:pageBreakBefore w:val="0"/>
                    <w:widowControl w:val="0"/>
                    <w:suppressLineNumbers w:val="0"/>
                    <w:kinsoku/>
                    <w:wordWrap/>
                    <w:overflowPunct/>
                    <w:topLinePunct w:val="0"/>
                    <w:autoSpaceDE/>
                    <w:autoSpaceDN/>
                    <w:bidi w:val="0"/>
                    <w:adjustRightInd w:val="0"/>
                    <w:spacing w:before="0" w:beforeAutospacing="0" w:after="0" w:afterAutospacing="0" w:line="360" w:lineRule="exact"/>
                    <w:ind w:left="0" w:right="0"/>
                    <w:jc w:val="center"/>
                    <w:textAlignment w:val="auto"/>
                    <w:rPr>
                      <w:rFonts w:hint="default"/>
                    </w:rPr>
                  </w:pPr>
                  <w:r>
                    <w:rPr>
                      <w:rFonts w:hint="eastAsia" w:ascii="Times New Roman" w:hAnsi="Times New Roman" w:eastAsia="宋体" w:cs="宋体"/>
                      <w:bCs/>
                      <w:kern w:val="2"/>
                      <w:sz w:val="21"/>
                      <w:szCs w:val="21"/>
                      <w:lang w:val="en-US" w:eastAsia="zh-CN" w:bidi="ar"/>
                    </w:rPr>
                    <w:t>不涉及。</w:t>
                  </w:r>
                </w:p>
              </w:tc>
              <w:tc>
                <w:tcPr>
                  <w:tcW w:w="534" w:type="pct"/>
                  <w:tcBorders>
                    <w:tl2br w:val="nil"/>
                    <w:tr2bl w:val="nil"/>
                  </w:tcBorders>
                  <w:shd w:val="clear" w:color="auto" w:fill="auto"/>
                  <w:vAlign w:val="center"/>
                </w:tcPr>
                <w:p w14:paraId="4DC773CE">
                  <w:pPr>
                    <w:keepNext w:val="0"/>
                    <w:keepLines w:val="0"/>
                    <w:pageBreakBefore w:val="0"/>
                    <w:widowControl w:val="0"/>
                    <w:suppressLineNumbers w:val="0"/>
                    <w:kinsoku/>
                    <w:wordWrap/>
                    <w:overflowPunct/>
                    <w:topLinePunct w:val="0"/>
                    <w:autoSpaceDE/>
                    <w:autoSpaceDN/>
                    <w:bidi w:val="0"/>
                    <w:adjustRightInd w:val="0"/>
                    <w:spacing w:before="0" w:beforeAutospacing="0" w:after="0" w:afterAutospacing="0" w:line="360" w:lineRule="exact"/>
                    <w:ind w:left="0" w:right="0"/>
                    <w:jc w:val="center"/>
                    <w:textAlignment w:val="auto"/>
                    <w:rPr>
                      <w:rFonts w:hint="default"/>
                      <w:bCs/>
                      <w:lang w:val="en-US"/>
                    </w:rPr>
                  </w:pPr>
                  <w:r>
                    <w:rPr>
                      <w:rFonts w:hint="eastAsia" w:ascii="Times New Roman" w:hAnsi="Times New Roman" w:eastAsia="宋体" w:cs="宋体"/>
                      <w:kern w:val="2"/>
                      <w:sz w:val="21"/>
                      <w:szCs w:val="21"/>
                      <w:lang w:val="en-US" w:eastAsia="zh-CN" w:bidi="ar"/>
                    </w:rPr>
                    <w:t>/</w:t>
                  </w:r>
                </w:p>
              </w:tc>
            </w:tr>
            <w:tr w14:paraId="61EAAD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214" w:hRule="atLeast"/>
              </w:trPr>
              <w:tc>
                <w:tcPr>
                  <w:tcW w:w="450" w:type="pct"/>
                  <w:vMerge w:val="restart"/>
                  <w:tcBorders>
                    <w:tl2br w:val="nil"/>
                    <w:tr2bl w:val="nil"/>
                  </w:tcBorders>
                  <w:shd w:val="clear" w:color="auto" w:fill="auto"/>
                  <w:vAlign w:val="center"/>
                </w:tcPr>
                <w:p w14:paraId="590A812A">
                  <w:pPr>
                    <w:keepNext w:val="0"/>
                    <w:keepLines w:val="0"/>
                    <w:pageBreakBefore w:val="0"/>
                    <w:widowControl w:val="0"/>
                    <w:suppressLineNumbers w:val="0"/>
                    <w:kinsoku/>
                    <w:wordWrap/>
                    <w:overflowPunct/>
                    <w:topLinePunct w:val="0"/>
                    <w:autoSpaceDE/>
                    <w:autoSpaceDN/>
                    <w:bidi w:val="0"/>
                    <w:adjustRightInd w:val="0"/>
                    <w:spacing w:before="0" w:beforeAutospacing="0" w:after="0" w:afterAutospacing="0" w:line="360" w:lineRule="exact"/>
                    <w:ind w:left="0" w:right="0"/>
                    <w:jc w:val="center"/>
                    <w:textAlignment w:val="auto"/>
                    <w:rPr>
                      <w:rFonts w:hint="default"/>
                      <w:bCs/>
                      <w:lang w:val="en-US"/>
                    </w:rPr>
                  </w:pPr>
                  <w:r>
                    <w:rPr>
                      <w:rFonts w:hint="eastAsia" w:ascii="Times New Roman" w:hAnsi="Times New Roman" w:eastAsia="宋体" w:cs="宋体"/>
                      <w:kern w:val="2"/>
                      <w:sz w:val="21"/>
                      <w:szCs w:val="21"/>
                      <w:lang w:val="en-US" w:eastAsia="zh-CN" w:bidi="ar"/>
                    </w:rPr>
                    <w:t>环境风险防控</w:t>
                  </w:r>
                </w:p>
              </w:tc>
              <w:tc>
                <w:tcPr>
                  <w:tcW w:w="419" w:type="pct"/>
                  <w:tcBorders>
                    <w:tl2br w:val="nil"/>
                    <w:tr2bl w:val="nil"/>
                  </w:tcBorders>
                  <w:shd w:val="clear" w:color="auto" w:fill="auto"/>
                  <w:vAlign w:val="center"/>
                </w:tcPr>
                <w:p w14:paraId="10D35E27">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textAlignment w:val="auto"/>
                    <w:rPr>
                      <w:rFonts w:hint="default"/>
                    </w:rPr>
                  </w:pPr>
                  <w:r>
                    <w:rPr>
                      <w:rFonts w:hint="default" w:ascii="Times New Roman" w:hAnsi="Times New Roman" w:eastAsia="宋体" w:cs="Times New Roman"/>
                      <w:kern w:val="2"/>
                      <w:sz w:val="21"/>
                      <w:szCs w:val="21"/>
                      <w:lang w:val="en-US" w:eastAsia="zh-CN" w:bidi="ar"/>
                    </w:rPr>
                    <w:t>1</w:t>
                  </w:r>
                </w:p>
              </w:tc>
              <w:tc>
                <w:tcPr>
                  <w:tcW w:w="2343" w:type="pct"/>
                  <w:tcBorders>
                    <w:tl2br w:val="nil"/>
                    <w:tr2bl w:val="nil"/>
                  </w:tcBorders>
                  <w:shd w:val="clear" w:color="auto" w:fill="auto"/>
                  <w:vAlign w:val="center"/>
                </w:tcPr>
                <w:p w14:paraId="047944AD">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textAlignment w:val="auto"/>
                    <w:rPr>
                      <w:rFonts w:hint="default"/>
                    </w:rPr>
                  </w:pPr>
                  <w:r>
                    <w:rPr>
                      <w:rFonts w:hint="eastAsia" w:ascii="Times New Roman" w:hAnsi="Times New Roman" w:eastAsia="宋体" w:cs="宋体"/>
                      <w:kern w:val="2"/>
                      <w:sz w:val="21"/>
                      <w:szCs w:val="21"/>
                      <w:lang w:val="en-US" w:eastAsia="zh-CN" w:bidi="ar"/>
                    </w:rPr>
                    <w:t>对无法实现低</w:t>
                  </w:r>
                  <w:r>
                    <w:rPr>
                      <w:rFonts w:hint="default" w:ascii="Times New Roman" w:hAnsi="Times New Roman" w:eastAsia="宋体" w:cs="Times New Roman"/>
                      <w:kern w:val="2"/>
                      <w:sz w:val="21"/>
                      <w:szCs w:val="21"/>
                      <w:lang w:val="en-US" w:eastAsia="zh-CN" w:bidi="ar"/>
                    </w:rPr>
                    <w:t>VOCs</w:t>
                  </w:r>
                  <w:r>
                    <w:rPr>
                      <w:rFonts w:hint="eastAsia" w:ascii="Times New Roman" w:hAnsi="Times New Roman" w:eastAsia="宋体" w:cs="宋体"/>
                      <w:kern w:val="2"/>
                      <w:sz w:val="21"/>
                      <w:szCs w:val="21"/>
                      <w:lang w:val="en-US" w:eastAsia="zh-CN" w:bidi="ar"/>
                    </w:rPr>
                    <w:t>原辅材料替代的工序，在保证安全情况下，应在密闭设备、密闭空间作业或安装二次密闭设施。</w:t>
                  </w:r>
                </w:p>
              </w:tc>
              <w:tc>
                <w:tcPr>
                  <w:tcW w:w="1251" w:type="pct"/>
                  <w:tcBorders>
                    <w:tl2br w:val="nil"/>
                    <w:tr2bl w:val="nil"/>
                  </w:tcBorders>
                  <w:shd w:val="clear" w:color="auto" w:fill="auto"/>
                  <w:vAlign w:val="center"/>
                </w:tcPr>
                <w:p w14:paraId="019E7666">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textAlignment w:val="auto"/>
                    <w:rPr>
                      <w:rFonts w:hint="default"/>
                    </w:rPr>
                  </w:pPr>
                  <w:r>
                    <w:rPr>
                      <w:rFonts w:hint="eastAsia" w:ascii="Times New Roman" w:hAnsi="Times New Roman" w:eastAsia="宋体" w:cs="宋体"/>
                      <w:kern w:val="2"/>
                      <w:sz w:val="21"/>
                      <w:szCs w:val="21"/>
                      <w:lang w:val="en-US" w:eastAsia="zh-CN" w:bidi="ar"/>
                    </w:rPr>
                    <w:t>项目挤出拉丝和覆膜工序设置密闭集气罩。</w:t>
                  </w:r>
                </w:p>
              </w:tc>
              <w:tc>
                <w:tcPr>
                  <w:tcW w:w="534" w:type="pct"/>
                  <w:tcBorders>
                    <w:tl2br w:val="nil"/>
                    <w:tr2bl w:val="nil"/>
                  </w:tcBorders>
                  <w:shd w:val="clear" w:color="auto" w:fill="auto"/>
                  <w:vAlign w:val="center"/>
                </w:tcPr>
                <w:p w14:paraId="35E74E69">
                  <w:pPr>
                    <w:keepNext w:val="0"/>
                    <w:keepLines w:val="0"/>
                    <w:pageBreakBefore w:val="0"/>
                    <w:widowControl w:val="0"/>
                    <w:suppressLineNumbers w:val="0"/>
                    <w:kinsoku/>
                    <w:wordWrap/>
                    <w:overflowPunct/>
                    <w:topLinePunct w:val="0"/>
                    <w:autoSpaceDE/>
                    <w:autoSpaceDN/>
                    <w:bidi w:val="0"/>
                    <w:adjustRightInd w:val="0"/>
                    <w:spacing w:before="0" w:beforeAutospacing="0" w:after="0" w:afterAutospacing="0" w:line="360" w:lineRule="exact"/>
                    <w:ind w:left="0" w:right="0"/>
                    <w:jc w:val="center"/>
                    <w:textAlignment w:val="auto"/>
                    <w:rPr>
                      <w:rFonts w:hint="default"/>
                      <w:bCs/>
                      <w:lang w:val="en-US"/>
                    </w:rPr>
                  </w:pPr>
                  <w:r>
                    <w:rPr>
                      <w:rFonts w:hint="eastAsia" w:ascii="Times New Roman" w:hAnsi="Times New Roman" w:eastAsia="宋体" w:cs="宋体"/>
                      <w:kern w:val="2"/>
                      <w:sz w:val="21"/>
                      <w:szCs w:val="21"/>
                      <w:lang w:val="en-US" w:eastAsia="zh-CN" w:bidi="ar"/>
                    </w:rPr>
                    <w:t>符合</w:t>
                  </w:r>
                </w:p>
              </w:tc>
            </w:tr>
            <w:tr w14:paraId="2655569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94" w:hRule="atLeast"/>
              </w:trPr>
              <w:tc>
                <w:tcPr>
                  <w:tcW w:w="450" w:type="pct"/>
                  <w:vMerge w:val="continue"/>
                  <w:tcBorders>
                    <w:tl2br w:val="nil"/>
                    <w:tr2bl w:val="nil"/>
                  </w:tcBorders>
                  <w:shd w:val="clear" w:color="auto" w:fill="auto"/>
                  <w:vAlign w:val="center"/>
                </w:tcPr>
                <w:p w14:paraId="2D22F51C">
                  <w:pPr>
                    <w:keepNext w:val="0"/>
                    <w:keepLines w:val="0"/>
                    <w:pageBreakBefore w:val="0"/>
                    <w:suppressLineNumbers w:val="0"/>
                    <w:kinsoku/>
                    <w:wordWrap/>
                    <w:overflowPunct/>
                    <w:topLinePunct w:val="0"/>
                    <w:autoSpaceDE/>
                    <w:autoSpaceDN/>
                    <w:bidi w:val="0"/>
                    <w:spacing w:before="0" w:beforeAutospacing="0" w:after="0" w:afterAutospacing="0" w:line="360" w:lineRule="exact"/>
                    <w:ind w:left="0" w:right="0"/>
                    <w:textAlignment w:val="auto"/>
                    <w:rPr>
                      <w:rFonts w:hint="default" w:ascii="Times New Roman" w:hAnsi="Times New Roman" w:eastAsia="Times New Roman" w:cs="Times New Roman"/>
                      <w:sz w:val="20"/>
                      <w:szCs w:val="20"/>
                    </w:rPr>
                  </w:pPr>
                </w:p>
              </w:tc>
              <w:tc>
                <w:tcPr>
                  <w:tcW w:w="419" w:type="pct"/>
                  <w:tcBorders>
                    <w:tl2br w:val="nil"/>
                    <w:tr2bl w:val="nil"/>
                  </w:tcBorders>
                  <w:shd w:val="clear" w:color="auto" w:fill="auto"/>
                  <w:vAlign w:val="center"/>
                </w:tcPr>
                <w:p w14:paraId="7D188F39">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textAlignment w:val="auto"/>
                    <w:rPr>
                      <w:rFonts w:hint="default"/>
                    </w:rPr>
                  </w:pPr>
                  <w:r>
                    <w:rPr>
                      <w:rFonts w:hint="default" w:ascii="Times New Roman" w:hAnsi="Times New Roman" w:eastAsia="宋体" w:cs="Times New Roman"/>
                      <w:kern w:val="2"/>
                      <w:sz w:val="21"/>
                      <w:szCs w:val="21"/>
                      <w:lang w:val="en-US" w:eastAsia="zh-CN" w:bidi="ar"/>
                    </w:rPr>
                    <w:t>2</w:t>
                  </w:r>
                </w:p>
              </w:tc>
              <w:tc>
                <w:tcPr>
                  <w:tcW w:w="2343" w:type="pct"/>
                  <w:tcBorders>
                    <w:tl2br w:val="nil"/>
                    <w:tr2bl w:val="nil"/>
                  </w:tcBorders>
                  <w:shd w:val="clear" w:color="auto" w:fill="auto"/>
                  <w:vAlign w:val="center"/>
                </w:tcPr>
                <w:p w14:paraId="1FD75D61">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textAlignment w:val="auto"/>
                    <w:rPr>
                      <w:rFonts w:hint="default"/>
                    </w:rPr>
                  </w:pPr>
                  <w:r>
                    <w:rPr>
                      <w:rFonts w:hint="eastAsia" w:ascii="Times New Roman" w:hAnsi="Times New Roman" w:eastAsia="宋体" w:cs="宋体"/>
                      <w:kern w:val="2"/>
                      <w:sz w:val="21"/>
                      <w:szCs w:val="21"/>
                      <w:lang w:val="en-US" w:eastAsia="zh-CN" w:bidi="ar"/>
                    </w:rPr>
                    <w:t>矿山开采、选矿、运输过程中，应采取相应的防尘措施，化学矿、有色金属矿石及产品堆场应采取</w:t>
                  </w:r>
                  <w:r>
                    <w:rPr>
                      <w:rFonts w:hint="eastAsia" w:ascii="宋体" w:hAnsi="宋体" w:eastAsia="宋体" w:cs="宋体"/>
                      <w:kern w:val="2"/>
                      <w:sz w:val="21"/>
                      <w:szCs w:val="21"/>
                      <w:lang w:val="en-US" w:eastAsia="zh-CN" w:bidi="ar"/>
                    </w:rPr>
                    <w:t>“三防”</w:t>
                  </w:r>
                  <w:r>
                    <w:rPr>
                      <w:rFonts w:hint="eastAsia" w:ascii="Times New Roman" w:hAnsi="Times New Roman" w:eastAsia="宋体" w:cs="宋体"/>
                      <w:kern w:val="2"/>
                      <w:sz w:val="21"/>
                      <w:szCs w:val="21"/>
                      <w:lang w:val="en-US" w:eastAsia="zh-CN" w:bidi="ar"/>
                    </w:rPr>
                    <w:t>措施。</w:t>
                  </w:r>
                </w:p>
              </w:tc>
              <w:tc>
                <w:tcPr>
                  <w:tcW w:w="1251" w:type="pct"/>
                  <w:tcBorders>
                    <w:tl2br w:val="nil"/>
                    <w:tr2bl w:val="nil"/>
                  </w:tcBorders>
                  <w:shd w:val="clear" w:color="auto" w:fill="auto"/>
                  <w:vAlign w:val="center"/>
                </w:tcPr>
                <w:p w14:paraId="7917D127">
                  <w:pPr>
                    <w:keepNext w:val="0"/>
                    <w:keepLines w:val="0"/>
                    <w:pageBreakBefore w:val="0"/>
                    <w:widowControl w:val="0"/>
                    <w:suppressLineNumbers w:val="0"/>
                    <w:kinsoku/>
                    <w:wordWrap/>
                    <w:overflowPunct/>
                    <w:topLinePunct w:val="0"/>
                    <w:autoSpaceDE/>
                    <w:autoSpaceDN/>
                    <w:bidi w:val="0"/>
                    <w:adjustRightInd w:val="0"/>
                    <w:spacing w:before="0" w:beforeAutospacing="0" w:after="0" w:afterAutospacing="0" w:line="360" w:lineRule="exact"/>
                    <w:ind w:left="0" w:right="0"/>
                    <w:jc w:val="center"/>
                    <w:textAlignment w:val="auto"/>
                    <w:rPr>
                      <w:rFonts w:hint="default"/>
                    </w:rPr>
                  </w:pPr>
                  <w:r>
                    <w:rPr>
                      <w:rFonts w:hint="eastAsia" w:ascii="Times New Roman" w:hAnsi="Times New Roman" w:eastAsia="宋体" w:cs="宋体"/>
                      <w:bCs/>
                      <w:kern w:val="2"/>
                      <w:sz w:val="21"/>
                      <w:szCs w:val="21"/>
                      <w:lang w:val="en-US" w:eastAsia="zh-CN" w:bidi="ar"/>
                    </w:rPr>
                    <w:t>不涉及。</w:t>
                  </w:r>
                </w:p>
              </w:tc>
              <w:tc>
                <w:tcPr>
                  <w:tcW w:w="534" w:type="pct"/>
                  <w:tcBorders>
                    <w:tl2br w:val="nil"/>
                    <w:tr2bl w:val="nil"/>
                  </w:tcBorders>
                  <w:shd w:val="clear" w:color="auto" w:fill="auto"/>
                  <w:vAlign w:val="center"/>
                </w:tcPr>
                <w:p w14:paraId="2D75C622">
                  <w:pPr>
                    <w:keepNext w:val="0"/>
                    <w:keepLines w:val="0"/>
                    <w:pageBreakBefore w:val="0"/>
                    <w:widowControl w:val="0"/>
                    <w:suppressLineNumbers w:val="0"/>
                    <w:kinsoku/>
                    <w:wordWrap/>
                    <w:overflowPunct/>
                    <w:topLinePunct w:val="0"/>
                    <w:autoSpaceDE/>
                    <w:autoSpaceDN/>
                    <w:bidi w:val="0"/>
                    <w:adjustRightInd w:val="0"/>
                    <w:spacing w:before="0" w:beforeAutospacing="0" w:after="0" w:afterAutospacing="0" w:line="360" w:lineRule="exact"/>
                    <w:ind w:left="0" w:right="0"/>
                    <w:jc w:val="center"/>
                    <w:textAlignment w:val="auto"/>
                    <w:rPr>
                      <w:rFonts w:hint="default"/>
                      <w:bCs/>
                      <w:lang w:val="en-US"/>
                    </w:rPr>
                  </w:pPr>
                  <w:r>
                    <w:rPr>
                      <w:rFonts w:hint="eastAsia" w:ascii="Times New Roman" w:hAnsi="Times New Roman" w:eastAsia="宋体" w:cs="宋体"/>
                      <w:kern w:val="2"/>
                      <w:sz w:val="21"/>
                      <w:szCs w:val="21"/>
                      <w:lang w:val="en-US" w:eastAsia="zh-CN" w:bidi="ar"/>
                    </w:rPr>
                    <w:t>/</w:t>
                  </w:r>
                </w:p>
              </w:tc>
            </w:tr>
            <w:tr w14:paraId="427F46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32" w:hRule="atLeast"/>
              </w:trPr>
              <w:tc>
                <w:tcPr>
                  <w:tcW w:w="450" w:type="pct"/>
                  <w:vMerge w:val="continue"/>
                  <w:tcBorders>
                    <w:tl2br w:val="nil"/>
                    <w:tr2bl w:val="nil"/>
                  </w:tcBorders>
                  <w:shd w:val="clear" w:color="auto" w:fill="auto"/>
                  <w:vAlign w:val="center"/>
                </w:tcPr>
                <w:p w14:paraId="06CAD688">
                  <w:pPr>
                    <w:keepNext w:val="0"/>
                    <w:keepLines w:val="0"/>
                    <w:pageBreakBefore w:val="0"/>
                    <w:suppressLineNumbers w:val="0"/>
                    <w:kinsoku/>
                    <w:wordWrap/>
                    <w:overflowPunct/>
                    <w:topLinePunct w:val="0"/>
                    <w:autoSpaceDE/>
                    <w:autoSpaceDN/>
                    <w:bidi w:val="0"/>
                    <w:spacing w:before="0" w:beforeAutospacing="0" w:after="0" w:afterAutospacing="0" w:line="360" w:lineRule="exact"/>
                    <w:ind w:left="0" w:right="0"/>
                    <w:textAlignment w:val="auto"/>
                    <w:rPr>
                      <w:rFonts w:hint="default" w:ascii="Times New Roman" w:hAnsi="Times New Roman" w:eastAsia="Times New Roman" w:cs="Times New Roman"/>
                      <w:sz w:val="20"/>
                      <w:szCs w:val="20"/>
                    </w:rPr>
                  </w:pPr>
                </w:p>
              </w:tc>
              <w:tc>
                <w:tcPr>
                  <w:tcW w:w="419" w:type="pct"/>
                  <w:tcBorders>
                    <w:tl2br w:val="nil"/>
                    <w:tr2bl w:val="nil"/>
                  </w:tcBorders>
                  <w:shd w:val="clear" w:color="auto" w:fill="auto"/>
                  <w:vAlign w:val="center"/>
                </w:tcPr>
                <w:p w14:paraId="2B02D449">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textAlignment w:val="auto"/>
                    <w:rPr>
                      <w:rFonts w:hint="default"/>
                    </w:rPr>
                  </w:pPr>
                  <w:r>
                    <w:rPr>
                      <w:rFonts w:hint="default" w:ascii="Times New Roman" w:hAnsi="Times New Roman" w:eastAsia="宋体" w:cs="Times New Roman"/>
                      <w:kern w:val="2"/>
                      <w:sz w:val="21"/>
                      <w:szCs w:val="21"/>
                      <w:lang w:val="en-US" w:eastAsia="zh-CN" w:bidi="ar"/>
                    </w:rPr>
                    <w:t>3</w:t>
                  </w:r>
                </w:p>
              </w:tc>
              <w:tc>
                <w:tcPr>
                  <w:tcW w:w="2343" w:type="pct"/>
                  <w:tcBorders>
                    <w:tl2br w:val="nil"/>
                    <w:tr2bl w:val="nil"/>
                  </w:tcBorders>
                  <w:shd w:val="clear" w:color="auto" w:fill="auto"/>
                  <w:vAlign w:val="center"/>
                </w:tcPr>
                <w:p w14:paraId="64E5D04F">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textAlignment w:val="auto"/>
                    <w:rPr>
                      <w:rFonts w:hint="default"/>
                    </w:rPr>
                  </w:pPr>
                  <w:r>
                    <w:rPr>
                      <w:rFonts w:hint="eastAsia" w:ascii="Times New Roman" w:hAnsi="Times New Roman" w:eastAsia="宋体" w:cs="宋体"/>
                      <w:kern w:val="2"/>
                      <w:sz w:val="21"/>
                      <w:szCs w:val="21"/>
                      <w:lang w:val="en-US" w:eastAsia="zh-CN" w:bidi="ar"/>
                    </w:rPr>
                    <w:t>加强空气质量预测预报能力，完善联动应急响应体系，强化区域联防联控。</w:t>
                  </w:r>
                </w:p>
              </w:tc>
              <w:tc>
                <w:tcPr>
                  <w:tcW w:w="1251" w:type="pct"/>
                  <w:tcBorders>
                    <w:tl2br w:val="nil"/>
                    <w:tr2bl w:val="nil"/>
                  </w:tcBorders>
                  <w:shd w:val="clear" w:color="auto" w:fill="auto"/>
                  <w:vAlign w:val="center"/>
                </w:tcPr>
                <w:p w14:paraId="025FD003">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textAlignment w:val="auto"/>
                    <w:rPr>
                      <w:rFonts w:hint="default"/>
                    </w:rPr>
                  </w:pPr>
                  <w:r>
                    <w:rPr>
                      <w:rFonts w:hint="eastAsia" w:ascii="Times New Roman" w:hAnsi="Times New Roman" w:eastAsia="宋体" w:cs="宋体"/>
                      <w:kern w:val="2"/>
                      <w:sz w:val="21"/>
                      <w:szCs w:val="21"/>
                      <w:lang w:val="en-US" w:eastAsia="zh-CN" w:bidi="ar"/>
                    </w:rPr>
                    <w:t>项目设置应急响应体系，加强区域联防联控。</w:t>
                  </w:r>
                </w:p>
              </w:tc>
              <w:tc>
                <w:tcPr>
                  <w:tcW w:w="534" w:type="pct"/>
                  <w:tcBorders>
                    <w:tl2br w:val="nil"/>
                    <w:tr2bl w:val="nil"/>
                  </w:tcBorders>
                  <w:shd w:val="clear" w:color="auto" w:fill="auto"/>
                  <w:vAlign w:val="center"/>
                </w:tcPr>
                <w:p w14:paraId="2BC2A104">
                  <w:pPr>
                    <w:keepNext w:val="0"/>
                    <w:keepLines w:val="0"/>
                    <w:pageBreakBefore w:val="0"/>
                    <w:widowControl w:val="0"/>
                    <w:suppressLineNumbers w:val="0"/>
                    <w:kinsoku/>
                    <w:wordWrap/>
                    <w:overflowPunct/>
                    <w:topLinePunct w:val="0"/>
                    <w:autoSpaceDE/>
                    <w:autoSpaceDN/>
                    <w:bidi w:val="0"/>
                    <w:adjustRightInd w:val="0"/>
                    <w:spacing w:before="0" w:beforeAutospacing="0" w:after="0" w:afterAutospacing="0" w:line="360" w:lineRule="exact"/>
                    <w:ind w:left="0" w:right="0"/>
                    <w:jc w:val="center"/>
                    <w:textAlignment w:val="auto"/>
                    <w:rPr>
                      <w:rFonts w:hint="eastAsia" w:eastAsia="宋体"/>
                      <w:bCs/>
                      <w:lang w:val="en-US" w:eastAsia="zh-CN"/>
                    </w:rPr>
                  </w:pPr>
                  <w:r>
                    <w:rPr>
                      <w:rFonts w:hint="eastAsia"/>
                      <w:bCs/>
                      <w:lang w:val="en-US" w:eastAsia="zh-CN"/>
                    </w:rPr>
                    <w:t>符合</w:t>
                  </w:r>
                </w:p>
              </w:tc>
            </w:tr>
            <w:tr w14:paraId="07C55A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32" w:hRule="atLeast"/>
              </w:trPr>
              <w:tc>
                <w:tcPr>
                  <w:tcW w:w="450" w:type="pct"/>
                  <w:vMerge w:val="restart"/>
                  <w:tcBorders>
                    <w:tl2br w:val="nil"/>
                    <w:tr2bl w:val="nil"/>
                  </w:tcBorders>
                  <w:shd w:val="clear" w:color="auto" w:fill="auto"/>
                  <w:vAlign w:val="center"/>
                </w:tcPr>
                <w:p w14:paraId="1BCC77E8">
                  <w:pPr>
                    <w:keepNext w:val="0"/>
                    <w:keepLines w:val="0"/>
                    <w:pageBreakBefore w:val="0"/>
                    <w:widowControl w:val="0"/>
                    <w:suppressLineNumbers w:val="0"/>
                    <w:kinsoku/>
                    <w:wordWrap/>
                    <w:overflowPunct/>
                    <w:topLinePunct w:val="0"/>
                    <w:autoSpaceDE/>
                    <w:autoSpaceDN/>
                    <w:bidi w:val="0"/>
                    <w:adjustRightInd w:val="0"/>
                    <w:spacing w:before="0" w:beforeAutospacing="0" w:after="0" w:afterAutospacing="0" w:line="360" w:lineRule="exact"/>
                    <w:ind w:left="0" w:right="0"/>
                    <w:jc w:val="center"/>
                    <w:textAlignment w:val="auto"/>
                    <w:rPr>
                      <w:rFonts w:hint="default"/>
                      <w:bCs/>
                      <w:lang w:val="en-US"/>
                    </w:rPr>
                  </w:pPr>
                  <w:r>
                    <w:rPr>
                      <w:rFonts w:hint="eastAsia" w:ascii="Times New Roman" w:hAnsi="Times New Roman" w:eastAsia="宋体" w:cs="宋体"/>
                      <w:kern w:val="2"/>
                      <w:sz w:val="21"/>
                      <w:szCs w:val="21"/>
                      <w:lang w:val="en-US" w:eastAsia="zh-CN" w:bidi="ar"/>
                    </w:rPr>
                    <w:t>资源利用效率</w:t>
                  </w:r>
                </w:p>
              </w:tc>
              <w:tc>
                <w:tcPr>
                  <w:tcW w:w="419" w:type="pct"/>
                  <w:tcBorders>
                    <w:tl2br w:val="nil"/>
                    <w:tr2bl w:val="nil"/>
                  </w:tcBorders>
                  <w:shd w:val="clear" w:color="auto" w:fill="auto"/>
                  <w:vAlign w:val="center"/>
                </w:tcPr>
                <w:p w14:paraId="2A9013E4">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textAlignment w:val="auto"/>
                    <w:rPr>
                      <w:rFonts w:hint="default"/>
                    </w:rPr>
                  </w:pPr>
                  <w:r>
                    <w:rPr>
                      <w:rFonts w:hint="default" w:ascii="Times New Roman" w:hAnsi="Times New Roman" w:eastAsia="宋体" w:cs="Times New Roman"/>
                      <w:kern w:val="2"/>
                      <w:sz w:val="21"/>
                      <w:szCs w:val="21"/>
                      <w:lang w:val="en-US" w:eastAsia="zh-CN" w:bidi="ar"/>
                    </w:rPr>
                    <w:t>1</w:t>
                  </w:r>
                </w:p>
              </w:tc>
              <w:tc>
                <w:tcPr>
                  <w:tcW w:w="2343" w:type="pct"/>
                  <w:tcBorders>
                    <w:tl2br w:val="nil"/>
                    <w:tr2bl w:val="nil"/>
                  </w:tcBorders>
                  <w:shd w:val="clear" w:color="auto" w:fill="auto"/>
                  <w:vAlign w:val="center"/>
                </w:tcPr>
                <w:p w14:paraId="4C727045">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textAlignment w:val="auto"/>
                    <w:rPr>
                      <w:rFonts w:hint="default"/>
                    </w:rPr>
                  </w:pPr>
                  <w:r>
                    <w:rPr>
                      <w:rFonts w:hint="eastAsia" w:ascii="Times New Roman" w:hAnsi="Times New Roman" w:eastAsia="宋体" w:cs="宋体"/>
                      <w:kern w:val="2"/>
                      <w:sz w:val="21"/>
                      <w:szCs w:val="21"/>
                      <w:lang w:val="en-US" w:eastAsia="zh-CN" w:bidi="ar"/>
                    </w:rPr>
                    <w:t>严格合理控制煤炭消费，</w:t>
                  </w:r>
                  <w:r>
                    <w:rPr>
                      <w:rFonts w:hint="default" w:ascii="Times New Roman" w:hAnsi="Times New Roman" w:eastAsia="宋体" w:cs="Times New Roman"/>
                      <w:kern w:val="2"/>
                      <w:sz w:val="21"/>
                      <w:szCs w:val="21"/>
                      <w:lang w:val="en-US" w:eastAsia="zh-CN" w:bidi="ar"/>
                    </w:rPr>
                    <w:t>“</w:t>
                  </w:r>
                  <w:r>
                    <w:rPr>
                      <w:rFonts w:hint="eastAsia" w:ascii="Times New Roman" w:hAnsi="Times New Roman" w:eastAsia="宋体" w:cs="宋体"/>
                      <w:kern w:val="2"/>
                      <w:sz w:val="21"/>
                      <w:szCs w:val="21"/>
                      <w:lang w:val="en-US" w:eastAsia="zh-CN" w:bidi="ar"/>
                    </w:rPr>
                    <w:t>十四五</w:t>
                  </w:r>
                  <w:r>
                    <w:rPr>
                      <w:rFonts w:hint="default" w:ascii="Times New Roman" w:hAnsi="Times New Roman" w:eastAsia="宋体" w:cs="Times New Roman"/>
                      <w:kern w:val="2"/>
                      <w:sz w:val="21"/>
                      <w:szCs w:val="21"/>
                      <w:lang w:val="en-US" w:eastAsia="zh-CN" w:bidi="ar"/>
                    </w:rPr>
                    <w:t>”</w:t>
                  </w:r>
                  <w:r>
                    <w:rPr>
                      <w:rFonts w:hint="eastAsia" w:ascii="Times New Roman" w:hAnsi="Times New Roman" w:eastAsia="宋体" w:cs="宋体"/>
                      <w:kern w:val="2"/>
                      <w:sz w:val="21"/>
                      <w:szCs w:val="21"/>
                      <w:lang w:val="en-US" w:eastAsia="zh-CN" w:bidi="ar"/>
                    </w:rPr>
                    <w:t>期间完成省定煤炭消费总量控制目标。</w:t>
                  </w:r>
                </w:p>
              </w:tc>
              <w:tc>
                <w:tcPr>
                  <w:tcW w:w="1251" w:type="pct"/>
                  <w:tcBorders>
                    <w:tl2br w:val="nil"/>
                    <w:tr2bl w:val="nil"/>
                  </w:tcBorders>
                  <w:shd w:val="clear" w:color="auto" w:fill="auto"/>
                  <w:vAlign w:val="center"/>
                </w:tcPr>
                <w:p w14:paraId="171FB737">
                  <w:pPr>
                    <w:keepNext w:val="0"/>
                    <w:keepLines w:val="0"/>
                    <w:pageBreakBefore w:val="0"/>
                    <w:widowControl w:val="0"/>
                    <w:suppressLineNumbers w:val="0"/>
                    <w:kinsoku/>
                    <w:wordWrap/>
                    <w:overflowPunct/>
                    <w:topLinePunct w:val="0"/>
                    <w:autoSpaceDE/>
                    <w:autoSpaceDN/>
                    <w:bidi w:val="0"/>
                    <w:adjustRightInd w:val="0"/>
                    <w:spacing w:before="0" w:beforeAutospacing="0" w:after="0" w:afterAutospacing="0" w:line="360" w:lineRule="exact"/>
                    <w:ind w:left="0" w:right="0"/>
                    <w:jc w:val="center"/>
                    <w:textAlignment w:val="auto"/>
                    <w:rPr>
                      <w:rFonts w:hint="default"/>
                    </w:rPr>
                  </w:pPr>
                  <w:r>
                    <w:rPr>
                      <w:rFonts w:hint="eastAsia" w:ascii="Times New Roman" w:hAnsi="Times New Roman" w:eastAsia="宋体" w:cs="宋体"/>
                      <w:bCs/>
                      <w:kern w:val="2"/>
                      <w:sz w:val="21"/>
                      <w:szCs w:val="21"/>
                      <w:lang w:val="en-US" w:eastAsia="zh-CN" w:bidi="ar"/>
                    </w:rPr>
                    <w:t>不涉及。</w:t>
                  </w:r>
                </w:p>
              </w:tc>
              <w:tc>
                <w:tcPr>
                  <w:tcW w:w="534" w:type="pct"/>
                  <w:tcBorders>
                    <w:tl2br w:val="nil"/>
                    <w:tr2bl w:val="nil"/>
                  </w:tcBorders>
                  <w:shd w:val="clear" w:color="auto" w:fill="auto"/>
                  <w:vAlign w:val="center"/>
                </w:tcPr>
                <w:p w14:paraId="17C8CDBE">
                  <w:pPr>
                    <w:keepNext w:val="0"/>
                    <w:keepLines w:val="0"/>
                    <w:pageBreakBefore w:val="0"/>
                    <w:widowControl w:val="0"/>
                    <w:suppressLineNumbers w:val="0"/>
                    <w:kinsoku/>
                    <w:wordWrap/>
                    <w:overflowPunct/>
                    <w:topLinePunct w:val="0"/>
                    <w:autoSpaceDE/>
                    <w:autoSpaceDN/>
                    <w:bidi w:val="0"/>
                    <w:adjustRightInd w:val="0"/>
                    <w:spacing w:before="0" w:beforeAutospacing="0" w:after="0" w:afterAutospacing="0" w:line="360" w:lineRule="exact"/>
                    <w:ind w:left="0" w:right="0"/>
                    <w:jc w:val="center"/>
                    <w:textAlignment w:val="auto"/>
                    <w:rPr>
                      <w:rFonts w:hint="default"/>
                      <w:bCs/>
                      <w:lang w:val="en-US"/>
                    </w:rPr>
                  </w:pPr>
                  <w:r>
                    <w:rPr>
                      <w:rFonts w:hint="eastAsia" w:ascii="Times New Roman" w:hAnsi="Times New Roman" w:eastAsia="宋体" w:cs="宋体"/>
                      <w:kern w:val="2"/>
                      <w:sz w:val="21"/>
                      <w:szCs w:val="21"/>
                      <w:lang w:val="en-US" w:eastAsia="zh-CN" w:bidi="ar"/>
                    </w:rPr>
                    <w:t>/</w:t>
                  </w:r>
                </w:p>
              </w:tc>
            </w:tr>
            <w:tr w14:paraId="69AB914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450" w:type="pct"/>
                  <w:vMerge w:val="continue"/>
                  <w:tcBorders>
                    <w:tl2br w:val="nil"/>
                    <w:tr2bl w:val="nil"/>
                  </w:tcBorders>
                  <w:shd w:val="clear" w:color="auto" w:fill="auto"/>
                  <w:vAlign w:val="center"/>
                </w:tcPr>
                <w:p w14:paraId="5467D735">
                  <w:pPr>
                    <w:keepNext w:val="0"/>
                    <w:keepLines w:val="0"/>
                    <w:pageBreakBefore w:val="0"/>
                    <w:suppressLineNumbers w:val="0"/>
                    <w:kinsoku/>
                    <w:wordWrap/>
                    <w:overflowPunct/>
                    <w:topLinePunct w:val="0"/>
                    <w:autoSpaceDE/>
                    <w:autoSpaceDN/>
                    <w:bidi w:val="0"/>
                    <w:spacing w:before="0" w:beforeAutospacing="0" w:after="0" w:afterAutospacing="0" w:line="360" w:lineRule="exact"/>
                    <w:ind w:left="0" w:right="0"/>
                    <w:textAlignment w:val="auto"/>
                    <w:rPr>
                      <w:rFonts w:hint="default" w:ascii="Times New Roman" w:hAnsi="Times New Roman" w:eastAsia="Times New Roman" w:cs="Times New Roman"/>
                      <w:sz w:val="20"/>
                      <w:szCs w:val="20"/>
                    </w:rPr>
                  </w:pPr>
                </w:p>
              </w:tc>
              <w:tc>
                <w:tcPr>
                  <w:tcW w:w="419" w:type="pct"/>
                  <w:tcBorders>
                    <w:tl2br w:val="nil"/>
                    <w:tr2bl w:val="nil"/>
                  </w:tcBorders>
                  <w:shd w:val="clear" w:color="auto" w:fill="auto"/>
                  <w:vAlign w:val="center"/>
                </w:tcPr>
                <w:p w14:paraId="26BB88DA">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textAlignment w:val="auto"/>
                    <w:rPr>
                      <w:rFonts w:hint="default"/>
                    </w:rPr>
                  </w:pPr>
                  <w:r>
                    <w:rPr>
                      <w:rFonts w:hint="default" w:ascii="Times New Roman" w:hAnsi="Times New Roman" w:eastAsia="宋体" w:cs="Times New Roman"/>
                      <w:kern w:val="2"/>
                      <w:sz w:val="21"/>
                      <w:szCs w:val="21"/>
                      <w:lang w:val="en-US" w:eastAsia="zh-CN" w:bidi="ar"/>
                    </w:rPr>
                    <w:t>2</w:t>
                  </w:r>
                </w:p>
              </w:tc>
              <w:tc>
                <w:tcPr>
                  <w:tcW w:w="2343" w:type="pct"/>
                  <w:tcBorders>
                    <w:tl2br w:val="nil"/>
                    <w:tr2bl w:val="nil"/>
                  </w:tcBorders>
                  <w:shd w:val="clear" w:color="auto" w:fill="auto"/>
                  <w:vAlign w:val="center"/>
                </w:tcPr>
                <w:p w14:paraId="0D317AB9">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textAlignment w:val="auto"/>
                    <w:rPr>
                      <w:rFonts w:hint="default"/>
                    </w:rPr>
                  </w:pPr>
                  <w:r>
                    <w:rPr>
                      <w:rFonts w:hint="eastAsia" w:ascii="Times New Roman" w:hAnsi="Times New Roman" w:eastAsia="宋体" w:cs="宋体"/>
                      <w:kern w:val="2"/>
                      <w:sz w:val="21"/>
                      <w:szCs w:val="21"/>
                      <w:lang w:val="en-US" w:eastAsia="zh-CN" w:bidi="ar"/>
                    </w:rPr>
                    <w:t>到</w:t>
                  </w:r>
                  <w:r>
                    <w:rPr>
                      <w:rFonts w:hint="default" w:ascii="Times New Roman" w:hAnsi="Times New Roman" w:eastAsia="宋体" w:cs="Times New Roman"/>
                      <w:kern w:val="2"/>
                      <w:sz w:val="21"/>
                      <w:szCs w:val="21"/>
                      <w:lang w:val="en-US" w:eastAsia="zh-CN" w:bidi="ar"/>
                    </w:rPr>
                    <w:t>2025</w:t>
                  </w:r>
                  <w:r>
                    <w:rPr>
                      <w:rFonts w:hint="eastAsia" w:ascii="Times New Roman" w:hAnsi="Times New Roman" w:eastAsia="宋体" w:cs="宋体"/>
                      <w:kern w:val="2"/>
                      <w:sz w:val="21"/>
                      <w:szCs w:val="21"/>
                      <w:lang w:val="en-US" w:eastAsia="zh-CN" w:bidi="ar"/>
                    </w:rPr>
                    <w:t>年，吨钢综合能耗达到国内先进水平。</w:t>
                  </w:r>
                </w:p>
              </w:tc>
              <w:tc>
                <w:tcPr>
                  <w:tcW w:w="1251" w:type="pct"/>
                  <w:tcBorders>
                    <w:tl2br w:val="nil"/>
                    <w:tr2bl w:val="nil"/>
                  </w:tcBorders>
                  <w:shd w:val="clear" w:color="auto" w:fill="auto"/>
                  <w:vAlign w:val="center"/>
                </w:tcPr>
                <w:p w14:paraId="1E4AE4A8">
                  <w:pPr>
                    <w:keepNext w:val="0"/>
                    <w:keepLines w:val="0"/>
                    <w:pageBreakBefore w:val="0"/>
                    <w:widowControl w:val="0"/>
                    <w:suppressLineNumbers w:val="0"/>
                    <w:kinsoku/>
                    <w:wordWrap/>
                    <w:overflowPunct/>
                    <w:topLinePunct w:val="0"/>
                    <w:autoSpaceDE/>
                    <w:autoSpaceDN/>
                    <w:bidi w:val="0"/>
                    <w:adjustRightInd w:val="0"/>
                    <w:spacing w:before="0" w:beforeAutospacing="0" w:after="0" w:afterAutospacing="0" w:line="360" w:lineRule="exact"/>
                    <w:ind w:left="0" w:right="0"/>
                    <w:jc w:val="center"/>
                    <w:textAlignment w:val="auto"/>
                    <w:rPr>
                      <w:rFonts w:hint="default"/>
                    </w:rPr>
                  </w:pPr>
                  <w:r>
                    <w:rPr>
                      <w:rFonts w:hint="eastAsia" w:ascii="Times New Roman" w:hAnsi="Times New Roman" w:eastAsia="宋体" w:cs="宋体"/>
                      <w:bCs/>
                      <w:kern w:val="2"/>
                      <w:sz w:val="21"/>
                      <w:szCs w:val="21"/>
                      <w:lang w:val="en-US" w:eastAsia="zh-CN" w:bidi="ar"/>
                    </w:rPr>
                    <w:t>不涉及。</w:t>
                  </w:r>
                </w:p>
              </w:tc>
              <w:tc>
                <w:tcPr>
                  <w:tcW w:w="534" w:type="pct"/>
                  <w:tcBorders>
                    <w:tl2br w:val="nil"/>
                    <w:tr2bl w:val="nil"/>
                  </w:tcBorders>
                  <w:shd w:val="clear" w:color="auto" w:fill="auto"/>
                  <w:vAlign w:val="center"/>
                </w:tcPr>
                <w:p w14:paraId="0ACCD633">
                  <w:pPr>
                    <w:keepNext w:val="0"/>
                    <w:keepLines w:val="0"/>
                    <w:pageBreakBefore w:val="0"/>
                    <w:widowControl w:val="0"/>
                    <w:suppressLineNumbers w:val="0"/>
                    <w:kinsoku/>
                    <w:wordWrap/>
                    <w:overflowPunct/>
                    <w:topLinePunct w:val="0"/>
                    <w:autoSpaceDE/>
                    <w:autoSpaceDN/>
                    <w:bidi w:val="0"/>
                    <w:adjustRightInd w:val="0"/>
                    <w:spacing w:before="0" w:beforeAutospacing="0" w:after="0" w:afterAutospacing="0" w:line="360" w:lineRule="exact"/>
                    <w:ind w:left="0" w:right="0"/>
                    <w:jc w:val="center"/>
                    <w:textAlignment w:val="auto"/>
                    <w:rPr>
                      <w:rFonts w:hint="default"/>
                      <w:bCs/>
                      <w:lang w:val="en-US"/>
                    </w:rPr>
                  </w:pPr>
                  <w:r>
                    <w:rPr>
                      <w:rFonts w:hint="eastAsia" w:ascii="Times New Roman" w:hAnsi="Times New Roman" w:eastAsia="宋体" w:cs="宋体"/>
                      <w:kern w:val="2"/>
                      <w:sz w:val="21"/>
                      <w:szCs w:val="21"/>
                      <w:lang w:val="en-US" w:eastAsia="zh-CN" w:bidi="ar"/>
                    </w:rPr>
                    <w:t>/</w:t>
                  </w:r>
                </w:p>
              </w:tc>
            </w:tr>
            <w:tr w14:paraId="63398E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81" w:hRule="atLeast"/>
              </w:trPr>
              <w:tc>
                <w:tcPr>
                  <w:tcW w:w="450" w:type="pct"/>
                  <w:vMerge w:val="continue"/>
                  <w:tcBorders>
                    <w:tl2br w:val="nil"/>
                    <w:tr2bl w:val="nil"/>
                  </w:tcBorders>
                  <w:shd w:val="clear" w:color="auto" w:fill="auto"/>
                  <w:vAlign w:val="center"/>
                </w:tcPr>
                <w:p w14:paraId="7FB3ECC7">
                  <w:pPr>
                    <w:keepNext w:val="0"/>
                    <w:keepLines w:val="0"/>
                    <w:pageBreakBefore w:val="0"/>
                    <w:suppressLineNumbers w:val="0"/>
                    <w:kinsoku/>
                    <w:wordWrap/>
                    <w:overflowPunct/>
                    <w:topLinePunct w:val="0"/>
                    <w:autoSpaceDE/>
                    <w:autoSpaceDN/>
                    <w:bidi w:val="0"/>
                    <w:spacing w:before="0" w:beforeAutospacing="0" w:after="0" w:afterAutospacing="0" w:line="360" w:lineRule="exact"/>
                    <w:ind w:left="0" w:right="0"/>
                    <w:textAlignment w:val="auto"/>
                    <w:rPr>
                      <w:rFonts w:hint="default" w:ascii="Times New Roman" w:hAnsi="Times New Roman" w:eastAsia="Times New Roman" w:cs="Times New Roman"/>
                      <w:sz w:val="20"/>
                      <w:szCs w:val="20"/>
                    </w:rPr>
                  </w:pPr>
                </w:p>
              </w:tc>
              <w:tc>
                <w:tcPr>
                  <w:tcW w:w="419" w:type="pct"/>
                  <w:tcBorders>
                    <w:tl2br w:val="nil"/>
                    <w:tr2bl w:val="nil"/>
                  </w:tcBorders>
                  <w:shd w:val="clear" w:color="auto" w:fill="auto"/>
                  <w:vAlign w:val="center"/>
                </w:tcPr>
                <w:p w14:paraId="75675C99">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textAlignment w:val="auto"/>
                    <w:rPr>
                      <w:rFonts w:hint="default"/>
                    </w:rPr>
                  </w:pPr>
                  <w:r>
                    <w:rPr>
                      <w:rFonts w:hint="default" w:ascii="Times New Roman" w:hAnsi="Times New Roman" w:eastAsia="宋体" w:cs="Times New Roman"/>
                      <w:kern w:val="2"/>
                      <w:sz w:val="21"/>
                      <w:szCs w:val="21"/>
                      <w:lang w:val="en-US" w:eastAsia="zh-CN" w:bidi="ar"/>
                    </w:rPr>
                    <w:t>3</w:t>
                  </w:r>
                </w:p>
              </w:tc>
              <w:tc>
                <w:tcPr>
                  <w:tcW w:w="2343" w:type="pct"/>
                  <w:tcBorders>
                    <w:tl2br w:val="nil"/>
                    <w:tr2bl w:val="nil"/>
                  </w:tcBorders>
                  <w:shd w:val="clear" w:color="auto" w:fill="auto"/>
                  <w:vAlign w:val="center"/>
                </w:tcPr>
                <w:p w14:paraId="4A3F90D0">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textAlignment w:val="auto"/>
                    <w:rPr>
                      <w:rFonts w:hint="default"/>
                    </w:rPr>
                  </w:pPr>
                  <w:r>
                    <w:rPr>
                      <w:rFonts w:hint="eastAsia" w:ascii="Times New Roman" w:hAnsi="Times New Roman" w:eastAsia="宋体" w:cs="宋体"/>
                      <w:kern w:val="2"/>
                      <w:sz w:val="21"/>
                      <w:szCs w:val="21"/>
                      <w:lang w:val="en-US" w:eastAsia="zh-CN" w:bidi="ar"/>
                    </w:rPr>
                    <w:t>到</w:t>
                  </w:r>
                  <w:r>
                    <w:rPr>
                      <w:rFonts w:hint="default" w:ascii="Times New Roman" w:hAnsi="Times New Roman" w:eastAsia="宋体" w:cs="Times New Roman"/>
                      <w:kern w:val="2"/>
                      <w:sz w:val="21"/>
                      <w:szCs w:val="21"/>
                      <w:lang w:val="en-US" w:eastAsia="zh-CN" w:bidi="ar"/>
                    </w:rPr>
                    <w:t>2025</w:t>
                  </w:r>
                  <w:r>
                    <w:rPr>
                      <w:rFonts w:hint="eastAsia" w:ascii="Times New Roman" w:hAnsi="Times New Roman" w:eastAsia="宋体" w:cs="宋体"/>
                      <w:kern w:val="2"/>
                      <w:sz w:val="21"/>
                      <w:szCs w:val="21"/>
                      <w:lang w:val="en-US" w:eastAsia="zh-CN" w:bidi="ar"/>
                    </w:rPr>
                    <w:t>年，钢铁、石化化工、有色金属、建材等行业重点产品能效达到国际先进水平，规模以上工业单位增加值能耗比</w:t>
                  </w:r>
                  <w:r>
                    <w:rPr>
                      <w:rFonts w:hint="default" w:ascii="Times New Roman" w:hAnsi="Times New Roman" w:eastAsia="宋体" w:cs="Times New Roman"/>
                      <w:kern w:val="2"/>
                      <w:sz w:val="21"/>
                      <w:szCs w:val="21"/>
                      <w:lang w:val="en-US" w:eastAsia="zh-CN" w:bidi="ar"/>
                    </w:rPr>
                    <w:t>2020</w:t>
                  </w:r>
                  <w:r>
                    <w:rPr>
                      <w:rFonts w:hint="eastAsia" w:ascii="Times New Roman" w:hAnsi="Times New Roman" w:eastAsia="宋体" w:cs="宋体"/>
                      <w:kern w:val="2"/>
                      <w:sz w:val="21"/>
                      <w:szCs w:val="21"/>
                      <w:lang w:val="en-US" w:eastAsia="zh-CN" w:bidi="ar"/>
                    </w:rPr>
                    <w:t>年下降</w:t>
                  </w:r>
                  <w:r>
                    <w:rPr>
                      <w:rFonts w:hint="default" w:ascii="Times New Roman" w:hAnsi="Times New Roman" w:eastAsia="宋体" w:cs="Times New Roman"/>
                      <w:kern w:val="2"/>
                      <w:sz w:val="21"/>
                      <w:szCs w:val="21"/>
                      <w:lang w:val="en-US" w:eastAsia="zh-CN" w:bidi="ar"/>
                    </w:rPr>
                    <w:t>13.5%</w:t>
                  </w:r>
                  <w:r>
                    <w:rPr>
                      <w:rFonts w:hint="eastAsia" w:ascii="Times New Roman" w:hAnsi="Times New Roman" w:eastAsia="宋体" w:cs="宋体"/>
                      <w:kern w:val="2"/>
                      <w:sz w:val="21"/>
                      <w:szCs w:val="21"/>
                      <w:lang w:val="en-US" w:eastAsia="zh-CN" w:bidi="ar"/>
                    </w:rPr>
                    <w:t>。</w:t>
                  </w:r>
                </w:p>
              </w:tc>
              <w:tc>
                <w:tcPr>
                  <w:tcW w:w="1251" w:type="pct"/>
                  <w:tcBorders>
                    <w:tl2br w:val="nil"/>
                    <w:tr2bl w:val="nil"/>
                  </w:tcBorders>
                  <w:shd w:val="clear" w:color="auto" w:fill="auto"/>
                  <w:vAlign w:val="center"/>
                </w:tcPr>
                <w:p w14:paraId="20647904">
                  <w:pPr>
                    <w:keepNext w:val="0"/>
                    <w:keepLines w:val="0"/>
                    <w:pageBreakBefore w:val="0"/>
                    <w:widowControl w:val="0"/>
                    <w:suppressLineNumbers w:val="0"/>
                    <w:kinsoku/>
                    <w:wordWrap/>
                    <w:overflowPunct/>
                    <w:topLinePunct w:val="0"/>
                    <w:autoSpaceDE/>
                    <w:autoSpaceDN/>
                    <w:bidi w:val="0"/>
                    <w:adjustRightInd w:val="0"/>
                    <w:spacing w:before="0" w:beforeAutospacing="0" w:after="0" w:afterAutospacing="0" w:line="360" w:lineRule="exact"/>
                    <w:ind w:left="0" w:right="0"/>
                    <w:jc w:val="center"/>
                    <w:textAlignment w:val="auto"/>
                    <w:rPr>
                      <w:rFonts w:hint="default"/>
                    </w:rPr>
                  </w:pPr>
                  <w:r>
                    <w:rPr>
                      <w:rFonts w:hint="eastAsia" w:ascii="Times New Roman" w:hAnsi="Times New Roman" w:eastAsia="宋体" w:cs="宋体"/>
                      <w:bCs/>
                      <w:kern w:val="2"/>
                      <w:sz w:val="21"/>
                      <w:szCs w:val="21"/>
                      <w:lang w:val="en-US" w:eastAsia="zh-CN" w:bidi="ar"/>
                    </w:rPr>
                    <w:t>不涉及。</w:t>
                  </w:r>
                </w:p>
              </w:tc>
              <w:tc>
                <w:tcPr>
                  <w:tcW w:w="534" w:type="pct"/>
                  <w:tcBorders>
                    <w:tl2br w:val="nil"/>
                    <w:tr2bl w:val="nil"/>
                  </w:tcBorders>
                  <w:shd w:val="clear" w:color="auto" w:fill="auto"/>
                  <w:vAlign w:val="center"/>
                </w:tcPr>
                <w:p w14:paraId="20BB047A">
                  <w:pPr>
                    <w:keepNext w:val="0"/>
                    <w:keepLines w:val="0"/>
                    <w:pageBreakBefore w:val="0"/>
                    <w:widowControl w:val="0"/>
                    <w:suppressLineNumbers w:val="0"/>
                    <w:kinsoku/>
                    <w:wordWrap/>
                    <w:overflowPunct/>
                    <w:topLinePunct w:val="0"/>
                    <w:autoSpaceDE/>
                    <w:autoSpaceDN/>
                    <w:bidi w:val="0"/>
                    <w:adjustRightInd w:val="0"/>
                    <w:spacing w:before="0" w:beforeAutospacing="0" w:after="0" w:afterAutospacing="0" w:line="360" w:lineRule="exact"/>
                    <w:ind w:left="0" w:right="0"/>
                    <w:jc w:val="center"/>
                    <w:textAlignment w:val="auto"/>
                    <w:rPr>
                      <w:rFonts w:hint="default"/>
                      <w:bCs/>
                      <w:lang w:val="en-US"/>
                    </w:rPr>
                  </w:pPr>
                  <w:r>
                    <w:rPr>
                      <w:rFonts w:hint="eastAsia" w:ascii="Times New Roman" w:hAnsi="Times New Roman" w:eastAsia="宋体" w:cs="宋体"/>
                      <w:kern w:val="2"/>
                      <w:sz w:val="21"/>
                      <w:szCs w:val="21"/>
                      <w:lang w:val="en-US" w:eastAsia="zh-CN" w:bidi="ar"/>
                    </w:rPr>
                    <w:t>/</w:t>
                  </w:r>
                </w:p>
              </w:tc>
            </w:tr>
          </w:tbl>
          <w:p w14:paraId="7F4FF274">
            <w:pPr>
              <w:pStyle w:val="21"/>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520" w:lineRule="exact"/>
              <w:ind w:left="0" w:right="0" w:firstLine="480" w:firstLineChars="200"/>
              <w:jc w:val="both"/>
              <w:textAlignment w:val="auto"/>
              <w:rPr>
                <w:rFonts w:hint="default" w:ascii="Times New Roman" w:hAnsi="Times New Roman" w:eastAsia="宋体" w:cs="Times New Roman"/>
                <w:color w:val="000000"/>
                <w:sz w:val="24"/>
                <w:szCs w:val="24"/>
                <w:lang w:val="en-US"/>
              </w:rPr>
            </w:pPr>
            <w:r>
              <w:rPr>
                <w:rFonts w:hint="eastAsia" w:ascii="Times New Roman" w:hAnsi="Times New Roman" w:eastAsia="宋体" w:cs="宋体"/>
                <w:color w:val="000000"/>
                <w:kern w:val="2"/>
                <w:sz w:val="24"/>
                <w:szCs w:val="24"/>
                <w:lang w:val="en-US" w:eastAsia="zh-CN" w:bidi="ar"/>
              </w:rPr>
              <w:t>综上，本项目符合《河南省生态环境分区管控总体要求》（</w:t>
            </w:r>
            <w:r>
              <w:rPr>
                <w:rFonts w:hint="default" w:ascii="Times New Roman" w:hAnsi="Times New Roman" w:eastAsia="宋体" w:cs="Times New Roman"/>
                <w:color w:val="000000"/>
                <w:kern w:val="2"/>
                <w:sz w:val="24"/>
                <w:szCs w:val="24"/>
                <w:lang w:val="en-US" w:eastAsia="zh-CN" w:bidi="ar"/>
              </w:rPr>
              <w:t>2023</w:t>
            </w:r>
            <w:r>
              <w:rPr>
                <w:rFonts w:hint="eastAsia" w:ascii="Times New Roman" w:hAnsi="Times New Roman" w:eastAsia="宋体" w:cs="宋体"/>
                <w:color w:val="000000"/>
                <w:kern w:val="2"/>
                <w:sz w:val="24"/>
                <w:szCs w:val="24"/>
                <w:lang w:val="en-US" w:eastAsia="zh-CN" w:bidi="ar"/>
              </w:rPr>
              <w:t>年版）中生态环境管控要求。</w:t>
            </w:r>
          </w:p>
          <w:p w14:paraId="1CE15217">
            <w:pPr>
              <w:pStyle w:val="21"/>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520" w:lineRule="exact"/>
              <w:ind w:left="0" w:right="0" w:firstLine="480" w:firstLineChars="200"/>
              <w:jc w:val="both"/>
              <w:textAlignment w:val="auto"/>
              <w:rPr>
                <w:rFonts w:hint="default" w:ascii="Times New Roman" w:hAnsi="Times New Roman" w:eastAsia="宋体" w:cs="Times New Roman"/>
                <w:color w:val="000000"/>
                <w:sz w:val="24"/>
                <w:szCs w:val="24"/>
                <w:lang w:val="en-US"/>
              </w:rPr>
            </w:pPr>
            <w:r>
              <w:rPr>
                <w:rFonts w:hint="eastAsia" w:ascii="Times New Roman" w:hAnsi="Times New Roman" w:eastAsia="宋体" w:cs="宋体"/>
                <w:color w:val="000000"/>
                <w:kern w:val="2"/>
                <w:sz w:val="24"/>
                <w:szCs w:val="24"/>
                <w:lang w:val="en-US" w:eastAsia="zh-CN" w:bidi="ar"/>
              </w:rPr>
              <w:t>②安阳市及汤阴县</w:t>
            </w:r>
            <w:r>
              <w:rPr>
                <w:rFonts w:hint="eastAsia" w:ascii="宋体" w:hAnsi="宋体" w:eastAsia="宋体" w:cs="宋体"/>
                <w:color w:val="000000"/>
                <w:kern w:val="2"/>
                <w:sz w:val="24"/>
                <w:szCs w:val="24"/>
                <w:lang w:val="en-US" w:eastAsia="zh-CN" w:bidi="ar"/>
              </w:rPr>
              <w:t>“三线一单”</w:t>
            </w:r>
            <w:r>
              <w:rPr>
                <w:rFonts w:hint="eastAsia" w:ascii="Times New Roman" w:hAnsi="Times New Roman" w:eastAsia="宋体" w:cs="宋体"/>
                <w:color w:val="000000"/>
                <w:kern w:val="2"/>
                <w:sz w:val="24"/>
                <w:szCs w:val="24"/>
                <w:lang w:val="en-US" w:eastAsia="zh-CN" w:bidi="ar"/>
              </w:rPr>
              <w:t>生态环境管控要求</w:t>
            </w:r>
          </w:p>
          <w:p w14:paraId="6334ADCF">
            <w:pPr>
              <w:pStyle w:val="66"/>
              <w:keepNext w:val="0"/>
              <w:keepLines w:val="0"/>
              <w:pageBreakBefore w:val="0"/>
              <w:widowControl w:val="0"/>
              <w:suppressLineNumbers w:val="0"/>
              <w:kinsoku/>
              <w:wordWrap/>
              <w:overflowPunct/>
              <w:topLinePunct w:val="0"/>
              <w:autoSpaceDE/>
              <w:autoSpaceDN/>
              <w:bidi w:val="0"/>
              <w:adjustRightInd w:val="0"/>
              <w:snapToGrid/>
              <w:spacing w:before="0" w:beforeLines="0" w:beforeAutospacing="0" w:after="0" w:afterAutospacing="0" w:line="520" w:lineRule="exact"/>
              <w:ind w:left="0" w:leftChars="0" w:right="0" w:firstLine="480" w:firstLineChars="200"/>
              <w:textAlignment w:val="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eastAsia="宋体" w:cs="Times New Roman"/>
                <w:color w:val="000000" w:themeColor="text1"/>
                <w:sz w:val="24"/>
                <w:szCs w:val="24"/>
                <w:u w:val="none" w:color="auto"/>
                <w:lang w:val="en-US" w:eastAsia="zh-CN"/>
                <w14:textFill>
                  <w14:solidFill>
                    <w14:schemeClr w14:val="tx1"/>
                  </w14:solidFill>
                </w14:textFill>
              </w:rPr>
              <w:t>根据安阳市发布的《安阳市“三线一单”生态环境分区管控准入清单（2023年版）》（安环函[2023]60号）、安阳市生态环境保护委员会办公室关于更新调整安阳市生态环境分区管控方案的通知（安环委办[2025]19号）及河南省三线一单综合应用平台</w:t>
            </w:r>
            <w:r>
              <w:rPr>
                <w:rFonts w:hint="eastAsia" w:ascii="Times New Roman" w:eastAsia="宋体" w:cs="Times New Roman"/>
                <w:color w:val="000000" w:themeColor="text1"/>
                <w:sz w:val="24"/>
                <w:szCs w:val="24"/>
                <w:lang w:val="en-US" w:eastAsia="zh-CN"/>
                <w14:textFill>
                  <w14:solidFill>
                    <w14:schemeClr w14:val="tx1"/>
                  </w14:solidFill>
                </w14:textFill>
              </w:rPr>
              <w:t>，从安阳市生态环境总体准入要求对项目符合性进行分析。具体分析如下：</w:t>
            </w:r>
          </w:p>
          <w:p w14:paraId="1DF241E6">
            <w:pPr>
              <w:keepNext w:val="0"/>
              <w:keepLines w:val="0"/>
              <w:pageBreakBefore w:val="0"/>
              <w:widowControl/>
              <w:numPr>
                <w:ilvl w:val="0"/>
                <w:numId w:val="0"/>
              </w:numPr>
              <w:suppressLineNumbers w:val="0"/>
              <w:kinsoku/>
              <w:wordWrap/>
              <w:overflowPunct/>
              <w:topLinePunct w:val="0"/>
              <w:autoSpaceDE/>
              <w:autoSpaceDN/>
              <w:bidi w:val="0"/>
              <w:adjustRightInd w:val="0"/>
              <w:snapToGrid/>
              <w:spacing w:before="0" w:beforeAutospacing="0" w:after="0" w:afterAutospacing="0" w:line="520" w:lineRule="exact"/>
              <w:ind w:left="0" w:right="0"/>
              <w:jc w:val="center"/>
              <w:textAlignment w:val="auto"/>
              <w:rPr>
                <w:rFonts w:hint="default" w:ascii="Times New Roman" w:hAnsi="Times New Roman" w:eastAsia="黑体" w:cs="Times New Roman"/>
                <w:b w:val="0"/>
                <w:bCs w:val="0"/>
                <w:color w:val="000000" w:themeColor="text1"/>
                <w:sz w:val="24"/>
                <w:szCs w:val="24"/>
                <w:highlight w:val="none"/>
                <w:lang w:val="en-US" w:eastAsia="zh-CN"/>
                <w14:textFill>
                  <w14:solidFill>
                    <w14:schemeClr w14:val="tx1"/>
                  </w14:solidFill>
                </w14:textFill>
              </w:rPr>
            </w:pPr>
            <w:r>
              <w:rPr>
                <w:rFonts w:hint="default" w:ascii="Times New Roman" w:hAnsi="Times New Roman" w:eastAsia="黑体" w:cs="Times New Roman"/>
                <w:b w:val="0"/>
                <w:bCs w:val="0"/>
                <w:color w:val="000000" w:themeColor="text1"/>
                <w:sz w:val="24"/>
                <w:szCs w:val="24"/>
                <w:highlight w:val="none"/>
                <w:lang w:val="en-US" w:eastAsia="zh-CN"/>
                <w14:textFill>
                  <w14:solidFill>
                    <w14:schemeClr w14:val="tx1"/>
                  </w14:solidFill>
                </w14:textFill>
              </w:rPr>
              <w:t>表</w:t>
            </w:r>
            <w:r>
              <w:rPr>
                <w:rFonts w:hint="eastAsia" w:eastAsia="黑体" w:cs="Times New Roman"/>
                <w:b w:val="0"/>
                <w:bCs w:val="0"/>
                <w:color w:val="000000" w:themeColor="text1"/>
                <w:sz w:val="24"/>
                <w:szCs w:val="24"/>
                <w:highlight w:val="none"/>
                <w:lang w:val="en-US" w:eastAsia="zh-CN"/>
                <w14:textFill>
                  <w14:solidFill>
                    <w14:schemeClr w14:val="tx1"/>
                  </w14:solidFill>
                </w14:textFill>
              </w:rPr>
              <w:t>1-6</w:t>
            </w:r>
            <w:r>
              <w:rPr>
                <w:rFonts w:hint="default" w:ascii="Times New Roman" w:hAnsi="Times New Roman" w:eastAsia="黑体" w:cs="Times New Roman"/>
                <w:b w:val="0"/>
                <w:bCs w:val="0"/>
                <w:color w:val="000000" w:themeColor="text1"/>
                <w:sz w:val="24"/>
                <w:szCs w:val="24"/>
                <w:highlight w:val="none"/>
                <w:lang w:val="en-US" w:eastAsia="zh-CN"/>
                <w14:textFill>
                  <w14:solidFill>
                    <w14:schemeClr w14:val="tx1"/>
                  </w14:solidFill>
                </w14:textFill>
              </w:rPr>
              <w:t xml:space="preserve"> </w:t>
            </w:r>
            <w:r>
              <w:rPr>
                <w:rFonts w:hint="eastAsia" w:eastAsia="黑体" w:cs="Times New Roman"/>
                <w:b w:val="0"/>
                <w:bCs w:val="0"/>
                <w:color w:val="000000" w:themeColor="text1"/>
                <w:sz w:val="24"/>
                <w:szCs w:val="24"/>
                <w:highlight w:val="none"/>
                <w:lang w:val="en-US" w:eastAsia="zh-CN"/>
                <w14:textFill>
                  <w14:solidFill>
                    <w14:schemeClr w14:val="tx1"/>
                  </w14:solidFill>
                </w14:textFill>
              </w:rPr>
              <w:t xml:space="preserve"> </w:t>
            </w:r>
            <w:r>
              <w:rPr>
                <w:rFonts w:hint="default" w:ascii="Times New Roman" w:hAnsi="Times New Roman" w:eastAsia="黑体" w:cs="Times New Roman"/>
                <w:b w:val="0"/>
                <w:bCs w:val="0"/>
                <w:color w:val="000000" w:themeColor="text1"/>
                <w:sz w:val="24"/>
                <w:szCs w:val="24"/>
                <w:highlight w:val="none"/>
                <w:lang w:val="en-US" w:eastAsia="zh-CN"/>
                <w14:textFill>
                  <w14:solidFill>
                    <w14:schemeClr w14:val="tx1"/>
                  </w14:solidFill>
                </w14:textFill>
              </w:rPr>
              <w:t>安阳市生态环境总体准入要求符合性分析一览表</w:t>
            </w:r>
          </w:p>
          <w:tbl>
            <w:tblPr>
              <w:tblStyle w:val="2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443"/>
              <w:gridCol w:w="443"/>
              <w:gridCol w:w="4668"/>
              <w:gridCol w:w="1692"/>
              <w:gridCol w:w="685"/>
            </w:tblGrid>
            <w:tr w14:paraId="022298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0" w:hRule="atLeast"/>
                <w:jc w:val="center"/>
              </w:trPr>
              <w:tc>
                <w:tcPr>
                  <w:tcW w:w="279" w:type="pct"/>
                  <w:tcBorders>
                    <w:tl2br w:val="nil"/>
                    <w:tr2bl w:val="nil"/>
                  </w:tcBorders>
                  <w:shd w:val="clear" w:color="auto" w:fill="auto"/>
                  <w:vAlign w:val="center"/>
                </w:tcPr>
                <w:p w14:paraId="7A31CF2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b w:val="0"/>
                      <w:bCs/>
                      <w:sz w:val="21"/>
                      <w:szCs w:val="21"/>
                      <w:lang w:val="en-US"/>
                    </w:rPr>
                  </w:pPr>
                  <w:r>
                    <w:rPr>
                      <w:rFonts w:hint="eastAsia" w:ascii="Times New Roman" w:hAnsi="Times New Roman" w:eastAsia="宋体" w:cs="宋体"/>
                      <w:b w:val="0"/>
                      <w:bCs/>
                      <w:kern w:val="2"/>
                      <w:sz w:val="21"/>
                      <w:szCs w:val="21"/>
                      <w:lang w:val="en-US" w:eastAsia="zh-CN" w:bidi="ar"/>
                    </w:rPr>
                    <w:t>维度</w:t>
                  </w:r>
                </w:p>
              </w:tc>
              <w:tc>
                <w:tcPr>
                  <w:tcW w:w="279" w:type="pct"/>
                  <w:tcBorders>
                    <w:tl2br w:val="nil"/>
                    <w:tr2bl w:val="nil"/>
                  </w:tcBorders>
                  <w:shd w:val="clear" w:color="auto" w:fill="auto"/>
                  <w:vAlign w:val="center"/>
                </w:tcPr>
                <w:p w14:paraId="22FB3DB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b w:val="0"/>
                      <w:bCs/>
                      <w:sz w:val="21"/>
                      <w:szCs w:val="21"/>
                      <w:lang w:val="en-US"/>
                    </w:rPr>
                  </w:pPr>
                  <w:r>
                    <w:rPr>
                      <w:rFonts w:hint="eastAsia" w:ascii="Times New Roman" w:hAnsi="Times New Roman" w:eastAsia="宋体" w:cs="宋体"/>
                      <w:b w:val="0"/>
                      <w:bCs/>
                      <w:kern w:val="2"/>
                      <w:sz w:val="21"/>
                      <w:szCs w:val="21"/>
                      <w:lang w:val="en-US" w:eastAsia="zh-CN" w:bidi="ar"/>
                    </w:rPr>
                    <w:t>编号</w:t>
                  </w:r>
                </w:p>
              </w:tc>
              <w:tc>
                <w:tcPr>
                  <w:tcW w:w="2942" w:type="pct"/>
                  <w:tcBorders>
                    <w:tl2br w:val="nil"/>
                    <w:tr2bl w:val="nil"/>
                  </w:tcBorders>
                  <w:shd w:val="clear" w:color="auto" w:fill="auto"/>
                  <w:vAlign w:val="center"/>
                </w:tcPr>
                <w:p w14:paraId="3F5FE80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b w:val="0"/>
                      <w:bCs/>
                      <w:sz w:val="21"/>
                      <w:szCs w:val="21"/>
                      <w:lang w:val="en-US"/>
                    </w:rPr>
                  </w:pPr>
                  <w:r>
                    <w:rPr>
                      <w:rFonts w:hint="eastAsia" w:ascii="Times New Roman" w:hAnsi="Times New Roman" w:eastAsia="宋体" w:cs="宋体"/>
                      <w:b w:val="0"/>
                      <w:bCs/>
                      <w:kern w:val="2"/>
                      <w:sz w:val="21"/>
                      <w:szCs w:val="21"/>
                      <w:lang w:val="en-US" w:eastAsia="zh-CN" w:bidi="ar"/>
                    </w:rPr>
                    <w:t>管控要求</w:t>
                  </w:r>
                </w:p>
              </w:tc>
              <w:tc>
                <w:tcPr>
                  <w:tcW w:w="1066" w:type="pct"/>
                  <w:tcBorders>
                    <w:tl2br w:val="nil"/>
                    <w:tr2bl w:val="nil"/>
                  </w:tcBorders>
                  <w:shd w:val="clear" w:color="auto" w:fill="auto"/>
                  <w:vAlign w:val="center"/>
                </w:tcPr>
                <w:p w14:paraId="6FF6CA3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b w:val="0"/>
                      <w:bCs/>
                      <w:sz w:val="21"/>
                      <w:szCs w:val="21"/>
                      <w:lang w:val="en-US"/>
                    </w:rPr>
                  </w:pPr>
                  <w:r>
                    <w:rPr>
                      <w:rFonts w:hint="eastAsia" w:ascii="Times New Roman" w:hAnsi="Times New Roman" w:eastAsia="宋体" w:cs="宋体"/>
                      <w:b w:val="0"/>
                      <w:bCs/>
                      <w:kern w:val="2"/>
                      <w:sz w:val="21"/>
                      <w:szCs w:val="21"/>
                      <w:lang w:val="en-US" w:eastAsia="zh-CN" w:bidi="ar"/>
                    </w:rPr>
                    <w:t>项目建设情况</w:t>
                  </w:r>
                </w:p>
              </w:tc>
              <w:tc>
                <w:tcPr>
                  <w:tcW w:w="432" w:type="pct"/>
                  <w:tcBorders>
                    <w:tl2br w:val="nil"/>
                    <w:tr2bl w:val="nil"/>
                  </w:tcBorders>
                  <w:shd w:val="clear" w:color="auto" w:fill="auto"/>
                  <w:vAlign w:val="center"/>
                </w:tcPr>
                <w:p w14:paraId="3C4C0D1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b w:val="0"/>
                      <w:bCs/>
                      <w:sz w:val="21"/>
                      <w:szCs w:val="21"/>
                      <w:lang w:val="en-US"/>
                    </w:rPr>
                  </w:pPr>
                  <w:r>
                    <w:rPr>
                      <w:rFonts w:hint="eastAsia" w:ascii="Times New Roman" w:hAnsi="Times New Roman" w:eastAsia="宋体" w:cs="宋体"/>
                      <w:b w:val="0"/>
                      <w:bCs/>
                      <w:kern w:val="2"/>
                      <w:sz w:val="21"/>
                      <w:szCs w:val="21"/>
                      <w:lang w:val="en-US" w:eastAsia="zh-CN" w:bidi="ar"/>
                    </w:rPr>
                    <w:t>符合性</w:t>
                  </w:r>
                </w:p>
              </w:tc>
            </w:tr>
            <w:tr w14:paraId="7B2477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79" w:type="pct"/>
                  <w:vMerge w:val="restart"/>
                  <w:tcBorders>
                    <w:tl2br w:val="nil"/>
                    <w:tr2bl w:val="nil"/>
                  </w:tcBorders>
                  <w:shd w:val="clear" w:color="auto" w:fill="auto"/>
                  <w:vAlign w:val="center"/>
                </w:tcPr>
                <w:p w14:paraId="65C94EC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sz w:val="21"/>
                      <w:szCs w:val="21"/>
                      <w:lang w:val="en-US"/>
                    </w:rPr>
                  </w:pPr>
                  <w:r>
                    <w:rPr>
                      <w:rFonts w:hint="eastAsia" w:ascii="Times New Roman" w:hAnsi="Times New Roman" w:eastAsia="宋体" w:cs="宋体"/>
                      <w:kern w:val="2"/>
                      <w:sz w:val="21"/>
                      <w:szCs w:val="21"/>
                      <w:lang w:val="en-US" w:eastAsia="zh-CN" w:bidi="ar"/>
                    </w:rPr>
                    <w:t>空间布局约束</w:t>
                  </w:r>
                </w:p>
              </w:tc>
              <w:tc>
                <w:tcPr>
                  <w:tcW w:w="279" w:type="pct"/>
                  <w:tcBorders>
                    <w:tl2br w:val="nil"/>
                    <w:tr2bl w:val="nil"/>
                  </w:tcBorders>
                  <w:shd w:val="clear" w:color="auto" w:fill="auto"/>
                  <w:vAlign w:val="center"/>
                </w:tcPr>
                <w:p w14:paraId="7BE82369">
                  <w:pPr>
                    <w:pStyle w:val="86"/>
                    <w:keepNext w:val="0"/>
                    <w:keepLines w:val="0"/>
                    <w:pageBreakBefore w:val="0"/>
                    <w:widowControl/>
                    <w:kinsoku/>
                    <w:wordWrap/>
                    <w:overflowPunct/>
                    <w:topLinePunct w:val="0"/>
                    <w:autoSpaceDE/>
                    <w:autoSpaceDN/>
                    <w:bidi w:val="0"/>
                    <w:adjustRightInd w:val="0"/>
                    <w:snapToGrid w:val="0"/>
                    <w:spacing w:line="360" w:lineRule="exact"/>
                    <w:ind w:left="0" w:firstLine="0" w:firstLineChars="0"/>
                    <w:jc w:val="center"/>
                    <w:rPr>
                      <w:sz w:val="21"/>
                      <w:szCs w:val="21"/>
                      <w:lang w:val="en-US"/>
                    </w:rPr>
                  </w:pPr>
                  <w:r>
                    <w:rPr>
                      <w:sz w:val="21"/>
                      <w:szCs w:val="21"/>
                      <w:lang w:val="en-US"/>
                    </w:rPr>
                    <w:t>1</w:t>
                  </w:r>
                </w:p>
              </w:tc>
              <w:tc>
                <w:tcPr>
                  <w:tcW w:w="2942" w:type="pct"/>
                  <w:tcBorders>
                    <w:tl2br w:val="nil"/>
                    <w:tr2bl w:val="nil"/>
                  </w:tcBorders>
                  <w:shd w:val="clear" w:color="auto" w:fill="auto"/>
                  <w:vAlign w:val="center"/>
                </w:tcPr>
                <w:p w14:paraId="65F7117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both"/>
                    <w:rPr>
                      <w:rFonts w:hint="default"/>
                      <w:bCs/>
                      <w:sz w:val="21"/>
                      <w:szCs w:val="21"/>
                      <w:lang w:val="en-US"/>
                    </w:rPr>
                  </w:pPr>
                  <w:r>
                    <w:rPr>
                      <w:rFonts w:hint="eastAsia" w:ascii="Times New Roman" w:hAnsi="Times New Roman" w:eastAsia="宋体" w:cs="宋体"/>
                      <w:kern w:val="2"/>
                      <w:sz w:val="21"/>
                      <w:szCs w:val="21"/>
                      <w:lang w:val="en-US" w:eastAsia="zh-CN" w:bidi="ar"/>
                    </w:rPr>
                    <w:t>严格控制高耗能、高排放项目准入，新建、改建、扩建“两高”项目须符合生态环境保护法律法规和相关法定规划，满足重点污染物排放总量控制、碳排放达峰目标、相关规划环评和相应行业建设项目环境准入条件、环评文件审批原则要求。</w:t>
                  </w:r>
                </w:p>
              </w:tc>
              <w:tc>
                <w:tcPr>
                  <w:tcW w:w="1066" w:type="pct"/>
                  <w:tcBorders>
                    <w:tl2br w:val="nil"/>
                    <w:tr2bl w:val="nil"/>
                  </w:tcBorders>
                  <w:shd w:val="clear" w:color="auto" w:fill="auto"/>
                  <w:vAlign w:val="center"/>
                </w:tcPr>
                <w:p w14:paraId="4216817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b/>
                      <w:bCs w:val="0"/>
                      <w:sz w:val="21"/>
                      <w:szCs w:val="21"/>
                      <w:lang w:val="en-US"/>
                    </w:rPr>
                  </w:pPr>
                  <w:r>
                    <w:rPr>
                      <w:rFonts w:hint="eastAsia" w:ascii="Times New Roman" w:hAnsi="Times New Roman" w:eastAsia="宋体" w:cs="Times New Roman"/>
                      <w:kern w:val="2"/>
                      <w:sz w:val="21"/>
                      <w:szCs w:val="21"/>
                      <w:lang w:val="en-US" w:eastAsia="zh-CN" w:bidi="ar"/>
                    </w:rPr>
                    <w:t>项目</w:t>
                  </w:r>
                  <w:r>
                    <w:rPr>
                      <w:rFonts w:hint="eastAsia" w:cs="Times New Roman"/>
                      <w:kern w:val="2"/>
                      <w:sz w:val="21"/>
                      <w:szCs w:val="21"/>
                      <w:lang w:val="en-US" w:eastAsia="zh-CN" w:bidi="ar"/>
                    </w:rPr>
                    <w:t>不属于高耗能、高排放项目</w:t>
                  </w:r>
                  <w:r>
                    <w:rPr>
                      <w:rFonts w:hint="eastAsia" w:ascii="Times New Roman" w:hAnsi="Times New Roman" w:eastAsia="宋体" w:cs="宋体"/>
                      <w:kern w:val="2"/>
                      <w:sz w:val="21"/>
                      <w:szCs w:val="21"/>
                      <w:lang w:val="en-US" w:eastAsia="zh-CN" w:bidi="ar"/>
                    </w:rPr>
                    <w:t>。</w:t>
                  </w:r>
                </w:p>
              </w:tc>
              <w:tc>
                <w:tcPr>
                  <w:tcW w:w="432" w:type="pct"/>
                  <w:tcBorders>
                    <w:tl2br w:val="nil"/>
                    <w:tr2bl w:val="nil"/>
                  </w:tcBorders>
                  <w:shd w:val="clear" w:color="auto" w:fill="auto"/>
                  <w:vAlign w:val="center"/>
                </w:tcPr>
                <w:p w14:paraId="4DD53CB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sz w:val="21"/>
                      <w:szCs w:val="21"/>
                      <w:lang w:val="en-US"/>
                    </w:rPr>
                  </w:pPr>
                  <w:r>
                    <w:rPr>
                      <w:rFonts w:hint="eastAsia" w:cs="宋体"/>
                      <w:kern w:val="2"/>
                      <w:sz w:val="21"/>
                      <w:szCs w:val="21"/>
                      <w:lang w:val="en-US" w:eastAsia="zh-CN" w:bidi="ar"/>
                    </w:rPr>
                    <w:t>/</w:t>
                  </w:r>
                </w:p>
              </w:tc>
            </w:tr>
            <w:tr w14:paraId="038076C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0" w:hRule="atLeast"/>
                <w:jc w:val="center"/>
              </w:trPr>
              <w:tc>
                <w:tcPr>
                  <w:tcW w:w="279" w:type="pct"/>
                  <w:vMerge w:val="continue"/>
                  <w:tcBorders>
                    <w:tl2br w:val="nil"/>
                    <w:tr2bl w:val="nil"/>
                  </w:tcBorders>
                  <w:shd w:val="clear" w:color="auto" w:fill="auto"/>
                  <w:vAlign w:val="center"/>
                </w:tcPr>
                <w:p w14:paraId="7702685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eastAsia" w:ascii="Times New Roman" w:hAnsi="Times New Roman" w:eastAsia="宋体" w:cs="宋体"/>
                      <w:kern w:val="2"/>
                      <w:sz w:val="21"/>
                      <w:szCs w:val="21"/>
                      <w:lang w:val="en-US" w:eastAsia="zh-CN" w:bidi="ar"/>
                    </w:rPr>
                  </w:pPr>
                </w:p>
              </w:tc>
              <w:tc>
                <w:tcPr>
                  <w:tcW w:w="279" w:type="pct"/>
                  <w:tcBorders>
                    <w:tl2br w:val="nil"/>
                    <w:tr2bl w:val="nil"/>
                  </w:tcBorders>
                  <w:shd w:val="clear" w:color="auto" w:fill="auto"/>
                  <w:vAlign w:val="center"/>
                </w:tcPr>
                <w:p w14:paraId="4344AC54">
                  <w:pPr>
                    <w:pStyle w:val="86"/>
                    <w:keepNext w:val="0"/>
                    <w:keepLines w:val="0"/>
                    <w:pageBreakBefore w:val="0"/>
                    <w:widowControl/>
                    <w:kinsoku/>
                    <w:wordWrap/>
                    <w:overflowPunct/>
                    <w:topLinePunct w:val="0"/>
                    <w:autoSpaceDE/>
                    <w:autoSpaceDN/>
                    <w:bidi w:val="0"/>
                    <w:adjustRightInd w:val="0"/>
                    <w:snapToGrid w:val="0"/>
                    <w:spacing w:line="360" w:lineRule="exact"/>
                    <w:ind w:left="0" w:firstLine="0" w:firstLineChars="0"/>
                    <w:jc w:val="center"/>
                    <w:rPr>
                      <w:rFonts w:hint="eastAsia" w:eastAsia="仿宋"/>
                      <w:sz w:val="21"/>
                      <w:szCs w:val="21"/>
                      <w:lang w:val="en-US" w:eastAsia="zh-CN"/>
                    </w:rPr>
                  </w:pPr>
                  <w:r>
                    <w:rPr>
                      <w:rFonts w:hint="eastAsia"/>
                      <w:sz w:val="21"/>
                      <w:szCs w:val="21"/>
                      <w:lang w:val="en-US" w:eastAsia="zh-CN"/>
                    </w:rPr>
                    <w:t>2</w:t>
                  </w:r>
                </w:p>
              </w:tc>
              <w:tc>
                <w:tcPr>
                  <w:tcW w:w="2942" w:type="pct"/>
                  <w:tcBorders>
                    <w:tl2br w:val="nil"/>
                    <w:tr2bl w:val="nil"/>
                  </w:tcBorders>
                  <w:shd w:val="clear" w:color="auto" w:fill="auto"/>
                  <w:vAlign w:val="center"/>
                </w:tcPr>
                <w:p w14:paraId="6B2872A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both"/>
                    <w:rPr>
                      <w:rFonts w:hint="eastAsia" w:ascii="Times New Roman" w:hAnsi="Times New Roman" w:eastAsia="宋体" w:cs="宋体"/>
                      <w:kern w:val="2"/>
                      <w:sz w:val="21"/>
                      <w:szCs w:val="21"/>
                      <w:lang w:val="en-US" w:eastAsia="zh-CN" w:bidi="ar"/>
                    </w:rPr>
                  </w:pPr>
                  <w:r>
                    <w:rPr>
                      <w:rFonts w:hint="eastAsia" w:ascii="Times New Roman" w:hAnsi="Times New Roman" w:eastAsia="宋体" w:cs="宋体"/>
                      <w:kern w:val="2"/>
                      <w:sz w:val="21"/>
                      <w:szCs w:val="21"/>
                      <w:lang w:val="en-US" w:eastAsia="zh-CN" w:bidi="ar"/>
                    </w:rPr>
                    <w:t>新建、扩建、搬迁的化学原料药和生物生化制品建设项目应位于产业园区，并符合园区产业定位、园区规划、规划环评及审查意见要求。</w:t>
                  </w:r>
                </w:p>
              </w:tc>
              <w:tc>
                <w:tcPr>
                  <w:tcW w:w="1066" w:type="pct"/>
                  <w:tcBorders>
                    <w:tl2br w:val="nil"/>
                    <w:tr2bl w:val="nil"/>
                  </w:tcBorders>
                  <w:shd w:val="clear" w:color="auto" w:fill="auto"/>
                  <w:vAlign w:val="center"/>
                </w:tcPr>
                <w:p w14:paraId="43ADAF7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ascii="Times New Roman" w:hAnsi="Times New Roman" w:eastAsia="宋体" w:cs="Times New Roman"/>
                      <w:kern w:val="2"/>
                      <w:sz w:val="21"/>
                      <w:szCs w:val="21"/>
                      <w:lang w:val="en-US" w:eastAsia="zh-CN" w:bidi="ar"/>
                    </w:rPr>
                  </w:pPr>
                  <w:r>
                    <w:rPr>
                      <w:rFonts w:hint="eastAsia" w:cs="Times New Roman"/>
                      <w:kern w:val="2"/>
                      <w:sz w:val="21"/>
                      <w:szCs w:val="21"/>
                      <w:lang w:val="en-US" w:eastAsia="zh-CN" w:bidi="ar"/>
                    </w:rPr>
                    <w:t>项目不属于</w:t>
                  </w:r>
                  <w:r>
                    <w:rPr>
                      <w:rFonts w:hint="eastAsia" w:ascii="Times New Roman" w:hAnsi="Times New Roman" w:eastAsia="宋体" w:cs="宋体"/>
                      <w:kern w:val="2"/>
                      <w:sz w:val="21"/>
                      <w:szCs w:val="21"/>
                      <w:lang w:val="en-US" w:eastAsia="zh-CN" w:bidi="ar"/>
                    </w:rPr>
                    <w:t>化学原料药和生物生化制品建设项目</w:t>
                  </w:r>
                  <w:r>
                    <w:rPr>
                      <w:rFonts w:hint="eastAsia" w:cs="宋体"/>
                      <w:kern w:val="2"/>
                      <w:sz w:val="21"/>
                      <w:szCs w:val="21"/>
                      <w:lang w:val="en-US" w:eastAsia="zh-CN" w:bidi="ar"/>
                    </w:rPr>
                    <w:t>。</w:t>
                  </w:r>
                </w:p>
              </w:tc>
              <w:tc>
                <w:tcPr>
                  <w:tcW w:w="432" w:type="pct"/>
                  <w:tcBorders>
                    <w:tl2br w:val="nil"/>
                    <w:tr2bl w:val="nil"/>
                  </w:tcBorders>
                  <w:shd w:val="clear" w:color="auto" w:fill="auto"/>
                  <w:vAlign w:val="center"/>
                </w:tcPr>
                <w:p w14:paraId="1AC50D1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ascii="Times New Roman" w:hAnsi="Times New Roman" w:eastAsia="宋体" w:cs="宋体"/>
                      <w:kern w:val="2"/>
                      <w:sz w:val="21"/>
                      <w:szCs w:val="21"/>
                      <w:lang w:val="en-US" w:eastAsia="zh-CN" w:bidi="ar"/>
                    </w:rPr>
                  </w:pPr>
                  <w:r>
                    <w:rPr>
                      <w:rFonts w:hint="eastAsia" w:cs="宋体"/>
                      <w:kern w:val="2"/>
                      <w:sz w:val="21"/>
                      <w:szCs w:val="21"/>
                      <w:lang w:val="en-US" w:eastAsia="zh-CN" w:bidi="ar"/>
                    </w:rPr>
                    <w:t>/</w:t>
                  </w:r>
                </w:p>
              </w:tc>
            </w:tr>
            <w:tr w14:paraId="63BDFC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79" w:type="pct"/>
                  <w:vMerge w:val="continue"/>
                  <w:tcBorders>
                    <w:tl2br w:val="nil"/>
                    <w:tr2bl w:val="nil"/>
                  </w:tcBorders>
                  <w:shd w:val="clear" w:color="auto" w:fill="auto"/>
                  <w:vAlign w:val="center"/>
                </w:tcPr>
                <w:p w14:paraId="4CD84C7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eastAsia" w:ascii="Times New Roman" w:hAnsi="Times New Roman" w:eastAsia="宋体" w:cs="宋体"/>
                      <w:kern w:val="2"/>
                      <w:sz w:val="21"/>
                      <w:szCs w:val="21"/>
                      <w:lang w:val="en-US" w:eastAsia="zh-CN" w:bidi="ar"/>
                    </w:rPr>
                  </w:pPr>
                </w:p>
              </w:tc>
              <w:tc>
                <w:tcPr>
                  <w:tcW w:w="279" w:type="pct"/>
                  <w:tcBorders>
                    <w:tl2br w:val="nil"/>
                    <w:tr2bl w:val="nil"/>
                  </w:tcBorders>
                  <w:shd w:val="clear" w:color="auto" w:fill="auto"/>
                  <w:vAlign w:val="center"/>
                </w:tcPr>
                <w:p w14:paraId="3D7B2A68">
                  <w:pPr>
                    <w:pStyle w:val="86"/>
                    <w:keepNext w:val="0"/>
                    <w:keepLines w:val="0"/>
                    <w:pageBreakBefore w:val="0"/>
                    <w:widowControl/>
                    <w:kinsoku/>
                    <w:wordWrap/>
                    <w:overflowPunct/>
                    <w:topLinePunct w:val="0"/>
                    <w:autoSpaceDE/>
                    <w:autoSpaceDN/>
                    <w:bidi w:val="0"/>
                    <w:adjustRightInd w:val="0"/>
                    <w:snapToGrid w:val="0"/>
                    <w:spacing w:line="360" w:lineRule="exact"/>
                    <w:ind w:left="0" w:firstLine="0" w:firstLineChars="0"/>
                    <w:jc w:val="center"/>
                    <w:rPr>
                      <w:rFonts w:hint="default"/>
                      <w:sz w:val="21"/>
                      <w:szCs w:val="21"/>
                      <w:lang w:val="en-US" w:eastAsia="zh-CN"/>
                    </w:rPr>
                  </w:pPr>
                  <w:r>
                    <w:rPr>
                      <w:rFonts w:hint="eastAsia"/>
                      <w:sz w:val="21"/>
                      <w:szCs w:val="21"/>
                      <w:lang w:val="en-US" w:eastAsia="zh-CN"/>
                    </w:rPr>
                    <w:t>3</w:t>
                  </w:r>
                </w:p>
              </w:tc>
              <w:tc>
                <w:tcPr>
                  <w:tcW w:w="2942" w:type="pct"/>
                  <w:tcBorders>
                    <w:tl2br w:val="nil"/>
                    <w:tr2bl w:val="nil"/>
                  </w:tcBorders>
                  <w:shd w:val="clear" w:color="auto" w:fill="auto"/>
                  <w:vAlign w:val="center"/>
                </w:tcPr>
                <w:p w14:paraId="45ABF31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both"/>
                    <w:rPr>
                      <w:rFonts w:hint="eastAsia" w:ascii="Times New Roman" w:hAnsi="Times New Roman" w:eastAsia="宋体" w:cs="宋体"/>
                      <w:kern w:val="2"/>
                      <w:sz w:val="21"/>
                      <w:szCs w:val="21"/>
                      <w:lang w:val="en-US" w:eastAsia="zh-CN" w:bidi="ar"/>
                    </w:rPr>
                  </w:pPr>
                  <w:r>
                    <w:rPr>
                      <w:rFonts w:hint="eastAsia" w:ascii="Times New Roman" w:hAnsi="Times New Roman" w:eastAsia="宋体" w:cs="宋体"/>
                      <w:kern w:val="2"/>
                      <w:sz w:val="21"/>
                      <w:szCs w:val="21"/>
                      <w:lang w:val="en-US" w:eastAsia="zh-CN" w:bidi="ar"/>
                    </w:rPr>
                    <w:t>铸造企业不得采用无芯工频感应电炉、无磁轭（≥0.25吨）铝壳中频感应电炉、水玻璃熔模精密铸造氯化铵硬化模壳、铝合金六氯乙烷精炼等淘汰类工艺和装备。严格区分锻压行业和钢铁行业生产工艺特征特点，避免锻压配套的炼钢判定为钢铁冶炼生产，也严禁以铸造和锻压名义违规新增钢铁产能、违规生产钢坯钢锭及上市销售。</w:t>
                  </w:r>
                </w:p>
              </w:tc>
              <w:tc>
                <w:tcPr>
                  <w:tcW w:w="1066" w:type="pct"/>
                  <w:tcBorders>
                    <w:tl2br w:val="nil"/>
                    <w:tr2bl w:val="nil"/>
                  </w:tcBorders>
                  <w:shd w:val="clear" w:color="auto" w:fill="auto"/>
                  <w:vAlign w:val="center"/>
                </w:tcPr>
                <w:p w14:paraId="02FC8E0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ascii="Times New Roman" w:hAnsi="Times New Roman" w:eastAsia="宋体" w:cs="Times New Roman"/>
                      <w:kern w:val="2"/>
                      <w:sz w:val="21"/>
                      <w:szCs w:val="21"/>
                      <w:lang w:val="en-US" w:eastAsia="zh-CN" w:bidi="ar"/>
                    </w:rPr>
                  </w:pPr>
                  <w:r>
                    <w:rPr>
                      <w:rFonts w:hint="eastAsia" w:cs="Times New Roman"/>
                      <w:kern w:val="2"/>
                      <w:sz w:val="21"/>
                      <w:szCs w:val="21"/>
                      <w:lang w:val="en-US" w:eastAsia="zh-CN" w:bidi="ar"/>
                    </w:rPr>
                    <w:t>项目不属于铸造、锻压和钢铁行业。</w:t>
                  </w:r>
                </w:p>
              </w:tc>
              <w:tc>
                <w:tcPr>
                  <w:tcW w:w="432" w:type="pct"/>
                  <w:tcBorders>
                    <w:tl2br w:val="nil"/>
                    <w:tr2bl w:val="nil"/>
                  </w:tcBorders>
                  <w:shd w:val="clear" w:color="auto" w:fill="auto"/>
                  <w:vAlign w:val="center"/>
                </w:tcPr>
                <w:p w14:paraId="3FCB3FF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ascii="Times New Roman" w:hAnsi="Times New Roman" w:eastAsia="宋体" w:cs="宋体"/>
                      <w:kern w:val="2"/>
                      <w:sz w:val="21"/>
                      <w:szCs w:val="21"/>
                      <w:lang w:val="en-US" w:eastAsia="zh-CN" w:bidi="ar"/>
                    </w:rPr>
                  </w:pPr>
                  <w:r>
                    <w:rPr>
                      <w:rFonts w:hint="eastAsia" w:cs="宋体"/>
                      <w:kern w:val="2"/>
                      <w:sz w:val="21"/>
                      <w:szCs w:val="21"/>
                      <w:lang w:val="en-US" w:eastAsia="zh-CN" w:bidi="ar"/>
                    </w:rPr>
                    <w:t>/</w:t>
                  </w:r>
                </w:p>
              </w:tc>
            </w:tr>
            <w:tr w14:paraId="5962D7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79" w:type="pct"/>
                  <w:vMerge w:val="continue"/>
                  <w:tcBorders>
                    <w:tl2br w:val="nil"/>
                    <w:tr2bl w:val="nil"/>
                  </w:tcBorders>
                  <w:shd w:val="clear" w:color="auto" w:fill="auto"/>
                  <w:vAlign w:val="center"/>
                </w:tcPr>
                <w:p w14:paraId="03E90B5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eastAsia" w:ascii="Times New Roman" w:hAnsi="Times New Roman" w:eastAsia="宋体" w:cs="宋体"/>
                      <w:kern w:val="2"/>
                      <w:sz w:val="21"/>
                      <w:szCs w:val="21"/>
                      <w:lang w:val="en-US" w:eastAsia="zh-CN" w:bidi="ar"/>
                    </w:rPr>
                  </w:pPr>
                </w:p>
              </w:tc>
              <w:tc>
                <w:tcPr>
                  <w:tcW w:w="279" w:type="pct"/>
                  <w:tcBorders>
                    <w:tl2br w:val="nil"/>
                    <w:tr2bl w:val="nil"/>
                  </w:tcBorders>
                  <w:shd w:val="clear" w:color="auto" w:fill="auto"/>
                  <w:vAlign w:val="center"/>
                </w:tcPr>
                <w:p w14:paraId="781837C9">
                  <w:pPr>
                    <w:pStyle w:val="86"/>
                    <w:keepNext w:val="0"/>
                    <w:keepLines w:val="0"/>
                    <w:pageBreakBefore w:val="0"/>
                    <w:widowControl/>
                    <w:kinsoku/>
                    <w:wordWrap/>
                    <w:overflowPunct/>
                    <w:topLinePunct w:val="0"/>
                    <w:autoSpaceDE/>
                    <w:autoSpaceDN/>
                    <w:bidi w:val="0"/>
                    <w:adjustRightInd w:val="0"/>
                    <w:snapToGrid w:val="0"/>
                    <w:spacing w:line="360" w:lineRule="exact"/>
                    <w:ind w:left="0" w:firstLine="0" w:firstLineChars="0"/>
                    <w:jc w:val="center"/>
                    <w:rPr>
                      <w:rFonts w:hint="default"/>
                      <w:sz w:val="21"/>
                      <w:szCs w:val="21"/>
                      <w:lang w:val="en-US" w:eastAsia="zh-CN"/>
                    </w:rPr>
                  </w:pPr>
                  <w:r>
                    <w:rPr>
                      <w:rFonts w:hint="eastAsia"/>
                      <w:sz w:val="21"/>
                      <w:szCs w:val="21"/>
                      <w:lang w:val="en-US" w:eastAsia="zh-CN"/>
                    </w:rPr>
                    <w:t>4</w:t>
                  </w:r>
                </w:p>
              </w:tc>
              <w:tc>
                <w:tcPr>
                  <w:tcW w:w="2942" w:type="pct"/>
                  <w:tcBorders>
                    <w:tl2br w:val="nil"/>
                    <w:tr2bl w:val="nil"/>
                  </w:tcBorders>
                  <w:shd w:val="clear" w:color="auto" w:fill="auto"/>
                  <w:vAlign w:val="center"/>
                </w:tcPr>
                <w:p w14:paraId="79E4208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both"/>
                    <w:rPr>
                      <w:rFonts w:hint="eastAsia" w:ascii="Times New Roman" w:hAnsi="Times New Roman" w:eastAsia="宋体" w:cs="宋体"/>
                      <w:kern w:val="2"/>
                      <w:sz w:val="21"/>
                      <w:szCs w:val="21"/>
                      <w:lang w:val="en-US" w:eastAsia="zh-CN" w:bidi="ar"/>
                    </w:rPr>
                  </w:pPr>
                  <w:r>
                    <w:rPr>
                      <w:rFonts w:hint="eastAsia" w:ascii="Times New Roman" w:hAnsi="Times New Roman" w:eastAsia="宋体" w:cs="宋体"/>
                      <w:kern w:val="2"/>
                      <w:sz w:val="21"/>
                      <w:szCs w:val="21"/>
                      <w:lang w:val="en-US" w:eastAsia="zh-CN" w:bidi="ar"/>
                    </w:rPr>
                    <w:t>严控磷铵、电石、黄磷等行业新增产能。</w:t>
                  </w:r>
                </w:p>
              </w:tc>
              <w:tc>
                <w:tcPr>
                  <w:tcW w:w="1066" w:type="pct"/>
                  <w:tcBorders>
                    <w:tl2br w:val="nil"/>
                    <w:tr2bl w:val="nil"/>
                  </w:tcBorders>
                  <w:shd w:val="clear" w:color="auto" w:fill="auto"/>
                  <w:vAlign w:val="center"/>
                </w:tcPr>
                <w:p w14:paraId="776A349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eastAsia" w:ascii="Times New Roman" w:hAnsi="Times New Roman" w:eastAsia="宋体" w:cs="Times New Roman"/>
                      <w:kern w:val="2"/>
                      <w:sz w:val="21"/>
                      <w:szCs w:val="21"/>
                      <w:lang w:val="en-US" w:eastAsia="zh-CN" w:bidi="ar"/>
                    </w:rPr>
                  </w:pPr>
                  <w:r>
                    <w:rPr>
                      <w:rFonts w:hint="eastAsia" w:cs="宋体"/>
                      <w:kern w:val="2"/>
                      <w:sz w:val="21"/>
                      <w:szCs w:val="21"/>
                      <w:lang w:val="en-US" w:eastAsia="zh-CN" w:bidi="ar"/>
                    </w:rPr>
                    <w:t>不属于</w:t>
                  </w:r>
                  <w:r>
                    <w:rPr>
                      <w:rFonts w:hint="eastAsia" w:ascii="Times New Roman" w:hAnsi="Times New Roman" w:eastAsia="宋体" w:cs="宋体"/>
                      <w:kern w:val="2"/>
                      <w:sz w:val="21"/>
                      <w:szCs w:val="21"/>
                      <w:lang w:val="en-US" w:eastAsia="zh-CN" w:bidi="ar"/>
                    </w:rPr>
                    <w:t>磷铵、电石、黄磷等行业</w:t>
                  </w:r>
                  <w:r>
                    <w:rPr>
                      <w:rFonts w:hint="eastAsia" w:cs="宋体"/>
                      <w:kern w:val="2"/>
                      <w:sz w:val="21"/>
                      <w:szCs w:val="21"/>
                      <w:lang w:val="en-US" w:eastAsia="zh-CN" w:bidi="ar"/>
                    </w:rPr>
                    <w:t>。</w:t>
                  </w:r>
                </w:p>
              </w:tc>
              <w:tc>
                <w:tcPr>
                  <w:tcW w:w="432" w:type="pct"/>
                  <w:tcBorders>
                    <w:tl2br w:val="nil"/>
                    <w:tr2bl w:val="nil"/>
                  </w:tcBorders>
                  <w:shd w:val="clear" w:color="auto" w:fill="auto"/>
                  <w:vAlign w:val="center"/>
                </w:tcPr>
                <w:p w14:paraId="458B325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ascii="Times New Roman" w:hAnsi="Times New Roman" w:eastAsia="宋体" w:cs="宋体"/>
                      <w:kern w:val="2"/>
                      <w:sz w:val="21"/>
                      <w:szCs w:val="21"/>
                      <w:lang w:val="en-US" w:eastAsia="zh-CN" w:bidi="ar"/>
                    </w:rPr>
                  </w:pPr>
                  <w:r>
                    <w:rPr>
                      <w:rFonts w:hint="eastAsia" w:cs="宋体"/>
                      <w:kern w:val="2"/>
                      <w:sz w:val="21"/>
                      <w:szCs w:val="21"/>
                      <w:lang w:val="en-US" w:eastAsia="zh-CN" w:bidi="ar"/>
                    </w:rPr>
                    <w:t>/</w:t>
                  </w:r>
                </w:p>
              </w:tc>
            </w:tr>
            <w:tr w14:paraId="179550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79" w:type="pct"/>
                  <w:vMerge w:val="continue"/>
                  <w:tcBorders>
                    <w:tl2br w:val="nil"/>
                    <w:tr2bl w:val="nil"/>
                  </w:tcBorders>
                  <w:shd w:val="clear" w:color="auto" w:fill="auto"/>
                  <w:vAlign w:val="center"/>
                </w:tcPr>
                <w:p w14:paraId="15E1473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ascii="Times New Roman" w:hAnsi="Times New Roman" w:eastAsia="宋体" w:cs="宋体"/>
                      <w:kern w:val="2"/>
                      <w:sz w:val="21"/>
                      <w:szCs w:val="21"/>
                      <w:lang w:val="en-US" w:eastAsia="zh-CN" w:bidi="ar"/>
                    </w:rPr>
                  </w:pPr>
                  <w:r>
                    <w:rPr>
                      <w:rFonts w:hint="eastAsia" w:cs="宋体"/>
                      <w:kern w:val="2"/>
                      <w:sz w:val="21"/>
                      <w:szCs w:val="21"/>
                      <w:lang w:val="en-US" w:eastAsia="zh-CN" w:bidi="ar"/>
                    </w:rPr>
                    <w:t>5</w:t>
                  </w:r>
                </w:p>
              </w:tc>
              <w:tc>
                <w:tcPr>
                  <w:tcW w:w="279" w:type="pct"/>
                  <w:tcBorders>
                    <w:tl2br w:val="nil"/>
                    <w:tr2bl w:val="nil"/>
                  </w:tcBorders>
                  <w:shd w:val="clear" w:color="auto" w:fill="auto"/>
                  <w:vAlign w:val="center"/>
                </w:tcPr>
                <w:p w14:paraId="4DCC90F9">
                  <w:pPr>
                    <w:pStyle w:val="86"/>
                    <w:keepNext w:val="0"/>
                    <w:keepLines w:val="0"/>
                    <w:pageBreakBefore w:val="0"/>
                    <w:widowControl/>
                    <w:kinsoku/>
                    <w:wordWrap/>
                    <w:overflowPunct/>
                    <w:topLinePunct w:val="0"/>
                    <w:autoSpaceDE/>
                    <w:autoSpaceDN/>
                    <w:bidi w:val="0"/>
                    <w:adjustRightInd w:val="0"/>
                    <w:snapToGrid w:val="0"/>
                    <w:spacing w:line="360" w:lineRule="exact"/>
                    <w:ind w:left="0" w:firstLine="0" w:firstLineChars="0"/>
                    <w:jc w:val="center"/>
                    <w:rPr>
                      <w:rFonts w:hint="default"/>
                      <w:sz w:val="21"/>
                      <w:szCs w:val="21"/>
                      <w:lang w:val="en-US" w:eastAsia="zh-CN"/>
                    </w:rPr>
                  </w:pPr>
                  <w:r>
                    <w:rPr>
                      <w:rFonts w:hint="eastAsia"/>
                      <w:sz w:val="21"/>
                      <w:szCs w:val="21"/>
                      <w:lang w:val="en-US" w:eastAsia="zh-CN"/>
                    </w:rPr>
                    <w:t>5</w:t>
                  </w:r>
                </w:p>
              </w:tc>
              <w:tc>
                <w:tcPr>
                  <w:tcW w:w="2942" w:type="pct"/>
                  <w:tcBorders>
                    <w:tl2br w:val="nil"/>
                    <w:tr2bl w:val="nil"/>
                  </w:tcBorders>
                  <w:shd w:val="clear" w:color="auto" w:fill="auto"/>
                  <w:vAlign w:val="center"/>
                </w:tcPr>
                <w:p w14:paraId="6BF0A28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both"/>
                    <w:rPr>
                      <w:rFonts w:hint="eastAsia" w:ascii="Times New Roman" w:hAnsi="Times New Roman" w:eastAsia="宋体" w:cs="宋体"/>
                      <w:kern w:val="2"/>
                      <w:sz w:val="21"/>
                      <w:szCs w:val="21"/>
                      <w:lang w:val="en-US" w:eastAsia="zh-CN" w:bidi="ar"/>
                    </w:rPr>
                  </w:pPr>
                  <w:r>
                    <w:rPr>
                      <w:rFonts w:hint="eastAsia" w:ascii="Times New Roman" w:hAnsi="Times New Roman" w:eastAsia="宋体" w:cs="宋体"/>
                      <w:kern w:val="2"/>
                      <w:sz w:val="21"/>
                      <w:szCs w:val="21"/>
                      <w:lang w:val="en-US" w:eastAsia="zh-CN" w:bidi="ar"/>
                    </w:rPr>
                    <w:t>禁止在黄河干支流岸线管控范围内新建、扩建化工园区和化工项目。新建危险化学品生产项目必须进入通过认定的一般或较低安全风险的化工园区（与其他行业生产装置配套建设的项目除外，配套建设项目由工业和信息化部门会同应急管理部门认定），引导其他化工项目在化工园区发展。</w:t>
                  </w:r>
                </w:p>
              </w:tc>
              <w:tc>
                <w:tcPr>
                  <w:tcW w:w="1066" w:type="pct"/>
                  <w:tcBorders>
                    <w:tl2br w:val="nil"/>
                    <w:tr2bl w:val="nil"/>
                  </w:tcBorders>
                  <w:shd w:val="clear" w:color="auto" w:fill="auto"/>
                  <w:vAlign w:val="center"/>
                </w:tcPr>
                <w:p w14:paraId="30E5026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ascii="Times New Roman" w:hAnsi="Times New Roman" w:eastAsia="宋体" w:cs="Times New Roman"/>
                      <w:kern w:val="2"/>
                      <w:sz w:val="21"/>
                      <w:szCs w:val="21"/>
                      <w:lang w:val="en-US" w:eastAsia="zh-CN" w:bidi="ar"/>
                    </w:rPr>
                  </w:pPr>
                  <w:r>
                    <w:rPr>
                      <w:rFonts w:hint="eastAsia" w:cs="Times New Roman"/>
                      <w:kern w:val="2"/>
                      <w:sz w:val="21"/>
                      <w:szCs w:val="21"/>
                      <w:lang w:val="en-US" w:eastAsia="zh-CN" w:bidi="ar"/>
                    </w:rPr>
                    <w:t>项目不位于黄河流域，也不属于化工行业。</w:t>
                  </w:r>
                </w:p>
              </w:tc>
              <w:tc>
                <w:tcPr>
                  <w:tcW w:w="432" w:type="pct"/>
                  <w:tcBorders>
                    <w:tl2br w:val="nil"/>
                    <w:tr2bl w:val="nil"/>
                  </w:tcBorders>
                  <w:shd w:val="clear" w:color="auto" w:fill="auto"/>
                  <w:vAlign w:val="center"/>
                </w:tcPr>
                <w:p w14:paraId="64CD52A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ascii="Times New Roman" w:hAnsi="Times New Roman" w:eastAsia="宋体" w:cs="宋体"/>
                      <w:kern w:val="2"/>
                      <w:sz w:val="21"/>
                      <w:szCs w:val="21"/>
                      <w:lang w:val="en-US" w:eastAsia="zh-CN" w:bidi="ar"/>
                    </w:rPr>
                  </w:pPr>
                  <w:r>
                    <w:rPr>
                      <w:rFonts w:hint="eastAsia" w:cs="宋体"/>
                      <w:kern w:val="2"/>
                      <w:sz w:val="21"/>
                      <w:szCs w:val="21"/>
                      <w:lang w:val="en-US" w:eastAsia="zh-CN" w:bidi="ar"/>
                    </w:rPr>
                    <w:t>/</w:t>
                  </w:r>
                </w:p>
              </w:tc>
            </w:tr>
            <w:tr w14:paraId="1D083E2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79" w:type="pct"/>
                  <w:vMerge w:val="continue"/>
                  <w:tcBorders>
                    <w:tl2br w:val="nil"/>
                    <w:tr2bl w:val="nil"/>
                  </w:tcBorders>
                  <w:shd w:val="clear" w:color="auto" w:fill="auto"/>
                  <w:vAlign w:val="center"/>
                </w:tcPr>
                <w:p w14:paraId="7EBBFAD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cs="宋体"/>
                      <w:kern w:val="2"/>
                      <w:sz w:val="21"/>
                      <w:szCs w:val="21"/>
                      <w:lang w:val="en-US" w:eastAsia="zh-CN" w:bidi="ar"/>
                    </w:rPr>
                  </w:pPr>
                  <w:r>
                    <w:rPr>
                      <w:rFonts w:hint="eastAsia" w:cs="宋体"/>
                      <w:kern w:val="2"/>
                      <w:sz w:val="21"/>
                      <w:szCs w:val="21"/>
                      <w:lang w:val="en-US" w:eastAsia="zh-CN" w:bidi="ar"/>
                    </w:rPr>
                    <w:t>6</w:t>
                  </w:r>
                </w:p>
              </w:tc>
              <w:tc>
                <w:tcPr>
                  <w:tcW w:w="279" w:type="pct"/>
                  <w:tcBorders>
                    <w:tl2br w:val="nil"/>
                    <w:tr2bl w:val="nil"/>
                  </w:tcBorders>
                  <w:shd w:val="clear" w:color="auto" w:fill="auto"/>
                  <w:vAlign w:val="center"/>
                </w:tcPr>
                <w:p w14:paraId="3AFA2C9A">
                  <w:pPr>
                    <w:pStyle w:val="86"/>
                    <w:keepNext w:val="0"/>
                    <w:keepLines w:val="0"/>
                    <w:pageBreakBefore w:val="0"/>
                    <w:widowControl/>
                    <w:kinsoku/>
                    <w:wordWrap/>
                    <w:overflowPunct/>
                    <w:topLinePunct w:val="0"/>
                    <w:autoSpaceDE/>
                    <w:autoSpaceDN/>
                    <w:bidi w:val="0"/>
                    <w:adjustRightInd w:val="0"/>
                    <w:snapToGrid w:val="0"/>
                    <w:spacing w:line="360" w:lineRule="exact"/>
                    <w:ind w:left="0" w:firstLine="0" w:firstLineChars="0"/>
                    <w:jc w:val="center"/>
                    <w:rPr>
                      <w:rFonts w:hint="default"/>
                      <w:sz w:val="21"/>
                      <w:szCs w:val="21"/>
                      <w:lang w:val="en-US" w:eastAsia="zh-CN"/>
                    </w:rPr>
                  </w:pPr>
                  <w:r>
                    <w:rPr>
                      <w:rFonts w:hint="eastAsia"/>
                      <w:sz w:val="21"/>
                      <w:szCs w:val="21"/>
                      <w:lang w:val="en-US" w:eastAsia="zh-CN"/>
                    </w:rPr>
                    <w:t>6</w:t>
                  </w:r>
                </w:p>
              </w:tc>
              <w:tc>
                <w:tcPr>
                  <w:tcW w:w="2942" w:type="pct"/>
                  <w:tcBorders>
                    <w:tl2br w:val="nil"/>
                    <w:tr2bl w:val="nil"/>
                  </w:tcBorders>
                  <w:shd w:val="clear" w:color="auto" w:fill="auto"/>
                  <w:vAlign w:val="center"/>
                </w:tcPr>
                <w:p w14:paraId="333D14B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both"/>
                    <w:rPr>
                      <w:rFonts w:hint="eastAsia" w:ascii="Times New Roman" w:hAnsi="Times New Roman" w:eastAsia="宋体" w:cs="宋体"/>
                      <w:kern w:val="2"/>
                      <w:sz w:val="21"/>
                      <w:szCs w:val="21"/>
                      <w:lang w:val="en-US" w:eastAsia="zh-CN" w:bidi="ar"/>
                    </w:rPr>
                  </w:pPr>
                  <w:r>
                    <w:rPr>
                      <w:rFonts w:hint="eastAsia" w:ascii="Times New Roman" w:hAnsi="Times New Roman" w:eastAsia="宋体" w:cs="宋体"/>
                      <w:kern w:val="2"/>
                      <w:sz w:val="21"/>
                      <w:szCs w:val="21"/>
                      <w:lang w:val="en-US" w:eastAsia="zh-CN" w:bidi="ar"/>
                    </w:rPr>
                    <w:t>禁止承接不符合国家石化、现代煤化工等产业布局规划的项目。禁止承接包含《安阳市承接化工产业转移“禁限控”目录》中所列工艺装备或产品的项目。禁止承接煤化工产能。禁止承接一次性固定资产投资额低于3亿元（不含土地费用）的危险化学品生产建设项目（列入国家战略性新兴产业重点产品和服务指导目录的项目除外）。禁止在化工园区外承接化工项目。</w:t>
                  </w:r>
                </w:p>
              </w:tc>
              <w:tc>
                <w:tcPr>
                  <w:tcW w:w="1066" w:type="pct"/>
                  <w:tcBorders>
                    <w:tl2br w:val="nil"/>
                    <w:tr2bl w:val="nil"/>
                  </w:tcBorders>
                  <w:shd w:val="clear" w:color="auto" w:fill="auto"/>
                  <w:vAlign w:val="center"/>
                </w:tcPr>
                <w:p w14:paraId="5B8FD7C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ascii="Times New Roman" w:hAnsi="Times New Roman" w:eastAsia="宋体" w:cs="Times New Roman"/>
                      <w:kern w:val="2"/>
                      <w:sz w:val="21"/>
                      <w:szCs w:val="21"/>
                      <w:lang w:val="en-US" w:eastAsia="zh-CN" w:bidi="ar"/>
                    </w:rPr>
                  </w:pPr>
                  <w:r>
                    <w:rPr>
                      <w:rFonts w:hint="eastAsia" w:cs="Times New Roman"/>
                      <w:kern w:val="2"/>
                      <w:sz w:val="21"/>
                      <w:szCs w:val="21"/>
                      <w:lang w:val="en-US" w:eastAsia="zh-CN" w:bidi="ar"/>
                    </w:rPr>
                    <w:t>不属于</w:t>
                  </w:r>
                  <w:r>
                    <w:rPr>
                      <w:rFonts w:hint="eastAsia" w:ascii="Times New Roman" w:hAnsi="Times New Roman" w:eastAsia="宋体" w:cs="宋体"/>
                      <w:kern w:val="2"/>
                      <w:sz w:val="21"/>
                      <w:szCs w:val="21"/>
                      <w:lang w:val="en-US" w:eastAsia="zh-CN" w:bidi="ar"/>
                    </w:rPr>
                    <w:t>石化、现代煤化工</w:t>
                  </w:r>
                  <w:r>
                    <w:rPr>
                      <w:rFonts w:hint="eastAsia" w:cs="宋体"/>
                      <w:kern w:val="2"/>
                      <w:sz w:val="21"/>
                      <w:szCs w:val="21"/>
                      <w:lang w:val="en-US" w:eastAsia="zh-CN" w:bidi="ar"/>
                    </w:rPr>
                    <w:t>行业。</w:t>
                  </w:r>
                </w:p>
              </w:tc>
              <w:tc>
                <w:tcPr>
                  <w:tcW w:w="432" w:type="pct"/>
                  <w:tcBorders>
                    <w:tl2br w:val="nil"/>
                    <w:tr2bl w:val="nil"/>
                  </w:tcBorders>
                  <w:shd w:val="clear" w:color="auto" w:fill="auto"/>
                  <w:vAlign w:val="center"/>
                </w:tcPr>
                <w:p w14:paraId="783223C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eastAsia" w:ascii="Times New Roman" w:hAnsi="Times New Roman" w:eastAsia="宋体" w:cs="宋体"/>
                      <w:kern w:val="2"/>
                      <w:sz w:val="21"/>
                      <w:szCs w:val="21"/>
                      <w:lang w:val="en-US" w:eastAsia="zh-CN" w:bidi="ar"/>
                    </w:rPr>
                  </w:pPr>
                  <w:r>
                    <w:rPr>
                      <w:rFonts w:hint="eastAsia" w:cs="宋体"/>
                      <w:kern w:val="2"/>
                      <w:sz w:val="21"/>
                      <w:szCs w:val="21"/>
                      <w:lang w:val="en-US" w:eastAsia="zh-CN" w:bidi="ar"/>
                    </w:rPr>
                    <w:t>/</w:t>
                  </w:r>
                </w:p>
              </w:tc>
            </w:tr>
            <w:tr w14:paraId="6ADDAF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0" w:hRule="atLeast"/>
                <w:jc w:val="center"/>
              </w:trPr>
              <w:tc>
                <w:tcPr>
                  <w:tcW w:w="279" w:type="pct"/>
                  <w:vMerge w:val="continue"/>
                  <w:tcBorders>
                    <w:tl2br w:val="nil"/>
                    <w:tr2bl w:val="nil"/>
                  </w:tcBorders>
                  <w:shd w:val="clear" w:color="auto" w:fill="auto"/>
                  <w:vAlign w:val="center"/>
                </w:tcPr>
                <w:p w14:paraId="2C9D3E4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eastAsia" w:cs="宋体"/>
                      <w:kern w:val="2"/>
                      <w:sz w:val="21"/>
                      <w:szCs w:val="21"/>
                      <w:lang w:val="en-US" w:eastAsia="zh-CN" w:bidi="ar"/>
                    </w:rPr>
                  </w:pPr>
                </w:p>
              </w:tc>
              <w:tc>
                <w:tcPr>
                  <w:tcW w:w="279" w:type="pct"/>
                  <w:tcBorders>
                    <w:tl2br w:val="nil"/>
                    <w:tr2bl w:val="nil"/>
                  </w:tcBorders>
                  <w:shd w:val="clear" w:color="auto" w:fill="auto"/>
                  <w:vAlign w:val="center"/>
                </w:tcPr>
                <w:p w14:paraId="0352C7CA">
                  <w:pPr>
                    <w:pStyle w:val="86"/>
                    <w:keepNext w:val="0"/>
                    <w:keepLines w:val="0"/>
                    <w:pageBreakBefore w:val="0"/>
                    <w:widowControl/>
                    <w:kinsoku/>
                    <w:wordWrap/>
                    <w:overflowPunct/>
                    <w:topLinePunct w:val="0"/>
                    <w:autoSpaceDE/>
                    <w:autoSpaceDN/>
                    <w:bidi w:val="0"/>
                    <w:adjustRightInd w:val="0"/>
                    <w:snapToGrid w:val="0"/>
                    <w:spacing w:line="360" w:lineRule="exact"/>
                    <w:ind w:left="0" w:firstLine="0" w:firstLineChars="0"/>
                    <w:jc w:val="center"/>
                    <w:rPr>
                      <w:rFonts w:hint="default"/>
                      <w:sz w:val="21"/>
                      <w:szCs w:val="21"/>
                      <w:lang w:val="en-US" w:eastAsia="zh-CN"/>
                    </w:rPr>
                  </w:pPr>
                  <w:r>
                    <w:rPr>
                      <w:rFonts w:hint="eastAsia"/>
                      <w:sz w:val="21"/>
                      <w:szCs w:val="21"/>
                      <w:lang w:val="en-US" w:eastAsia="zh-CN"/>
                    </w:rPr>
                    <w:t>7</w:t>
                  </w:r>
                </w:p>
              </w:tc>
              <w:tc>
                <w:tcPr>
                  <w:tcW w:w="2942" w:type="pct"/>
                  <w:tcBorders>
                    <w:tl2br w:val="nil"/>
                    <w:tr2bl w:val="nil"/>
                  </w:tcBorders>
                  <w:shd w:val="clear" w:color="auto" w:fill="auto"/>
                  <w:vAlign w:val="center"/>
                </w:tcPr>
                <w:p w14:paraId="1A9F830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both"/>
                    <w:rPr>
                      <w:rFonts w:hint="eastAsia" w:ascii="Times New Roman" w:hAnsi="Times New Roman" w:eastAsia="宋体" w:cs="宋体"/>
                      <w:kern w:val="2"/>
                      <w:sz w:val="21"/>
                      <w:szCs w:val="21"/>
                      <w:lang w:val="en-US" w:eastAsia="zh-CN" w:bidi="ar"/>
                    </w:rPr>
                  </w:pPr>
                  <w:r>
                    <w:rPr>
                      <w:rFonts w:hint="eastAsia" w:ascii="Times New Roman" w:hAnsi="Times New Roman" w:eastAsia="宋体" w:cs="宋体"/>
                      <w:kern w:val="2"/>
                      <w:sz w:val="21"/>
                      <w:szCs w:val="21"/>
                      <w:lang w:val="en-US" w:eastAsia="zh-CN" w:bidi="ar"/>
                    </w:rPr>
                    <w:t>从严从紧控制现代煤化工产能规模和新增煤炭消费量。确需新建的现代煤化工项目，应确保煤炭供应稳定，优先完成国家明确的发电供热用煤保供任务，不得通过减少保供煤用于现代煤化工项目建设，新建项目企业环保应达到绩效分级A级指标要求。新建项目应优先依托园区集中供热供汽设施，原则上不再新增自备燃煤机组。大气污染防治重点区域严禁新增煤化工产能（不含煤制油、煤制燃料）。</w:t>
                  </w:r>
                </w:p>
              </w:tc>
              <w:tc>
                <w:tcPr>
                  <w:tcW w:w="1066" w:type="pct"/>
                  <w:tcBorders>
                    <w:tl2br w:val="nil"/>
                    <w:tr2bl w:val="nil"/>
                  </w:tcBorders>
                  <w:shd w:val="clear" w:color="auto" w:fill="auto"/>
                  <w:vAlign w:val="center"/>
                </w:tcPr>
                <w:p w14:paraId="2AB457F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ascii="Times New Roman" w:hAnsi="Times New Roman" w:eastAsia="宋体" w:cs="Times New Roman"/>
                      <w:kern w:val="2"/>
                      <w:sz w:val="21"/>
                      <w:szCs w:val="21"/>
                      <w:lang w:val="en-US" w:eastAsia="zh-CN" w:bidi="ar"/>
                    </w:rPr>
                  </w:pPr>
                  <w:r>
                    <w:rPr>
                      <w:rFonts w:hint="eastAsia" w:cs="Times New Roman"/>
                      <w:kern w:val="2"/>
                      <w:sz w:val="21"/>
                      <w:szCs w:val="21"/>
                      <w:lang w:val="en-US" w:eastAsia="zh-CN" w:bidi="ar"/>
                    </w:rPr>
                    <w:t>不属于现代煤化工行业，也不新增煤炭消耗。</w:t>
                  </w:r>
                </w:p>
              </w:tc>
              <w:tc>
                <w:tcPr>
                  <w:tcW w:w="432" w:type="pct"/>
                  <w:tcBorders>
                    <w:tl2br w:val="nil"/>
                    <w:tr2bl w:val="nil"/>
                  </w:tcBorders>
                  <w:shd w:val="clear" w:color="auto" w:fill="auto"/>
                  <w:vAlign w:val="center"/>
                </w:tcPr>
                <w:p w14:paraId="3BE7BB0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ascii="Times New Roman" w:hAnsi="Times New Roman" w:eastAsia="宋体" w:cs="宋体"/>
                      <w:kern w:val="2"/>
                      <w:sz w:val="21"/>
                      <w:szCs w:val="21"/>
                      <w:lang w:val="en-US" w:eastAsia="zh-CN" w:bidi="ar"/>
                    </w:rPr>
                  </w:pPr>
                  <w:r>
                    <w:rPr>
                      <w:rFonts w:hint="eastAsia" w:cs="宋体"/>
                      <w:kern w:val="2"/>
                      <w:sz w:val="21"/>
                      <w:szCs w:val="21"/>
                      <w:lang w:val="en-US" w:eastAsia="zh-CN" w:bidi="ar"/>
                    </w:rPr>
                    <w:t>/</w:t>
                  </w:r>
                </w:p>
              </w:tc>
            </w:tr>
            <w:tr w14:paraId="6373FE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79" w:type="pct"/>
                  <w:vMerge w:val="continue"/>
                  <w:tcBorders>
                    <w:tl2br w:val="nil"/>
                    <w:tr2bl w:val="nil"/>
                  </w:tcBorders>
                  <w:shd w:val="clear" w:color="auto" w:fill="auto"/>
                  <w:vAlign w:val="center"/>
                </w:tcPr>
                <w:p w14:paraId="403935F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cs="宋体"/>
                      <w:kern w:val="2"/>
                      <w:sz w:val="21"/>
                      <w:szCs w:val="21"/>
                      <w:lang w:val="en-US" w:eastAsia="zh-CN" w:bidi="ar"/>
                    </w:rPr>
                  </w:pPr>
                  <w:r>
                    <w:rPr>
                      <w:rFonts w:hint="eastAsia" w:cs="宋体"/>
                      <w:kern w:val="2"/>
                      <w:sz w:val="21"/>
                      <w:szCs w:val="21"/>
                      <w:lang w:val="en-US" w:eastAsia="zh-CN" w:bidi="ar"/>
                    </w:rPr>
                    <w:t>8</w:t>
                  </w:r>
                </w:p>
              </w:tc>
              <w:tc>
                <w:tcPr>
                  <w:tcW w:w="279" w:type="pct"/>
                  <w:tcBorders>
                    <w:tl2br w:val="nil"/>
                    <w:tr2bl w:val="nil"/>
                  </w:tcBorders>
                  <w:shd w:val="clear" w:color="auto" w:fill="auto"/>
                  <w:vAlign w:val="center"/>
                </w:tcPr>
                <w:p w14:paraId="7B96C915">
                  <w:pPr>
                    <w:pStyle w:val="86"/>
                    <w:keepNext w:val="0"/>
                    <w:keepLines w:val="0"/>
                    <w:pageBreakBefore w:val="0"/>
                    <w:widowControl/>
                    <w:kinsoku/>
                    <w:wordWrap/>
                    <w:overflowPunct/>
                    <w:topLinePunct w:val="0"/>
                    <w:autoSpaceDE/>
                    <w:autoSpaceDN/>
                    <w:bidi w:val="0"/>
                    <w:adjustRightInd w:val="0"/>
                    <w:snapToGrid w:val="0"/>
                    <w:spacing w:line="360" w:lineRule="exact"/>
                    <w:ind w:left="0" w:firstLine="0" w:firstLineChars="0"/>
                    <w:jc w:val="center"/>
                    <w:rPr>
                      <w:rFonts w:hint="default"/>
                      <w:sz w:val="21"/>
                      <w:szCs w:val="21"/>
                      <w:lang w:val="en-US" w:eastAsia="zh-CN"/>
                    </w:rPr>
                  </w:pPr>
                  <w:r>
                    <w:rPr>
                      <w:rFonts w:hint="eastAsia"/>
                      <w:sz w:val="21"/>
                      <w:szCs w:val="21"/>
                      <w:lang w:val="en-US" w:eastAsia="zh-CN"/>
                    </w:rPr>
                    <w:t>8</w:t>
                  </w:r>
                </w:p>
              </w:tc>
              <w:tc>
                <w:tcPr>
                  <w:tcW w:w="2942" w:type="pct"/>
                  <w:tcBorders>
                    <w:tl2br w:val="nil"/>
                    <w:tr2bl w:val="nil"/>
                  </w:tcBorders>
                  <w:shd w:val="clear" w:color="auto" w:fill="auto"/>
                  <w:vAlign w:val="center"/>
                </w:tcPr>
                <w:p w14:paraId="4DE0D97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both"/>
                    <w:rPr>
                      <w:rFonts w:hint="eastAsia" w:ascii="Times New Roman" w:hAnsi="Times New Roman" w:eastAsia="宋体" w:cs="宋体"/>
                      <w:kern w:val="2"/>
                      <w:sz w:val="21"/>
                      <w:szCs w:val="21"/>
                      <w:lang w:val="en-US" w:eastAsia="zh-CN" w:bidi="ar"/>
                    </w:rPr>
                  </w:pPr>
                  <w:r>
                    <w:rPr>
                      <w:rFonts w:hint="eastAsia" w:ascii="Times New Roman" w:hAnsi="Times New Roman" w:eastAsia="宋体" w:cs="宋体"/>
                      <w:kern w:val="2"/>
                      <w:sz w:val="21"/>
                      <w:szCs w:val="21"/>
                      <w:lang w:val="en-US" w:eastAsia="zh-CN" w:bidi="ar"/>
                    </w:rPr>
                    <w:t>推动涉重金属产业集中优化发展，禁止低端落后产能向我市转移。禁止新建用汞的电石法（聚）氯乙烯生产工艺。新建、扩建的重有色金属冶炼、电镀、制革企业应选择布设在依法合规设立并经规划环评的产业园区。</w:t>
                  </w:r>
                </w:p>
              </w:tc>
              <w:tc>
                <w:tcPr>
                  <w:tcW w:w="1066" w:type="pct"/>
                  <w:tcBorders>
                    <w:tl2br w:val="nil"/>
                    <w:tr2bl w:val="nil"/>
                  </w:tcBorders>
                  <w:shd w:val="clear" w:color="auto" w:fill="auto"/>
                  <w:vAlign w:val="center"/>
                </w:tcPr>
                <w:p w14:paraId="5A51EC7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ascii="Times New Roman" w:hAnsi="Times New Roman" w:eastAsia="宋体" w:cs="Times New Roman"/>
                      <w:kern w:val="2"/>
                      <w:sz w:val="21"/>
                      <w:szCs w:val="21"/>
                      <w:lang w:val="en-US" w:eastAsia="zh-CN" w:bidi="ar"/>
                    </w:rPr>
                  </w:pPr>
                  <w:r>
                    <w:rPr>
                      <w:rFonts w:hint="eastAsia" w:cs="Times New Roman"/>
                      <w:kern w:val="2"/>
                      <w:sz w:val="21"/>
                      <w:szCs w:val="21"/>
                      <w:lang w:val="en-US" w:eastAsia="zh-CN" w:bidi="ar"/>
                    </w:rPr>
                    <w:t>不涉及重金属。</w:t>
                  </w:r>
                </w:p>
              </w:tc>
              <w:tc>
                <w:tcPr>
                  <w:tcW w:w="432" w:type="pct"/>
                  <w:tcBorders>
                    <w:tl2br w:val="nil"/>
                    <w:tr2bl w:val="nil"/>
                  </w:tcBorders>
                  <w:shd w:val="clear" w:color="auto" w:fill="auto"/>
                  <w:vAlign w:val="center"/>
                </w:tcPr>
                <w:p w14:paraId="2D7324F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ascii="Times New Roman" w:hAnsi="Times New Roman" w:eastAsia="宋体" w:cs="宋体"/>
                      <w:kern w:val="2"/>
                      <w:sz w:val="21"/>
                      <w:szCs w:val="21"/>
                      <w:lang w:val="en-US" w:eastAsia="zh-CN" w:bidi="ar"/>
                    </w:rPr>
                  </w:pPr>
                  <w:r>
                    <w:rPr>
                      <w:rFonts w:hint="eastAsia" w:cs="宋体"/>
                      <w:kern w:val="2"/>
                      <w:sz w:val="21"/>
                      <w:szCs w:val="21"/>
                      <w:lang w:val="en-US" w:eastAsia="zh-CN" w:bidi="ar"/>
                    </w:rPr>
                    <w:t>/</w:t>
                  </w:r>
                </w:p>
              </w:tc>
            </w:tr>
            <w:tr w14:paraId="2B5E72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79" w:type="pct"/>
                  <w:vMerge w:val="continue"/>
                  <w:tcBorders>
                    <w:tl2br w:val="nil"/>
                    <w:tr2bl w:val="nil"/>
                  </w:tcBorders>
                  <w:shd w:val="clear" w:color="auto" w:fill="auto"/>
                  <w:vAlign w:val="center"/>
                </w:tcPr>
                <w:p w14:paraId="092E656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cs="宋体"/>
                      <w:kern w:val="2"/>
                      <w:sz w:val="21"/>
                      <w:szCs w:val="21"/>
                      <w:lang w:val="en-US" w:eastAsia="zh-CN" w:bidi="ar"/>
                    </w:rPr>
                  </w:pPr>
                  <w:r>
                    <w:rPr>
                      <w:rFonts w:hint="eastAsia" w:cs="宋体"/>
                      <w:kern w:val="2"/>
                      <w:sz w:val="21"/>
                      <w:szCs w:val="21"/>
                      <w:lang w:val="en-US" w:eastAsia="zh-CN" w:bidi="ar"/>
                    </w:rPr>
                    <w:t>9</w:t>
                  </w:r>
                </w:p>
              </w:tc>
              <w:tc>
                <w:tcPr>
                  <w:tcW w:w="279" w:type="pct"/>
                  <w:tcBorders>
                    <w:tl2br w:val="nil"/>
                    <w:tr2bl w:val="nil"/>
                  </w:tcBorders>
                  <w:shd w:val="clear" w:color="auto" w:fill="auto"/>
                  <w:vAlign w:val="center"/>
                </w:tcPr>
                <w:p w14:paraId="2BD0390A">
                  <w:pPr>
                    <w:pStyle w:val="86"/>
                    <w:keepNext w:val="0"/>
                    <w:keepLines w:val="0"/>
                    <w:pageBreakBefore w:val="0"/>
                    <w:widowControl/>
                    <w:kinsoku/>
                    <w:wordWrap/>
                    <w:overflowPunct/>
                    <w:topLinePunct w:val="0"/>
                    <w:autoSpaceDE/>
                    <w:autoSpaceDN/>
                    <w:bidi w:val="0"/>
                    <w:adjustRightInd w:val="0"/>
                    <w:snapToGrid w:val="0"/>
                    <w:spacing w:line="360" w:lineRule="exact"/>
                    <w:ind w:left="0" w:firstLine="0" w:firstLineChars="0"/>
                    <w:jc w:val="center"/>
                    <w:rPr>
                      <w:rFonts w:hint="default"/>
                      <w:sz w:val="21"/>
                      <w:szCs w:val="21"/>
                      <w:lang w:val="en-US" w:eastAsia="zh-CN"/>
                    </w:rPr>
                  </w:pPr>
                  <w:r>
                    <w:rPr>
                      <w:rFonts w:hint="eastAsia"/>
                      <w:sz w:val="21"/>
                      <w:szCs w:val="21"/>
                      <w:lang w:val="en-US" w:eastAsia="zh-CN"/>
                    </w:rPr>
                    <w:t>9</w:t>
                  </w:r>
                </w:p>
              </w:tc>
              <w:tc>
                <w:tcPr>
                  <w:tcW w:w="2942" w:type="pct"/>
                  <w:tcBorders>
                    <w:tl2br w:val="nil"/>
                    <w:tr2bl w:val="nil"/>
                  </w:tcBorders>
                  <w:shd w:val="clear" w:color="auto" w:fill="auto"/>
                  <w:vAlign w:val="center"/>
                </w:tcPr>
                <w:p w14:paraId="681CAB3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both"/>
                    <w:rPr>
                      <w:rFonts w:hint="eastAsia" w:ascii="Times New Roman" w:hAnsi="Times New Roman" w:eastAsia="宋体" w:cs="宋体"/>
                      <w:kern w:val="2"/>
                      <w:sz w:val="21"/>
                      <w:szCs w:val="21"/>
                      <w:lang w:val="en-US" w:eastAsia="zh-CN" w:bidi="ar"/>
                    </w:rPr>
                  </w:pPr>
                  <w:r>
                    <w:rPr>
                      <w:rFonts w:hint="eastAsia" w:ascii="Times New Roman" w:hAnsi="Times New Roman" w:eastAsia="宋体" w:cs="宋体"/>
                      <w:kern w:val="2"/>
                      <w:sz w:val="21"/>
                      <w:szCs w:val="21"/>
                      <w:lang w:val="en-US" w:eastAsia="zh-CN" w:bidi="ar"/>
                    </w:rPr>
                    <w:t>禁止在水土流失严重区及重点预防区、水源保护区、生态脆弱区、自然保护地、野生动植物重要栖息地等区域，开展造成或者可能造成严重水土流失、破坏水生态环境和野生动植物栖息环境的生产建设活动。确因重大发展战略和重大公共利益需要建设的，应当经科学论证，并依法办理审批手续。严禁在黄河干流和主要支流临岸一定范围内新建“两高一资”（高耗能、高污染和资源性）项目及相关产业园区，具体范围由省人民政府制定。禁止在黄河干流岸线和重要支流岸线的管控范围内新建、改建、扩建尾矿库；但是以提升安全水平、生态环境保护水平为目的的改建除外。</w:t>
                  </w:r>
                </w:p>
              </w:tc>
              <w:tc>
                <w:tcPr>
                  <w:tcW w:w="1066" w:type="pct"/>
                  <w:tcBorders>
                    <w:tl2br w:val="nil"/>
                    <w:tr2bl w:val="nil"/>
                  </w:tcBorders>
                  <w:shd w:val="clear" w:color="auto" w:fill="auto"/>
                  <w:vAlign w:val="center"/>
                </w:tcPr>
                <w:p w14:paraId="5BC6527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ascii="Times New Roman" w:hAnsi="Times New Roman" w:eastAsia="宋体" w:cs="Times New Roman"/>
                      <w:kern w:val="2"/>
                      <w:sz w:val="21"/>
                      <w:szCs w:val="21"/>
                      <w:lang w:val="en-US" w:eastAsia="zh-CN" w:bidi="ar"/>
                    </w:rPr>
                  </w:pPr>
                  <w:r>
                    <w:rPr>
                      <w:rFonts w:hint="eastAsia" w:cs="Times New Roman"/>
                      <w:kern w:val="2"/>
                      <w:sz w:val="21"/>
                      <w:szCs w:val="21"/>
                      <w:highlight w:val="none"/>
                      <w:lang w:val="en-US" w:eastAsia="zh-CN" w:bidi="ar"/>
                    </w:rPr>
                    <w:t>项目租赁现有厂房建设，不开展可能造成严重水土流失、破坏水生态环境和野生动植物栖息环境的生产建设活动。</w:t>
                  </w:r>
                </w:p>
              </w:tc>
              <w:tc>
                <w:tcPr>
                  <w:tcW w:w="432" w:type="pct"/>
                  <w:tcBorders>
                    <w:tl2br w:val="nil"/>
                    <w:tr2bl w:val="nil"/>
                  </w:tcBorders>
                  <w:shd w:val="clear" w:color="auto" w:fill="auto"/>
                  <w:vAlign w:val="center"/>
                </w:tcPr>
                <w:p w14:paraId="311C2BA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ascii="Times New Roman" w:hAnsi="Times New Roman" w:eastAsia="宋体" w:cs="宋体"/>
                      <w:kern w:val="2"/>
                      <w:sz w:val="21"/>
                      <w:szCs w:val="21"/>
                      <w:lang w:val="en-US" w:eastAsia="zh-CN" w:bidi="ar"/>
                    </w:rPr>
                  </w:pPr>
                  <w:r>
                    <w:rPr>
                      <w:rFonts w:hint="eastAsia" w:cs="宋体"/>
                      <w:kern w:val="2"/>
                      <w:sz w:val="21"/>
                      <w:szCs w:val="21"/>
                      <w:lang w:val="en-US" w:eastAsia="zh-CN" w:bidi="ar"/>
                    </w:rPr>
                    <w:t>符合</w:t>
                  </w:r>
                </w:p>
              </w:tc>
            </w:tr>
            <w:tr w14:paraId="503B7F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0" w:hRule="atLeast"/>
                <w:jc w:val="center"/>
              </w:trPr>
              <w:tc>
                <w:tcPr>
                  <w:tcW w:w="279" w:type="pct"/>
                  <w:vMerge w:val="continue"/>
                  <w:tcBorders>
                    <w:tl2br w:val="nil"/>
                    <w:tr2bl w:val="nil"/>
                  </w:tcBorders>
                  <w:shd w:val="clear" w:color="auto" w:fill="auto"/>
                  <w:vAlign w:val="center"/>
                </w:tcPr>
                <w:p w14:paraId="57DFD2A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eastAsia" w:cs="宋体"/>
                      <w:kern w:val="2"/>
                      <w:sz w:val="21"/>
                      <w:szCs w:val="21"/>
                      <w:lang w:val="en-US" w:eastAsia="zh-CN" w:bidi="ar"/>
                    </w:rPr>
                  </w:pPr>
                </w:p>
              </w:tc>
              <w:tc>
                <w:tcPr>
                  <w:tcW w:w="279" w:type="pct"/>
                  <w:tcBorders>
                    <w:tl2br w:val="nil"/>
                    <w:tr2bl w:val="nil"/>
                  </w:tcBorders>
                  <w:shd w:val="clear" w:color="auto" w:fill="auto"/>
                  <w:vAlign w:val="center"/>
                </w:tcPr>
                <w:p w14:paraId="1D7A9B31">
                  <w:pPr>
                    <w:pStyle w:val="86"/>
                    <w:keepNext w:val="0"/>
                    <w:keepLines w:val="0"/>
                    <w:pageBreakBefore w:val="0"/>
                    <w:widowControl/>
                    <w:kinsoku/>
                    <w:wordWrap/>
                    <w:overflowPunct/>
                    <w:topLinePunct w:val="0"/>
                    <w:autoSpaceDE/>
                    <w:autoSpaceDN/>
                    <w:bidi w:val="0"/>
                    <w:adjustRightInd w:val="0"/>
                    <w:snapToGrid w:val="0"/>
                    <w:spacing w:line="360" w:lineRule="exact"/>
                    <w:ind w:left="0" w:firstLine="0" w:firstLineChars="0"/>
                    <w:jc w:val="center"/>
                    <w:rPr>
                      <w:rFonts w:hint="default"/>
                      <w:sz w:val="21"/>
                      <w:szCs w:val="21"/>
                      <w:lang w:val="en-US" w:eastAsia="zh-CN"/>
                    </w:rPr>
                  </w:pPr>
                  <w:r>
                    <w:rPr>
                      <w:rFonts w:hint="eastAsia"/>
                      <w:sz w:val="21"/>
                      <w:szCs w:val="21"/>
                      <w:lang w:val="en-US" w:eastAsia="zh-CN"/>
                    </w:rPr>
                    <w:t>10</w:t>
                  </w:r>
                </w:p>
              </w:tc>
              <w:tc>
                <w:tcPr>
                  <w:tcW w:w="2942" w:type="pct"/>
                  <w:tcBorders>
                    <w:tl2br w:val="nil"/>
                    <w:tr2bl w:val="nil"/>
                  </w:tcBorders>
                  <w:shd w:val="clear" w:color="auto" w:fill="auto"/>
                  <w:vAlign w:val="center"/>
                </w:tcPr>
                <w:p w14:paraId="412158F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both"/>
                    <w:rPr>
                      <w:rFonts w:hint="eastAsia" w:ascii="Times New Roman" w:hAnsi="Times New Roman" w:eastAsia="宋体" w:cs="宋体"/>
                      <w:kern w:val="2"/>
                      <w:sz w:val="21"/>
                      <w:szCs w:val="21"/>
                      <w:lang w:val="en-US" w:eastAsia="zh-CN" w:bidi="ar"/>
                    </w:rPr>
                  </w:pPr>
                  <w:r>
                    <w:rPr>
                      <w:rFonts w:hint="eastAsia" w:ascii="Times New Roman" w:hAnsi="Times New Roman" w:eastAsia="宋体" w:cs="宋体"/>
                      <w:kern w:val="2"/>
                      <w:sz w:val="21"/>
                      <w:szCs w:val="21"/>
                      <w:lang w:val="en-US" w:eastAsia="zh-CN" w:bidi="ar"/>
                    </w:rPr>
                    <w:t>原则上禁止曾用于生产、使用、贮存、回收、处置有毒有害物质的工矿用地复垦为种植食用农产品的耕地。</w:t>
                  </w:r>
                </w:p>
              </w:tc>
              <w:tc>
                <w:tcPr>
                  <w:tcW w:w="1066" w:type="pct"/>
                  <w:tcBorders>
                    <w:tl2br w:val="nil"/>
                    <w:tr2bl w:val="nil"/>
                  </w:tcBorders>
                  <w:shd w:val="clear" w:color="auto" w:fill="auto"/>
                  <w:vAlign w:val="center"/>
                </w:tcPr>
                <w:p w14:paraId="4EAABCD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ascii="Times New Roman" w:hAnsi="Times New Roman" w:eastAsia="宋体" w:cs="Times New Roman"/>
                      <w:kern w:val="2"/>
                      <w:sz w:val="21"/>
                      <w:szCs w:val="21"/>
                      <w:lang w:val="en-US" w:eastAsia="zh-CN" w:bidi="ar"/>
                    </w:rPr>
                  </w:pPr>
                  <w:r>
                    <w:rPr>
                      <w:rFonts w:hint="eastAsia" w:cs="Times New Roman"/>
                      <w:kern w:val="2"/>
                      <w:sz w:val="21"/>
                      <w:szCs w:val="21"/>
                      <w:lang w:val="en-US" w:eastAsia="zh-CN" w:bidi="ar"/>
                    </w:rPr>
                    <w:t>不涉及。</w:t>
                  </w:r>
                </w:p>
              </w:tc>
              <w:tc>
                <w:tcPr>
                  <w:tcW w:w="432" w:type="pct"/>
                  <w:tcBorders>
                    <w:tl2br w:val="nil"/>
                    <w:tr2bl w:val="nil"/>
                  </w:tcBorders>
                  <w:shd w:val="clear" w:color="auto" w:fill="auto"/>
                  <w:vAlign w:val="center"/>
                </w:tcPr>
                <w:p w14:paraId="668D607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ascii="Times New Roman" w:hAnsi="Times New Roman" w:eastAsia="宋体" w:cs="宋体"/>
                      <w:kern w:val="2"/>
                      <w:sz w:val="21"/>
                      <w:szCs w:val="21"/>
                      <w:lang w:val="en-US" w:eastAsia="zh-CN" w:bidi="ar"/>
                    </w:rPr>
                  </w:pPr>
                  <w:r>
                    <w:rPr>
                      <w:rFonts w:hint="eastAsia" w:cs="宋体"/>
                      <w:kern w:val="2"/>
                      <w:sz w:val="21"/>
                      <w:szCs w:val="21"/>
                      <w:lang w:val="en-US" w:eastAsia="zh-CN" w:bidi="ar"/>
                    </w:rPr>
                    <w:t>/</w:t>
                  </w:r>
                </w:p>
              </w:tc>
            </w:tr>
            <w:tr w14:paraId="49F71F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0" w:hRule="atLeast"/>
                <w:jc w:val="center"/>
              </w:trPr>
              <w:tc>
                <w:tcPr>
                  <w:tcW w:w="279" w:type="pct"/>
                  <w:vMerge w:val="continue"/>
                  <w:tcBorders>
                    <w:tl2br w:val="nil"/>
                    <w:tr2bl w:val="nil"/>
                  </w:tcBorders>
                  <w:shd w:val="clear" w:color="auto" w:fill="auto"/>
                  <w:vAlign w:val="center"/>
                </w:tcPr>
                <w:p w14:paraId="157FAF8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eastAsia" w:cs="宋体"/>
                      <w:kern w:val="2"/>
                      <w:sz w:val="21"/>
                      <w:szCs w:val="21"/>
                      <w:lang w:val="en-US" w:eastAsia="zh-CN" w:bidi="ar"/>
                    </w:rPr>
                  </w:pPr>
                </w:p>
              </w:tc>
              <w:tc>
                <w:tcPr>
                  <w:tcW w:w="279" w:type="pct"/>
                  <w:tcBorders>
                    <w:tl2br w:val="nil"/>
                    <w:tr2bl w:val="nil"/>
                  </w:tcBorders>
                  <w:shd w:val="clear" w:color="auto" w:fill="auto"/>
                  <w:vAlign w:val="center"/>
                </w:tcPr>
                <w:p w14:paraId="5FA628EE">
                  <w:pPr>
                    <w:pStyle w:val="86"/>
                    <w:keepNext w:val="0"/>
                    <w:keepLines w:val="0"/>
                    <w:pageBreakBefore w:val="0"/>
                    <w:widowControl/>
                    <w:kinsoku/>
                    <w:wordWrap/>
                    <w:overflowPunct/>
                    <w:topLinePunct w:val="0"/>
                    <w:autoSpaceDE/>
                    <w:autoSpaceDN/>
                    <w:bidi w:val="0"/>
                    <w:adjustRightInd w:val="0"/>
                    <w:snapToGrid w:val="0"/>
                    <w:spacing w:line="360" w:lineRule="exact"/>
                    <w:ind w:left="0" w:firstLine="0" w:firstLineChars="0"/>
                    <w:jc w:val="center"/>
                    <w:rPr>
                      <w:rFonts w:hint="default"/>
                      <w:sz w:val="21"/>
                      <w:szCs w:val="21"/>
                      <w:lang w:val="en-US" w:eastAsia="zh-CN"/>
                    </w:rPr>
                  </w:pPr>
                  <w:r>
                    <w:rPr>
                      <w:rFonts w:hint="eastAsia"/>
                      <w:sz w:val="21"/>
                      <w:szCs w:val="21"/>
                      <w:lang w:val="en-US" w:eastAsia="zh-CN"/>
                    </w:rPr>
                    <w:t>11</w:t>
                  </w:r>
                </w:p>
              </w:tc>
              <w:tc>
                <w:tcPr>
                  <w:tcW w:w="2942" w:type="pct"/>
                  <w:tcBorders>
                    <w:tl2br w:val="nil"/>
                    <w:tr2bl w:val="nil"/>
                  </w:tcBorders>
                  <w:shd w:val="clear" w:color="auto" w:fill="auto"/>
                  <w:vAlign w:val="center"/>
                </w:tcPr>
                <w:p w14:paraId="24D824A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both"/>
                    <w:rPr>
                      <w:rFonts w:hint="eastAsia" w:ascii="Times New Roman" w:hAnsi="Times New Roman" w:eastAsia="宋体" w:cs="宋体"/>
                      <w:kern w:val="2"/>
                      <w:sz w:val="21"/>
                      <w:szCs w:val="21"/>
                      <w:lang w:val="en-US" w:eastAsia="zh-CN" w:bidi="ar"/>
                    </w:rPr>
                  </w:pPr>
                  <w:r>
                    <w:rPr>
                      <w:rFonts w:hint="eastAsia" w:ascii="Times New Roman" w:hAnsi="Times New Roman" w:eastAsia="宋体" w:cs="宋体"/>
                      <w:kern w:val="2"/>
                      <w:sz w:val="21"/>
                      <w:szCs w:val="21"/>
                      <w:lang w:val="en-US" w:eastAsia="zh-CN" w:bidi="ar"/>
                    </w:rPr>
                    <w:t>工业企业选址应对符合国土空间规划和相关规划要求，建设项目严格执行声功能区环境准入要求，禁止在0、1类声环境功能区、严格限制在城市建成区内2类声环境功能区（工业园区外）建设产生噪声污染的工业项目。严控噪声污染严重的工业企业向乡村居民区域转移。</w:t>
                  </w:r>
                </w:p>
              </w:tc>
              <w:tc>
                <w:tcPr>
                  <w:tcW w:w="1066" w:type="pct"/>
                  <w:tcBorders>
                    <w:tl2br w:val="nil"/>
                    <w:tr2bl w:val="nil"/>
                  </w:tcBorders>
                  <w:shd w:val="clear" w:color="auto" w:fill="auto"/>
                  <w:vAlign w:val="center"/>
                </w:tcPr>
                <w:p w14:paraId="441828B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ascii="Times New Roman" w:hAnsi="Times New Roman" w:eastAsia="宋体" w:cs="Times New Roman"/>
                      <w:kern w:val="2"/>
                      <w:sz w:val="21"/>
                      <w:szCs w:val="21"/>
                      <w:lang w:val="en-US" w:eastAsia="zh-CN" w:bidi="ar"/>
                    </w:rPr>
                  </w:pPr>
                  <w:r>
                    <w:rPr>
                      <w:rFonts w:hint="eastAsia" w:cs="Times New Roman"/>
                      <w:kern w:val="2"/>
                      <w:sz w:val="21"/>
                      <w:szCs w:val="21"/>
                      <w:lang w:val="en-US" w:eastAsia="zh-CN" w:bidi="ar"/>
                    </w:rPr>
                    <w:t>项目位于工业园区内，占地为工业用地，符合国土空间规划，对周边声环境影响较小。</w:t>
                  </w:r>
                </w:p>
              </w:tc>
              <w:tc>
                <w:tcPr>
                  <w:tcW w:w="432" w:type="pct"/>
                  <w:tcBorders>
                    <w:tl2br w:val="nil"/>
                    <w:tr2bl w:val="nil"/>
                  </w:tcBorders>
                  <w:shd w:val="clear" w:color="auto" w:fill="auto"/>
                  <w:vAlign w:val="center"/>
                </w:tcPr>
                <w:p w14:paraId="2174F84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ascii="Times New Roman" w:hAnsi="Times New Roman" w:eastAsia="宋体" w:cs="宋体"/>
                      <w:kern w:val="2"/>
                      <w:sz w:val="21"/>
                      <w:szCs w:val="21"/>
                      <w:lang w:val="en-US" w:eastAsia="zh-CN" w:bidi="ar"/>
                    </w:rPr>
                  </w:pPr>
                  <w:r>
                    <w:rPr>
                      <w:rFonts w:hint="eastAsia" w:cs="宋体"/>
                      <w:kern w:val="2"/>
                      <w:sz w:val="21"/>
                      <w:szCs w:val="21"/>
                      <w:lang w:val="en-US" w:eastAsia="zh-CN" w:bidi="ar"/>
                    </w:rPr>
                    <w:t>符合</w:t>
                  </w:r>
                </w:p>
              </w:tc>
            </w:tr>
            <w:tr w14:paraId="0AF0490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79" w:type="pct"/>
                  <w:vMerge w:val="continue"/>
                  <w:tcBorders>
                    <w:tl2br w:val="nil"/>
                    <w:tr2bl w:val="nil"/>
                  </w:tcBorders>
                  <w:shd w:val="clear" w:color="auto" w:fill="auto"/>
                  <w:vAlign w:val="center"/>
                </w:tcPr>
                <w:p w14:paraId="0FB619A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eastAsia" w:cs="宋体"/>
                      <w:kern w:val="2"/>
                      <w:sz w:val="21"/>
                      <w:szCs w:val="21"/>
                      <w:lang w:val="en-US" w:eastAsia="zh-CN" w:bidi="ar"/>
                    </w:rPr>
                  </w:pPr>
                </w:p>
              </w:tc>
              <w:tc>
                <w:tcPr>
                  <w:tcW w:w="279" w:type="pct"/>
                  <w:tcBorders>
                    <w:tl2br w:val="nil"/>
                    <w:tr2bl w:val="nil"/>
                  </w:tcBorders>
                  <w:shd w:val="clear" w:color="auto" w:fill="auto"/>
                  <w:vAlign w:val="center"/>
                </w:tcPr>
                <w:p w14:paraId="799797A8">
                  <w:pPr>
                    <w:pStyle w:val="86"/>
                    <w:keepNext w:val="0"/>
                    <w:keepLines w:val="0"/>
                    <w:pageBreakBefore w:val="0"/>
                    <w:widowControl/>
                    <w:kinsoku/>
                    <w:wordWrap/>
                    <w:overflowPunct/>
                    <w:topLinePunct w:val="0"/>
                    <w:autoSpaceDE/>
                    <w:autoSpaceDN/>
                    <w:bidi w:val="0"/>
                    <w:adjustRightInd w:val="0"/>
                    <w:snapToGrid w:val="0"/>
                    <w:spacing w:line="360" w:lineRule="exact"/>
                    <w:ind w:left="0" w:firstLine="0" w:firstLineChars="0"/>
                    <w:jc w:val="center"/>
                    <w:rPr>
                      <w:rFonts w:hint="default"/>
                      <w:sz w:val="21"/>
                      <w:szCs w:val="21"/>
                      <w:lang w:val="en-US" w:eastAsia="zh-CN"/>
                    </w:rPr>
                  </w:pPr>
                  <w:r>
                    <w:rPr>
                      <w:rFonts w:hint="eastAsia"/>
                      <w:sz w:val="21"/>
                      <w:szCs w:val="21"/>
                      <w:lang w:val="en-US" w:eastAsia="zh-CN"/>
                    </w:rPr>
                    <w:t>12</w:t>
                  </w:r>
                </w:p>
              </w:tc>
              <w:tc>
                <w:tcPr>
                  <w:tcW w:w="2942" w:type="pct"/>
                  <w:tcBorders>
                    <w:tl2br w:val="nil"/>
                    <w:tr2bl w:val="nil"/>
                  </w:tcBorders>
                  <w:shd w:val="clear" w:color="auto" w:fill="auto"/>
                  <w:vAlign w:val="center"/>
                </w:tcPr>
                <w:p w14:paraId="5D035BD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both"/>
                    <w:rPr>
                      <w:rFonts w:hint="eastAsia" w:ascii="Times New Roman" w:hAnsi="Times New Roman" w:eastAsia="宋体" w:cs="宋体"/>
                      <w:kern w:val="2"/>
                      <w:sz w:val="21"/>
                      <w:szCs w:val="21"/>
                      <w:lang w:val="en-US" w:eastAsia="zh-CN" w:bidi="ar"/>
                    </w:rPr>
                  </w:pPr>
                  <w:r>
                    <w:rPr>
                      <w:rFonts w:hint="eastAsia" w:ascii="Times New Roman" w:hAnsi="Times New Roman" w:eastAsia="宋体" w:cs="宋体"/>
                      <w:kern w:val="2"/>
                      <w:sz w:val="21"/>
                      <w:szCs w:val="21"/>
                      <w:lang w:val="en-US" w:eastAsia="zh-CN" w:bidi="ar"/>
                    </w:rPr>
                    <w:t>禁止在饮用水水源一级保护区内新建、改建、扩建与供水设施和保护水源无关的建设项目，且不得新建排污口。禁止在饮用水水源二级保护区内新建、改建、扩建排放污染物的建设项目，且不得新建排污口。禁止在饮用水水源准保护区内新建、扩建对水体污染严重的建设项目，改建建设项目不得增加排污量。</w:t>
                  </w:r>
                </w:p>
              </w:tc>
              <w:tc>
                <w:tcPr>
                  <w:tcW w:w="1066" w:type="pct"/>
                  <w:tcBorders>
                    <w:tl2br w:val="nil"/>
                    <w:tr2bl w:val="nil"/>
                  </w:tcBorders>
                  <w:shd w:val="clear" w:color="auto" w:fill="auto"/>
                  <w:vAlign w:val="center"/>
                </w:tcPr>
                <w:p w14:paraId="1F3B4FF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rPr>
                      <w:rFonts w:hint="eastAsia" w:ascii="Times New Roman" w:hAnsi="Times New Roman" w:eastAsia="宋体" w:cs="Times New Roman"/>
                      <w:kern w:val="2"/>
                      <w:sz w:val="21"/>
                      <w:szCs w:val="21"/>
                      <w:lang w:val="en-US" w:eastAsia="zh-CN" w:bidi="ar"/>
                    </w:rPr>
                  </w:pPr>
                  <w:r>
                    <w:rPr>
                      <w:rFonts w:hint="eastAsia" w:ascii="Times New Roman" w:hAnsi="Times New Roman" w:eastAsia="宋体" w:cs="宋体"/>
                      <w:kern w:val="2"/>
                      <w:sz w:val="21"/>
                      <w:szCs w:val="21"/>
                      <w:lang w:val="en-US" w:eastAsia="zh-CN" w:bidi="ar"/>
                    </w:rPr>
                    <w:t>项目不在水源保护区及准保护区范围内。</w:t>
                  </w:r>
                </w:p>
              </w:tc>
              <w:tc>
                <w:tcPr>
                  <w:tcW w:w="432" w:type="pct"/>
                  <w:tcBorders>
                    <w:tl2br w:val="nil"/>
                    <w:tr2bl w:val="nil"/>
                  </w:tcBorders>
                  <w:shd w:val="clear" w:color="auto" w:fill="auto"/>
                  <w:vAlign w:val="center"/>
                </w:tcPr>
                <w:p w14:paraId="413A0FC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rPr>
                      <w:rFonts w:hint="eastAsia" w:ascii="Times New Roman" w:hAnsi="Times New Roman" w:eastAsia="宋体" w:cs="宋体"/>
                      <w:kern w:val="2"/>
                      <w:sz w:val="21"/>
                      <w:szCs w:val="21"/>
                      <w:lang w:val="en-US" w:eastAsia="zh-CN" w:bidi="ar"/>
                    </w:rPr>
                  </w:pPr>
                  <w:r>
                    <w:rPr>
                      <w:rFonts w:hint="eastAsia" w:ascii="Times New Roman" w:hAnsi="Times New Roman" w:eastAsia="宋体" w:cs="宋体"/>
                      <w:kern w:val="2"/>
                      <w:sz w:val="21"/>
                      <w:szCs w:val="21"/>
                      <w:lang w:val="en-US" w:eastAsia="zh-CN" w:bidi="ar"/>
                    </w:rPr>
                    <w:t>符合</w:t>
                  </w:r>
                </w:p>
              </w:tc>
            </w:tr>
            <w:tr w14:paraId="5C215B1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0" w:hRule="atLeast"/>
                <w:jc w:val="center"/>
              </w:trPr>
              <w:tc>
                <w:tcPr>
                  <w:tcW w:w="279" w:type="pct"/>
                  <w:vMerge w:val="continue"/>
                  <w:tcBorders>
                    <w:tl2br w:val="nil"/>
                    <w:tr2bl w:val="nil"/>
                  </w:tcBorders>
                  <w:shd w:val="clear" w:color="auto" w:fill="auto"/>
                  <w:vAlign w:val="center"/>
                </w:tcPr>
                <w:p w14:paraId="4A53382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eastAsia" w:cs="宋体"/>
                      <w:kern w:val="2"/>
                      <w:sz w:val="21"/>
                      <w:szCs w:val="21"/>
                      <w:lang w:val="en-US" w:eastAsia="zh-CN" w:bidi="ar"/>
                    </w:rPr>
                  </w:pPr>
                </w:p>
              </w:tc>
              <w:tc>
                <w:tcPr>
                  <w:tcW w:w="279" w:type="pct"/>
                  <w:tcBorders>
                    <w:tl2br w:val="nil"/>
                    <w:tr2bl w:val="nil"/>
                  </w:tcBorders>
                  <w:shd w:val="clear" w:color="auto" w:fill="auto"/>
                  <w:vAlign w:val="center"/>
                </w:tcPr>
                <w:p w14:paraId="398630A3">
                  <w:pPr>
                    <w:pStyle w:val="86"/>
                    <w:keepNext w:val="0"/>
                    <w:keepLines w:val="0"/>
                    <w:pageBreakBefore w:val="0"/>
                    <w:widowControl/>
                    <w:kinsoku/>
                    <w:wordWrap/>
                    <w:overflowPunct/>
                    <w:topLinePunct w:val="0"/>
                    <w:autoSpaceDE/>
                    <w:autoSpaceDN/>
                    <w:bidi w:val="0"/>
                    <w:adjustRightInd w:val="0"/>
                    <w:snapToGrid w:val="0"/>
                    <w:spacing w:line="360" w:lineRule="exact"/>
                    <w:ind w:left="0" w:firstLine="0" w:firstLineChars="0"/>
                    <w:jc w:val="center"/>
                    <w:rPr>
                      <w:rFonts w:hint="default"/>
                      <w:sz w:val="21"/>
                      <w:szCs w:val="21"/>
                      <w:lang w:val="en-US" w:eastAsia="zh-CN"/>
                    </w:rPr>
                  </w:pPr>
                  <w:r>
                    <w:rPr>
                      <w:rFonts w:hint="eastAsia"/>
                      <w:sz w:val="21"/>
                      <w:szCs w:val="21"/>
                      <w:lang w:val="en-US" w:eastAsia="zh-CN"/>
                    </w:rPr>
                    <w:t>13</w:t>
                  </w:r>
                </w:p>
              </w:tc>
              <w:tc>
                <w:tcPr>
                  <w:tcW w:w="2942" w:type="pct"/>
                  <w:tcBorders>
                    <w:tl2br w:val="nil"/>
                    <w:tr2bl w:val="nil"/>
                  </w:tcBorders>
                  <w:shd w:val="clear" w:color="auto" w:fill="auto"/>
                  <w:vAlign w:val="center"/>
                </w:tcPr>
                <w:p w14:paraId="2869735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both"/>
                    <w:rPr>
                      <w:rFonts w:hint="eastAsia" w:ascii="Times New Roman" w:hAnsi="Times New Roman" w:eastAsia="宋体" w:cs="宋体"/>
                      <w:kern w:val="2"/>
                      <w:sz w:val="21"/>
                      <w:szCs w:val="21"/>
                      <w:lang w:val="en-US" w:eastAsia="zh-CN" w:bidi="ar"/>
                    </w:rPr>
                  </w:pPr>
                  <w:r>
                    <w:rPr>
                      <w:rFonts w:hint="eastAsia" w:ascii="Times New Roman" w:hAnsi="Times New Roman" w:eastAsia="宋体" w:cs="宋体"/>
                      <w:kern w:val="2"/>
                      <w:sz w:val="21"/>
                      <w:szCs w:val="21"/>
                      <w:lang w:val="en-US" w:eastAsia="zh-CN" w:bidi="ar"/>
                    </w:rPr>
                    <w:t>林州万宝山省级自然保护区禁止下列行为：（一）禁止在自然保护区内进行砍伐、放牧、狩猎、捕捞、采药、开垦、烧荒、开矿、采石、挖沙等活动；但是，法律、行政法规另有规定的除外。（二）禁止任何人进入自然保护区的核心区。因科学研究的需要，必须进入核心区从事科学研究观测、调查活动的，应当事先向自然保护区管理机构提交申请和活动计划，并经自然保护区管理机构批准。（三）禁止在自然保护区的缓冲区开展旅游和生产经营活动。因教学科研的目的，需要进入自然保护区的缓冲区从事非破坏性的科学研究、教学实习和标本采集活动的，应当事先向自然保护区管理机构提交申请和活动计划，经自然保护区管理机构批准。（四）在自然保护区的核心区和缓冲区内，不得建设任何生产设施。在自然保护区的实验区内，不得建设污染环境、破坏资源或者景观的生产设施；建设其他项目，其污染物排放不得超过国家和地方规定的污染物排放标准。（五）在自然保护区的外围保护地带建的项目，不得损害自然保护区内的环境质量；已造成损害的，应当限期治理。</w:t>
                  </w:r>
                </w:p>
              </w:tc>
              <w:tc>
                <w:tcPr>
                  <w:tcW w:w="1066" w:type="pct"/>
                  <w:tcBorders>
                    <w:tl2br w:val="nil"/>
                    <w:tr2bl w:val="nil"/>
                  </w:tcBorders>
                  <w:shd w:val="clear" w:color="auto" w:fill="auto"/>
                  <w:vAlign w:val="center"/>
                </w:tcPr>
                <w:p w14:paraId="79C4034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rPr>
                      <w:rFonts w:hint="eastAsia" w:ascii="Times New Roman" w:hAnsi="Times New Roman" w:eastAsia="宋体" w:cs="Times New Roman"/>
                      <w:kern w:val="2"/>
                      <w:sz w:val="21"/>
                      <w:szCs w:val="21"/>
                      <w:lang w:val="en-US" w:eastAsia="zh-CN" w:bidi="ar"/>
                    </w:rPr>
                  </w:pPr>
                  <w:r>
                    <w:rPr>
                      <w:rFonts w:hint="eastAsia" w:ascii="Times New Roman" w:hAnsi="Times New Roman" w:eastAsia="宋体" w:cs="宋体"/>
                      <w:kern w:val="2"/>
                      <w:sz w:val="21"/>
                      <w:szCs w:val="21"/>
                      <w:highlight w:val="none"/>
                      <w:lang w:val="en-US" w:eastAsia="zh-CN" w:bidi="ar"/>
                    </w:rPr>
                    <w:t>项目不在林州</w:t>
                  </w:r>
                  <w:r>
                    <w:rPr>
                      <w:rFonts w:hint="eastAsia" w:ascii="Times New Roman" w:hAnsi="Times New Roman" w:eastAsia="宋体" w:cs="宋体"/>
                      <w:bCs/>
                      <w:kern w:val="2"/>
                      <w:sz w:val="21"/>
                      <w:szCs w:val="21"/>
                      <w:highlight w:val="none"/>
                      <w:lang w:val="en-US" w:eastAsia="zh-CN" w:bidi="ar"/>
                    </w:rPr>
                    <w:t>万宝山省级自然保护区范围内。</w:t>
                  </w:r>
                </w:p>
              </w:tc>
              <w:tc>
                <w:tcPr>
                  <w:tcW w:w="432" w:type="pct"/>
                  <w:tcBorders>
                    <w:tl2br w:val="nil"/>
                    <w:tr2bl w:val="nil"/>
                  </w:tcBorders>
                  <w:shd w:val="clear" w:color="auto" w:fill="auto"/>
                  <w:vAlign w:val="center"/>
                </w:tcPr>
                <w:p w14:paraId="20E2225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rPr>
                      <w:rFonts w:hint="eastAsia" w:ascii="Times New Roman" w:hAnsi="Times New Roman" w:eastAsia="宋体" w:cs="宋体"/>
                      <w:kern w:val="2"/>
                      <w:sz w:val="21"/>
                      <w:szCs w:val="21"/>
                      <w:lang w:val="en-US" w:eastAsia="zh-CN" w:bidi="ar"/>
                    </w:rPr>
                  </w:pPr>
                  <w:r>
                    <w:rPr>
                      <w:rFonts w:hint="eastAsia"/>
                      <w:sz w:val="21"/>
                      <w:szCs w:val="21"/>
                      <w:highlight w:val="none"/>
                      <w:lang w:val="en-US" w:eastAsia="zh-CN"/>
                    </w:rPr>
                    <w:t>符合</w:t>
                  </w:r>
                </w:p>
              </w:tc>
            </w:tr>
            <w:tr w14:paraId="3A2658A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0" w:hRule="atLeast"/>
                <w:jc w:val="center"/>
              </w:trPr>
              <w:tc>
                <w:tcPr>
                  <w:tcW w:w="279" w:type="pct"/>
                  <w:vMerge w:val="continue"/>
                  <w:tcBorders>
                    <w:tl2br w:val="nil"/>
                    <w:tr2bl w:val="nil"/>
                  </w:tcBorders>
                  <w:shd w:val="clear" w:color="auto" w:fill="auto"/>
                  <w:vAlign w:val="center"/>
                </w:tcPr>
                <w:p w14:paraId="1C678A5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eastAsia" w:cs="宋体"/>
                      <w:kern w:val="2"/>
                      <w:sz w:val="21"/>
                      <w:szCs w:val="21"/>
                      <w:lang w:val="en-US" w:eastAsia="zh-CN" w:bidi="ar"/>
                    </w:rPr>
                  </w:pPr>
                </w:p>
              </w:tc>
              <w:tc>
                <w:tcPr>
                  <w:tcW w:w="279" w:type="pct"/>
                  <w:tcBorders>
                    <w:tl2br w:val="nil"/>
                    <w:tr2bl w:val="nil"/>
                  </w:tcBorders>
                  <w:shd w:val="clear" w:color="auto" w:fill="auto"/>
                  <w:vAlign w:val="center"/>
                </w:tcPr>
                <w:p w14:paraId="562CD55E">
                  <w:pPr>
                    <w:pStyle w:val="86"/>
                    <w:keepNext w:val="0"/>
                    <w:keepLines w:val="0"/>
                    <w:pageBreakBefore w:val="0"/>
                    <w:widowControl/>
                    <w:kinsoku/>
                    <w:wordWrap/>
                    <w:overflowPunct/>
                    <w:topLinePunct w:val="0"/>
                    <w:autoSpaceDE/>
                    <w:autoSpaceDN/>
                    <w:bidi w:val="0"/>
                    <w:adjustRightInd w:val="0"/>
                    <w:snapToGrid w:val="0"/>
                    <w:spacing w:line="360" w:lineRule="exact"/>
                    <w:ind w:left="0" w:firstLine="0" w:firstLineChars="0"/>
                    <w:jc w:val="center"/>
                    <w:rPr>
                      <w:rFonts w:hint="default"/>
                      <w:sz w:val="21"/>
                      <w:szCs w:val="21"/>
                      <w:lang w:val="en-US" w:eastAsia="zh-CN"/>
                    </w:rPr>
                  </w:pPr>
                  <w:r>
                    <w:rPr>
                      <w:rFonts w:hint="eastAsia"/>
                      <w:sz w:val="21"/>
                      <w:szCs w:val="21"/>
                      <w:lang w:val="en-US" w:eastAsia="zh-CN"/>
                    </w:rPr>
                    <w:t>14</w:t>
                  </w:r>
                </w:p>
              </w:tc>
              <w:tc>
                <w:tcPr>
                  <w:tcW w:w="2942" w:type="pct"/>
                  <w:tcBorders>
                    <w:tl2br w:val="nil"/>
                    <w:tr2bl w:val="nil"/>
                  </w:tcBorders>
                  <w:shd w:val="clear" w:color="auto" w:fill="auto"/>
                  <w:vAlign w:val="center"/>
                </w:tcPr>
                <w:p w14:paraId="54B9B06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both"/>
                    <w:rPr>
                      <w:rFonts w:hint="eastAsia" w:ascii="Times New Roman" w:hAnsi="Times New Roman" w:eastAsia="宋体" w:cs="宋体"/>
                      <w:kern w:val="2"/>
                      <w:sz w:val="21"/>
                      <w:szCs w:val="21"/>
                      <w:lang w:val="en-US" w:eastAsia="zh-CN" w:bidi="ar"/>
                    </w:rPr>
                  </w:pPr>
                  <w:r>
                    <w:rPr>
                      <w:rFonts w:hint="eastAsia" w:ascii="Times New Roman" w:hAnsi="Times New Roman" w:eastAsia="宋体" w:cs="宋体"/>
                      <w:kern w:val="2"/>
                      <w:sz w:val="21"/>
                      <w:szCs w:val="21"/>
                      <w:lang w:val="en-US" w:eastAsia="zh-CN" w:bidi="ar"/>
                    </w:rPr>
                    <w:t>林虑山风景名胜区内禁止以下行为：（一）开山、采石、开矿等破坏景观、植被、地形地貌的活动；（二）修建储存爆炸性、易燃性、放射性、毒害性、腐蚀性物品的设施；（三）在核心景区内建设宾馆、招待所、培训中心、疗养院以及与风景名胜资源保护无关的其他建筑物。</w:t>
                  </w:r>
                </w:p>
              </w:tc>
              <w:tc>
                <w:tcPr>
                  <w:tcW w:w="1066" w:type="pct"/>
                  <w:tcBorders>
                    <w:tl2br w:val="nil"/>
                    <w:tr2bl w:val="nil"/>
                  </w:tcBorders>
                  <w:shd w:val="clear" w:color="auto" w:fill="auto"/>
                  <w:vAlign w:val="center"/>
                </w:tcPr>
                <w:p w14:paraId="355DD7D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rPr>
                      <w:rFonts w:hint="eastAsia" w:ascii="Times New Roman" w:hAnsi="Times New Roman" w:eastAsia="宋体" w:cs="Times New Roman"/>
                      <w:kern w:val="2"/>
                      <w:sz w:val="21"/>
                      <w:szCs w:val="21"/>
                      <w:lang w:val="en-US" w:eastAsia="zh-CN" w:bidi="ar"/>
                    </w:rPr>
                  </w:pPr>
                  <w:r>
                    <w:rPr>
                      <w:rFonts w:hint="eastAsia" w:ascii="Times New Roman" w:hAnsi="Times New Roman" w:eastAsia="宋体" w:cs="宋体"/>
                      <w:kern w:val="2"/>
                      <w:sz w:val="21"/>
                      <w:szCs w:val="21"/>
                      <w:highlight w:val="none"/>
                      <w:lang w:val="en-US" w:eastAsia="zh-CN" w:bidi="ar"/>
                    </w:rPr>
                    <w:t>项目不在</w:t>
                  </w:r>
                  <w:r>
                    <w:rPr>
                      <w:rFonts w:hint="eastAsia" w:ascii="Times New Roman" w:hAnsi="Times New Roman" w:eastAsia="宋体" w:cs="宋体"/>
                      <w:bCs/>
                      <w:kern w:val="2"/>
                      <w:sz w:val="21"/>
                      <w:szCs w:val="21"/>
                      <w:highlight w:val="none"/>
                      <w:lang w:val="en-US" w:eastAsia="zh-CN" w:bidi="ar"/>
                    </w:rPr>
                    <w:t>林虑山风景名胜区范围内。</w:t>
                  </w:r>
                </w:p>
              </w:tc>
              <w:tc>
                <w:tcPr>
                  <w:tcW w:w="432" w:type="pct"/>
                  <w:tcBorders>
                    <w:tl2br w:val="nil"/>
                    <w:tr2bl w:val="nil"/>
                  </w:tcBorders>
                  <w:shd w:val="clear" w:color="auto" w:fill="auto"/>
                  <w:vAlign w:val="center"/>
                </w:tcPr>
                <w:p w14:paraId="2E1D735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rPr>
                      <w:rFonts w:hint="eastAsia" w:ascii="Times New Roman" w:hAnsi="Times New Roman" w:eastAsia="宋体" w:cs="宋体"/>
                      <w:kern w:val="2"/>
                      <w:sz w:val="21"/>
                      <w:szCs w:val="21"/>
                      <w:lang w:val="en-US" w:eastAsia="zh-CN" w:bidi="ar"/>
                    </w:rPr>
                  </w:pPr>
                  <w:r>
                    <w:rPr>
                      <w:rFonts w:hint="eastAsia" w:cs="宋体"/>
                      <w:kern w:val="2"/>
                      <w:sz w:val="21"/>
                      <w:szCs w:val="21"/>
                      <w:highlight w:val="none"/>
                      <w:lang w:val="en-US" w:eastAsia="zh-CN" w:bidi="ar"/>
                    </w:rPr>
                    <w:t>符合</w:t>
                  </w:r>
                </w:p>
              </w:tc>
            </w:tr>
            <w:tr w14:paraId="5D4449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79" w:type="pct"/>
                  <w:vMerge w:val="continue"/>
                  <w:tcBorders>
                    <w:tl2br w:val="nil"/>
                    <w:tr2bl w:val="nil"/>
                  </w:tcBorders>
                  <w:shd w:val="clear" w:color="auto" w:fill="auto"/>
                  <w:vAlign w:val="center"/>
                </w:tcPr>
                <w:p w14:paraId="629ABE5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eastAsia" w:cs="宋体"/>
                      <w:kern w:val="2"/>
                      <w:sz w:val="21"/>
                      <w:szCs w:val="21"/>
                      <w:lang w:val="en-US" w:eastAsia="zh-CN" w:bidi="ar"/>
                    </w:rPr>
                  </w:pPr>
                </w:p>
              </w:tc>
              <w:tc>
                <w:tcPr>
                  <w:tcW w:w="279" w:type="pct"/>
                  <w:tcBorders>
                    <w:tl2br w:val="nil"/>
                    <w:tr2bl w:val="nil"/>
                  </w:tcBorders>
                  <w:shd w:val="clear" w:color="auto" w:fill="auto"/>
                  <w:vAlign w:val="center"/>
                </w:tcPr>
                <w:p w14:paraId="02DD1C46">
                  <w:pPr>
                    <w:pStyle w:val="86"/>
                    <w:keepNext w:val="0"/>
                    <w:keepLines w:val="0"/>
                    <w:pageBreakBefore w:val="0"/>
                    <w:widowControl/>
                    <w:kinsoku/>
                    <w:wordWrap/>
                    <w:overflowPunct/>
                    <w:topLinePunct w:val="0"/>
                    <w:autoSpaceDE/>
                    <w:autoSpaceDN/>
                    <w:bidi w:val="0"/>
                    <w:adjustRightInd w:val="0"/>
                    <w:snapToGrid w:val="0"/>
                    <w:spacing w:line="360" w:lineRule="exact"/>
                    <w:ind w:left="0" w:firstLine="0" w:firstLineChars="0"/>
                    <w:jc w:val="center"/>
                    <w:rPr>
                      <w:rFonts w:hint="default"/>
                      <w:sz w:val="21"/>
                      <w:szCs w:val="21"/>
                      <w:lang w:val="en-US" w:eastAsia="zh-CN"/>
                    </w:rPr>
                  </w:pPr>
                  <w:r>
                    <w:rPr>
                      <w:rFonts w:hint="eastAsia"/>
                      <w:sz w:val="21"/>
                      <w:szCs w:val="21"/>
                      <w:lang w:val="en-US" w:eastAsia="zh-CN"/>
                    </w:rPr>
                    <w:t>15</w:t>
                  </w:r>
                </w:p>
              </w:tc>
              <w:tc>
                <w:tcPr>
                  <w:tcW w:w="2942" w:type="pct"/>
                  <w:tcBorders>
                    <w:tl2br w:val="nil"/>
                    <w:tr2bl w:val="nil"/>
                  </w:tcBorders>
                  <w:shd w:val="clear" w:color="auto" w:fill="auto"/>
                  <w:vAlign w:val="center"/>
                </w:tcPr>
                <w:p w14:paraId="379D38C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both"/>
                    <w:rPr>
                      <w:rFonts w:hint="eastAsia" w:ascii="Times New Roman" w:hAnsi="Times New Roman" w:eastAsia="宋体" w:cs="宋体"/>
                      <w:kern w:val="2"/>
                      <w:sz w:val="21"/>
                      <w:szCs w:val="21"/>
                      <w:lang w:val="en-US" w:eastAsia="zh-CN" w:bidi="ar"/>
                    </w:rPr>
                  </w:pPr>
                  <w:r>
                    <w:rPr>
                      <w:rFonts w:hint="eastAsia" w:ascii="Times New Roman" w:hAnsi="Times New Roman" w:eastAsia="宋体" w:cs="宋体"/>
                      <w:kern w:val="2"/>
                      <w:sz w:val="21"/>
                      <w:szCs w:val="21"/>
                      <w:lang w:val="en-US" w:eastAsia="zh-CN" w:bidi="ar"/>
                    </w:rPr>
                    <w:t>淇河国家鲫鱼种质资源保护区禁止下列行为：（一）国家级水产种质资源保护区主要保护对象的特别保护期内不得从事捕捞、爆破作业以及其他可能对保护区内生物资源和生态环境造成损害的活动，特别保护期外从事捕捞活动，应当遵守《渔业法》及有关法律法规的规定；（二）禁止在水产种质资源保护区内从事围湖造田；（三）禁止在水产种质资源保护区内新建排污口，在水产种质资源保护区附近新改扩建排污口，应当保证保护区水体不受污染。</w:t>
                  </w:r>
                </w:p>
              </w:tc>
              <w:tc>
                <w:tcPr>
                  <w:tcW w:w="1066" w:type="pct"/>
                  <w:tcBorders>
                    <w:tl2br w:val="nil"/>
                    <w:tr2bl w:val="nil"/>
                  </w:tcBorders>
                  <w:shd w:val="clear" w:color="auto" w:fill="auto"/>
                  <w:vAlign w:val="center"/>
                </w:tcPr>
                <w:p w14:paraId="7EA72D3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rPr>
                      <w:rFonts w:hint="eastAsia" w:ascii="Times New Roman" w:hAnsi="Times New Roman" w:eastAsia="宋体" w:cs="Times New Roman"/>
                      <w:kern w:val="2"/>
                      <w:sz w:val="21"/>
                      <w:szCs w:val="21"/>
                      <w:lang w:val="en-US" w:eastAsia="zh-CN" w:bidi="ar"/>
                    </w:rPr>
                  </w:pPr>
                  <w:r>
                    <w:rPr>
                      <w:rFonts w:hint="eastAsia" w:ascii="Times New Roman" w:hAnsi="Times New Roman" w:eastAsia="宋体" w:cs="宋体"/>
                      <w:kern w:val="2"/>
                      <w:sz w:val="21"/>
                      <w:szCs w:val="21"/>
                      <w:lang w:val="en-US" w:eastAsia="zh-CN" w:bidi="ar"/>
                    </w:rPr>
                    <w:t>项目不在</w:t>
                  </w:r>
                  <w:r>
                    <w:rPr>
                      <w:rFonts w:hint="eastAsia" w:ascii="Times New Roman" w:hAnsi="Times New Roman" w:eastAsia="宋体" w:cs="宋体"/>
                      <w:bCs/>
                      <w:kern w:val="2"/>
                      <w:sz w:val="21"/>
                      <w:szCs w:val="21"/>
                      <w:lang w:val="en-US" w:eastAsia="zh-CN" w:bidi="ar"/>
                    </w:rPr>
                    <w:t>淇河国家鲫鱼种质资源保护区范围内。</w:t>
                  </w:r>
                </w:p>
              </w:tc>
              <w:tc>
                <w:tcPr>
                  <w:tcW w:w="432" w:type="pct"/>
                  <w:tcBorders>
                    <w:tl2br w:val="nil"/>
                    <w:tr2bl w:val="nil"/>
                  </w:tcBorders>
                  <w:shd w:val="clear" w:color="auto" w:fill="auto"/>
                  <w:vAlign w:val="center"/>
                </w:tcPr>
                <w:p w14:paraId="7CF3F77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rPr>
                      <w:rFonts w:hint="eastAsia" w:ascii="Times New Roman" w:hAnsi="Times New Roman" w:eastAsia="宋体" w:cs="宋体"/>
                      <w:kern w:val="2"/>
                      <w:sz w:val="21"/>
                      <w:szCs w:val="21"/>
                      <w:lang w:val="en-US" w:eastAsia="zh-CN" w:bidi="ar"/>
                    </w:rPr>
                  </w:pPr>
                  <w:r>
                    <w:rPr>
                      <w:rFonts w:hint="eastAsia" w:ascii="Times New Roman" w:hAnsi="Times New Roman" w:eastAsia="宋体" w:cs="宋体"/>
                      <w:kern w:val="2"/>
                      <w:sz w:val="21"/>
                      <w:szCs w:val="21"/>
                      <w:lang w:val="en-US" w:eastAsia="zh-CN" w:bidi="ar"/>
                    </w:rPr>
                    <w:t>符合</w:t>
                  </w:r>
                </w:p>
              </w:tc>
            </w:tr>
            <w:tr w14:paraId="5DBFBB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0" w:hRule="atLeast"/>
                <w:jc w:val="center"/>
              </w:trPr>
              <w:tc>
                <w:tcPr>
                  <w:tcW w:w="279" w:type="pct"/>
                  <w:vMerge w:val="continue"/>
                  <w:tcBorders>
                    <w:tl2br w:val="nil"/>
                    <w:tr2bl w:val="nil"/>
                  </w:tcBorders>
                  <w:shd w:val="clear" w:color="auto" w:fill="auto"/>
                  <w:vAlign w:val="center"/>
                </w:tcPr>
                <w:p w14:paraId="1C512DB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eastAsia" w:cs="宋体"/>
                      <w:kern w:val="2"/>
                      <w:sz w:val="21"/>
                      <w:szCs w:val="21"/>
                      <w:lang w:val="en-US" w:eastAsia="zh-CN" w:bidi="ar"/>
                    </w:rPr>
                  </w:pPr>
                </w:p>
              </w:tc>
              <w:tc>
                <w:tcPr>
                  <w:tcW w:w="279" w:type="pct"/>
                  <w:tcBorders>
                    <w:tl2br w:val="nil"/>
                    <w:tr2bl w:val="nil"/>
                  </w:tcBorders>
                  <w:shd w:val="clear" w:color="auto" w:fill="auto"/>
                  <w:vAlign w:val="center"/>
                </w:tcPr>
                <w:p w14:paraId="416ACAAA">
                  <w:pPr>
                    <w:pStyle w:val="86"/>
                    <w:keepNext w:val="0"/>
                    <w:keepLines w:val="0"/>
                    <w:pageBreakBefore w:val="0"/>
                    <w:widowControl/>
                    <w:kinsoku/>
                    <w:wordWrap/>
                    <w:overflowPunct/>
                    <w:topLinePunct w:val="0"/>
                    <w:autoSpaceDE/>
                    <w:autoSpaceDN/>
                    <w:bidi w:val="0"/>
                    <w:adjustRightInd w:val="0"/>
                    <w:snapToGrid w:val="0"/>
                    <w:spacing w:line="360" w:lineRule="exact"/>
                    <w:ind w:left="0" w:firstLine="0" w:firstLineChars="0"/>
                    <w:jc w:val="center"/>
                    <w:rPr>
                      <w:rFonts w:hint="default"/>
                      <w:sz w:val="21"/>
                      <w:szCs w:val="21"/>
                      <w:lang w:val="en-US" w:eastAsia="zh-CN"/>
                    </w:rPr>
                  </w:pPr>
                  <w:r>
                    <w:rPr>
                      <w:rFonts w:hint="eastAsia"/>
                      <w:sz w:val="21"/>
                      <w:szCs w:val="21"/>
                      <w:lang w:val="en-US" w:eastAsia="zh-CN"/>
                    </w:rPr>
                    <w:t>16</w:t>
                  </w:r>
                </w:p>
              </w:tc>
              <w:tc>
                <w:tcPr>
                  <w:tcW w:w="2942" w:type="pct"/>
                  <w:tcBorders>
                    <w:tl2br w:val="nil"/>
                    <w:tr2bl w:val="nil"/>
                  </w:tcBorders>
                  <w:shd w:val="clear" w:color="auto" w:fill="auto"/>
                  <w:vAlign w:val="center"/>
                </w:tcPr>
                <w:p w14:paraId="1ABA3A0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both"/>
                    <w:rPr>
                      <w:rFonts w:hint="eastAsia" w:ascii="Times New Roman" w:hAnsi="Times New Roman" w:eastAsia="宋体" w:cs="宋体"/>
                      <w:kern w:val="2"/>
                      <w:sz w:val="21"/>
                      <w:szCs w:val="21"/>
                      <w:lang w:val="en-US" w:eastAsia="zh-CN" w:bidi="ar"/>
                    </w:rPr>
                  </w:pPr>
                  <w:r>
                    <w:rPr>
                      <w:rFonts w:hint="eastAsia" w:ascii="Times New Roman" w:hAnsi="Times New Roman" w:eastAsia="宋体" w:cs="宋体"/>
                      <w:kern w:val="2"/>
                      <w:sz w:val="21"/>
                      <w:szCs w:val="21"/>
                      <w:lang w:val="en-US" w:eastAsia="zh-CN" w:bidi="ar"/>
                    </w:rPr>
                    <w:t>淇淅河湿地公园核心区内禁止下列行为：（一）建设任何与湿地公园保护无关的项目；（二）排放废水，倾倒垃圾、粪便及其他废弃物，堆放、存贮固体废弃物和其它污染物；合理性排放生活污水需符合湿地保护相关要求；（三）使用不符合国家环保标准的高毒、高残留农药；（四）洗涤污物、清洗机动车辆和船舶；（五）其他破坏湿地公园生态资源和人文历史风貌资源的行为。淇淅河国家湿地公园一般保护区内禁止以下行为：（一）新建、扩建工业类项目、规模化禽畜养殖和其它污染较重的建设项目；（二）设置生活垃圾、医疗垃圾、工业危险废物等集中转运、堆放、填埋和焚烧设施；（三）设置危险品转运和贮存设施、新建加油站及油库；（四）使用不符合国家环保标准的高毒高残留农药；（五）建立公共墓地和掩埋动物尸体。</w:t>
                  </w:r>
                </w:p>
              </w:tc>
              <w:tc>
                <w:tcPr>
                  <w:tcW w:w="1066" w:type="pct"/>
                  <w:tcBorders>
                    <w:tl2br w:val="nil"/>
                    <w:tr2bl w:val="nil"/>
                  </w:tcBorders>
                  <w:shd w:val="clear" w:color="auto" w:fill="auto"/>
                  <w:vAlign w:val="center"/>
                </w:tcPr>
                <w:p w14:paraId="517999F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rPr>
                      <w:rFonts w:hint="eastAsia" w:ascii="Times New Roman" w:hAnsi="Times New Roman" w:eastAsia="宋体" w:cs="Times New Roman"/>
                      <w:kern w:val="2"/>
                      <w:sz w:val="21"/>
                      <w:szCs w:val="21"/>
                      <w:lang w:val="en-US" w:eastAsia="zh-CN" w:bidi="ar"/>
                    </w:rPr>
                  </w:pPr>
                  <w:r>
                    <w:rPr>
                      <w:rFonts w:hint="eastAsia" w:ascii="Times New Roman" w:hAnsi="Times New Roman" w:eastAsia="宋体" w:cs="宋体"/>
                      <w:kern w:val="2"/>
                      <w:sz w:val="21"/>
                      <w:szCs w:val="21"/>
                      <w:lang w:val="en-US" w:eastAsia="zh-CN" w:bidi="ar"/>
                    </w:rPr>
                    <w:t>项目不在</w:t>
                  </w:r>
                  <w:r>
                    <w:rPr>
                      <w:rFonts w:hint="eastAsia" w:ascii="Times New Roman" w:hAnsi="Times New Roman" w:eastAsia="宋体" w:cs="宋体"/>
                      <w:bCs/>
                      <w:kern w:val="2"/>
                      <w:sz w:val="21"/>
                      <w:szCs w:val="21"/>
                      <w:lang w:val="en-US" w:eastAsia="zh-CN" w:bidi="ar"/>
                    </w:rPr>
                    <w:t>淇淅河湿地公园核心区及一般保护区范围内。</w:t>
                  </w:r>
                </w:p>
              </w:tc>
              <w:tc>
                <w:tcPr>
                  <w:tcW w:w="432" w:type="pct"/>
                  <w:tcBorders>
                    <w:tl2br w:val="nil"/>
                    <w:tr2bl w:val="nil"/>
                  </w:tcBorders>
                  <w:shd w:val="clear" w:color="auto" w:fill="auto"/>
                  <w:vAlign w:val="center"/>
                </w:tcPr>
                <w:p w14:paraId="586DFCA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rPr>
                      <w:rFonts w:hint="eastAsia" w:ascii="Times New Roman" w:hAnsi="Times New Roman" w:eastAsia="宋体" w:cs="宋体"/>
                      <w:kern w:val="2"/>
                      <w:sz w:val="21"/>
                      <w:szCs w:val="21"/>
                      <w:lang w:val="en-US" w:eastAsia="zh-CN" w:bidi="ar"/>
                    </w:rPr>
                  </w:pPr>
                  <w:r>
                    <w:rPr>
                      <w:rFonts w:hint="eastAsia" w:ascii="Times New Roman" w:hAnsi="Times New Roman" w:eastAsia="宋体" w:cs="宋体"/>
                      <w:kern w:val="2"/>
                      <w:sz w:val="21"/>
                      <w:szCs w:val="21"/>
                      <w:lang w:val="en-US" w:eastAsia="zh-CN" w:bidi="ar"/>
                    </w:rPr>
                    <w:t>符合</w:t>
                  </w:r>
                </w:p>
              </w:tc>
            </w:tr>
            <w:tr w14:paraId="562B05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0" w:hRule="atLeast"/>
                <w:jc w:val="center"/>
              </w:trPr>
              <w:tc>
                <w:tcPr>
                  <w:tcW w:w="279" w:type="pct"/>
                  <w:vMerge w:val="continue"/>
                  <w:tcBorders>
                    <w:tl2br w:val="nil"/>
                    <w:tr2bl w:val="nil"/>
                  </w:tcBorders>
                  <w:shd w:val="clear" w:color="auto" w:fill="auto"/>
                  <w:vAlign w:val="center"/>
                </w:tcPr>
                <w:p w14:paraId="7772817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eastAsia" w:cs="宋体"/>
                      <w:kern w:val="2"/>
                      <w:sz w:val="21"/>
                      <w:szCs w:val="21"/>
                      <w:lang w:val="en-US" w:eastAsia="zh-CN" w:bidi="ar"/>
                    </w:rPr>
                  </w:pPr>
                </w:p>
              </w:tc>
              <w:tc>
                <w:tcPr>
                  <w:tcW w:w="279" w:type="pct"/>
                  <w:tcBorders>
                    <w:tl2br w:val="nil"/>
                    <w:tr2bl w:val="nil"/>
                  </w:tcBorders>
                  <w:shd w:val="clear" w:color="auto" w:fill="auto"/>
                  <w:vAlign w:val="center"/>
                </w:tcPr>
                <w:p w14:paraId="3E4975BA">
                  <w:pPr>
                    <w:pStyle w:val="86"/>
                    <w:keepNext w:val="0"/>
                    <w:keepLines w:val="0"/>
                    <w:pageBreakBefore w:val="0"/>
                    <w:widowControl/>
                    <w:kinsoku/>
                    <w:wordWrap/>
                    <w:overflowPunct/>
                    <w:topLinePunct w:val="0"/>
                    <w:autoSpaceDE/>
                    <w:autoSpaceDN/>
                    <w:bidi w:val="0"/>
                    <w:adjustRightInd w:val="0"/>
                    <w:snapToGrid w:val="0"/>
                    <w:spacing w:line="360" w:lineRule="exact"/>
                    <w:ind w:left="0" w:firstLine="0" w:firstLineChars="0"/>
                    <w:jc w:val="center"/>
                    <w:rPr>
                      <w:rFonts w:hint="default"/>
                      <w:sz w:val="21"/>
                      <w:szCs w:val="21"/>
                      <w:lang w:val="en-US" w:eastAsia="zh-CN"/>
                    </w:rPr>
                  </w:pPr>
                  <w:r>
                    <w:rPr>
                      <w:rFonts w:hint="eastAsia"/>
                      <w:sz w:val="21"/>
                      <w:szCs w:val="21"/>
                      <w:lang w:val="en-US" w:eastAsia="zh-CN"/>
                    </w:rPr>
                    <w:t>17</w:t>
                  </w:r>
                </w:p>
              </w:tc>
              <w:tc>
                <w:tcPr>
                  <w:tcW w:w="2942" w:type="pct"/>
                  <w:tcBorders>
                    <w:tl2br w:val="nil"/>
                    <w:tr2bl w:val="nil"/>
                  </w:tcBorders>
                  <w:shd w:val="clear" w:color="auto" w:fill="auto"/>
                  <w:vAlign w:val="center"/>
                </w:tcPr>
                <w:p w14:paraId="13DACA9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both"/>
                    <w:rPr>
                      <w:rFonts w:hint="eastAsia" w:ascii="Times New Roman" w:hAnsi="Times New Roman" w:eastAsia="宋体" w:cs="宋体"/>
                      <w:kern w:val="2"/>
                      <w:sz w:val="21"/>
                      <w:szCs w:val="21"/>
                      <w:lang w:val="en-US" w:eastAsia="zh-CN" w:bidi="ar"/>
                    </w:rPr>
                  </w:pPr>
                  <w:r>
                    <w:rPr>
                      <w:rFonts w:hint="eastAsia" w:ascii="Times New Roman" w:hAnsi="Times New Roman" w:eastAsia="宋体" w:cs="宋体"/>
                      <w:kern w:val="2"/>
                      <w:sz w:val="21"/>
                      <w:szCs w:val="21"/>
                      <w:lang w:val="en-US" w:eastAsia="zh-CN" w:bidi="ar"/>
                    </w:rPr>
                    <w:t>汤河国家湿地公园规划区内禁止下列行为：（一）建设与湿地公园无关的项目；（二）未经达标处理排放废水；倾倒垃圾、粪便及其他废弃物；堆放、存储固体废弃物和其他污染物；（三）使用不符合国家环保标准的高毒高残留农药；（四）在景物上涂写、刻画、张贴等；损坏游览、服务等公共施舍和其他设施；（五）洗涤污物、清洗机动车辆和船舶；（六）其他破坏湿地公园生态资源和人文历史风貌资源的行为</w:t>
                  </w:r>
                  <w:r>
                    <w:rPr>
                      <w:rFonts w:hint="eastAsia" w:cs="宋体"/>
                      <w:kern w:val="2"/>
                      <w:sz w:val="21"/>
                      <w:szCs w:val="21"/>
                      <w:lang w:val="en-US" w:eastAsia="zh-CN" w:bidi="ar"/>
                    </w:rPr>
                    <w:t>。</w:t>
                  </w:r>
                </w:p>
              </w:tc>
              <w:tc>
                <w:tcPr>
                  <w:tcW w:w="1066" w:type="pct"/>
                  <w:tcBorders>
                    <w:tl2br w:val="nil"/>
                    <w:tr2bl w:val="nil"/>
                  </w:tcBorders>
                  <w:shd w:val="clear" w:color="auto" w:fill="auto"/>
                  <w:vAlign w:val="center"/>
                </w:tcPr>
                <w:p w14:paraId="1920E94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rPr>
                      <w:rFonts w:hint="eastAsia" w:ascii="Times New Roman" w:hAnsi="Times New Roman" w:eastAsia="宋体" w:cs="Times New Roman"/>
                      <w:kern w:val="2"/>
                      <w:sz w:val="21"/>
                      <w:szCs w:val="21"/>
                      <w:lang w:val="en-US" w:eastAsia="zh-CN" w:bidi="ar"/>
                    </w:rPr>
                  </w:pPr>
                  <w:r>
                    <w:rPr>
                      <w:rFonts w:hint="eastAsia" w:ascii="Times New Roman" w:hAnsi="Times New Roman" w:eastAsia="宋体" w:cs="宋体"/>
                      <w:kern w:val="2"/>
                      <w:sz w:val="21"/>
                      <w:szCs w:val="21"/>
                      <w:lang w:val="en-US" w:eastAsia="zh-CN" w:bidi="ar"/>
                    </w:rPr>
                    <w:t>项目不在</w:t>
                  </w:r>
                  <w:r>
                    <w:rPr>
                      <w:rFonts w:hint="eastAsia" w:ascii="Times New Roman" w:hAnsi="Times New Roman" w:eastAsia="宋体" w:cs="宋体"/>
                      <w:bCs/>
                      <w:kern w:val="2"/>
                      <w:sz w:val="21"/>
                      <w:szCs w:val="21"/>
                      <w:lang w:val="en-US" w:eastAsia="zh-CN" w:bidi="ar"/>
                    </w:rPr>
                    <w:t>国家汤河湿地公园规划区范围内。</w:t>
                  </w:r>
                </w:p>
              </w:tc>
              <w:tc>
                <w:tcPr>
                  <w:tcW w:w="432" w:type="pct"/>
                  <w:tcBorders>
                    <w:tl2br w:val="nil"/>
                    <w:tr2bl w:val="nil"/>
                  </w:tcBorders>
                  <w:shd w:val="clear" w:color="auto" w:fill="auto"/>
                  <w:vAlign w:val="center"/>
                </w:tcPr>
                <w:p w14:paraId="40DEE4A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rPr>
                      <w:rFonts w:hint="eastAsia" w:ascii="Times New Roman" w:hAnsi="Times New Roman" w:eastAsia="宋体" w:cs="宋体"/>
                      <w:kern w:val="2"/>
                      <w:sz w:val="21"/>
                      <w:szCs w:val="21"/>
                      <w:lang w:val="en-US" w:eastAsia="zh-CN" w:bidi="ar"/>
                    </w:rPr>
                  </w:pPr>
                  <w:r>
                    <w:rPr>
                      <w:rFonts w:hint="eastAsia" w:ascii="Times New Roman" w:hAnsi="Times New Roman" w:eastAsia="宋体" w:cs="宋体"/>
                      <w:kern w:val="2"/>
                      <w:sz w:val="21"/>
                      <w:szCs w:val="21"/>
                      <w:lang w:val="en-US" w:eastAsia="zh-CN" w:bidi="ar"/>
                    </w:rPr>
                    <w:t>符合</w:t>
                  </w:r>
                </w:p>
              </w:tc>
            </w:tr>
            <w:tr w14:paraId="5F8F6D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79" w:type="pct"/>
                  <w:vMerge w:val="continue"/>
                  <w:tcBorders>
                    <w:tl2br w:val="nil"/>
                    <w:tr2bl w:val="nil"/>
                  </w:tcBorders>
                  <w:shd w:val="clear" w:color="auto" w:fill="auto"/>
                  <w:vAlign w:val="center"/>
                </w:tcPr>
                <w:p w14:paraId="1C65157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eastAsia" w:cs="宋体"/>
                      <w:kern w:val="2"/>
                      <w:sz w:val="21"/>
                      <w:szCs w:val="21"/>
                      <w:lang w:val="en-US" w:eastAsia="zh-CN" w:bidi="ar"/>
                    </w:rPr>
                  </w:pPr>
                </w:p>
              </w:tc>
              <w:tc>
                <w:tcPr>
                  <w:tcW w:w="279" w:type="pct"/>
                  <w:tcBorders>
                    <w:tl2br w:val="nil"/>
                    <w:tr2bl w:val="nil"/>
                  </w:tcBorders>
                  <w:shd w:val="clear" w:color="auto" w:fill="auto"/>
                  <w:vAlign w:val="center"/>
                </w:tcPr>
                <w:p w14:paraId="31CB4AE6">
                  <w:pPr>
                    <w:pStyle w:val="86"/>
                    <w:keepNext w:val="0"/>
                    <w:keepLines w:val="0"/>
                    <w:pageBreakBefore w:val="0"/>
                    <w:widowControl/>
                    <w:kinsoku/>
                    <w:wordWrap/>
                    <w:overflowPunct/>
                    <w:topLinePunct w:val="0"/>
                    <w:autoSpaceDE/>
                    <w:autoSpaceDN/>
                    <w:bidi w:val="0"/>
                    <w:adjustRightInd w:val="0"/>
                    <w:snapToGrid w:val="0"/>
                    <w:spacing w:line="360" w:lineRule="exact"/>
                    <w:ind w:left="0" w:firstLine="0" w:firstLineChars="0"/>
                    <w:jc w:val="center"/>
                    <w:rPr>
                      <w:rFonts w:hint="default"/>
                      <w:sz w:val="21"/>
                      <w:szCs w:val="21"/>
                      <w:lang w:val="en-US" w:eastAsia="zh-CN"/>
                    </w:rPr>
                  </w:pPr>
                  <w:r>
                    <w:rPr>
                      <w:rFonts w:hint="eastAsia"/>
                      <w:sz w:val="21"/>
                      <w:szCs w:val="21"/>
                      <w:lang w:val="en-US" w:eastAsia="zh-CN"/>
                    </w:rPr>
                    <w:t>18</w:t>
                  </w:r>
                </w:p>
              </w:tc>
              <w:tc>
                <w:tcPr>
                  <w:tcW w:w="2942" w:type="pct"/>
                  <w:tcBorders>
                    <w:tl2br w:val="nil"/>
                    <w:tr2bl w:val="nil"/>
                  </w:tcBorders>
                  <w:shd w:val="clear" w:color="auto" w:fill="auto"/>
                  <w:vAlign w:val="center"/>
                </w:tcPr>
                <w:p w14:paraId="65FBA80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both"/>
                    <w:rPr>
                      <w:rFonts w:hint="eastAsia" w:ascii="Times New Roman" w:hAnsi="Times New Roman" w:eastAsia="宋体" w:cs="宋体"/>
                      <w:kern w:val="2"/>
                      <w:sz w:val="21"/>
                      <w:szCs w:val="21"/>
                      <w:lang w:val="en-US" w:eastAsia="zh-CN" w:bidi="ar"/>
                    </w:rPr>
                  </w:pPr>
                  <w:r>
                    <w:rPr>
                      <w:rFonts w:hint="eastAsia" w:ascii="Times New Roman" w:hAnsi="Times New Roman" w:eastAsia="宋体" w:cs="宋体"/>
                      <w:kern w:val="2"/>
                      <w:sz w:val="21"/>
                      <w:szCs w:val="21"/>
                      <w:lang w:val="en-US" w:eastAsia="zh-CN" w:bidi="ar"/>
                    </w:rPr>
                    <w:t>漳河峡谷国家湿地公园核心区、一级保护区内禁止下列行为：（一）建设任何与湿地公园保护无关的项目；（二）排放废水，倾倒垃圾、粪便及其他废弃物，堆放、存贮固体废弃物和其它污染物；（三）使用不符合国家环保标准的高毒高残留农药；（四）在景物上涂写、刻画、张贴等；损坏游览、服务等公共设施和其他设施；（五）洗涤污物、清洗机动车辆和船舶；（六）其他破坏湿地公园生态资源和人文历史风貌资源的行为。湿地公园二级保护区内禁止以下行为：（一）新建、扩建工业类项目、规模化禽畜养殖和其它污染较重的建设项目；（二）设置生活垃圾、医疗垃圾、工业危险废物等集中转运、堆放、填埋和焚烧设施；（三）设置危险品转运和贮存设施、新建加油站及油库；（四）使用不符合国家环保标准的高毒高残留农药；（五）建立公共墓地和掩埋动物尸体。</w:t>
                  </w:r>
                </w:p>
              </w:tc>
              <w:tc>
                <w:tcPr>
                  <w:tcW w:w="1066" w:type="pct"/>
                  <w:tcBorders>
                    <w:tl2br w:val="nil"/>
                    <w:tr2bl w:val="nil"/>
                  </w:tcBorders>
                  <w:shd w:val="clear" w:color="auto" w:fill="auto"/>
                  <w:vAlign w:val="center"/>
                </w:tcPr>
                <w:p w14:paraId="1559BEE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rPr>
                      <w:rFonts w:hint="eastAsia" w:ascii="Times New Roman" w:hAnsi="Times New Roman" w:eastAsia="宋体" w:cs="Times New Roman"/>
                      <w:kern w:val="2"/>
                      <w:sz w:val="21"/>
                      <w:szCs w:val="21"/>
                      <w:lang w:val="en-US" w:eastAsia="zh-CN" w:bidi="ar"/>
                    </w:rPr>
                  </w:pPr>
                  <w:r>
                    <w:rPr>
                      <w:rFonts w:hint="eastAsia" w:ascii="Times New Roman" w:hAnsi="Times New Roman" w:eastAsia="宋体" w:cs="宋体"/>
                      <w:kern w:val="2"/>
                      <w:sz w:val="21"/>
                      <w:szCs w:val="21"/>
                      <w:lang w:val="en-US" w:eastAsia="zh-CN" w:bidi="ar"/>
                    </w:rPr>
                    <w:t>项目不在</w:t>
                  </w:r>
                  <w:r>
                    <w:rPr>
                      <w:rFonts w:hint="eastAsia" w:ascii="Times New Roman" w:hAnsi="Times New Roman" w:eastAsia="宋体" w:cs="宋体"/>
                      <w:bCs/>
                      <w:kern w:val="2"/>
                      <w:sz w:val="21"/>
                      <w:szCs w:val="21"/>
                      <w:lang w:val="en-US" w:eastAsia="zh-CN" w:bidi="ar"/>
                    </w:rPr>
                    <w:t>漳河峡谷国家湿地公园核心区、一级保护区、二级保护区范围内。</w:t>
                  </w:r>
                </w:p>
              </w:tc>
              <w:tc>
                <w:tcPr>
                  <w:tcW w:w="432" w:type="pct"/>
                  <w:tcBorders>
                    <w:tl2br w:val="nil"/>
                    <w:tr2bl w:val="nil"/>
                  </w:tcBorders>
                  <w:shd w:val="clear" w:color="auto" w:fill="auto"/>
                  <w:vAlign w:val="center"/>
                </w:tcPr>
                <w:p w14:paraId="37C073B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rPr>
                      <w:rFonts w:hint="eastAsia" w:ascii="Times New Roman" w:hAnsi="Times New Roman" w:eastAsia="宋体" w:cs="宋体"/>
                      <w:kern w:val="2"/>
                      <w:sz w:val="21"/>
                      <w:szCs w:val="21"/>
                      <w:lang w:val="en-US" w:eastAsia="zh-CN" w:bidi="ar"/>
                    </w:rPr>
                  </w:pPr>
                  <w:r>
                    <w:rPr>
                      <w:rFonts w:hint="eastAsia" w:ascii="Times New Roman" w:hAnsi="Times New Roman" w:eastAsia="宋体" w:cs="宋体"/>
                      <w:kern w:val="2"/>
                      <w:sz w:val="21"/>
                      <w:szCs w:val="21"/>
                      <w:lang w:val="en-US" w:eastAsia="zh-CN" w:bidi="ar"/>
                    </w:rPr>
                    <w:t>符合</w:t>
                  </w:r>
                </w:p>
              </w:tc>
            </w:tr>
            <w:tr w14:paraId="556A64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79" w:type="pct"/>
                  <w:vMerge w:val="continue"/>
                  <w:tcBorders>
                    <w:tl2br w:val="nil"/>
                    <w:tr2bl w:val="nil"/>
                  </w:tcBorders>
                  <w:shd w:val="clear" w:color="auto" w:fill="auto"/>
                  <w:vAlign w:val="center"/>
                </w:tcPr>
                <w:p w14:paraId="06BA1B7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eastAsia" w:cs="宋体"/>
                      <w:kern w:val="2"/>
                      <w:sz w:val="21"/>
                      <w:szCs w:val="21"/>
                      <w:lang w:val="en-US" w:eastAsia="zh-CN" w:bidi="ar"/>
                    </w:rPr>
                  </w:pPr>
                </w:p>
              </w:tc>
              <w:tc>
                <w:tcPr>
                  <w:tcW w:w="279" w:type="pct"/>
                  <w:tcBorders>
                    <w:tl2br w:val="nil"/>
                    <w:tr2bl w:val="nil"/>
                  </w:tcBorders>
                  <w:shd w:val="clear" w:color="auto" w:fill="auto"/>
                  <w:vAlign w:val="center"/>
                </w:tcPr>
                <w:p w14:paraId="0F87C2DB">
                  <w:pPr>
                    <w:pStyle w:val="86"/>
                    <w:keepNext w:val="0"/>
                    <w:keepLines w:val="0"/>
                    <w:pageBreakBefore w:val="0"/>
                    <w:widowControl/>
                    <w:kinsoku/>
                    <w:wordWrap/>
                    <w:overflowPunct/>
                    <w:topLinePunct w:val="0"/>
                    <w:autoSpaceDE/>
                    <w:autoSpaceDN/>
                    <w:bidi w:val="0"/>
                    <w:adjustRightInd w:val="0"/>
                    <w:snapToGrid w:val="0"/>
                    <w:spacing w:line="360" w:lineRule="exact"/>
                    <w:ind w:left="0" w:firstLine="0" w:firstLineChars="0"/>
                    <w:jc w:val="center"/>
                    <w:rPr>
                      <w:rFonts w:hint="default"/>
                      <w:sz w:val="21"/>
                      <w:szCs w:val="21"/>
                      <w:lang w:val="en-US" w:eastAsia="zh-CN"/>
                    </w:rPr>
                  </w:pPr>
                  <w:r>
                    <w:rPr>
                      <w:rFonts w:hint="eastAsia"/>
                      <w:sz w:val="21"/>
                      <w:szCs w:val="21"/>
                      <w:lang w:val="en-US" w:eastAsia="zh-CN"/>
                    </w:rPr>
                    <w:t>19</w:t>
                  </w:r>
                </w:p>
              </w:tc>
              <w:tc>
                <w:tcPr>
                  <w:tcW w:w="2942" w:type="pct"/>
                  <w:tcBorders>
                    <w:tl2br w:val="nil"/>
                    <w:tr2bl w:val="nil"/>
                  </w:tcBorders>
                  <w:shd w:val="clear" w:color="auto" w:fill="auto"/>
                  <w:vAlign w:val="center"/>
                </w:tcPr>
                <w:p w14:paraId="764780A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both"/>
                    <w:rPr>
                      <w:rFonts w:hint="eastAsia" w:ascii="Times New Roman" w:hAnsi="Times New Roman" w:eastAsia="宋体" w:cs="宋体"/>
                      <w:kern w:val="2"/>
                      <w:sz w:val="21"/>
                      <w:szCs w:val="21"/>
                      <w:lang w:val="en-US" w:eastAsia="zh-CN" w:bidi="ar"/>
                    </w:rPr>
                  </w:pPr>
                  <w:r>
                    <w:rPr>
                      <w:rFonts w:hint="eastAsia" w:ascii="Times New Roman" w:hAnsi="Times New Roman" w:eastAsia="宋体" w:cs="宋体"/>
                      <w:kern w:val="2"/>
                      <w:sz w:val="21"/>
                      <w:szCs w:val="21"/>
                      <w:lang w:val="en-US" w:eastAsia="zh-CN" w:bidi="ar"/>
                    </w:rPr>
                    <w:t>禁燃区内，禁止销售和燃用国家规定的高污染燃料；禁止新建、扩建燃用高污染燃料的设施，已建成的，应当在市、县（市）人民政府规定的期限内改用天然气、液化石油气、电等清洁能源。</w:t>
                  </w:r>
                </w:p>
              </w:tc>
              <w:tc>
                <w:tcPr>
                  <w:tcW w:w="1066" w:type="pct"/>
                  <w:tcBorders>
                    <w:tl2br w:val="nil"/>
                    <w:tr2bl w:val="nil"/>
                  </w:tcBorders>
                  <w:shd w:val="clear" w:color="auto" w:fill="auto"/>
                  <w:vAlign w:val="center"/>
                </w:tcPr>
                <w:p w14:paraId="7114F05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rPr>
                      <w:rFonts w:hint="eastAsia" w:ascii="Times New Roman" w:hAnsi="Times New Roman" w:eastAsia="宋体" w:cs="Times New Roman"/>
                      <w:kern w:val="2"/>
                      <w:sz w:val="21"/>
                      <w:szCs w:val="21"/>
                      <w:lang w:val="en-US" w:eastAsia="zh-CN" w:bidi="ar"/>
                    </w:rPr>
                  </w:pPr>
                  <w:r>
                    <w:rPr>
                      <w:rFonts w:hint="eastAsia" w:ascii="Times New Roman" w:hAnsi="Times New Roman" w:eastAsia="宋体" w:cs="宋体"/>
                      <w:kern w:val="2"/>
                      <w:sz w:val="21"/>
                      <w:szCs w:val="21"/>
                      <w:lang w:val="en-US" w:eastAsia="zh-CN" w:bidi="ar"/>
                    </w:rPr>
                    <w:t>不涉及高污染燃料使用。</w:t>
                  </w:r>
                </w:p>
              </w:tc>
              <w:tc>
                <w:tcPr>
                  <w:tcW w:w="432" w:type="pct"/>
                  <w:tcBorders>
                    <w:tl2br w:val="nil"/>
                    <w:tr2bl w:val="nil"/>
                  </w:tcBorders>
                  <w:shd w:val="clear" w:color="auto" w:fill="auto"/>
                  <w:vAlign w:val="center"/>
                </w:tcPr>
                <w:p w14:paraId="71AE07A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rPr>
                      <w:rFonts w:hint="eastAsia" w:ascii="Times New Roman" w:hAnsi="Times New Roman" w:eastAsia="宋体" w:cs="宋体"/>
                      <w:kern w:val="2"/>
                      <w:sz w:val="21"/>
                      <w:szCs w:val="21"/>
                      <w:lang w:val="en-US" w:eastAsia="zh-CN" w:bidi="ar"/>
                    </w:rPr>
                  </w:pPr>
                  <w:r>
                    <w:rPr>
                      <w:rFonts w:hint="eastAsia" w:cs="宋体"/>
                      <w:kern w:val="2"/>
                      <w:sz w:val="21"/>
                      <w:szCs w:val="21"/>
                      <w:lang w:val="en-US" w:eastAsia="zh-CN" w:bidi="ar"/>
                    </w:rPr>
                    <w:t>/</w:t>
                  </w:r>
                </w:p>
              </w:tc>
            </w:tr>
            <w:tr w14:paraId="471716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79" w:type="pct"/>
                  <w:vMerge w:val="continue"/>
                  <w:tcBorders>
                    <w:tl2br w:val="nil"/>
                    <w:tr2bl w:val="nil"/>
                  </w:tcBorders>
                  <w:shd w:val="clear" w:color="auto" w:fill="auto"/>
                  <w:vAlign w:val="center"/>
                </w:tcPr>
                <w:p w14:paraId="76E2CFE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eastAsia" w:cs="宋体"/>
                      <w:kern w:val="2"/>
                      <w:sz w:val="21"/>
                      <w:szCs w:val="21"/>
                      <w:lang w:val="en-US" w:eastAsia="zh-CN" w:bidi="ar"/>
                    </w:rPr>
                  </w:pPr>
                </w:p>
              </w:tc>
              <w:tc>
                <w:tcPr>
                  <w:tcW w:w="279" w:type="pct"/>
                  <w:tcBorders>
                    <w:tl2br w:val="nil"/>
                    <w:tr2bl w:val="nil"/>
                  </w:tcBorders>
                  <w:shd w:val="clear" w:color="auto" w:fill="auto"/>
                  <w:vAlign w:val="center"/>
                </w:tcPr>
                <w:p w14:paraId="28A84C54">
                  <w:pPr>
                    <w:pStyle w:val="86"/>
                    <w:keepNext w:val="0"/>
                    <w:keepLines w:val="0"/>
                    <w:pageBreakBefore w:val="0"/>
                    <w:widowControl/>
                    <w:kinsoku/>
                    <w:wordWrap/>
                    <w:overflowPunct/>
                    <w:topLinePunct w:val="0"/>
                    <w:autoSpaceDE/>
                    <w:autoSpaceDN/>
                    <w:bidi w:val="0"/>
                    <w:adjustRightInd w:val="0"/>
                    <w:snapToGrid w:val="0"/>
                    <w:spacing w:line="360" w:lineRule="exact"/>
                    <w:ind w:left="0" w:firstLine="0" w:firstLineChars="0"/>
                    <w:jc w:val="center"/>
                    <w:rPr>
                      <w:rFonts w:hint="default"/>
                      <w:sz w:val="21"/>
                      <w:szCs w:val="21"/>
                      <w:lang w:val="en-US" w:eastAsia="zh-CN"/>
                    </w:rPr>
                  </w:pPr>
                  <w:r>
                    <w:rPr>
                      <w:rFonts w:hint="eastAsia"/>
                      <w:sz w:val="21"/>
                      <w:szCs w:val="21"/>
                      <w:lang w:val="en-US" w:eastAsia="zh-CN"/>
                    </w:rPr>
                    <w:t>20</w:t>
                  </w:r>
                </w:p>
              </w:tc>
              <w:tc>
                <w:tcPr>
                  <w:tcW w:w="2942" w:type="pct"/>
                  <w:tcBorders>
                    <w:tl2br w:val="nil"/>
                    <w:tr2bl w:val="nil"/>
                  </w:tcBorders>
                  <w:shd w:val="clear" w:color="auto" w:fill="auto"/>
                  <w:vAlign w:val="center"/>
                </w:tcPr>
                <w:p w14:paraId="508279D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both"/>
                    <w:rPr>
                      <w:rFonts w:hint="eastAsia" w:ascii="Times New Roman" w:hAnsi="Times New Roman" w:eastAsia="宋体" w:cs="宋体"/>
                      <w:kern w:val="2"/>
                      <w:sz w:val="21"/>
                      <w:szCs w:val="21"/>
                      <w:lang w:val="en-US" w:eastAsia="zh-CN" w:bidi="ar"/>
                    </w:rPr>
                  </w:pPr>
                  <w:r>
                    <w:rPr>
                      <w:rFonts w:hint="eastAsia" w:ascii="Times New Roman" w:hAnsi="Times New Roman" w:eastAsia="宋体" w:cs="宋体"/>
                      <w:kern w:val="2"/>
                      <w:sz w:val="21"/>
                      <w:szCs w:val="21"/>
                      <w:lang w:val="en-US" w:eastAsia="zh-CN" w:bidi="ar"/>
                    </w:rPr>
                    <w:t>禁燃区内，禁止销售和燃用国家规定的高污染燃料；禁止新建、扩建燃用高污染燃料的设施，已建成的，应当在市、县（市）人民政府规定的期限内改用天然气、液化石油气、电等清洁能源。在高污染燃料禁燃区内，禁止新建燃烧煤炭、重油、渣油以及直接燃用生物质的锅炉，其他地区禁止新建每小时三十五蒸吨以下的燃烧煤炭、重油、渣油以及直接燃用生物质的锅炉。现有燃煤锅炉改为燃气锅炉的，应当同步实现低氮改造，氮氧化物排放应当达到本市控制要求。</w:t>
                  </w:r>
                </w:p>
              </w:tc>
              <w:tc>
                <w:tcPr>
                  <w:tcW w:w="1711" w:type="dxa"/>
                  <w:tcBorders>
                    <w:tl2br w:val="nil"/>
                    <w:tr2bl w:val="nil"/>
                  </w:tcBorders>
                  <w:shd w:val="clear" w:color="auto" w:fill="auto"/>
                  <w:vAlign w:val="center"/>
                </w:tcPr>
                <w:p w14:paraId="6A5ACD9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rPr>
                      <w:rFonts w:hint="eastAsia" w:ascii="Times New Roman" w:hAnsi="Times New Roman" w:eastAsia="宋体" w:cs="Times New Roman"/>
                      <w:kern w:val="2"/>
                      <w:sz w:val="21"/>
                      <w:szCs w:val="21"/>
                      <w:lang w:val="en-US" w:eastAsia="zh-CN" w:bidi="ar"/>
                    </w:rPr>
                  </w:pPr>
                  <w:r>
                    <w:rPr>
                      <w:rFonts w:hint="eastAsia" w:ascii="Times New Roman" w:hAnsi="Times New Roman" w:eastAsia="宋体" w:cs="宋体"/>
                      <w:kern w:val="2"/>
                      <w:sz w:val="21"/>
                      <w:szCs w:val="21"/>
                      <w:lang w:val="en-US" w:eastAsia="zh-CN" w:bidi="ar"/>
                    </w:rPr>
                    <w:t>不涉及高污染燃料使用。</w:t>
                  </w:r>
                </w:p>
              </w:tc>
              <w:tc>
                <w:tcPr>
                  <w:tcW w:w="693" w:type="dxa"/>
                  <w:tcBorders>
                    <w:tl2br w:val="nil"/>
                    <w:tr2bl w:val="nil"/>
                  </w:tcBorders>
                  <w:shd w:val="clear" w:color="auto" w:fill="auto"/>
                  <w:vAlign w:val="center"/>
                </w:tcPr>
                <w:p w14:paraId="0E6DAF9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rPr>
                      <w:rFonts w:hint="eastAsia" w:ascii="Times New Roman" w:hAnsi="Times New Roman" w:eastAsia="宋体" w:cs="宋体"/>
                      <w:kern w:val="2"/>
                      <w:sz w:val="21"/>
                      <w:szCs w:val="21"/>
                      <w:lang w:val="en-US" w:eastAsia="zh-CN" w:bidi="ar"/>
                    </w:rPr>
                  </w:pPr>
                  <w:r>
                    <w:rPr>
                      <w:rFonts w:hint="eastAsia" w:cs="宋体"/>
                      <w:kern w:val="2"/>
                      <w:sz w:val="21"/>
                      <w:szCs w:val="21"/>
                      <w:lang w:val="en-US" w:eastAsia="zh-CN" w:bidi="ar"/>
                    </w:rPr>
                    <w:t>/</w:t>
                  </w:r>
                </w:p>
              </w:tc>
            </w:tr>
            <w:tr w14:paraId="2620ED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79" w:type="pct"/>
                  <w:vMerge w:val="continue"/>
                  <w:tcBorders>
                    <w:tl2br w:val="nil"/>
                    <w:tr2bl w:val="nil"/>
                  </w:tcBorders>
                  <w:shd w:val="clear" w:color="auto" w:fill="auto"/>
                  <w:vAlign w:val="center"/>
                </w:tcPr>
                <w:p w14:paraId="46A05E0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eastAsia" w:cs="宋体"/>
                      <w:kern w:val="2"/>
                      <w:sz w:val="21"/>
                      <w:szCs w:val="21"/>
                      <w:lang w:val="en-US" w:eastAsia="zh-CN" w:bidi="ar"/>
                    </w:rPr>
                  </w:pPr>
                </w:p>
              </w:tc>
              <w:tc>
                <w:tcPr>
                  <w:tcW w:w="279" w:type="pct"/>
                  <w:tcBorders>
                    <w:tl2br w:val="nil"/>
                    <w:tr2bl w:val="nil"/>
                  </w:tcBorders>
                  <w:shd w:val="clear" w:color="auto" w:fill="auto"/>
                  <w:vAlign w:val="center"/>
                </w:tcPr>
                <w:p w14:paraId="4B216B8C">
                  <w:pPr>
                    <w:pStyle w:val="86"/>
                    <w:keepNext w:val="0"/>
                    <w:keepLines w:val="0"/>
                    <w:pageBreakBefore w:val="0"/>
                    <w:widowControl/>
                    <w:kinsoku/>
                    <w:wordWrap/>
                    <w:overflowPunct/>
                    <w:topLinePunct w:val="0"/>
                    <w:autoSpaceDE/>
                    <w:autoSpaceDN/>
                    <w:bidi w:val="0"/>
                    <w:adjustRightInd w:val="0"/>
                    <w:snapToGrid w:val="0"/>
                    <w:spacing w:line="360" w:lineRule="exact"/>
                    <w:ind w:left="0" w:firstLine="0" w:firstLineChars="0"/>
                    <w:jc w:val="center"/>
                    <w:rPr>
                      <w:rFonts w:hint="default"/>
                      <w:sz w:val="21"/>
                      <w:szCs w:val="21"/>
                      <w:lang w:val="en-US" w:eastAsia="zh-CN"/>
                    </w:rPr>
                  </w:pPr>
                  <w:r>
                    <w:rPr>
                      <w:rFonts w:hint="eastAsia"/>
                      <w:sz w:val="21"/>
                      <w:szCs w:val="21"/>
                      <w:lang w:val="en-US" w:eastAsia="zh-CN"/>
                    </w:rPr>
                    <w:t>21</w:t>
                  </w:r>
                </w:p>
              </w:tc>
              <w:tc>
                <w:tcPr>
                  <w:tcW w:w="2942" w:type="pct"/>
                  <w:tcBorders>
                    <w:tl2br w:val="nil"/>
                    <w:tr2bl w:val="nil"/>
                  </w:tcBorders>
                  <w:shd w:val="clear" w:color="auto" w:fill="auto"/>
                  <w:vAlign w:val="center"/>
                </w:tcPr>
                <w:p w14:paraId="0FA0ECF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both"/>
                    <w:rPr>
                      <w:rFonts w:hint="eastAsia" w:ascii="Times New Roman" w:hAnsi="Times New Roman" w:eastAsia="宋体" w:cs="宋体"/>
                      <w:kern w:val="2"/>
                      <w:sz w:val="21"/>
                      <w:szCs w:val="21"/>
                      <w:lang w:val="en-US" w:eastAsia="zh-CN" w:bidi="ar"/>
                    </w:rPr>
                  </w:pPr>
                  <w:r>
                    <w:rPr>
                      <w:rFonts w:hint="eastAsia" w:ascii="Times New Roman" w:hAnsi="Times New Roman" w:eastAsia="宋体" w:cs="宋体"/>
                      <w:kern w:val="2"/>
                      <w:sz w:val="21"/>
                      <w:szCs w:val="21"/>
                      <w:lang w:val="en-US" w:eastAsia="zh-CN" w:bidi="ar"/>
                    </w:rPr>
                    <w:t>禁止露天焚烧秸秆、落叶、树枝、枯草等产生烟尘污染的物质，以及非法焚烧电子废弃物、油毡、橡胶、塑料、皮革、沥青、垃圾及其他产生有毒有害烟尘、恶臭或者强烈异味气体的物质。禁止在城市建成区的道路及其两侧、广场、住宅小区等公共场所焚烧祭祀用品。任何单位和个人不得在人民政府禁止的区域内露天烧烤食品或者为露天烧烤食品提供场地。</w:t>
                  </w:r>
                </w:p>
              </w:tc>
              <w:tc>
                <w:tcPr>
                  <w:tcW w:w="1066" w:type="pct"/>
                  <w:tcBorders>
                    <w:tl2br w:val="nil"/>
                    <w:tr2bl w:val="nil"/>
                  </w:tcBorders>
                  <w:shd w:val="clear" w:color="auto" w:fill="auto"/>
                  <w:vAlign w:val="center"/>
                </w:tcPr>
                <w:p w14:paraId="74ADC25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rPr>
                      <w:rFonts w:hint="eastAsia" w:ascii="Times New Roman" w:hAnsi="Times New Roman" w:eastAsia="宋体" w:cs="Times New Roman"/>
                      <w:kern w:val="2"/>
                      <w:sz w:val="21"/>
                      <w:szCs w:val="21"/>
                      <w:lang w:val="en-US" w:eastAsia="zh-CN" w:bidi="ar"/>
                    </w:rPr>
                  </w:pPr>
                  <w:r>
                    <w:rPr>
                      <w:rFonts w:hint="eastAsia" w:ascii="Times New Roman" w:hAnsi="Times New Roman" w:eastAsia="宋体" w:cs="宋体"/>
                      <w:kern w:val="2"/>
                      <w:sz w:val="21"/>
                      <w:szCs w:val="21"/>
                      <w:lang w:val="en-US" w:eastAsia="zh-CN" w:bidi="ar"/>
                    </w:rPr>
                    <w:t>不涉及。</w:t>
                  </w:r>
                </w:p>
              </w:tc>
              <w:tc>
                <w:tcPr>
                  <w:tcW w:w="432" w:type="pct"/>
                  <w:tcBorders>
                    <w:tl2br w:val="nil"/>
                    <w:tr2bl w:val="nil"/>
                  </w:tcBorders>
                  <w:shd w:val="clear" w:color="auto" w:fill="auto"/>
                  <w:vAlign w:val="center"/>
                </w:tcPr>
                <w:p w14:paraId="33AEBF8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rPr>
                      <w:rFonts w:hint="eastAsia" w:ascii="Times New Roman" w:hAnsi="Times New Roman" w:eastAsia="宋体" w:cs="宋体"/>
                      <w:kern w:val="2"/>
                      <w:sz w:val="21"/>
                      <w:szCs w:val="21"/>
                      <w:lang w:val="en-US" w:eastAsia="zh-CN" w:bidi="ar"/>
                    </w:rPr>
                  </w:pPr>
                  <w:r>
                    <w:rPr>
                      <w:rFonts w:hint="eastAsia" w:cs="宋体"/>
                      <w:kern w:val="2"/>
                      <w:sz w:val="21"/>
                      <w:szCs w:val="21"/>
                      <w:lang w:val="en-US" w:eastAsia="zh-CN" w:bidi="ar"/>
                    </w:rPr>
                    <w:t>/</w:t>
                  </w:r>
                </w:p>
              </w:tc>
            </w:tr>
            <w:tr w14:paraId="4ADE6C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79" w:type="pct"/>
                  <w:vMerge w:val="continue"/>
                  <w:tcBorders>
                    <w:tl2br w:val="nil"/>
                    <w:tr2bl w:val="nil"/>
                  </w:tcBorders>
                  <w:shd w:val="clear" w:color="auto" w:fill="auto"/>
                  <w:vAlign w:val="center"/>
                </w:tcPr>
                <w:p w14:paraId="010B117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eastAsia" w:cs="宋体"/>
                      <w:kern w:val="2"/>
                      <w:sz w:val="21"/>
                      <w:szCs w:val="21"/>
                      <w:lang w:val="en-US" w:eastAsia="zh-CN" w:bidi="ar"/>
                    </w:rPr>
                  </w:pPr>
                </w:p>
              </w:tc>
              <w:tc>
                <w:tcPr>
                  <w:tcW w:w="279" w:type="pct"/>
                  <w:tcBorders>
                    <w:tl2br w:val="nil"/>
                    <w:tr2bl w:val="nil"/>
                  </w:tcBorders>
                  <w:shd w:val="clear" w:color="auto" w:fill="auto"/>
                  <w:vAlign w:val="center"/>
                </w:tcPr>
                <w:p w14:paraId="2D714589">
                  <w:pPr>
                    <w:pStyle w:val="86"/>
                    <w:keepNext w:val="0"/>
                    <w:keepLines w:val="0"/>
                    <w:pageBreakBefore w:val="0"/>
                    <w:widowControl/>
                    <w:kinsoku/>
                    <w:wordWrap/>
                    <w:overflowPunct/>
                    <w:topLinePunct w:val="0"/>
                    <w:autoSpaceDE/>
                    <w:autoSpaceDN/>
                    <w:bidi w:val="0"/>
                    <w:adjustRightInd w:val="0"/>
                    <w:snapToGrid w:val="0"/>
                    <w:spacing w:line="360" w:lineRule="exact"/>
                    <w:ind w:left="0" w:firstLine="0" w:firstLineChars="0"/>
                    <w:jc w:val="center"/>
                    <w:rPr>
                      <w:rFonts w:hint="default"/>
                      <w:sz w:val="21"/>
                      <w:szCs w:val="21"/>
                      <w:lang w:val="en-US" w:eastAsia="zh-CN"/>
                    </w:rPr>
                  </w:pPr>
                  <w:r>
                    <w:rPr>
                      <w:rFonts w:hint="eastAsia"/>
                      <w:sz w:val="21"/>
                      <w:szCs w:val="21"/>
                      <w:lang w:val="en-US" w:eastAsia="zh-CN"/>
                    </w:rPr>
                    <w:t>22</w:t>
                  </w:r>
                </w:p>
              </w:tc>
              <w:tc>
                <w:tcPr>
                  <w:tcW w:w="2942" w:type="pct"/>
                  <w:tcBorders>
                    <w:tl2br w:val="nil"/>
                    <w:tr2bl w:val="nil"/>
                  </w:tcBorders>
                  <w:shd w:val="clear" w:color="auto" w:fill="auto"/>
                  <w:vAlign w:val="center"/>
                </w:tcPr>
                <w:p w14:paraId="14AED00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both"/>
                    <w:rPr>
                      <w:rFonts w:hint="eastAsia" w:ascii="Times New Roman" w:hAnsi="Times New Roman" w:eastAsia="宋体" w:cs="宋体"/>
                      <w:kern w:val="2"/>
                      <w:sz w:val="21"/>
                      <w:szCs w:val="21"/>
                      <w:lang w:val="en-US" w:eastAsia="zh-CN" w:bidi="ar"/>
                    </w:rPr>
                  </w:pPr>
                  <w:r>
                    <w:rPr>
                      <w:rFonts w:hint="eastAsia" w:ascii="Times New Roman" w:hAnsi="Times New Roman" w:eastAsia="宋体" w:cs="宋体"/>
                      <w:kern w:val="2"/>
                      <w:sz w:val="21"/>
                      <w:szCs w:val="21"/>
                      <w:lang w:val="en-US" w:eastAsia="zh-CN" w:bidi="ar"/>
                    </w:rPr>
                    <w:t>禁止在下列场所新建、改建、扩建排放油烟的餐饮服务项目：（一）居民住宅楼等非商用建筑；（二）未设立配套规划专用烟道的商住综合楼；（三）商住综合楼内与居住层相邻的楼层。</w:t>
                  </w:r>
                </w:p>
              </w:tc>
              <w:tc>
                <w:tcPr>
                  <w:tcW w:w="1066" w:type="pct"/>
                  <w:tcBorders>
                    <w:tl2br w:val="nil"/>
                    <w:tr2bl w:val="nil"/>
                  </w:tcBorders>
                  <w:shd w:val="clear" w:color="auto" w:fill="auto"/>
                  <w:vAlign w:val="center"/>
                </w:tcPr>
                <w:p w14:paraId="0E10C2C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rPr>
                      <w:rFonts w:hint="eastAsia" w:ascii="Times New Roman" w:hAnsi="Times New Roman" w:eastAsia="宋体" w:cs="Times New Roman"/>
                      <w:kern w:val="2"/>
                      <w:sz w:val="21"/>
                      <w:szCs w:val="21"/>
                      <w:lang w:val="en-US" w:eastAsia="zh-CN" w:bidi="ar"/>
                    </w:rPr>
                  </w:pPr>
                  <w:r>
                    <w:rPr>
                      <w:rFonts w:hint="eastAsia" w:ascii="Times New Roman" w:hAnsi="Times New Roman" w:eastAsia="宋体" w:cs="宋体"/>
                      <w:kern w:val="2"/>
                      <w:sz w:val="21"/>
                      <w:szCs w:val="21"/>
                      <w:lang w:val="en-US" w:eastAsia="zh-CN" w:bidi="ar"/>
                    </w:rPr>
                    <w:t>不涉及。</w:t>
                  </w:r>
                </w:p>
              </w:tc>
              <w:tc>
                <w:tcPr>
                  <w:tcW w:w="432" w:type="pct"/>
                  <w:tcBorders>
                    <w:tl2br w:val="nil"/>
                    <w:tr2bl w:val="nil"/>
                  </w:tcBorders>
                  <w:shd w:val="clear" w:color="auto" w:fill="auto"/>
                  <w:vAlign w:val="center"/>
                </w:tcPr>
                <w:p w14:paraId="5508674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rPr>
                      <w:rFonts w:hint="eastAsia" w:ascii="Times New Roman" w:hAnsi="Times New Roman" w:eastAsia="宋体" w:cs="宋体"/>
                      <w:kern w:val="2"/>
                      <w:sz w:val="21"/>
                      <w:szCs w:val="21"/>
                      <w:lang w:val="en-US" w:eastAsia="zh-CN" w:bidi="ar"/>
                    </w:rPr>
                  </w:pPr>
                  <w:r>
                    <w:rPr>
                      <w:rFonts w:hint="eastAsia" w:cs="宋体"/>
                      <w:kern w:val="2"/>
                      <w:sz w:val="21"/>
                      <w:szCs w:val="21"/>
                      <w:lang w:val="en-US" w:eastAsia="zh-CN" w:bidi="ar"/>
                    </w:rPr>
                    <w:t>/</w:t>
                  </w:r>
                </w:p>
              </w:tc>
            </w:tr>
            <w:tr w14:paraId="2DFC0F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79" w:type="pct"/>
                  <w:vMerge w:val="continue"/>
                  <w:tcBorders>
                    <w:tl2br w:val="nil"/>
                    <w:tr2bl w:val="nil"/>
                  </w:tcBorders>
                  <w:shd w:val="clear" w:color="auto" w:fill="auto"/>
                  <w:vAlign w:val="center"/>
                </w:tcPr>
                <w:p w14:paraId="7C9D39E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eastAsia" w:cs="宋体"/>
                      <w:kern w:val="2"/>
                      <w:sz w:val="21"/>
                      <w:szCs w:val="21"/>
                      <w:lang w:val="en-US" w:eastAsia="zh-CN" w:bidi="ar"/>
                    </w:rPr>
                  </w:pPr>
                </w:p>
              </w:tc>
              <w:tc>
                <w:tcPr>
                  <w:tcW w:w="279" w:type="pct"/>
                  <w:tcBorders>
                    <w:tl2br w:val="nil"/>
                    <w:tr2bl w:val="nil"/>
                  </w:tcBorders>
                  <w:shd w:val="clear" w:color="auto" w:fill="auto"/>
                  <w:vAlign w:val="center"/>
                </w:tcPr>
                <w:p w14:paraId="2239314A">
                  <w:pPr>
                    <w:pStyle w:val="86"/>
                    <w:keepNext w:val="0"/>
                    <w:keepLines w:val="0"/>
                    <w:pageBreakBefore w:val="0"/>
                    <w:widowControl/>
                    <w:kinsoku/>
                    <w:wordWrap/>
                    <w:overflowPunct/>
                    <w:topLinePunct w:val="0"/>
                    <w:autoSpaceDE/>
                    <w:autoSpaceDN/>
                    <w:bidi w:val="0"/>
                    <w:adjustRightInd w:val="0"/>
                    <w:snapToGrid w:val="0"/>
                    <w:spacing w:line="360" w:lineRule="exact"/>
                    <w:ind w:left="0" w:firstLine="0" w:firstLineChars="0"/>
                    <w:jc w:val="center"/>
                    <w:rPr>
                      <w:rFonts w:hint="default"/>
                      <w:sz w:val="21"/>
                      <w:szCs w:val="21"/>
                      <w:lang w:val="en-US" w:eastAsia="zh-CN"/>
                    </w:rPr>
                  </w:pPr>
                  <w:r>
                    <w:rPr>
                      <w:rFonts w:hint="eastAsia"/>
                      <w:sz w:val="21"/>
                      <w:szCs w:val="21"/>
                      <w:lang w:val="en-US" w:eastAsia="zh-CN"/>
                    </w:rPr>
                    <w:t>23</w:t>
                  </w:r>
                </w:p>
              </w:tc>
              <w:tc>
                <w:tcPr>
                  <w:tcW w:w="2942" w:type="pct"/>
                  <w:tcBorders>
                    <w:tl2br w:val="nil"/>
                    <w:tr2bl w:val="nil"/>
                  </w:tcBorders>
                  <w:shd w:val="clear" w:color="auto" w:fill="auto"/>
                  <w:vAlign w:val="center"/>
                </w:tcPr>
                <w:p w14:paraId="49416F8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both"/>
                    <w:rPr>
                      <w:rFonts w:hint="eastAsia" w:ascii="Times New Roman" w:hAnsi="Times New Roman" w:eastAsia="宋体" w:cs="宋体"/>
                      <w:kern w:val="2"/>
                      <w:sz w:val="21"/>
                      <w:szCs w:val="21"/>
                      <w:lang w:val="en-US" w:eastAsia="zh-CN" w:bidi="ar"/>
                    </w:rPr>
                  </w:pPr>
                  <w:r>
                    <w:rPr>
                      <w:rFonts w:hint="eastAsia" w:ascii="Times New Roman" w:hAnsi="Times New Roman" w:eastAsia="宋体" w:cs="宋体"/>
                      <w:kern w:val="2"/>
                      <w:sz w:val="21"/>
                      <w:szCs w:val="21"/>
                      <w:lang w:val="en-US" w:eastAsia="zh-CN" w:bidi="ar"/>
                    </w:rPr>
                    <w:t>列入建设用地土壤污染风险管控和修复名录的地块，应依法采取风险管控措施，实施土壤修复或风险管控。未达到土壤污染风险评估报告确定的风险管控、修复目标的建设用地地块，禁止开工建设任何与风险管控、修复无关的项目。</w:t>
                  </w:r>
                </w:p>
              </w:tc>
              <w:tc>
                <w:tcPr>
                  <w:tcW w:w="1066" w:type="pct"/>
                  <w:tcBorders>
                    <w:tl2br w:val="nil"/>
                    <w:tr2bl w:val="nil"/>
                  </w:tcBorders>
                  <w:shd w:val="clear" w:color="auto" w:fill="auto"/>
                  <w:vAlign w:val="center"/>
                </w:tcPr>
                <w:p w14:paraId="6690C0E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rPr>
                      <w:rFonts w:hint="eastAsia" w:ascii="Times New Roman" w:hAnsi="Times New Roman" w:eastAsia="宋体" w:cs="Times New Roman"/>
                      <w:kern w:val="2"/>
                      <w:sz w:val="21"/>
                      <w:szCs w:val="21"/>
                      <w:lang w:val="en-US" w:eastAsia="zh-CN" w:bidi="ar"/>
                    </w:rPr>
                  </w:pPr>
                  <w:r>
                    <w:rPr>
                      <w:rFonts w:hint="eastAsia" w:ascii="Times New Roman" w:hAnsi="Times New Roman" w:eastAsia="宋体" w:cs="宋体"/>
                      <w:kern w:val="2"/>
                      <w:sz w:val="21"/>
                      <w:szCs w:val="21"/>
                      <w:lang w:val="en-US" w:eastAsia="zh-CN" w:bidi="ar"/>
                    </w:rPr>
                    <w:t>不涉及。</w:t>
                  </w:r>
                </w:p>
              </w:tc>
              <w:tc>
                <w:tcPr>
                  <w:tcW w:w="432" w:type="pct"/>
                  <w:tcBorders>
                    <w:tl2br w:val="nil"/>
                    <w:tr2bl w:val="nil"/>
                  </w:tcBorders>
                  <w:shd w:val="clear" w:color="auto" w:fill="auto"/>
                  <w:vAlign w:val="center"/>
                </w:tcPr>
                <w:p w14:paraId="2C0C5F7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rPr>
                      <w:rFonts w:hint="eastAsia" w:ascii="Times New Roman" w:hAnsi="Times New Roman" w:eastAsia="宋体" w:cs="宋体"/>
                      <w:kern w:val="2"/>
                      <w:sz w:val="21"/>
                      <w:szCs w:val="21"/>
                      <w:lang w:val="en-US" w:eastAsia="zh-CN" w:bidi="ar"/>
                    </w:rPr>
                  </w:pPr>
                  <w:r>
                    <w:rPr>
                      <w:rFonts w:hint="eastAsia" w:cs="宋体"/>
                      <w:kern w:val="2"/>
                      <w:sz w:val="21"/>
                      <w:szCs w:val="21"/>
                      <w:lang w:val="en-US" w:eastAsia="zh-CN" w:bidi="ar"/>
                    </w:rPr>
                    <w:t>/</w:t>
                  </w:r>
                </w:p>
              </w:tc>
            </w:tr>
            <w:tr w14:paraId="0730B04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79" w:type="pct"/>
                  <w:vMerge w:val="restart"/>
                  <w:tcBorders>
                    <w:tl2br w:val="nil"/>
                    <w:tr2bl w:val="nil"/>
                  </w:tcBorders>
                  <w:shd w:val="clear" w:color="auto" w:fill="auto"/>
                  <w:vAlign w:val="center"/>
                </w:tcPr>
                <w:p w14:paraId="7130EBD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sz w:val="21"/>
                      <w:szCs w:val="21"/>
                      <w:lang w:val="en-US"/>
                    </w:rPr>
                  </w:pPr>
                  <w:r>
                    <w:rPr>
                      <w:rFonts w:hint="eastAsia" w:ascii="Times New Roman" w:hAnsi="Times New Roman" w:eastAsia="宋体" w:cs="宋体"/>
                      <w:kern w:val="2"/>
                      <w:sz w:val="21"/>
                      <w:szCs w:val="21"/>
                      <w:lang w:val="en-US" w:eastAsia="zh-CN" w:bidi="ar"/>
                    </w:rPr>
                    <w:t>污染物排放管控</w:t>
                  </w:r>
                </w:p>
              </w:tc>
              <w:tc>
                <w:tcPr>
                  <w:tcW w:w="279" w:type="pct"/>
                  <w:tcBorders>
                    <w:tl2br w:val="nil"/>
                    <w:tr2bl w:val="nil"/>
                  </w:tcBorders>
                  <w:shd w:val="clear" w:color="auto" w:fill="auto"/>
                  <w:vAlign w:val="center"/>
                </w:tcPr>
                <w:p w14:paraId="570E9501">
                  <w:pPr>
                    <w:pStyle w:val="86"/>
                    <w:keepNext w:val="0"/>
                    <w:keepLines w:val="0"/>
                    <w:pageBreakBefore w:val="0"/>
                    <w:widowControl/>
                    <w:kinsoku/>
                    <w:wordWrap/>
                    <w:overflowPunct/>
                    <w:topLinePunct w:val="0"/>
                    <w:autoSpaceDE/>
                    <w:autoSpaceDN/>
                    <w:bidi w:val="0"/>
                    <w:adjustRightInd w:val="0"/>
                    <w:snapToGrid w:val="0"/>
                    <w:spacing w:line="360" w:lineRule="exact"/>
                    <w:ind w:left="0" w:firstLine="0" w:firstLineChars="0"/>
                    <w:jc w:val="center"/>
                    <w:rPr>
                      <w:sz w:val="21"/>
                      <w:szCs w:val="21"/>
                      <w:lang w:val="en-US"/>
                    </w:rPr>
                  </w:pPr>
                  <w:r>
                    <w:rPr>
                      <w:sz w:val="21"/>
                      <w:szCs w:val="21"/>
                      <w:lang w:val="en-US"/>
                    </w:rPr>
                    <w:t>1</w:t>
                  </w:r>
                </w:p>
              </w:tc>
              <w:tc>
                <w:tcPr>
                  <w:tcW w:w="2942" w:type="pct"/>
                  <w:tcBorders>
                    <w:tl2br w:val="nil"/>
                    <w:tr2bl w:val="nil"/>
                  </w:tcBorders>
                  <w:shd w:val="clear" w:color="auto" w:fill="auto"/>
                  <w:vAlign w:val="center"/>
                </w:tcPr>
                <w:p w14:paraId="45F2E18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both"/>
                    <w:rPr>
                      <w:rFonts w:hint="default"/>
                      <w:bCs/>
                      <w:sz w:val="21"/>
                      <w:szCs w:val="21"/>
                      <w:lang w:val="en-US"/>
                    </w:rPr>
                  </w:pPr>
                  <w:r>
                    <w:rPr>
                      <w:rFonts w:hint="eastAsia" w:ascii="Times New Roman" w:hAnsi="Times New Roman" w:eastAsia="宋体" w:cs="宋体"/>
                      <w:kern w:val="2"/>
                      <w:sz w:val="21"/>
                      <w:szCs w:val="21"/>
                      <w:lang w:val="en-US" w:eastAsia="zh-CN" w:bidi="ar"/>
                    </w:rPr>
                    <w:t>新、改、扩建项目主要污染物排放要求满足当地总量减排和替代要求。</w:t>
                  </w:r>
                </w:p>
              </w:tc>
              <w:tc>
                <w:tcPr>
                  <w:tcW w:w="1066" w:type="pct"/>
                  <w:tcBorders>
                    <w:tl2br w:val="nil"/>
                    <w:tr2bl w:val="nil"/>
                  </w:tcBorders>
                  <w:shd w:val="clear" w:color="auto" w:fill="auto"/>
                  <w:vAlign w:val="center"/>
                </w:tcPr>
                <w:p w14:paraId="54FAC8F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sz w:val="21"/>
                      <w:szCs w:val="21"/>
                      <w:lang w:val="en-US"/>
                    </w:rPr>
                  </w:pPr>
                  <w:r>
                    <w:rPr>
                      <w:rFonts w:hint="eastAsia" w:ascii="Times New Roman" w:hAnsi="Times New Roman" w:eastAsia="宋体" w:cs="宋体"/>
                      <w:kern w:val="2"/>
                      <w:sz w:val="21"/>
                      <w:szCs w:val="21"/>
                      <w:lang w:val="en-US" w:eastAsia="zh-CN" w:bidi="ar"/>
                    </w:rPr>
                    <w:t>项目</w:t>
                  </w:r>
                  <w:r>
                    <w:rPr>
                      <w:rFonts w:hint="eastAsia" w:cs="宋体"/>
                      <w:kern w:val="2"/>
                      <w:sz w:val="21"/>
                      <w:szCs w:val="21"/>
                      <w:lang w:val="en-US" w:eastAsia="zh-CN" w:bidi="ar"/>
                    </w:rPr>
                    <w:t>满足区域总量减排要求</w:t>
                  </w:r>
                  <w:r>
                    <w:rPr>
                      <w:rFonts w:hint="eastAsia" w:ascii="Times New Roman" w:hAnsi="Times New Roman" w:eastAsia="宋体" w:cs="宋体"/>
                      <w:kern w:val="2"/>
                      <w:sz w:val="21"/>
                      <w:szCs w:val="21"/>
                      <w:lang w:val="en-US" w:eastAsia="zh-CN" w:bidi="ar"/>
                    </w:rPr>
                    <w:t>。</w:t>
                  </w:r>
                </w:p>
              </w:tc>
              <w:tc>
                <w:tcPr>
                  <w:tcW w:w="432" w:type="pct"/>
                  <w:tcBorders>
                    <w:tl2br w:val="nil"/>
                    <w:tr2bl w:val="nil"/>
                  </w:tcBorders>
                  <w:shd w:val="clear" w:color="auto" w:fill="auto"/>
                  <w:vAlign w:val="center"/>
                </w:tcPr>
                <w:p w14:paraId="0CDA3B0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sz w:val="21"/>
                      <w:szCs w:val="21"/>
                      <w:lang w:val="en-US"/>
                    </w:rPr>
                  </w:pPr>
                  <w:r>
                    <w:rPr>
                      <w:rFonts w:hint="eastAsia" w:ascii="Times New Roman" w:hAnsi="Times New Roman" w:eastAsia="宋体" w:cs="宋体"/>
                      <w:kern w:val="2"/>
                      <w:sz w:val="21"/>
                      <w:szCs w:val="21"/>
                      <w:lang w:val="en-US" w:eastAsia="zh-CN" w:bidi="ar"/>
                    </w:rPr>
                    <w:t>符合</w:t>
                  </w:r>
                </w:p>
              </w:tc>
            </w:tr>
            <w:tr w14:paraId="63A06E2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79" w:type="pct"/>
                  <w:vMerge w:val="continue"/>
                  <w:tcBorders>
                    <w:tl2br w:val="nil"/>
                    <w:tr2bl w:val="nil"/>
                  </w:tcBorders>
                  <w:shd w:val="clear" w:color="auto" w:fill="auto"/>
                  <w:vAlign w:val="center"/>
                </w:tcPr>
                <w:p w14:paraId="5C33F7E5">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exact"/>
                    <w:ind w:left="0" w:right="0"/>
                    <w:rPr>
                      <w:rFonts w:hint="default" w:ascii="Times New Roman" w:hAnsi="Times New Roman" w:eastAsia="Times New Roman" w:cs="Times New Roman"/>
                      <w:sz w:val="21"/>
                      <w:szCs w:val="21"/>
                    </w:rPr>
                  </w:pPr>
                </w:p>
              </w:tc>
              <w:tc>
                <w:tcPr>
                  <w:tcW w:w="279" w:type="pct"/>
                  <w:tcBorders>
                    <w:tl2br w:val="nil"/>
                    <w:tr2bl w:val="nil"/>
                  </w:tcBorders>
                  <w:shd w:val="clear" w:color="auto" w:fill="auto"/>
                  <w:vAlign w:val="center"/>
                </w:tcPr>
                <w:p w14:paraId="6A467A40">
                  <w:pPr>
                    <w:pStyle w:val="86"/>
                    <w:keepNext w:val="0"/>
                    <w:keepLines w:val="0"/>
                    <w:pageBreakBefore w:val="0"/>
                    <w:widowControl/>
                    <w:kinsoku/>
                    <w:wordWrap/>
                    <w:overflowPunct/>
                    <w:topLinePunct w:val="0"/>
                    <w:autoSpaceDE/>
                    <w:autoSpaceDN/>
                    <w:bidi w:val="0"/>
                    <w:adjustRightInd w:val="0"/>
                    <w:snapToGrid w:val="0"/>
                    <w:spacing w:line="360" w:lineRule="exact"/>
                    <w:ind w:left="0" w:firstLine="0" w:firstLineChars="0"/>
                    <w:jc w:val="center"/>
                    <w:rPr>
                      <w:sz w:val="21"/>
                      <w:szCs w:val="21"/>
                      <w:lang w:val="en-US"/>
                    </w:rPr>
                  </w:pPr>
                  <w:r>
                    <w:rPr>
                      <w:sz w:val="21"/>
                      <w:szCs w:val="21"/>
                      <w:lang w:val="en-US"/>
                    </w:rPr>
                    <w:t>2</w:t>
                  </w:r>
                </w:p>
              </w:tc>
              <w:tc>
                <w:tcPr>
                  <w:tcW w:w="2942" w:type="pct"/>
                  <w:tcBorders>
                    <w:tl2br w:val="nil"/>
                    <w:tr2bl w:val="nil"/>
                  </w:tcBorders>
                  <w:shd w:val="clear" w:color="auto" w:fill="auto"/>
                  <w:vAlign w:val="center"/>
                </w:tcPr>
                <w:p w14:paraId="19BF4D8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exact"/>
                    <w:ind w:left="0" w:right="0"/>
                    <w:jc w:val="both"/>
                    <w:textAlignment w:val="center"/>
                    <w:rPr>
                      <w:rFonts w:hint="default"/>
                      <w:sz w:val="21"/>
                      <w:szCs w:val="21"/>
                      <w:lang w:val="en-US"/>
                    </w:rPr>
                  </w:pPr>
                  <w:r>
                    <w:rPr>
                      <w:rFonts w:hint="eastAsia" w:ascii="Times New Roman" w:hAnsi="Times New Roman" w:eastAsia="宋体" w:cs="宋体"/>
                      <w:kern w:val="2"/>
                      <w:sz w:val="21"/>
                      <w:szCs w:val="21"/>
                      <w:lang w:val="en-US" w:eastAsia="zh-CN" w:bidi="ar"/>
                    </w:rPr>
                    <w:t>到2025年，PM2.5浓度总体下降27%以上，低于45微克/立方米；优良天数65%以上；重污染天数2.2%以下。完成国家、省定的“十四五”地表水环境质量和饮用水水质目标，南水北调中线一期工程总干渠安阳辖区取水水质稳定达到Ⅱ类。全市土壤环境质量总体保持稳定</w:t>
                  </w:r>
                  <w:r>
                    <w:rPr>
                      <w:rFonts w:hint="eastAsia" w:cs="宋体"/>
                      <w:kern w:val="2"/>
                      <w:sz w:val="21"/>
                      <w:szCs w:val="21"/>
                      <w:lang w:val="en-US" w:eastAsia="zh-CN" w:bidi="ar"/>
                    </w:rPr>
                    <w:t>，</w:t>
                  </w:r>
                  <w:r>
                    <w:rPr>
                      <w:rFonts w:hint="eastAsia" w:ascii="Times New Roman" w:hAnsi="Times New Roman" w:eastAsia="宋体" w:cs="宋体"/>
                      <w:kern w:val="2"/>
                      <w:sz w:val="21"/>
                      <w:szCs w:val="21"/>
                      <w:lang w:val="en-US" w:eastAsia="zh-CN" w:bidi="ar"/>
                    </w:rPr>
                    <w:t>土壤环境风险得到管控</w:t>
                  </w:r>
                  <w:r>
                    <w:rPr>
                      <w:rFonts w:hint="eastAsia" w:cs="宋体"/>
                      <w:kern w:val="2"/>
                      <w:sz w:val="21"/>
                      <w:szCs w:val="21"/>
                      <w:lang w:val="en-US" w:eastAsia="zh-CN" w:bidi="ar"/>
                    </w:rPr>
                    <w:t>，</w:t>
                  </w:r>
                  <w:r>
                    <w:rPr>
                      <w:rFonts w:hint="eastAsia" w:ascii="Times New Roman" w:hAnsi="Times New Roman" w:eastAsia="宋体" w:cs="宋体"/>
                      <w:kern w:val="2"/>
                      <w:sz w:val="21"/>
                      <w:szCs w:val="21"/>
                      <w:lang w:val="en-US" w:eastAsia="zh-CN" w:bidi="ar"/>
                    </w:rPr>
                    <w:t>土壤污染防治体系基本完善。土壤安全利用进一步巩固提升，受污染耕地安全利用率实现95%以上，重点建设用地安全利用有效保障。</w:t>
                  </w:r>
                </w:p>
              </w:tc>
              <w:tc>
                <w:tcPr>
                  <w:tcW w:w="1066" w:type="pct"/>
                  <w:tcBorders>
                    <w:tl2br w:val="nil"/>
                    <w:tr2bl w:val="nil"/>
                  </w:tcBorders>
                  <w:shd w:val="clear" w:color="auto" w:fill="auto"/>
                  <w:vAlign w:val="center"/>
                </w:tcPr>
                <w:p w14:paraId="23166A8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sz w:val="21"/>
                      <w:szCs w:val="21"/>
                      <w:lang w:val="en-US"/>
                    </w:rPr>
                  </w:pPr>
                  <w:r>
                    <w:rPr>
                      <w:rFonts w:hint="eastAsia" w:ascii="Times New Roman" w:hAnsi="Times New Roman" w:eastAsia="宋体" w:cs="宋体"/>
                      <w:kern w:val="2"/>
                      <w:sz w:val="21"/>
                      <w:szCs w:val="21"/>
                      <w:lang w:val="en-US" w:eastAsia="zh-CN" w:bidi="ar"/>
                    </w:rPr>
                    <w:t>不涉及</w:t>
                  </w:r>
                  <w:r>
                    <w:rPr>
                      <w:rFonts w:hint="eastAsia" w:ascii="Times New Roman" w:hAnsi="Times New Roman" w:cs="宋体"/>
                      <w:kern w:val="2"/>
                      <w:sz w:val="21"/>
                      <w:szCs w:val="21"/>
                      <w:lang w:val="en-US" w:eastAsia="zh-CN" w:bidi="ar"/>
                    </w:rPr>
                    <w:t>。</w:t>
                  </w:r>
                </w:p>
              </w:tc>
              <w:tc>
                <w:tcPr>
                  <w:tcW w:w="432" w:type="pct"/>
                  <w:tcBorders>
                    <w:tl2br w:val="nil"/>
                    <w:tr2bl w:val="nil"/>
                  </w:tcBorders>
                  <w:shd w:val="clear" w:color="auto" w:fill="auto"/>
                  <w:vAlign w:val="center"/>
                </w:tcPr>
                <w:p w14:paraId="17B117B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b/>
                      <w:bCs w:val="0"/>
                      <w:sz w:val="21"/>
                      <w:szCs w:val="21"/>
                      <w:lang w:val="en-US"/>
                    </w:rPr>
                  </w:pPr>
                  <w:r>
                    <w:rPr>
                      <w:rFonts w:hint="eastAsia" w:cs="宋体"/>
                      <w:kern w:val="2"/>
                      <w:sz w:val="21"/>
                      <w:szCs w:val="21"/>
                      <w:lang w:val="en-US" w:eastAsia="zh-CN" w:bidi="ar"/>
                    </w:rPr>
                    <w:t>/</w:t>
                  </w:r>
                </w:p>
              </w:tc>
            </w:tr>
            <w:tr w14:paraId="72F1DF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79" w:type="pct"/>
                  <w:vMerge w:val="continue"/>
                  <w:tcBorders>
                    <w:tl2br w:val="nil"/>
                    <w:tr2bl w:val="nil"/>
                  </w:tcBorders>
                  <w:shd w:val="clear" w:color="auto" w:fill="auto"/>
                  <w:vAlign w:val="center"/>
                </w:tcPr>
                <w:p w14:paraId="54FCA83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exact"/>
                    <w:ind w:left="0" w:right="0"/>
                    <w:rPr>
                      <w:rFonts w:hint="default" w:ascii="Times New Roman" w:hAnsi="Times New Roman" w:eastAsia="Times New Roman" w:cs="Times New Roman"/>
                      <w:sz w:val="21"/>
                      <w:szCs w:val="21"/>
                    </w:rPr>
                  </w:pPr>
                </w:p>
              </w:tc>
              <w:tc>
                <w:tcPr>
                  <w:tcW w:w="279" w:type="pct"/>
                  <w:tcBorders>
                    <w:tl2br w:val="nil"/>
                    <w:tr2bl w:val="nil"/>
                  </w:tcBorders>
                  <w:shd w:val="clear" w:color="auto" w:fill="auto"/>
                  <w:vAlign w:val="center"/>
                </w:tcPr>
                <w:p w14:paraId="6C6E7F2F">
                  <w:pPr>
                    <w:pStyle w:val="86"/>
                    <w:keepNext w:val="0"/>
                    <w:keepLines w:val="0"/>
                    <w:pageBreakBefore w:val="0"/>
                    <w:widowControl/>
                    <w:kinsoku/>
                    <w:wordWrap/>
                    <w:overflowPunct/>
                    <w:topLinePunct w:val="0"/>
                    <w:autoSpaceDE/>
                    <w:autoSpaceDN/>
                    <w:bidi w:val="0"/>
                    <w:adjustRightInd w:val="0"/>
                    <w:snapToGrid w:val="0"/>
                    <w:spacing w:line="360" w:lineRule="exact"/>
                    <w:ind w:left="0" w:firstLine="0" w:firstLineChars="0"/>
                    <w:jc w:val="center"/>
                    <w:rPr>
                      <w:rFonts w:hint="eastAsia" w:eastAsia="仿宋"/>
                      <w:sz w:val="21"/>
                      <w:szCs w:val="21"/>
                      <w:lang w:val="en-US" w:eastAsia="zh-CN"/>
                    </w:rPr>
                  </w:pPr>
                  <w:r>
                    <w:rPr>
                      <w:rFonts w:hint="eastAsia"/>
                      <w:sz w:val="21"/>
                      <w:szCs w:val="21"/>
                      <w:lang w:val="en-US" w:eastAsia="zh-CN"/>
                    </w:rPr>
                    <w:t>3</w:t>
                  </w:r>
                </w:p>
              </w:tc>
              <w:tc>
                <w:tcPr>
                  <w:tcW w:w="2942" w:type="pct"/>
                  <w:tcBorders>
                    <w:tl2br w:val="nil"/>
                    <w:tr2bl w:val="nil"/>
                  </w:tcBorders>
                  <w:shd w:val="clear" w:color="auto" w:fill="auto"/>
                  <w:vAlign w:val="center"/>
                </w:tcPr>
                <w:p w14:paraId="4D07A63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exact"/>
                    <w:ind w:left="0" w:right="0"/>
                    <w:jc w:val="both"/>
                    <w:textAlignment w:val="center"/>
                    <w:rPr>
                      <w:rFonts w:hint="default"/>
                      <w:sz w:val="21"/>
                      <w:szCs w:val="21"/>
                      <w:lang w:val="en-US"/>
                    </w:rPr>
                  </w:pPr>
                  <w:r>
                    <w:rPr>
                      <w:rFonts w:hint="default"/>
                      <w:sz w:val="21"/>
                      <w:szCs w:val="21"/>
                      <w:lang w:val="en-US"/>
                    </w:rPr>
                    <w:t>鼓励现有钢铁、焦化、水泥、铁合金、铸造等重点行业及“两高”行业污染治理水平达到A级企业或引领性企业水平，其他行业污染治理水平达到B级企业水平；新建、扩建项目污染物排放限值、污染治理措施、无组织排放控制水平、运输方式等达到A级绩效水平，改建项目污染物排放限值、污染治理措施、无组织排放控制水平、运输方式等达到B级以上绩效水平。新建及迁建煤炭、矿石、焦炭等大宗货物年运量150万吨以上的物流园区、工矿企业，原则上接入铁路专用线或管道。火电、钢铁、石化、化工、煤炭、焦化、有色等行业大宗货物清洁运输比例达到80%以上。重点区域鼓励高炉—转炉长流程钢铁企业转型为电炉短流程企业。</w:t>
                  </w:r>
                </w:p>
              </w:tc>
              <w:tc>
                <w:tcPr>
                  <w:tcW w:w="1066" w:type="pct"/>
                  <w:tcBorders>
                    <w:tl2br w:val="nil"/>
                    <w:tr2bl w:val="nil"/>
                  </w:tcBorders>
                  <w:shd w:val="clear" w:color="auto" w:fill="auto"/>
                  <w:vAlign w:val="center"/>
                </w:tcPr>
                <w:p w14:paraId="656B415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ascii="Times New Roman" w:hAnsi="宋体" w:eastAsia="宋体" w:cs="宋体"/>
                      <w:kern w:val="2"/>
                      <w:sz w:val="21"/>
                      <w:szCs w:val="21"/>
                      <w:highlight w:val="red"/>
                      <w:lang w:val="en-US" w:eastAsia="zh-CN" w:bidi="ar"/>
                    </w:rPr>
                  </w:pPr>
                  <w:r>
                    <w:rPr>
                      <w:rFonts w:hint="default" w:ascii="Times New Roman" w:hAnsi="宋体" w:eastAsia="宋体" w:cs="宋体"/>
                      <w:kern w:val="2"/>
                      <w:sz w:val="21"/>
                      <w:szCs w:val="21"/>
                      <w:highlight w:val="none"/>
                      <w:shd w:val="clear"/>
                      <w:lang w:val="en-US" w:eastAsia="zh-CN" w:bidi="ar"/>
                    </w:rPr>
                    <w:t>项目建设符合塑料制品行业A级绩效分级指标要求</w:t>
                  </w:r>
                  <w:r>
                    <w:rPr>
                      <w:rFonts w:hint="eastAsia" w:hAnsi="宋体" w:cs="宋体"/>
                      <w:kern w:val="2"/>
                      <w:sz w:val="21"/>
                      <w:szCs w:val="21"/>
                      <w:highlight w:val="none"/>
                      <w:shd w:val="clear"/>
                      <w:lang w:val="en-US" w:eastAsia="zh-CN" w:bidi="ar"/>
                    </w:rPr>
                    <w:t>。</w:t>
                  </w:r>
                </w:p>
              </w:tc>
              <w:tc>
                <w:tcPr>
                  <w:tcW w:w="432" w:type="pct"/>
                  <w:tcBorders>
                    <w:tl2br w:val="nil"/>
                    <w:tr2bl w:val="nil"/>
                  </w:tcBorders>
                  <w:shd w:val="clear" w:color="auto" w:fill="auto"/>
                  <w:vAlign w:val="center"/>
                </w:tcPr>
                <w:p w14:paraId="228124A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b/>
                      <w:bCs w:val="0"/>
                      <w:sz w:val="21"/>
                      <w:szCs w:val="21"/>
                      <w:highlight w:val="red"/>
                      <w:lang w:val="en-US"/>
                    </w:rPr>
                  </w:pPr>
                  <w:r>
                    <w:rPr>
                      <w:rFonts w:hint="eastAsia" w:ascii="Times New Roman" w:hAnsi="Times New Roman" w:eastAsia="宋体" w:cs="宋体"/>
                      <w:kern w:val="2"/>
                      <w:sz w:val="21"/>
                      <w:szCs w:val="21"/>
                      <w:highlight w:val="none"/>
                      <w:lang w:val="en-US" w:eastAsia="zh-CN" w:bidi="ar"/>
                    </w:rPr>
                    <w:t>符合</w:t>
                  </w:r>
                </w:p>
              </w:tc>
            </w:tr>
            <w:tr w14:paraId="71BAD7E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0" w:hRule="atLeast"/>
                <w:jc w:val="center"/>
              </w:trPr>
              <w:tc>
                <w:tcPr>
                  <w:tcW w:w="279" w:type="pct"/>
                  <w:vMerge w:val="continue"/>
                  <w:tcBorders>
                    <w:tl2br w:val="nil"/>
                    <w:tr2bl w:val="nil"/>
                  </w:tcBorders>
                  <w:shd w:val="clear" w:color="auto" w:fill="auto"/>
                  <w:vAlign w:val="center"/>
                </w:tcPr>
                <w:p w14:paraId="4B4307F8">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exact"/>
                    <w:ind w:left="0" w:right="0"/>
                    <w:rPr>
                      <w:rFonts w:hint="default" w:ascii="Times New Roman" w:hAnsi="Times New Roman" w:eastAsia="Times New Roman" w:cs="Times New Roman"/>
                      <w:sz w:val="21"/>
                      <w:szCs w:val="21"/>
                    </w:rPr>
                  </w:pPr>
                </w:p>
              </w:tc>
              <w:tc>
                <w:tcPr>
                  <w:tcW w:w="279" w:type="pct"/>
                  <w:tcBorders>
                    <w:tl2br w:val="nil"/>
                    <w:tr2bl w:val="nil"/>
                  </w:tcBorders>
                  <w:shd w:val="clear" w:color="auto" w:fill="auto"/>
                  <w:vAlign w:val="center"/>
                </w:tcPr>
                <w:p w14:paraId="1948EDB2">
                  <w:pPr>
                    <w:pStyle w:val="86"/>
                    <w:keepNext w:val="0"/>
                    <w:keepLines w:val="0"/>
                    <w:pageBreakBefore w:val="0"/>
                    <w:widowControl/>
                    <w:kinsoku/>
                    <w:wordWrap/>
                    <w:overflowPunct/>
                    <w:topLinePunct w:val="0"/>
                    <w:autoSpaceDE/>
                    <w:autoSpaceDN/>
                    <w:bidi w:val="0"/>
                    <w:adjustRightInd w:val="0"/>
                    <w:snapToGrid w:val="0"/>
                    <w:spacing w:line="360" w:lineRule="exact"/>
                    <w:ind w:left="0" w:firstLine="0" w:firstLineChars="0"/>
                    <w:jc w:val="center"/>
                    <w:rPr>
                      <w:rFonts w:hint="eastAsia" w:eastAsia="仿宋"/>
                      <w:sz w:val="21"/>
                      <w:szCs w:val="21"/>
                      <w:lang w:val="en-US" w:eastAsia="zh-CN"/>
                    </w:rPr>
                  </w:pPr>
                  <w:r>
                    <w:rPr>
                      <w:rFonts w:hint="eastAsia"/>
                      <w:sz w:val="21"/>
                      <w:szCs w:val="21"/>
                      <w:lang w:val="en-US" w:eastAsia="zh-CN"/>
                    </w:rPr>
                    <w:t>4</w:t>
                  </w:r>
                </w:p>
              </w:tc>
              <w:tc>
                <w:tcPr>
                  <w:tcW w:w="2942" w:type="pct"/>
                  <w:tcBorders>
                    <w:tl2br w:val="nil"/>
                    <w:tr2bl w:val="nil"/>
                  </w:tcBorders>
                  <w:shd w:val="clear" w:color="auto" w:fill="auto"/>
                  <w:vAlign w:val="center"/>
                </w:tcPr>
                <w:p w14:paraId="4B16F09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exact"/>
                    <w:ind w:left="0" w:right="0"/>
                    <w:jc w:val="both"/>
                    <w:textAlignment w:val="center"/>
                    <w:rPr>
                      <w:rFonts w:hint="default"/>
                      <w:color w:val="000000"/>
                      <w:sz w:val="21"/>
                      <w:szCs w:val="21"/>
                      <w:lang w:val="en-US"/>
                    </w:rPr>
                  </w:pPr>
                  <w:r>
                    <w:rPr>
                      <w:rFonts w:hint="eastAsia" w:ascii="Times New Roman" w:hAnsi="Times New Roman" w:eastAsia="宋体" w:cs="宋体"/>
                      <w:color w:val="000000"/>
                      <w:kern w:val="2"/>
                      <w:sz w:val="21"/>
                      <w:szCs w:val="21"/>
                      <w:lang w:val="en-US" w:eastAsia="zh-CN" w:bidi="ar"/>
                    </w:rPr>
                    <w:t>医药、化工、橡胶、包装印刷、家具、金属表面涂装、合成革、制鞋等涉VOCs行业应采取密闭式作业，根据不同行业 VOCs 排放浓度、成分，选择燃烧、吸附、生物法、冷凝等针对性强、治理效果明显的处理技术或多种技术的组合工艺，提高VOCs治理效率；VOCs物料储存、转移和输送、工艺过程 、设备与管线组件VOCs泄漏控制、敞开液面VOCs无组织排放控制，以及VOCs无组织排放废气收集处理系统和企业厂区内及周边污染监控应满足《挥发性有机物无组织排放控制标准（GB37822—2019）》相关要求。</w:t>
                  </w:r>
                </w:p>
              </w:tc>
              <w:tc>
                <w:tcPr>
                  <w:tcW w:w="1066" w:type="pct"/>
                  <w:tcBorders>
                    <w:tl2br w:val="nil"/>
                    <w:tr2bl w:val="nil"/>
                  </w:tcBorders>
                  <w:shd w:val="clear" w:color="auto" w:fill="auto"/>
                  <w:vAlign w:val="center"/>
                </w:tcPr>
                <w:p w14:paraId="36B9BDB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sz w:val="21"/>
                      <w:szCs w:val="21"/>
                      <w:lang w:val="en-US"/>
                    </w:rPr>
                  </w:pPr>
                  <w:r>
                    <w:rPr>
                      <w:rFonts w:hint="eastAsia" w:ascii="Times New Roman" w:hAnsi="Times New Roman" w:eastAsia="宋体" w:cs="宋体"/>
                      <w:kern w:val="2"/>
                      <w:sz w:val="21"/>
                      <w:szCs w:val="21"/>
                      <w:lang w:val="en-US" w:eastAsia="zh-CN" w:bidi="ar"/>
                    </w:rPr>
                    <w:t>不涉及。</w:t>
                  </w:r>
                </w:p>
              </w:tc>
              <w:tc>
                <w:tcPr>
                  <w:tcW w:w="432" w:type="pct"/>
                  <w:tcBorders>
                    <w:tl2br w:val="nil"/>
                    <w:tr2bl w:val="nil"/>
                  </w:tcBorders>
                  <w:shd w:val="clear" w:color="auto" w:fill="auto"/>
                  <w:vAlign w:val="center"/>
                </w:tcPr>
                <w:p w14:paraId="08E1DA2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b/>
                      <w:bCs w:val="0"/>
                      <w:sz w:val="21"/>
                      <w:szCs w:val="21"/>
                      <w:lang w:val="en-US"/>
                    </w:rPr>
                  </w:pPr>
                  <w:r>
                    <w:rPr>
                      <w:rFonts w:hint="eastAsia" w:cs="宋体"/>
                      <w:kern w:val="2"/>
                      <w:sz w:val="21"/>
                      <w:szCs w:val="21"/>
                      <w:lang w:val="en-US" w:eastAsia="zh-CN" w:bidi="ar"/>
                    </w:rPr>
                    <w:t>/</w:t>
                  </w:r>
                </w:p>
              </w:tc>
            </w:tr>
            <w:tr w14:paraId="7C68A8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0" w:hRule="atLeast"/>
                <w:jc w:val="center"/>
              </w:trPr>
              <w:tc>
                <w:tcPr>
                  <w:tcW w:w="279" w:type="pct"/>
                  <w:vMerge w:val="continue"/>
                  <w:tcBorders>
                    <w:tl2br w:val="nil"/>
                    <w:tr2bl w:val="nil"/>
                  </w:tcBorders>
                  <w:shd w:val="clear" w:color="auto" w:fill="auto"/>
                  <w:vAlign w:val="center"/>
                </w:tcPr>
                <w:p w14:paraId="44C4FA87">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exact"/>
                    <w:ind w:left="0" w:right="0"/>
                    <w:rPr>
                      <w:rFonts w:hint="default" w:ascii="Times New Roman" w:hAnsi="Times New Roman" w:eastAsia="Times New Roman" w:cs="Times New Roman"/>
                      <w:sz w:val="21"/>
                      <w:szCs w:val="21"/>
                    </w:rPr>
                  </w:pPr>
                </w:p>
              </w:tc>
              <w:tc>
                <w:tcPr>
                  <w:tcW w:w="279" w:type="pct"/>
                  <w:tcBorders>
                    <w:tl2br w:val="nil"/>
                    <w:tr2bl w:val="nil"/>
                  </w:tcBorders>
                  <w:shd w:val="clear" w:color="auto" w:fill="auto"/>
                  <w:vAlign w:val="center"/>
                </w:tcPr>
                <w:p w14:paraId="1A93AE53">
                  <w:pPr>
                    <w:pStyle w:val="86"/>
                    <w:keepNext w:val="0"/>
                    <w:keepLines w:val="0"/>
                    <w:pageBreakBefore w:val="0"/>
                    <w:widowControl/>
                    <w:kinsoku/>
                    <w:wordWrap/>
                    <w:overflowPunct/>
                    <w:topLinePunct w:val="0"/>
                    <w:autoSpaceDE/>
                    <w:autoSpaceDN/>
                    <w:bidi w:val="0"/>
                    <w:adjustRightInd w:val="0"/>
                    <w:snapToGrid w:val="0"/>
                    <w:spacing w:line="360" w:lineRule="exact"/>
                    <w:ind w:left="0" w:firstLine="0" w:firstLineChars="0"/>
                    <w:jc w:val="center"/>
                    <w:rPr>
                      <w:rFonts w:hint="eastAsia" w:eastAsia="仿宋"/>
                      <w:sz w:val="21"/>
                      <w:szCs w:val="21"/>
                      <w:lang w:val="en-US" w:eastAsia="zh-CN"/>
                    </w:rPr>
                  </w:pPr>
                  <w:r>
                    <w:rPr>
                      <w:rFonts w:hint="eastAsia"/>
                      <w:sz w:val="21"/>
                      <w:szCs w:val="21"/>
                      <w:lang w:val="en-US" w:eastAsia="zh-CN"/>
                    </w:rPr>
                    <w:t>5</w:t>
                  </w:r>
                </w:p>
              </w:tc>
              <w:tc>
                <w:tcPr>
                  <w:tcW w:w="2942" w:type="pct"/>
                  <w:tcBorders>
                    <w:tl2br w:val="nil"/>
                    <w:tr2bl w:val="nil"/>
                  </w:tcBorders>
                  <w:shd w:val="clear" w:color="auto" w:fill="auto"/>
                  <w:vAlign w:val="center"/>
                </w:tcPr>
                <w:p w14:paraId="40E02D8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both"/>
                    <w:rPr>
                      <w:rFonts w:hint="default"/>
                      <w:bCs/>
                      <w:sz w:val="21"/>
                      <w:szCs w:val="21"/>
                      <w:lang w:val="en-US"/>
                    </w:rPr>
                  </w:pPr>
                  <w:r>
                    <w:rPr>
                      <w:rFonts w:hint="eastAsia" w:ascii="Times New Roman" w:hAnsi="Times New Roman" w:eastAsia="宋体" w:cs="宋体"/>
                      <w:kern w:val="2"/>
                      <w:sz w:val="21"/>
                      <w:szCs w:val="21"/>
                      <w:lang w:val="en-US" w:eastAsia="zh-CN" w:bidi="ar"/>
                    </w:rPr>
                    <w:t>向污水集中处理设施排放工业废水的，应当按照国家有关规定进行预处理，达到集中处理设施处理工艺要求后方可排放。</w:t>
                  </w:r>
                </w:p>
              </w:tc>
              <w:tc>
                <w:tcPr>
                  <w:tcW w:w="1066" w:type="pct"/>
                  <w:tcBorders>
                    <w:tl2br w:val="nil"/>
                    <w:tr2bl w:val="nil"/>
                  </w:tcBorders>
                  <w:shd w:val="clear" w:color="auto" w:fill="auto"/>
                  <w:vAlign w:val="center"/>
                </w:tcPr>
                <w:p w14:paraId="2DF0317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sz w:val="21"/>
                      <w:szCs w:val="21"/>
                      <w:lang w:val="en-US"/>
                    </w:rPr>
                  </w:pPr>
                  <w:r>
                    <w:rPr>
                      <w:rFonts w:hint="eastAsia" w:ascii="Times New Roman" w:hAnsi="Times New Roman" w:eastAsia="宋体" w:cs="宋体"/>
                      <w:kern w:val="2"/>
                      <w:sz w:val="21"/>
                      <w:szCs w:val="21"/>
                      <w:lang w:val="en-US" w:eastAsia="zh-CN" w:bidi="ar"/>
                    </w:rPr>
                    <w:t>项目</w:t>
                  </w:r>
                  <w:r>
                    <w:rPr>
                      <w:rFonts w:hint="eastAsia" w:cs="宋体"/>
                      <w:kern w:val="2"/>
                      <w:sz w:val="21"/>
                      <w:szCs w:val="21"/>
                      <w:lang w:val="en-US" w:eastAsia="zh-CN" w:bidi="ar"/>
                    </w:rPr>
                    <w:t>生活废水经化粪池预处理，达标排入污水处理厂。</w:t>
                  </w:r>
                </w:p>
              </w:tc>
              <w:tc>
                <w:tcPr>
                  <w:tcW w:w="432" w:type="pct"/>
                  <w:tcBorders>
                    <w:tl2br w:val="nil"/>
                    <w:tr2bl w:val="nil"/>
                  </w:tcBorders>
                  <w:shd w:val="clear" w:color="auto" w:fill="auto"/>
                  <w:vAlign w:val="center"/>
                </w:tcPr>
                <w:p w14:paraId="185C4DD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b/>
                      <w:bCs w:val="0"/>
                      <w:sz w:val="21"/>
                      <w:szCs w:val="21"/>
                      <w:lang w:val="en-US"/>
                    </w:rPr>
                  </w:pPr>
                  <w:r>
                    <w:rPr>
                      <w:rFonts w:hint="eastAsia" w:ascii="Times New Roman" w:hAnsi="Times New Roman" w:eastAsia="宋体" w:cs="宋体"/>
                      <w:kern w:val="2"/>
                      <w:sz w:val="21"/>
                      <w:szCs w:val="21"/>
                      <w:lang w:val="en-US" w:eastAsia="zh-CN" w:bidi="ar"/>
                    </w:rPr>
                    <w:t>符合</w:t>
                  </w:r>
                </w:p>
              </w:tc>
            </w:tr>
            <w:tr w14:paraId="4FAD97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79" w:type="pct"/>
                  <w:vMerge w:val="continue"/>
                  <w:tcBorders>
                    <w:tl2br w:val="nil"/>
                    <w:tr2bl w:val="nil"/>
                  </w:tcBorders>
                  <w:shd w:val="clear" w:color="auto" w:fill="auto"/>
                  <w:vAlign w:val="center"/>
                </w:tcPr>
                <w:p w14:paraId="431BAA09">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exact"/>
                    <w:ind w:left="0" w:right="0"/>
                    <w:rPr>
                      <w:rFonts w:hint="default" w:ascii="Times New Roman" w:hAnsi="Times New Roman" w:eastAsia="Times New Roman" w:cs="Times New Roman"/>
                      <w:sz w:val="21"/>
                      <w:szCs w:val="21"/>
                    </w:rPr>
                  </w:pPr>
                </w:p>
              </w:tc>
              <w:tc>
                <w:tcPr>
                  <w:tcW w:w="279" w:type="pct"/>
                  <w:tcBorders>
                    <w:tl2br w:val="nil"/>
                    <w:tr2bl w:val="nil"/>
                  </w:tcBorders>
                  <w:shd w:val="clear" w:color="auto" w:fill="auto"/>
                  <w:vAlign w:val="center"/>
                </w:tcPr>
                <w:p w14:paraId="1B6AD336">
                  <w:pPr>
                    <w:pStyle w:val="86"/>
                    <w:keepNext w:val="0"/>
                    <w:keepLines w:val="0"/>
                    <w:pageBreakBefore w:val="0"/>
                    <w:widowControl/>
                    <w:kinsoku/>
                    <w:wordWrap/>
                    <w:overflowPunct/>
                    <w:topLinePunct w:val="0"/>
                    <w:autoSpaceDE/>
                    <w:autoSpaceDN/>
                    <w:bidi w:val="0"/>
                    <w:adjustRightInd w:val="0"/>
                    <w:snapToGrid w:val="0"/>
                    <w:spacing w:line="360" w:lineRule="exact"/>
                    <w:ind w:left="0" w:firstLine="0" w:firstLineChars="0"/>
                    <w:jc w:val="center"/>
                    <w:rPr>
                      <w:rFonts w:hint="eastAsia" w:eastAsia="仿宋"/>
                      <w:sz w:val="21"/>
                      <w:szCs w:val="21"/>
                      <w:lang w:val="en-US" w:eastAsia="zh-CN"/>
                    </w:rPr>
                  </w:pPr>
                  <w:r>
                    <w:rPr>
                      <w:rFonts w:hint="eastAsia"/>
                      <w:sz w:val="21"/>
                      <w:szCs w:val="21"/>
                      <w:lang w:val="en-US" w:eastAsia="zh-CN"/>
                    </w:rPr>
                    <w:t>6</w:t>
                  </w:r>
                </w:p>
              </w:tc>
              <w:tc>
                <w:tcPr>
                  <w:tcW w:w="2942" w:type="pct"/>
                  <w:tcBorders>
                    <w:tl2br w:val="nil"/>
                    <w:tr2bl w:val="nil"/>
                  </w:tcBorders>
                  <w:shd w:val="clear" w:color="auto" w:fill="auto"/>
                  <w:vAlign w:val="center"/>
                </w:tcPr>
                <w:p w14:paraId="69D2F56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both"/>
                    <w:rPr>
                      <w:rFonts w:hint="default"/>
                      <w:bCs/>
                      <w:sz w:val="21"/>
                      <w:szCs w:val="21"/>
                      <w:lang w:val="en-US"/>
                    </w:rPr>
                  </w:pPr>
                  <w:r>
                    <w:rPr>
                      <w:rFonts w:hint="eastAsia" w:ascii="Times New Roman" w:hAnsi="Times New Roman" w:eastAsia="宋体" w:cs="宋体"/>
                      <w:kern w:val="2"/>
                      <w:sz w:val="21"/>
                      <w:szCs w:val="21"/>
                      <w:lang w:val="en-US" w:eastAsia="zh-CN" w:bidi="ar"/>
                    </w:rPr>
                    <w:t>鼓励和支持无汞催化剂和工艺、限制或禁止的持久性有机污染物替代品和技术。</w:t>
                  </w:r>
                </w:p>
              </w:tc>
              <w:tc>
                <w:tcPr>
                  <w:tcW w:w="1066" w:type="pct"/>
                  <w:tcBorders>
                    <w:tl2br w:val="nil"/>
                    <w:tr2bl w:val="nil"/>
                  </w:tcBorders>
                  <w:shd w:val="clear" w:color="auto" w:fill="auto"/>
                  <w:vAlign w:val="center"/>
                </w:tcPr>
                <w:p w14:paraId="4EBC4EC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sz w:val="21"/>
                      <w:szCs w:val="21"/>
                      <w:lang w:val="en-US"/>
                    </w:rPr>
                  </w:pPr>
                  <w:r>
                    <w:rPr>
                      <w:rFonts w:hint="eastAsia" w:ascii="Times New Roman" w:hAnsi="Times New Roman" w:eastAsia="宋体" w:cs="宋体"/>
                      <w:kern w:val="2"/>
                      <w:sz w:val="21"/>
                      <w:szCs w:val="21"/>
                      <w:lang w:val="en-US" w:eastAsia="zh-CN" w:bidi="ar"/>
                    </w:rPr>
                    <w:t>不涉及。</w:t>
                  </w:r>
                </w:p>
              </w:tc>
              <w:tc>
                <w:tcPr>
                  <w:tcW w:w="432" w:type="pct"/>
                  <w:tcBorders>
                    <w:tl2br w:val="nil"/>
                    <w:tr2bl w:val="nil"/>
                  </w:tcBorders>
                  <w:shd w:val="clear" w:color="auto" w:fill="auto"/>
                  <w:vAlign w:val="center"/>
                </w:tcPr>
                <w:p w14:paraId="69AA25E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b/>
                      <w:bCs w:val="0"/>
                      <w:sz w:val="21"/>
                      <w:szCs w:val="21"/>
                      <w:lang w:val="en-US"/>
                    </w:rPr>
                  </w:pPr>
                  <w:r>
                    <w:rPr>
                      <w:rFonts w:hint="eastAsia" w:cs="宋体"/>
                      <w:kern w:val="2"/>
                      <w:sz w:val="21"/>
                      <w:szCs w:val="21"/>
                      <w:lang w:val="en-US" w:eastAsia="zh-CN" w:bidi="ar"/>
                    </w:rPr>
                    <w:t>/</w:t>
                  </w:r>
                </w:p>
              </w:tc>
            </w:tr>
            <w:tr w14:paraId="52F10C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0" w:hRule="atLeast"/>
                <w:jc w:val="center"/>
              </w:trPr>
              <w:tc>
                <w:tcPr>
                  <w:tcW w:w="279" w:type="pct"/>
                  <w:tcBorders>
                    <w:tl2br w:val="nil"/>
                    <w:tr2bl w:val="nil"/>
                  </w:tcBorders>
                  <w:shd w:val="clear" w:color="auto" w:fill="auto"/>
                  <w:vAlign w:val="center"/>
                </w:tcPr>
                <w:p w14:paraId="5EF6D96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sz w:val="21"/>
                      <w:szCs w:val="21"/>
                      <w:lang w:val="en-US"/>
                    </w:rPr>
                  </w:pPr>
                  <w:r>
                    <w:rPr>
                      <w:rFonts w:hint="eastAsia" w:ascii="Times New Roman" w:hAnsi="Times New Roman" w:eastAsia="宋体" w:cs="宋体"/>
                      <w:kern w:val="2"/>
                      <w:sz w:val="21"/>
                      <w:szCs w:val="21"/>
                      <w:lang w:val="en-US" w:eastAsia="zh-CN" w:bidi="ar"/>
                    </w:rPr>
                    <w:t>环境风险防控</w:t>
                  </w:r>
                </w:p>
              </w:tc>
              <w:tc>
                <w:tcPr>
                  <w:tcW w:w="279" w:type="pct"/>
                  <w:tcBorders>
                    <w:tl2br w:val="nil"/>
                    <w:tr2bl w:val="nil"/>
                  </w:tcBorders>
                  <w:shd w:val="clear" w:color="auto" w:fill="auto"/>
                  <w:vAlign w:val="center"/>
                </w:tcPr>
                <w:p w14:paraId="69CA045C">
                  <w:pPr>
                    <w:pStyle w:val="86"/>
                    <w:keepNext w:val="0"/>
                    <w:keepLines w:val="0"/>
                    <w:pageBreakBefore w:val="0"/>
                    <w:widowControl/>
                    <w:kinsoku/>
                    <w:wordWrap/>
                    <w:overflowPunct/>
                    <w:topLinePunct w:val="0"/>
                    <w:autoSpaceDE/>
                    <w:autoSpaceDN/>
                    <w:bidi w:val="0"/>
                    <w:adjustRightInd w:val="0"/>
                    <w:snapToGrid w:val="0"/>
                    <w:spacing w:line="360" w:lineRule="exact"/>
                    <w:ind w:left="0" w:firstLine="0" w:firstLineChars="0"/>
                    <w:jc w:val="center"/>
                    <w:rPr>
                      <w:sz w:val="21"/>
                      <w:szCs w:val="21"/>
                      <w:lang w:val="en-US"/>
                    </w:rPr>
                  </w:pPr>
                  <w:r>
                    <w:rPr>
                      <w:sz w:val="21"/>
                      <w:szCs w:val="21"/>
                      <w:lang w:val="en-US"/>
                    </w:rPr>
                    <w:t>1</w:t>
                  </w:r>
                </w:p>
              </w:tc>
              <w:tc>
                <w:tcPr>
                  <w:tcW w:w="2942" w:type="pct"/>
                  <w:tcBorders>
                    <w:tl2br w:val="nil"/>
                    <w:tr2bl w:val="nil"/>
                  </w:tcBorders>
                  <w:shd w:val="clear" w:color="auto" w:fill="auto"/>
                  <w:vAlign w:val="center"/>
                </w:tcPr>
                <w:p w14:paraId="7D687DA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both"/>
                    <w:rPr>
                      <w:rFonts w:hint="default"/>
                      <w:bCs/>
                      <w:sz w:val="21"/>
                      <w:szCs w:val="21"/>
                      <w:lang w:val="en-US"/>
                    </w:rPr>
                  </w:pPr>
                  <w:r>
                    <w:rPr>
                      <w:rFonts w:hint="eastAsia" w:ascii="Times New Roman" w:hAnsi="Times New Roman" w:eastAsia="宋体" w:cs="宋体"/>
                      <w:kern w:val="2"/>
                      <w:sz w:val="21"/>
                      <w:szCs w:val="21"/>
                      <w:lang w:val="en-US" w:eastAsia="zh-CN" w:bidi="ar"/>
                    </w:rPr>
                    <w:t>各级生态环境部门和其他负有生态环境监督管理职责的部门要加强对存在风险场所的日常环境监测，并对可能导致突发环境事件的风险信息加强收集、分析和研判。工业和信息化、公安、自然资源和规划、住房和城乡建设、交通运输、水利、农业农村、商务、卫生健康、应急、气象、地震等有关部门要按照职责分工，及时将可能导致突发环境事件的信息通报同级或事发地生态环境部门。企事业单位和其他生产经营者应当落实环境安全主体责任，定期排查环境安全隐患，开展环境风险评估和环境应急演练，健全风险防控措施。当出现可能导致突发环境事件的情况时，应当立即报告当地生态环境部门。</w:t>
                  </w:r>
                </w:p>
              </w:tc>
              <w:tc>
                <w:tcPr>
                  <w:tcW w:w="1066" w:type="pct"/>
                  <w:tcBorders>
                    <w:tl2br w:val="nil"/>
                    <w:tr2bl w:val="nil"/>
                  </w:tcBorders>
                  <w:shd w:val="clear" w:color="auto" w:fill="auto"/>
                  <w:vAlign w:val="center"/>
                </w:tcPr>
                <w:p w14:paraId="6BC8B72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sz w:val="21"/>
                      <w:szCs w:val="21"/>
                      <w:lang w:val="en-US"/>
                    </w:rPr>
                  </w:pPr>
                  <w:r>
                    <w:rPr>
                      <w:rFonts w:hint="eastAsia" w:ascii="Times New Roman" w:hAnsi="Times New Roman" w:eastAsia="宋体" w:cs="宋体"/>
                      <w:kern w:val="2"/>
                      <w:sz w:val="21"/>
                      <w:szCs w:val="21"/>
                      <w:lang w:val="en-US" w:eastAsia="zh-CN" w:bidi="ar"/>
                    </w:rPr>
                    <w:t>企业落实环境安全主体责任，定期排查环境安全隐患，开展环境风险评估和环境应急演练，健全风险防控措施。</w:t>
                  </w:r>
                </w:p>
              </w:tc>
              <w:tc>
                <w:tcPr>
                  <w:tcW w:w="432" w:type="pct"/>
                  <w:tcBorders>
                    <w:tl2br w:val="nil"/>
                    <w:tr2bl w:val="nil"/>
                  </w:tcBorders>
                  <w:shd w:val="clear" w:color="auto" w:fill="auto"/>
                  <w:vAlign w:val="center"/>
                </w:tcPr>
                <w:p w14:paraId="4060F30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sz w:val="21"/>
                      <w:szCs w:val="21"/>
                      <w:lang w:val="en-US"/>
                    </w:rPr>
                  </w:pPr>
                  <w:r>
                    <w:rPr>
                      <w:rFonts w:hint="eastAsia" w:ascii="Times New Roman" w:hAnsi="Times New Roman" w:eastAsia="宋体" w:cs="宋体"/>
                      <w:kern w:val="2"/>
                      <w:sz w:val="21"/>
                      <w:szCs w:val="21"/>
                      <w:lang w:val="en-US" w:eastAsia="zh-CN" w:bidi="ar"/>
                    </w:rPr>
                    <w:t>符合</w:t>
                  </w:r>
                </w:p>
              </w:tc>
            </w:tr>
            <w:tr w14:paraId="2DA9906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79" w:type="pct"/>
                  <w:vMerge w:val="restart"/>
                  <w:tcBorders>
                    <w:tl2br w:val="nil"/>
                    <w:tr2bl w:val="nil"/>
                  </w:tcBorders>
                  <w:shd w:val="clear" w:color="auto" w:fill="auto"/>
                  <w:vAlign w:val="center"/>
                </w:tcPr>
                <w:p w14:paraId="1D1F505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sz w:val="21"/>
                      <w:szCs w:val="21"/>
                      <w:lang w:val="en-US"/>
                    </w:rPr>
                  </w:pPr>
                  <w:r>
                    <w:rPr>
                      <w:rFonts w:hint="eastAsia" w:ascii="Times New Roman" w:hAnsi="Times New Roman" w:eastAsia="宋体" w:cs="宋体"/>
                      <w:kern w:val="2"/>
                      <w:sz w:val="21"/>
                      <w:szCs w:val="21"/>
                      <w:lang w:val="en-US" w:eastAsia="zh-CN" w:bidi="ar"/>
                    </w:rPr>
                    <w:t>资源</w:t>
                  </w:r>
                  <w:r>
                    <w:rPr>
                      <w:rFonts w:hint="eastAsia" w:cs="宋体"/>
                      <w:kern w:val="2"/>
                      <w:sz w:val="21"/>
                      <w:szCs w:val="21"/>
                      <w:lang w:val="en-US" w:eastAsia="zh-CN" w:bidi="ar"/>
                    </w:rPr>
                    <w:t>开发</w:t>
                  </w:r>
                  <w:r>
                    <w:rPr>
                      <w:rFonts w:hint="eastAsia" w:ascii="Times New Roman" w:hAnsi="Times New Roman" w:eastAsia="宋体" w:cs="宋体"/>
                      <w:kern w:val="2"/>
                      <w:sz w:val="21"/>
                      <w:szCs w:val="21"/>
                      <w:lang w:val="en-US" w:eastAsia="zh-CN" w:bidi="ar"/>
                    </w:rPr>
                    <w:t>效率</w:t>
                  </w:r>
                  <w:r>
                    <w:rPr>
                      <w:rFonts w:hint="eastAsia" w:cs="宋体"/>
                      <w:kern w:val="2"/>
                      <w:sz w:val="21"/>
                      <w:szCs w:val="21"/>
                      <w:lang w:val="en-US" w:eastAsia="zh-CN" w:bidi="ar"/>
                    </w:rPr>
                    <w:t>要求</w:t>
                  </w:r>
                </w:p>
              </w:tc>
              <w:tc>
                <w:tcPr>
                  <w:tcW w:w="279" w:type="pct"/>
                  <w:tcBorders>
                    <w:tl2br w:val="nil"/>
                    <w:tr2bl w:val="nil"/>
                  </w:tcBorders>
                  <w:shd w:val="clear" w:color="auto" w:fill="auto"/>
                  <w:vAlign w:val="center"/>
                </w:tcPr>
                <w:p w14:paraId="59C19276">
                  <w:pPr>
                    <w:pStyle w:val="86"/>
                    <w:keepNext w:val="0"/>
                    <w:keepLines w:val="0"/>
                    <w:pageBreakBefore w:val="0"/>
                    <w:widowControl/>
                    <w:kinsoku/>
                    <w:wordWrap/>
                    <w:overflowPunct/>
                    <w:topLinePunct w:val="0"/>
                    <w:autoSpaceDE/>
                    <w:autoSpaceDN/>
                    <w:bidi w:val="0"/>
                    <w:adjustRightInd w:val="0"/>
                    <w:snapToGrid w:val="0"/>
                    <w:spacing w:line="360" w:lineRule="exact"/>
                    <w:ind w:left="0" w:firstLine="0" w:firstLineChars="0"/>
                    <w:jc w:val="center"/>
                    <w:rPr>
                      <w:sz w:val="21"/>
                      <w:szCs w:val="21"/>
                      <w:lang w:val="en-US"/>
                    </w:rPr>
                  </w:pPr>
                  <w:r>
                    <w:rPr>
                      <w:sz w:val="21"/>
                      <w:szCs w:val="21"/>
                      <w:lang w:val="en-US"/>
                    </w:rPr>
                    <w:t>1</w:t>
                  </w:r>
                </w:p>
              </w:tc>
              <w:tc>
                <w:tcPr>
                  <w:tcW w:w="2942" w:type="pct"/>
                  <w:tcBorders>
                    <w:tl2br w:val="nil"/>
                    <w:tr2bl w:val="nil"/>
                  </w:tcBorders>
                  <w:shd w:val="clear" w:color="auto" w:fill="auto"/>
                  <w:vAlign w:val="center"/>
                </w:tcPr>
                <w:p w14:paraId="7AF446C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both"/>
                    <w:rPr>
                      <w:rFonts w:hint="default"/>
                      <w:bCs/>
                      <w:sz w:val="21"/>
                      <w:szCs w:val="21"/>
                      <w:lang w:val="en-US"/>
                    </w:rPr>
                  </w:pPr>
                  <w:r>
                    <w:rPr>
                      <w:rFonts w:hint="eastAsia" w:ascii="Times New Roman" w:hAnsi="Times New Roman" w:eastAsia="宋体" w:cs="宋体"/>
                      <w:kern w:val="2"/>
                      <w:sz w:val="21"/>
                      <w:szCs w:val="21"/>
                      <w:lang w:val="en-US" w:eastAsia="zh-CN" w:bidi="ar"/>
                    </w:rPr>
                    <w:t>十四五期间，全市年用水总量控制完成国家、省、市下达目标要求。火电、钢铁、造纸、化工、食品、发酵等高耗水行业、推进企业串联用水、分质用水、一水多用和梯级循环利用，提升工业污水资源化利用效率。</w:t>
                  </w:r>
                </w:p>
              </w:tc>
              <w:tc>
                <w:tcPr>
                  <w:tcW w:w="1066" w:type="pct"/>
                  <w:tcBorders>
                    <w:tl2br w:val="nil"/>
                    <w:tr2bl w:val="nil"/>
                  </w:tcBorders>
                  <w:shd w:val="clear" w:color="auto" w:fill="auto"/>
                  <w:vAlign w:val="center"/>
                </w:tcPr>
                <w:p w14:paraId="1036F6B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b/>
                      <w:bCs w:val="0"/>
                      <w:sz w:val="21"/>
                      <w:szCs w:val="21"/>
                      <w:lang w:val="en-US"/>
                    </w:rPr>
                  </w:pPr>
                  <w:r>
                    <w:rPr>
                      <w:rFonts w:hint="eastAsia" w:ascii="Times New Roman" w:hAnsi="Times New Roman" w:eastAsia="宋体" w:cs="宋体"/>
                      <w:kern w:val="2"/>
                      <w:sz w:val="21"/>
                      <w:szCs w:val="21"/>
                      <w:lang w:val="en-US" w:eastAsia="zh-CN" w:bidi="ar"/>
                    </w:rPr>
                    <w:t>不涉及</w:t>
                  </w:r>
                  <w:r>
                    <w:rPr>
                      <w:rFonts w:hint="eastAsia" w:cs="宋体"/>
                      <w:kern w:val="2"/>
                      <w:sz w:val="21"/>
                      <w:szCs w:val="21"/>
                      <w:lang w:val="en-US" w:eastAsia="zh-CN" w:bidi="ar"/>
                    </w:rPr>
                    <w:t>。</w:t>
                  </w:r>
                </w:p>
              </w:tc>
              <w:tc>
                <w:tcPr>
                  <w:tcW w:w="432" w:type="pct"/>
                  <w:tcBorders>
                    <w:tl2br w:val="nil"/>
                    <w:tr2bl w:val="nil"/>
                  </w:tcBorders>
                  <w:shd w:val="clear" w:color="auto" w:fill="auto"/>
                  <w:vAlign w:val="center"/>
                </w:tcPr>
                <w:p w14:paraId="1ED014C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eastAsia" w:eastAsia="宋体"/>
                      <w:b/>
                      <w:bCs w:val="0"/>
                      <w:sz w:val="21"/>
                      <w:szCs w:val="21"/>
                      <w:lang w:val="en-US" w:eastAsia="zh-CN"/>
                    </w:rPr>
                  </w:pPr>
                  <w:r>
                    <w:rPr>
                      <w:rFonts w:hint="eastAsia"/>
                      <w:b/>
                      <w:bCs w:val="0"/>
                      <w:sz w:val="21"/>
                      <w:szCs w:val="21"/>
                      <w:lang w:val="en-US" w:eastAsia="zh-CN"/>
                    </w:rPr>
                    <w:t>/</w:t>
                  </w:r>
                </w:p>
              </w:tc>
            </w:tr>
            <w:tr w14:paraId="4F8948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79" w:type="pct"/>
                  <w:vMerge w:val="continue"/>
                  <w:tcBorders>
                    <w:tl2br w:val="nil"/>
                    <w:tr2bl w:val="nil"/>
                  </w:tcBorders>
                  <w:shd w:val="clear" w:color="auto" w:fill="auto"/>
                  <w:vAlign w:val="center"/>
                </w:tcPr>
                <w:p w14:paraId="51C0ACD8">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exact"/>
                    <w:ind w:left="0" w:right="0"/>
                    <w:rPr>
                      <w:rFonts w:hint="default" w:ascii="Times New Roman" w:hAnsi="Times New Roman" w:eastAsia="Times New Roman" w:cs="Times New Roman"/>
                      <w:sz w:val="21"/>
                      <w:szCs w:val="21"/>
                    </w:rPr>
                  </w:pPr>
                </w:p>
              </w:tc>
              <w:tc>
                <w:tcPr>
                  <w:tcW w:w="279" w:type="pct"/>
                  <w:tcBorders>
                    <w:tl2br w:val="nil"/>
                    <w:tr2bl w:val="nil"/>
                  </w:tcBorders>
                  <w:shd w:val="clear" w:color="auto" w:fill="auto"/>
                  <w:vAlign w:val="center"/>
                </w:tcPr>
                <w:p w14:paraId="6B693F91">
                  <w:pPr>
                    <w:pStyle w:val="86"/>
                    <w:keepNext w:val="0"/>
                    <w:keepLines w:val="0"/>
                    <w:pageBreakBefore w:val="0"/>
                    <w:widowControl/>
                    <w:kinsoku/>
                    <w:wordWrap/>
                    <w:overflowPunct/>
                    <w:topLinePunct w:val="0"/>
                    <w:autoSpaceDE/>
                    <w:autoSpaceDN/>
                    <w:bidi w:val="0"/>
                    <w:adjustRightInd w:val="0"/>
                    <w:snapToGrid w:val="0"/>
                    <w:spacing w:line="360" w:lineRule="exact"/>
                    <w:ind w:left="0" w:firstLine="0" w:firstLineChars="0"/>
                    <w:jc w:val="center"/>
                    <w:rPr>
                      <w:sz w:val="21"/>
                      <w:szCs w:val="21"/>
                      <w:lang w:val="en-US"/>
                    </w:rPr>
                  </w:pPr>
                  <w:r>
                    <w:rPr>
                      <w:sz w:val="21"/>
                      <w:szCs w:val="21"/>
                      <w:lang w:val="en-US"/>
                    </w:rPr>
                    <w:t>2</w:t>
                  </w:r>
                </w:p>
              </w:tc>
              <w:tc>
                <w:tcPr>
                  <w:tcW w:w="2942" w:type="pct"/>
                  <w:tcBorders>
                    <w:tl2br w:val="nil"/>
                    <w:tr2bl w:val="nil"/>
                  </w:tcBorders>
                  <w:shd w:val="clear" w:color="auto" w:fill="auto"/>
                  <w:vAlign w:val="center"/>
                </w:tcPr>
                <w:p w14:paraId="38354BE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both"/>
                    <w:rPr>
                      <w:rFonts w:hint="default"/>
                      <w:bCs/>
                      <w:sz w:val="21"/>
                      <w:szCs w:val="21"/>
                      <w:lang w:val="en-US"/>
                    </w:rPr>
                  </w:pPr>
                  <w:r>
                    <w:rPr>
                      <w:rFonts w:hint="eastAsia" w:ascii="Times New Roman" w:hAnsi="Times New Roman" w:eastAsia="宋体" w:cs="宋体"/>
                      <w:kern w:val="2"/>
                      <w:sz w:val="21"/>
                      <w:szCs w:val="21"/>
                      <w:lang w:val="en-US" w:eastAsia="zh-CN" w:bidi="ar"/>
                    </w:rPr>
                    <w:t>实行严格的耕地保护制度和节约用地制度，提高土地资源利用效率，实现从扩张型发展向内涵式发展的转变。</w:t>
                  </w:r>
                </w:p>
              </w:tc>
              <w:tc>
                <w:tcPr>
                  <w:tcW w:w="1066" w:type="pct"/>
                  <w:tcBorders>
                    <w:tl2br w:val="nil"/>
                    <w:tr2bl w:val="nil"/>
                  </w:tcBorders>
                  <w:shd w:val="clear" w:color="auto" w:fill="auto"/>
                  <w:vAlign w:val="center"/>
                </w:tcPr>
                <w:p w14:paraId="57C52B5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b/>
                      <w:bCs w:val="0"/>
                      <w:sz w:val="21"/>
                      <w:szCs w:val="21"/>
                      <w:lang w:val="en-US"/>
                    </w:rPr>
                  </w:pPr>
                  <w:r>
                    <w:rPr>
                      <w:rFonts w:hint="eastAsia" w:ascii="Times New Roman" w:hAnsi="Times New Roman" w:eastAsia="宋体" w:cs="宋体"/>
                      <w:kern w:val="2"/>
                      <w:sz w:val="21"/>
                      <w:szCs w:val="21"/>
                      <w:lang w:val="en-US" w:eastAsia="zh-CN" w:bidi="ar"/>
                    </w:rPr>
                    <w:t>不涉及</w:t>
                  </w:r>
                  <w:r>
                    <w:rPr>
                      <w:rFonts w:hint="eastAsia" w:cs="宋体"/>
                      <w:kern w:val="2"/>
                      <w:sz w:val="21"/>
                      <w:szCs w:val="21"/>
                      <w:lang w:val="en-US" w:eastAsia="zh-CN" w:bidi="ar"/>
                    </w:rPr>
                    <w:t>。</w:t>
                  </w:r>
                </w:p>
              </w:tc>
              <w:tc>
                <w:tcPr>
                  <w:tcW w:w="432" w:type="pct"/>
                  <w:tcBorders>
                    <w:tl2br w:val="nil"/>
                    <w:tr2bl w:val="nil"/>
                  </w:tcBorders>
                  <w:shd w:val="clear" w:color="auto" w:fill="auto"/>
                  <w:vAlign w:val="center"/>
                </w:tcPr>
                <w:p w14:paraId="5DBBEBC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eastAsia" w:eastAsia="宋体"/>
                      <w:b/>
                      <w:bCs w:val="0"/>
                      <w:sz w:val="21"/>
                      <w:szCs w:val="21"/>
                      <w:lang w:val="en-US" w:eastAsia="zh-CN"/>
                    </w:rPr>
                  </w:pPr>
                  <w:r>
                    <w:rPr>
                      <w:rFonts w:hint="eastAsia"/>
                      <w:b/>
                      <w:bCs w:val="0"/>
                      <w:sz w:val="21"/>
                      <w:szCs w:val="21"/>
                      <w:lang w:val="en-US" w:eastAsia="zh-CN"/>
                    </w:rPr>
                    <w:t>/</w:t>
                  </w:r>
                </w:p>
              </w:tc>
            </w:tr>
            <w:tr w14:paraId="7A00AE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79" w:type="pct"/>
                  <w:vMerge w:val="continue"/>
                  <w:tcBorders>
                    <w:tl2br w:val="nil"/>
                    <w:tr2bl w:val="nil"/>
                  </w:tcBorders>
                  <w:shd w:val="clear" w:color="auto" w:fill="auto"/>
                  <w:vAlign w:val="center"/>
                </w:tcPr>
                <w:p w14:paraId="1151118D">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exact"/>
                    <w:ind w:left="0" w:right="0"/>
                    <w:rPr>
                      <w:rFonts w:hint="default" w:ascii="Times New Roman" w:hAnsi="Times New Roman" w:eastAsia="Times New Roman" w:cs="Times New Roman"/>
                      <w:sz w:val="21"/>
                      <w:szCs w:val="21"/>
                    </w:rPr>
                  </w:pPr>
                </w:p>
              </w:tc>
              <w:tc>
                <w:tcPr>
                  <w:tcW w:w="279" w:type="pct"/>
                  <w:tcBorders>
                    <w:tl2br w:val="nil"/>
                    <w:tr2bl w:val="nil"/>
                  </w:tcBorders>
                  <w:shd w:val="clear" w:color="auto" w:fill="auto"/>
                  <w:vAlign w:val="center"/>
                </w:tcPr>
                <w:p w14:paraId="15B49BAA">
                  <w:pPr>
                    <w:pStyle w:val="86"/>
                    <w:keepNext w:val="0"/>
                    <w:keepLines w:val="0"/>
                    <w:pageBreakBefore w:val="0"/>
                    <w:widowControl/>
                    <w:kinsoku/>
                    <w:wordWrap/>
                    <w:overflowPunct/>
                    <w:topLinePunct w:val="0"/>
                    <w:autoSpaceDE/>
                    <w:autoSpaceDN/>
                    <w:bidi w:val="0"/>
                    <w:adjustRightInd w:val="0"/>
                    <w:snapToGrid w:val="0"/>
                    <w:spacing w:line="360" w:lineRule="exact"/>
                    <w:ind w:left="0" w:firstLine="0" w:firstLineChars="0"/>
                    <w:jc w:val="center"/>
                    <w:rPr>
                      <w:rFonts w:hint="eastAsia" w:eastAsia="仿宋"/>
                      <w:sz w:val="21"/>
                      <w:szCs w:val="21"/>
                      <w:lang w:val="en-US" w:eastAsia="zh-CN"/>
                    </w:rPr>
                  </w:pPr>
                  <w:r>
                    <w:rPr>
                      <w:rFonts w:hint="eastAsia"/>
                      <w:sz w:val="21"/>
                      <w:szCs w:val="21"/>
                      <w:lang w:val="en-US" w:eastAsia="zh-CN"/>
                    </w:rPr>
                    <w:t>3</w:t>
                  </w:r>
                </w:p>
              </w:tc>
              <w:tc>
                <w:tcPr>
                  <w:tcW w:w="2942" w:type="pct"/>
                  <w:tcBorders>
                    <w:tl2br w:val="nil"/>
                    <w:tr2bl w:val="nil"/>
                  </w:tcBorders>
                  <w:shd w:val="clear" w:color="auto" w:fill="auto"/>
                  <w:vAlign w:val="center"/>
                </w:tcPr>
                <w:p w14:paraId="256711B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both"/>
                    <w:rPr>
                      <w:rFonts w:hint="eastAsia" w:ascii="Times New Roman" w:hAnsi="Times New Roman" w:eastAsia="宋体" w:cs="宋体"/>
                      <w:kern w:val="2"/>
                      <w:sz w:val="21"/>
                      <w:szCs w:val="21"/>
                      <w:lang w:val="en-US" w:eastAsia="zh-CN" w:bidi="ar"/>
                    </w:rPr>
                  </w:pPr>
                  <w:r>
                    <w:rPr>
                      <w:rFonts w:hint="eastAsia" w:ascii="Times New Roman" w:hAnsi="Times New Roman" w:eastAsia="宋体" w:cs="宋体"/>
                      <w:kern w:val="2"/>
                      <w:sz w:val="21"/>
                      <w:szCs w:val="21"/>
                      <w:lang w:val="en-US" w:eastAsia="zh-CN" w:bidi="ar"/>
                    </w:rPr>
                    <w:t>积极推进“可再生能源+储能”示范项目建设；立足安阳产业基础优势，加快培育人工智能产业、氢能和储能产业和大数据融合创新产业；鼓励生物秸杆资源发电、风力发电、地热能开发用等项目建设，合理开发风能、地热能、煤层气等资源。</w:t>
                  </w:r>
                </w:p>
              </w:tc>
              <w:tc>
                <w:tcPr>
                  <w:tcW w:w="1066" w:type="pct"/>
                  <w:tcBorders>
                    <w:tl2br w:val="nil"/>
                    <w:tr2bl w:val="nil"/>
                  </w:tcBorders>
                  <w:shd w:val="clear" w:color="auto" w:fill="auto"/>
                  <w:vAlign w:val="center"/>
                </w:tcPr>
                <w:p w14:paraId="030FAEA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ascii="Times New Roman" w:hAnsi="Times New Roman" w:eastAsia="宋体" w:cs="宋体"/>
                      <w:kern w:val="2"/>
                      <w:sz w:val="21"/>
                      <w:szCs w:val="21"/>
                      <w:lang w:val="en-US" w:eastAsia="zh-CN" w:bidi="ar"/>
                    </w:rPr>
                  </w:pPr>
                  <w:r>
                    <w:rPr>
                      <w:rFonts w:hint="eastAsia" w:cs="宋体"/>
                      <w:kern w:val="2"/>
                      <w:sz w:val="21"/>
                      <w:szCs w:val="21"/>
                      <w:lang w:val="en-US" w:eastAsia="zh-CN" w:bidi="ar"/>
                    </w:rPr>
                    <w:t>不涉及。</w:t>
                  </w:r>
                </w:p>
              </w:tc>
              <w:tc>
                <w:tcPr>
                  <w:tcW w:w="432" w:type="pct"/>
                  <w:tcBorders>
                    <w:tl2br w:val="nil"/>
                    <w:tr2bl w:val="nil"/>
                  </w:tcBorders>
                  <w:shd w:val="clear" w:color="auto" w:fill="auto"/>
                  <w:vAlign w:val="center"/>
                </w:tcPr>
                <w:p w14:paraId="1682D32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b/>
                      <w:bCs w:val="0"/>
                      <w:sz w:val="21"/>
                      <w:szCs w:val="21"/>
                      <w:lang w:val="en-US" w:eastAsia="zh-CN"/>
                    </w:rPr>
                  </w:pPr>
                  <w:r>
                    <w:rPr>
                      <w:rFonts w:hint="eastAsia"/>
                      <w:b/>
                      <w:bCs w:val="0"/>
                      <w:sz w:val="21"/>
                      <w:szCs w:val="21"/>
                      <w:lang w:val="en-US" w:eastAsia="zh-CN"/>
                    </w:rPr>
                    <w:t>/</w:t>
                  </w:r>
                </w:p>
              </w:tc>
            </w:tr>
            <w:tr w14:paraId="6F53F4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0" w:hRule="atLeast"/>
                <w:jc w:val="center"/>
              </w:trPr>
              <w:tc>
                <w:tcPr>
                  <w:tcW w:w="279" w:type="pct"/>
                  <w:vMerge w:val="continue"/>
                  <w:tcBorders>
                    <w:tl2br w:val="nil"/>
                    <w:tr2bl w:val="nil"/>
                  </w:tcBorders>
                  <w:shd w:val="clear" w:color="auto" w:fill="auto"/>
                  <w:vAlign w:val="center"/>
                </w:tcPr>
                <w:p w14:paraId="1003989E">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exact"/>
                    <w:ind w:left="0" w:right="0"/>
                    <w:rPr>
                      <w:rFonts w:hint="default" w:ascii="Times New Roman" w:hAnsi="Times New Roman" w:eastAsia="Times New Roman" w:cs="Times New Roman"/>
                      <w:sz w:val="21"/>
                      <w:szCs w:val="21"/>
                    </w:rPr>
                  </w:pPr>
                </w:p>
              </w:tc>
              <w:tc>
                <w:tcPr>
                  <w:tcW w:w="279" w:type="pct"/>
                  <w:tcBorders>
                    <w:tl2br w:val="nil"/>
                    <w:tr2bl w:val="nil"/>
                  </w:tcBorders>
                  <w:shd w:val="clear" w:color="auto" w:fill="auto"/>
                  <w:vAlign w:val="center"/>
                </w:tcPr>
                <w:p w14:paraId="0079C69C">
                  <w:pPr>
                    <w:pStyle w:val="86"/>
                    <w:keepNext w:val="0"/>
                    <w:keepLines w:val="0"/>
                    <w:pageBreakBefore w:val="0"/>
                    <w:widowControl/>
                    <w:kinsoku/>
                    <w:wordWrap/>
                    <w:overflowPunct/>
                    <w:topLinePunct w:val="0"/>
                    <w:autoSpaceDE/>
                    <w:autoSpaceDN/>
                    <w:bidi w:val="0"/>
                    <w:adjustRightInd w:val="0"/>
                    <w:snapToGrid w:val="0"/>
                    <w:spacing w:line="360" w:lineRule="exact"/>
                    <w:ind w:left="0" w:firstLine="0" w:firstLineChars="0"/>
                    <w:jc w:val="center"/>
                    <w:rPr>
                      <w:rFonts w:hint="eastAsia" w:eastAsia="仿宋"/>
                      <w:sz w:val="21"/>
                      <w:szCs w:val="21"/>
                      <w:lang w:val="en-US" w:eastAsia="zh-CN"/>
                    </w:rPr>
                  </w:pPr>
                  <w:r>
                    <w:rPr>
                      <w:rFonts w:hint="eastAsia"/>
                      <w:sz w:val="21"/>
                      <w:szCs w:val="21"/>
                      <w:lang w:val="en-US" w:eastAsia="zh-CN"/>
                    </w:rPr>
                    <w:t>4</w:t>
                  </w:r>
                </w:p>
              </w:tc>
              <w:tc>
                <w:tcPr>
                  <w:tcW w:w="2942" w:type="pct"/>
                  <w:tcBorders>
                    <w:tl2br w:val="nil"/>
                    <w:tr2bl w:val="nil"/>
                  </w:tcBorders>
                  <w:shd w:val="clear" w:color="auto" w:fill="auto"/>
                  <w:vAlign w:val="center"/>
                </w:tcPr>
                <w:p w14:paraId="3BC2B49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both"/>
                    <w:rPr>
                      <w:rFonts w:hint="default"/>
                      <w:bCs/>
                      <w:sz w:val="21"/>
                      <w:szCs w:val="21"/>
                      <w:lang w:val="en-US"/>
                    </w:rPr>
                  </w:pPr>
                  <w:r>
                    <w:rPr>
                      <w:rFonts w:hint="eastAsia" w:ascii="Times New Roman" w:hAnsi="Times New Roman" w:eastAsia="宋体" w:cs="宋体"/>
                      <w:kern w:val="2"/>
                      <w:sz w:val="21"/>
                      <w:szCs w:val="21"/>
                      <w:lang w:val="en-US" w:eastAsia="zh-CN" w:bidi="ar"/>
                    </w:rPr>
                    <w:t>持续实施新建（含改扩建）项目煤炭消费等量或减量替代。</w:t>
                  </w:r>
                </w:p>
              </w:tc>
              <w:tc>
                <w:tcPr>
                  <w:tcW w:w="1066" w:type="pct"/>
                  <w:tcBorders>
                    <w:tl2br w:val="nil"/>
                    <w:tr2bl w:val="nil"/>
                  </w:tcBorders>
                  <w:shd w:val="clear" w:color="auto" w:fill="auto"/>
                  <w:vAlign w:val="center"/>
                </w:tcPr>
                <w:p w14:paraId="490CF88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sz w:val="21"/>
                      <w:szCs w:val="21"/>
                      <w:lang w:val="en-US"/>
                    </w:rPr>
                  </w:pPr>
                  <w:r>
                    <w:rPr>
                      <w:rFonts w:hint="eastAsia" w:ascii="Times New Roman" w:hAnsi="Times New Roman" w:eastAsia="宋体" w:cs="宋体"/>
                      <w:kern w:val="2"/>
                      <w:sz w:val="21"/>
                      <w:szCs w:val="21"/>
                      <w:lang w:val="en-US" w:eastAsia="zh-CN" w:bidi="ar"/>
                    </w:rPr>
                    <w:t>不涉及煤炭消费。</w:t>
                  </w:r>
                </w:p>
              </w:tc>
              <w:tc>
                <w:tcPr>
                  <w:tcW w:w="432" w:type="pct"/>
                  <w:tcBorders>
                    <w:tl2br w:val="nil"/>
                    <w:tr2bl w:val="nil"/>
                  </w:tcBorders>
                  <w:shd w:val="clear" w:color="auto" w:fill="auto"/>
                  <w:vAlign w:val="center"/>
                </w:tcPr>
                <w:p w14:paraId="1E07ACD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b/>
                      <w:bCs w:val="0"/>
                      <w:sz w:val="21"/>
                      <w:szCs w:val="21"/>
                      <w:lang w:val="en-US"/>
                    </w:rPr>
                  </w:pPr>
                  <w:r>
                    <w:rPr>
                      <w:rFonts w:hint="eastAsia" w:cs="宋体"/>
                      <w:kern w:val="2"/>
                      <w:sz w:val="21"/>
                      <w:szCs w:val="21"/>
                      <w:lang w:val="en-US" w:eastAsia="zh-CN" w:bidi="ar"/>
                    </w:rPr>
                    <w:t>/</w:t>
                  </w:r>
                </w:p>
              </w:tc>
            </w:tr>
            <w:tr w14:paraId="0A3A6C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79" w:type="pct"/>
                  <w:vMerge w:val="continue"/>
                  <w:tcBorders>
                    <w:tl2br w:val="nil"/>
                    <w:tr2bl w:val="nil"/>
                  </w:tcBorders>
                  <w:shd w:val="clear" w:color="auto" w:fill="auto"/>
                  <w:vAlign w:val="center"/>
                </w:tcPr>
                <w:p w14:paraId="602EFFD8">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exact"/>
                    <w:ind w:left="0" w:right="0"/>
                    <w:rPr>
                      <w:rFonts w:hint="default" w:ascii="Times New Roman" w:hAnsi="Times New Roman" w:eastAsia="Times New Roman" w:cs="Times New Roman"/>
                      <w:sz w:val="21"/>
                      <w:szCs w:val="21"/>
                    </w:rPr>
                  </w:pPr>
                </w:p>
              </w:tc>
              <w:tc>
                <w:tcPr>
                  <w:tcW w:w="279" w:type="pct"/>
                  <w:tcBorders>
                    <w:tl2br w:val="nil"/>
                    <w:tr2bl w:val="nil"/>
                  </w:tcBorders>
                  <w:shd w:val="clear" w:color="auto" w:fill="auto"/>
                  <w:vAlign w:val="center"/>
                </w:tcPr>
                <w:p w14:paraId="3D4E88FD">
                  <w:pPr>
                    <w:pStyle w:val="86"/>
                    <w:keepNext w:val="0"/>
                    <w:keepLines w:val="0"/>
                    <w:pageBreakBefore w:val="0"/>
                    <w:widowControl/>
                    <w:kinsoku/>
                    <w:wordWrap/>
                    <w:overflowPunct/>
                    <w:topLinePunct w:val="0"/>
                    <w:autoSpaceDE/>
                    <w:autoSpaceDN/>
                    <w:bidi w:val="0"/>
                    <w:adjustRightInd w:val="0"/>
                    <w:snapToGrid w:val="0"/>
                    <w:spacing w:line="360" w:lineRule="exact"/>
                    <w:ind w:left="0" w:firstLine="0" w:firstLineChars="0"/>
                    <w:jc w:val="center"/>
                    <w:rPr>
                      <w:rFonts w:hint="eastAsia" w:eastAsia="仿宋"/>
                      <w:sz w:val="21"/>
                      <w:szCs w:val="21"/>
                      <w:lang w:val="en-US" w:eastAsia="zh-CN"/>
                    </w:rPr>
                  </w:pPr>
                  <w:r>
                    <w:rPr>
                      <w:rFonts w:hint="eastAsia"/>
                      <w:sz w:val="21"/>
                      <w:szCs w:val="21"/>
                      <w:lang w:val="en-US" w:eastAsia="zh-CN"/>
                    </w:rPr>
                    <w:t>5</w:t>
                  </w:r>
                </w:p>
              </w:tc>
              <w:tc>
                <w:tcPr>
                  <w:tcW w:w="2942" w:type="pct"/>
                  <w:tcBorders>
                    <w:tl2br w:val="nil"/>
                    <w:tr2bl w:val="nil"/>
                  </w:tcBorders>
                  <w:shd w:val="clear" w:color="auto" w:fill="auto"/>
                  <w:vAlign w:val="center"/>
                </w:tcPr>
                <w:p w14:paraId="2466B29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both"/>
                    <w:rPr>
                      <w:rFonts w:hint="default"/>
                      <w:bCs/>
                      <w:sz w:val="21"/>
                      <w:szCs w:val="21"/>
                      <w:lang w:val="en-US"/>
                    </w:rPr>
                  </w:pPr>
                  <w:r>
                    <w:rPr>
                      <w:rFonts w:hint="eastAsia" w:ascii="Times New Roman" w:hAnsi="Times New Roman" w:eastAsia="宋体" w:cs="宋体"/>
                      <w:kern w:val="2"/>
                      <w:sz w:val="21"/>
                      <w:szCs w:val="21"/>
                      <w:lang w:val="en-US" w:eastAsia="zh-CN" w:bidi="ar"/>
                    </w:rPr>
                    <w:t>“十四五”全市万元地区生产总值能耗强度降低18%。</w:t>
                  </w:r>
                </w:p>
              </w:tc>
              <w:tc>
                <w:tcPr>
                  <w:tcW w:w="1066" w:type="pct"/>
                  <w:tcBorders>
                    <w:tl2br w:val="nil"/>
                    <w:tr2bl w:val="nil"/>
                  </w:tcBorders>
                  <w:shd w:val="clear" w:color="auto" w:fill="auto"/>
                  <w:vAlign w:val="center"/>
                </w:tcPr>
                <w:p w14:paraId="7E7CE89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b/>
                      <w:bCs w:val="0"/>
                      <w:sz w:val="21"/>
                      <w:szCs w:val="21"/>
                      <w:lang w:val="en-US"/>
                    </w:rPr>
                  </w:pPr>
                  <w:r>
                    <w:rPr>
                      <w:rFonts w:hint="eastAsia" w:ascii="Times New Roman" w:hAnsi="Times New Roman" w:eastAsia="宋体" w:cs="宋体"/>
                      <w:kern w:val="2"/>
                      <w:sz w:val="21"/>
                      <w:szCs w:val="21"/>
                      <w:lang w:val="en-US" w:eastAsia="zh-CN" w:bidi="ar"/>
                    </w:rPr>
                    <w:t>不涉及</w:t>
                  </w:r>
                  <w:r>
                    <w:rPr>
                      <w:rFonts w:hint="eastAsia" w:cs="宋体"/>
                      <w:kern w:val="2"/>
                      <w:sz w:val="21"/>
                      <w:szCs w:val="21"/>
                      <w:lang w:val="en-US" w:eastAsia="zh-CN" w:bidi="ar"/>
                    </w:rPr>
                    <w:t>。</w:t>
                  </w:r>
                </w:p>
              </w:tc>
              <w:tc>
                <w:tcPr>
                  <w:tcW w:w="432" w:type="pct"/>
                  <w:tcBorders>
                    <w:tl2br w:val="nil"/>
                    <w:tr2bl w:val="nil"/>
                  </w:tcBorders>
                  <w:shd w:val="clear" w:color="auto" w:fill="auto"/>
                  <w:vAlign w:val="center"/>
                </w:tcPr>
                <w:p w14:paraId="212A757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eastAsia" w:eastAsia="宋体"/>
                      <w:b/>
                      <w:bCs w:val="0"/>
                      <w:sz w:val="21"/>
                      <w:szCs w:val="21"/>
                      <w:lang w:val="en-US" w:eastAsia="zh-CN"/>
                    </w:rPr>
                  </w:pPr>
                  <w:r>
                    <w:rPr>
                      <w:rFonts w:hint="eastAsia"/>
                      <w:b/>
                      <w:bCs w:val="0"/>
                      <w:sz w:val="21"/>
                      <w:szCs w:val="21"/>
                      <w:lang w:val="en-US" w:eastAsia="zh-CN"/>
                    </w:rPr>
                    <w:t>/</w:t>
                  </w:r>
                </w:p>
              </w:tc>
            </w:tr>
          </w:tbl>
          <w:p w14:paraId="0B17004A">
            <w:pPr>
              <w:pStyle w:val="66"/>
              <w:keepNext w:val="0"/>
              <w:keepLines w:val="0"/>
              <w:pageBreakBefore w:val="0"/>
              <w:widowControl w:val="0"/>
              <w:suppressLineNumbers w:val="0"/>
              <w:kinsoku/>
              <w:wordWrap/>
              <w:overflowPunct/>
              <w:topLinePunct w:val="0"/>
              <w:autoSpaceDE/>
              <w:autoSpaceDN/>
              <w:bidi w:val="0"/>
              <w:adjustRightInd w:val="0"/>
              <w:snapToGrid/>
              <w:spacing w:before="0" w:beforeLines="0" w:beforeAutospacing="0" w:after="0" w:afterAutospacing="0" w:line="520" w:lineRule="exact"/>
              <w:ind w:left="0" w:leftChars="0" w:right="0" w:firstLine="480" w:firstLineChars="200"/>
              <w:textAlignment w:val="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bCs/>
                <w:kern w:val="2"/>
                <w:sz w:val="24"/>
                <w:szCs w:val="24"/>
                <w:lang w:val="en-US" w:eastAsia="zh-CN" w:bidi="ar"/>
              </w:rPr>
              <w:t>本项目位于安阳市汤阴县韩庄</w:t>
            </w:r>
            <w:r>
              <w:rPr>
                <w:rFonts w:hint="eastAsia" w:ascii="Times New Roman" w:eastAsia="宋体" w:cs="Times New Roman"/>
                <w:bCs/>
                <w:kern w:val="2"/>
                <w:sz w:val="24"/>
                <w:szCs w:val="24"/>
                <w:lang w:val="en-US" w:eastAsia="zh-CN" w:bidi="ar"/>
              </w:rPr>
              <w:t>镇</w:t>
            </w:r>
            <w:r>
              <w:rPr>
                <w:rFonts w:hint="eastAsia" w:ascii="Times New Roman" w:hAnsi="Times New Roman" w:eastAsia="宋体" w:cs="Times New Roman"/>
                <w:bCs/>
                <w:kern w:val="2"/>
                <w:sz w:val="24"/>
                <w:szCs w:val="24"/>
                <w:lang w:val="en-US" w:eastAsia="zh-CN" w:bidi="ar"/>
              </w:rPr>
              <w:t>工兴大道与岳庙街交叉口东南角，</w:t>
            </w:r>
            <w:r>
              <w:rPr>
                <w:rFonts w:hint="eastAsia" w:ascii="Times New Roman" w:eastAsia="宋体" w:cs="Times New Roman"/>
                <w:bCs/>
                <w:kern w:val="2"/>
                <w:sz w:val="24"/>
                <w:szCs w:val="24"/>
                <w:lang w:val="en-US" w:eastAsia="zh-CN" w:bidi="ar"/>
              </w:rPr>
              <w:t>查询河南省三线一单综合信息应用平台，</w:t>
            </w:r>
            <w:r>
              <w:rPr>
                <w:rFonts w:hint="eastAsia" w:ascii="Times New Roman" w:hAnsi="Times New Roman" w:eastAsia="宋体" w:cs="Times New Roman"/>
                <w:bCs/>
                <w:kern w:val="2"/>
                <w:sz w:val="24"/>
                <w:szCs w:val="24"/>
                <w:lang w:val="en-US" w:eastAsia="zh-CN" w:bidi="ar"/>
              </w:rPr>
              <w:t>属于</w:t>
            </w:r>
            <w:r>
              <w:rPr>
                <w:rFonts w:hint="eastAsia" w:ascii="Times New Roman" w:eastAsia="宋体" w:cs="Times New Roman"/>
                <w:bCs/>
                <w:kern w:val="2"/>
                <w:sz w:val="24"/>
                <w:szCs w:val="24"/>
                <w:lang w:val="en-US" w:eastAsia="zh-CN" w:bidi="ar"/>
              </w:rPr>
              <w:t>汤阴县高新技术产业开发区</w:t>
            </w:r>
            <w:r>
              <w:rPr>
                <w:rFonts w:hint="eastAsia" w:ascii="Times New Roman" w:hAnsi="Times New Roman" w:eastAsia="宋体" w:cs="Times New Roman"/>
                <w:bCs/>
                <w:color w:val="000000"/>
                <w:kern w:val="2"/>
                <w:sz w:val="24"/>
                <w:szCs w:val="24"/>
                <w:highlight w:val="none"/>
                <w:lang w:val="en-US" w:eastAsia="zh-CN" w:bidi="ar"/>
              </w:rPr>
              <w:t>（环境管控单元编码：</w:t>
            </w:r>
            <w:r>
              <w:rPr>
                <w:rFonts w:hint="default" w:ascii="Times New Roman" w:hAnsi="Times New Roman" w:eastAsia="宋体" w:cs="Times New Roman"/>
                <w:bCs/>
                <w:color w:val="000000"/>
                <w:kern w:val="2"/>
                <w:sz w:val="24"/>
                <w:szCs w:val="24"/>
                <w:highlight w:val="none"/>
                <w:lang w:val="en-US" w:eastAsia="zh-CN" w:bidi="ar"/>
              </w:rPr>
              <w:t>ZH4105</w:t>
            </w:r>
            <w:r>
              <w:rPr>
                <w:rFonts w:hint="eastAsia" w:ascii="Times New Roman" w:eastAsia="宋体" w:cs="Times New Roman"/>
                <w:bCs/>
                <w:color w:val="000000"/>
                <w:kern w:val="2"/>
                <w:sz w:val="24"/>
                <w:szCs w:val="24"/>
                <w:highlight w:val="none"/>
                <w:lang w:val="en-US" w:eastAsia="zh-CN" w:bidi="ar"/>
              </w:rPr>
              <w:t>2320001</w:t>
            </w:r>
            <w:r>
              <w:rPr>
                <w:rFonts w:hint="eastAsia" w:ascii="Times New Roman" w:hAnsi="Times New Roman" w:eastAsia="宋体" w:cs="Times New Roman"/>
                <w:bCs/>
                <w:kern w:val="2"/>
                <w:sz w:val="24"/>
                <w:szCs w:val="24"/>
                <w:highlight w:val="none"/>
                <w:lang w:val="en-US" w:eastAsia="zh-CN" w:bidi="ar"/>
              </w:rPr>
              <w:t>）</w:t>
            </w:r>
            <w:r>
              <w:rPr>
                <w:rFonts w:hint="eastAsia" w:ascii="Times New Roman" w:eastAsia="宋体" w:cs="Times New Roman"/>
                <w:bCs/>
                <w:kern w:val="2"/>
                <w:sz w:val="24"/>
                <w:szCs w:val="24"/>
                <w:highlight w:val="none"/>
                <w:lang w:val="en-US" w:eastAsia="zh-CN" w:bidi="ar"/>
              </w:rPr>
              <w:t>，属于重点管控单元，下载河南省“三线一单”建设项目准入研判分析报告，</w:t>
            </w:r>
            <w:r>
              <w:rPr>
                <w:rFonts w:hint="eastAsia" w:ascii="Times New Roman" w:eastAsia="宋体" w:cs="Times New Roman"/>
                <w:color w:val="000000" w:themeColor="text1"/>
                <w:sz w:val="24"/>
                <w:szCs w:val="24"/>
                <w:lang w:val="en-US" w:eastAsia="zh-CN"/>
                <w14:textFill>
                  <w14:solidFill>
                    <w14:schemeClr w14:val="tx1"/>
                  </w14:solidFill>
                </w14:textFill>
              </w:rPr>
              <w:t>对环境管控单元生态环境准入清单进行分析。</w:t>
            </w:r>
          </w:p>
          <w:p w14:paraId="379CFECE">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520" w:lineRule="exact"/>
              <w:ind w:left="0" w:right="0"/>
              <w:jc w:val="center"/>
              <w:textAlignment w:val="auto"/>
              <w:rPr>
                <w:rFonts w:hint="default" w:ascii="Times New Roman" w:hAnsi="Times New Roman" w:eastAsia="黑体" w:cs="Times New Roman"/>
                <w:b w:val="0"/>
                <w:bCs w:val="0"/>
                <w:color w:val="000000" w:themeColor="text1"/>
                <w:sz w:val="24"/>
                <w:szCs w:val="24"/>
                <w:highlight w:val="none"/>
                <w:lang w:val="en-US" w:eastAsia="zh-CN"/>
                <w14:textFill>
                  <w14:solidFill>
                    <w14:schemeClr w14:val="tx1"/>
                  </w14:solidFill>
                </w14:textFill>
              </w:rPr>
            </w:pPr>
            <w:r>
              <w:rPr>
                <w:rFonts w:hint="eastAsia" w:ascii="Times New Roman" w:hAnsi="Times New Roman" w:eastAsia="黑体" w:cs="Times New Roman"/>
                <w:b w:val="0"/>
                <w:bCs w:val="0"/>
                <w:color w:val="000000" w:themeColor="text1"/>
                <w:sz w:val="24"/>
                <w:szCs w:val="24"/>
                <w:highlight w:val="none"/>
                <w:lang w:val="en-US" w:eastAsia="zh-CN"/>
                <w14:textFill>
                  <w14:solidFill>
                    <w14:schemeClr w14:val="tx1"/>
                  </w14:solidFill>
                </w14:textFill>
              </w:rPr>
              <w:t>表</w:t>
            </w:r>
            <w:r>
              <w:rPr>
                <w:rFonts w:hint="default" w:ascii="Times New Roman" w:hAnsi="Times New Roman" w:eastAsia="黑体" w:cs="Times New Roman"/>
                <w:b w:val="0"/>
                <w:bCs w:val="0"/>
                <w:color w:val="000000" w:themeColor="text1"/>
                <w:sz w:val="24"/>
                <w:szCs w:val="24"/>
                <w:highlight w:val="none"/>
                <w:lang w:val="en-US" w:eastAsia="zh-CN"/>
                <w14:textFill>
                  <w14:solidFill>
                    <w14:schemeClr w14:val="tx1"/>
                  </w14:solidFill>
                </w14:textFill>
              </w:rPr>
              <w:t>1-</w:t>
            </w:r>
            <w:r>
              <w:rPr>
                <w:rFonts w:hint="eastAsia" w:eastAsia="黑体" w:cs="Times New Roman"/>
                <w:b w:val="0"/>
                <w:bCs w:val="0"/>
                <w:color w:val="000000" w:themeColor="text1"/>
                <w:sz w:val="24"/>
                <w:szCs w:val="24"/>
                <w:highlight w:val="none"/>
                <w:lang w:val="en-US" w:eastAsia="zh-CN"/>
                <w14:textFill>
                  <w14:solidFill>
                    <w14:schemeClr w14:val="tx1"/>
                  </w14:solidFill>
                </w14:textFill>
              </w:rPr>
              <w:t>7  汤阴县</w:t>
            </w:r>
            <w:r>
              <w:rPr>
                <w:rFonts w:hint="eastAsia" w:ascii="Times New Roman" w:hAnsi="Times New Roman" w:eastAsia="黑体" w:cs="Times New Roman"/>
                <w:b w:val="0"/>
                <w:bCs w:val="0"/>
                <w:color w:val="000000" w:themeColor="text1"/>
                <w:sz w:val="24"/>
                <w:szCs w:val="24"/>
                <w:highlight w:val="none"/>
                <w:lang w:val="en-US" w:eastAsia="zh-CN"/>
                <w14:textFill>
                  <w14:solidFill>
                    <w14:schemeClr w14:val="tx1"/>
                  </w14:solidFill>
                </w14:textFill>
              </w:rPr>
              <w:t>环境管控单元生态环境准入清单要求符合性分析</w:t>
            </w:r>
          </w:p>
          <w:tbl>
            <w:tblPr>
              <w:tblStyle w:val="92"/>
              <w:tblW w:w="5000" w:type="pct"/>
              <w:tblInd w:w="0" w:type="dxa"/>
              <w:tblBorders>
                <w:top w:val="single" w:color="auto" w:sz="4" w:space="0"/>
                <w:left w:val="none" w:color="auto" w:sz="4" w:space="0"/>
                <w:bottom w:val="single" w:color="auto" w:sz="4" w:space="0"/>
                <w:right w:val="non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123"/>
              <w:gridCol w:w="833"/>
              <w:gridCol w:w="3166"/>
              <w:gridCol w:w="2041"/>
              <w:gridCol w:w="768"/>
            </w:tblGrid>
            <w:tr w14:paraId="16AC0C33">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20" w:hRule="atLeast"/>
              </w:trPr>
              <w:tc>
                <w:tcPr>
                  <w:tcW w:w="708" w:type="pct"/>
                  <w:tcBorders>
                    <w:top w:val="single" w:color="auto" w:sz="4" w:space="0"/>
                    <w:left w:val="nil"/>
                    <w:bottom w:val="single" w:color="auto" w:sz="4" w:space="0"/>
                    <w:right w:val="single" w:color="auto" w:sz="4" w:space="0"/>
                  </w:tcBorders>
                  <w:shd w:val="clear" w:color="auto" w:fill="auto"/>
                  <w:vAlign w:val="center"/>
                </w:tcPr>
                <w:p w14:paraId="268B7B2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iCs/>
                      <w:szCs w:val="21"/>
                      <w:lang w:val="en-US"/>
                    </w:rPr>
                  </w:pPr>
                  <w:r>
                    <w:rPr>
                      <w:rFonts w:hint="eastAsia" w:ascii="Times New Roman" w:hAnsi="宋体" w:eastAsia="宋体" w:cs="宋体"/>
                      <w:b w:val="0"/>
                      <w:bCs/>
                      <w:iCs/>
                      <w:kern w:val="2"/>
                      <w:sz w:val="21"/>
                      <w:szCs w:val="21"/>
                      <w:lang w:val="en-US" w:eastAsia="zh-CN" w:bidi="ar"/>
                    </w:rPr>
                    <w:t>环境管控单元名称</w:t>
                  </w:r>
                </w:p>
              </w:tc>
              <w:tc>
                <w:tcPr>
                  <w:tcW w:w="2520"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4CE2435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iCs/>
                      <w:szCs w:val="21"/>
                      <w:lang w:val="en-US"/>
                    </w:rPr>
                  </w:pPr>
                  <w:r>
                    <w:rPr>
                      <w:rFonts w:hint="eastAsia" w:ascii="Times New Roman" w:hAnsi="宋体" w:eastAsia="宋体" w:cs="宋体"/>
                      <w:b w:val="0"/>
                      <w:bCs/>
                      <w:iCs/>
                      <w:kern w:val="2"/>
                      <w:sz w:val="21"/>
                      <w:szCs w:val="21"/>
                      <w:lang w:val="en-US" w:eastAsia="zh-CN" w:bidi="ar"/>
                    </w:rPr>
                    <w:t>管控要求</w:t>
                  </w:r>
                </w:p>
              </w:tc>
              <w:tc>
                <w:tcPr>
                  <w:tcW w:w="1286" w:type="pct"/>
                  <w:tcBorders>
                    <w:top w:val="single" w:color="auto" w:sz="4" w:space="0"/>
                    <w:left w:val="single" w:color="auto" w:sz="4" w:space="0"/>
                    <w:bottom w:val="single" w:color="auto" w:sz="4" w:space="0"/>
                    <w:right w:val="single" w:color="auto" w:sz="4" w:space="0"/>
                  </w:tcBorders>
                  <w:shd w:val="clear" w:color="auto" w:fill="auto"/>
                  <w:vAlign w:val="center"/>
                </w:tcPr>
                <w:p w14:paraId="6F2D690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szCs w:val="21"/>
                      <w:lang w:val="en-US"/>
                    </w:rPr>
                  </w:pPr>
                  <w:r>
                    <w:rPr>
                      <w:rFonts w:hint="eastAsia" w:ascii="Times New Roman" w:hAnsi="宋体" w:eastAsia="宋体" w:cs="宋体"/>
                      <w:b w:val="0"/>
                      <w:bCs/>
                      <w:kern w:val="2"/>
                      <w:sz w:val="21"/>
                      <w:szCs w:val="21"/>
                      <w:lang w:val="en-US" w:eastAsia="zh-CN" w:bidi="ar"/>
                    </w:rPr>
                    <w:t>项目建设情况</w:t>
                  </w:r>
                </w:p>
              </w:tc>
              <w:tc>
                <w:tcPr>
                  <w:tcW w:w="484" w:type="pct"/>
                  <w:tcBorders>
                    <w:top w:val="single" w:color="auto" w:sz="4" w:space="0"/>
                    <w:left w:val="single" w:color="auto" w:sz="4" w:space="0"/>
                    <w:bottom w:val="single" w:color="auto" w:sz="4" w:space="0"/>
                    <w:right w:val="nil"/>
                  </w:tcBorders>
                  <w:shd w:val="clear" w:color="auto" w:fill="auto"/>
                  <w:vAlign w:val="center"/>
                </w:tcPr>
                <w:p w14:paraId="0C16BA1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szCs w:val="21"/>
                      <w:lang w:val="en-US"/>
                    </w:rPr>
                  </w:pPr>
                  <w:r>
                    <w:rPr>
                      <w:rFonts w:hint="eastAsia" w:ascii="Times New Roman" w:hAnsi="宋体" w:eastAsia="宋体" w:cs="宋体"/>
                      <w:b w:val="0"/>
                      <w:bCs/>
                      <w:kern w:val="2"/>
                      <w:sz w:val="21"/>
                      <w:szCs w:val="21"/>
                      <w:lang w:val="en-US" w:eastAsia="zh-CN" w:bidi="ar"/>
                    </w:rPr>
                    <w:t>符合性</w:t>
                  </w:r>
                </w:p>
              </w:tc>
            </w:tr>
            <w:tr w14:paraId="045EF99D">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708" w:type="pct"/>
                  <w:vMerge w:val="restart"/>
                  <w:tcBorders>
                    <w:top w:val="single" w:color="auto" w:sz="4" w:space="0"/>
                    <w:left w:val="nil"/>
                    <w:bottom w:val="single" w:color="auto" w:sz="4" w:space="0"/>
                    <w:right w:val="single" w:color="auto" w:sz="4" w:space="0"/>
                  </w:tcBorders>
                  <w:shd w:val="clear" w:color="auto" w:fill="auto"/>
                  <w:vAlign w:val="center"/>
                </w:tcPr>
                <w:p w14:paraId="76194A6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iCs/>
                      <w:szCs w:val="21"/>
                      <w:lang w:val="en-US"/>
                    </w:rPr>
                  </w:pPr>
                  <w:r>
                    <w:rPr>
                      <w:rFonts w:hint="eastAsia" w:ascii="Times New Roman" w:hAnsi="宋体" w:eastAsia="宋体" w:cs="宋体"/>
                      <w:b w:val="0"/>
                      <w:bCs/>
                      <w:iCs/>
                      <w:kern w:val="2"/>
                      <w:sz w:val="21"/>
                      <w:szCs w:val="21"/>
                      <w:lang w:val="en-US" w:eastAsia="zh-CN" w:bidi="ar"/>
                    </w:rPr>
                    <w:t>汤阴县产业集聚区</w:t>
                  </w:r>
                </w:p>
              </w:tc>
              <w:tc>
                <w:tcPr>
                  <w:tcW w:w="52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0AD218B">
                  <w:pPr>
                    <w:pStyle w:val="21"/>
                    <w:keepNext w:val="0"/>
                    <w:keepLines w:val="0"/>
                    <w:pageBreakBefore w:val="0"/>
                    <w:widowControl/>
                    <w:suppressLineNumbers w:val="0"/>
                    <w:kinsoku/>
                    <w:wordWrap/>
                    <w:overflowPunct/>
                    <w:topLinePunct w:val="0"/>
                    <w:autoSpaceDE/>
                    <w:autoSpaceDN/>
                    <w:bidi w:val="0"/>
                    <w:spacing w:before="0" w:beforeAutospacing="0" w:after="0" w:afterAutospacing="0" w:line="360" w:lineRule="exact"/>
                    <w:ind w:left="0" w:right="0"/>
                    <w:jc w:val="center"/>
                    <w:textAlignment w:val="auto"/>
                    <w:rPr>
                      <w:rFonts w:hint="default"/>
                      <w:b w:val="0"/>
                      <w:bCs/>
                      <w:sz w:val="21"/>
                      <w:szCs w:val="21"/>
                      <w:lang w:val="en-US"/>
                    </w:rPr>
                  </w:pPr>
                  <w:r>
                    <w:rPr>
                      <w:rFonts w:hint="eastAsia" w:ascii="Times New Roman" w:hAnsi="宋体" w:eastAsia="宋体" w:cs="宋体"/>
                      <w:b w:val="0"/>
                      <w:bCs/>
                      <w:kern w:val="0"/>
                      <w:sz w:val="21"/>
                      <w:szCs w:val="21"/>
                      <w:lang w:val="en-US" w:eastAsia="zh-CN" w:bidi="ar"/>
                    </w:rPr>
                    <w:t>空间布局约束</w:t>
                  </w:r>
                </w:p>
              </w:tc>
              <w:tc>
                <w:tcPr>
                  <w:tcW w:w="1995" w:type="pct"/>
                  <w:tcBorders>
                    <w:top w:val="single" w:color="auto" w:sz="4" w:space="0"/>
                    <w:left w:val="single" w:color="auto" w:sz="4" w:space="0"/>
                    <w:bottom w:val="single" w:color="auto" w:sz="4" w:space="0"/>
                    <w:right w:val="single" w:color="auto" w:sz="4" w:space="0"/>
                  </w:tcBorders>
                  <w:shd w:val="clear" w:color="auto" w:fill="auto"/>
                  <w:vAlign w:val="center"/>
                </w:tcPr>
                <w:p w14:paraId="27A8228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both"/>
                    <w:textAlignment w:val="auto"/>
                    <w:rPr>
                      <w:rFonts w:hint="default"/>
                      <w:b w:val="0"/>
                      <w:bCs/>
                      <w:szCs w:val="21"/>
                      <w:lang w:val="en-US"/>
                    </w:rPr>
                  </w:pPr>
                  <w:r>
                    <w:rPr>
                      <w:rFonts w:hint="default" w:ascii="Times New Roman" w:hAnsi="Times New Roman" w:eastAsia="宋体" w:cs="Times New Roman"/>
                      <w:b w:val="0"/>
                      <w:bCs/>
                      <w:kern w:val="2"/>
                      <w:sz w:val="21"/>
                      <w:szCs w:val="21"/>
                      <w:lang w:val="en-US" w:eastAsia="zh-CN" w:bidi="ar"/>
                    </w:rPr>
                    <w:t>1</w:t>
                  </w:r>
                  <w:r>
                    <w:rPr>
                      <w:rFonts w:hint="eastAsia" w:ascii="Times New Roman" w:hAnsi="宋体" w:eastAsia="宋体" w:cs="宋体"/>
                      <w:b w:val="0"/>
                      <w:bCs/>
                      <w:kern w:val="2"/>
                      <w:sz w:val="21"/>
                      <w:szCs w:val="21"/>
                      <w:lang w:val="en-US" w:eastAsia="zh-CN" w:bidi="ar"/>
                    </w:rPr>
                    <w:t>、</w:t>
                  </w:r>
                  <w:r>
                    <w:rPr>
                      <w:rFonts w:hint="eastAsia" w:ascii="Times New Roman" w:hAnsi="宋体" w:eastAsia="宋体" w:cs="宋体"/>
                      <w:b w:val="0"/>
                      <w:bCs/>
                      <w:kern w:val="0"/>
                      <w:sz w:val="21"/>
                      <w:szCs w:val="21"/>
                      <w:lang w:val="en-US" w:eastAsia="zh-CN" w:bidi="ar"/>
                    </w:rPr>
                    <w:t>鼓励发展主导产业，完善产业链条，严格控制非主导产业</w:t>
                  </w:r>
                  <w:r>
                    <w:rPr>
                      <w:rFonts w:hint="eastAsia" w:ascii="Times New Roman" w:hAnsi="宋体" w:eastAsia="宋体" w:cs="宋体"/>
                      <w:b w:val="0"/>
                      <w:bCs/>
                      <w:kern w:val="2"/>
                      <w:sz w:val="21"/>
                      <w:szCs w:val="21"/>
                      <w:lang w:val="en-US" w:eastAsia="zh-CN" w:bidi="ar"/>
                    </w:rPr>
                    <w:t>。</w:t>
                  </w:r>
                </w:p>
              </w:tc>
              <w:tc>
                <w:tcPr>
                  <w:tcW w:w="1286" w:type="pct"/>
                  <w:tcBorders>
                    <w:top w:val="single" w:color="auto" w:sz="4" w:space="0"/>
                    <w:left w:val="single" w:color="auto" w:sz="4" w:space="0"/>
                    <w:bottom w:val="single" w:color="auto" w:sz="4" w:space="0"/>
                    <w:right w:val="single" w:color="auto" w:sz="4" w:space="0"/>
                  </w:tcBorders>
                  <w:shd w:val="clear" w:color="auto" w:fill="auto"/>
                  <w:vAlign w:val="center"/>
                </w:tcPr>
                <w:p w14:paraId="0E646F5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both"/>
                    <w:textAlignment w:val="auto"/>
                    <w:rPr>
                      <w:rFonts w:hint="default"/>
                      <w:b w:val="0"/>
                      <w:bCs/>
                      <w:iCs/>
                      <w:szCs w:val="21"/>
                      <w:lang w:val="en-US"/>
                    </w:rPr>
                  </w:pPr>
                  <w:r>
                    <w:rPr>
                      <w:rFonts w:hint="eastAsia" w:ascii="宋体" w:hAnsi="宋体" w:eastAsia="宋体" w:cs="宋体"/>
                      <w:b w:val="0"/>
                      <w:bCs/>
                      <w:kern w:val="0"/>
                      <w:sz w:val="21"/>
                      <w:szCs w:val="24"/>
                      <w:lang w:val="en-US" w:eastAsia="zh-CN" w:bidi="ar"/>
                    </w:rPr>
                    <w:t>项目属于园区主导产业的配套链条行业</w:t>
                  </w:r>
                  <w:r>
                    <w:rPr>
                      <w:rFonts w:hint="eastAsia" w:ascii="Times New Roman" w:hAnsi="宋体" w:eastAsia="宋体" w:cs="宋体"/>
                      <w:b w:val="0"/>
                      <w:bCs/>
                      <w:iCs/>
                      <w:kern w:val="2"/>
                      <w:sz w:val="21"/>
                      <w:szCs w:val="21"/>
                      <w:lang w:val="en-US" w:eastAsia="zh-CN" w:bidi="ar"/>
                    </w:rPr>
                    <w:t>。</w:t>
                  </w:r>
                </w:p>
              </w:tc>
              <w:tc>
                <w:tcPr>
                  <w:tcW w:w="484" w:type="pct"/>
                  <w:vMerge w:val="restart"/>
                  <w:tcBorders>
                    <w:top w:val="single" w:color="auto" w:sz="4" w:space="0"/>
                    <w:left w:val="single" w:color="auto" w:sz="4" w:space="0"/>
                    <w:bottom w:val="single" w:color="auto" w:sz="4" w:space="0"/>
                    <w:right w:val="nil"/>
                  </w:tcBorders>
                  <w:shd w:val="clear" w:color="auto" w:fill="auto"/>
                  <w:vAlign w:val="center"/>
                </w:tcPr>
                <w:p w14:paraId="2823FD9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iCs/>
                      <w:szCs w:val="21"/>
                      <w:lang w:val="en-US"/>
                    </w:rPr>
                  </w:pPr>
                  <w:r>
                    <w:rPr>
                      <w:rFonts w:hint="eastAsia" w:ascii="Times New Roman" w:hAnsi="宋体" w:eastAsia="宋体" w:cs="宋体"/>
                      <w:b w:val="0"/>
                      <w:bCs/>
                      <w:iCs/>
                      <w:kern w:val="2"/>
                      <w:sz w:val="21"/>
                      <w:szCs w:val="21"/>
                      <w:lang w:val="en-US" w:eastAsia="zh-CN" w:bidi="ar"/>
                    </w:rPr>
                    <w:t>符合</w:t>
                  </w:r>
                </w:p>
              </w:tc>
            </w:tr>
            <w:tr w14:paraId="72681D9D">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708" w:type="pct"/>
                  <w:vMerge w:val="continue"/>
                  <w:tcBorders>
                    <w:top w:val="single" w:color="auto" w:sz="4" w:space="0"/>
                    <w:left w:val="nil"/>
                    <w:bottom w:val="single" w:color="auto" w:sz="4" w:space="0"/>
                    <w:right w:val="single" w:color="auto" w:sz="4" w:space="0"/>
                  </w:tcBorders>
                  <w:shd w:val="clear" w:color="auto" w:fill="auto"/>
                  <w:vAlign w:val="center"/>
                </w:tcPr>
                <w:p w14:paraId="56C385EA">
                  <w:pPr>
                    <w:keepNext w:val="0"/>
                    <w:keepLines w:val="0"/>
                    <w:pageBreakBefore w:val="0"/>
                    <w:suppressLineNumbers w:val="0"/>
                    <w:kinsoku/>
                    <w:wordWrap/>
                    <w:overflowPunct/>
                    <w:topLinePunct w:val="0"/>
                    <w:autoSpaceDE/>
                    <w:autoSpaceDN/>
                    <w:bidi w:val="0"/>
                    <w:spacing w:before="0" w:beforeAutospacing="0" w:after="0" w:afterAutospacing="0" w:line="360" w:lineRule="exact"/>
                    <w:ind w:left="0" w:right="0"/>
                    <w:textAlignment w:val="auto"/>
                    <w:rPr>
                      <w:rFonts w:hint="default" w:ascii="Times New Roman" w:hAnsi="Times New Roman" w:cs="Times New Roman"/>
                      <w:b w:val="0"/>
                      <w:bCs/>
                      <w:sz w:val="20"/>
                      <w:szCs w:val="20"/>
                    </w:rPr>
                  </w:pPr>
                </w:p>
              </w:tc>
              <w:tc>
                <w:tcPr>
                  <w:tcW w:w="525"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A40911B">
                  <w:pPr>
                    <w:keepNext w:val="0"/>
                    <w:keepLines w:val="0"/>
                    <w:pageBreakBefore w:val="0"/>
                    <w:suppressLineNumbers w:val="0"/>
                    <w:kinsoku/>
                    <w:wordWrap/>
                    <w:overflowPunct/>
                    <w:topLinePunct w:val="0"/>
                    <w:autoSpaceDE/>
                    <w:autoSpaceDN/>
                    <w:bidi w:val="0"/>
                    <w:spacing w:before="0" w:beforeAutospacing="0" w:after="0" w:afterAutospacing="0" w:line="360" w:lineRule="exact"/>
                    <w:ind w:left="0" w:right="0"/>
                    <w:textAlignment w:val="auto"/>
                    <w:rPr>
                      <w:rFonts w:hint="default" w:ascii="Times New Roman" w:hAnsi="Times New Roman" w:cs="Times New Roman"/>
                      <w:b w:val="0"/>
                      <w:bCs/>
                      <w:sz w:val="20"/>
                      <w:szCs w:val="20"/>
                    </w:rPr>
                  </w:pPr>
                </w:p>
              </w:tc>
              <w:tc>
                <w:tcPr>
                  <w:tcW w:w="1995" w:type="pct"/>
                  <w:tcBorders>
                    <w:top w:val="single" w:color="auto" w:sz="4" w:space="0"/>
                    <w:left w:val="single" w:color="auto" w:sz="4" w:space="0"/>
                    <w:bottom w:val="single" w:color="auto" w:sz="4" w:space="0"/>
                    <w:right w:val="single" w:color="auto" w:sz="4" w:space="0"/>
                  </w:tcBorders>
                  <w:shd w:val="clear" w:color="auto" w:fill="auto"/>
                  <w:vAlign w:val="center"/>
                </w:tcPr>
                <w:p w14:paraId="6A723B5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both"/>
                    <w:textAlignment w:val="auto"/>
                    <w:rPr>
                      <w:rFonts w:hint="default"/>
                      <w:b w:val="0"/>
                      <w:bCs/>
                      <w:szCs w:val="21"/>
                      <w:lang w:val="en-US"/>
                    </w:rPr>
                  </w:pPr>
                  <w:r>
                    <w:rPr>
                      <w:rFonts w:hint="default" w:ascii="Times New Roman" w:hAnsi="Times New Roman" w:eastAsia="宋体" w:cs="Times New Roman"/>
                      <w:b w:val="0"/>
                      <w:bCs/>
                      <w:kern w:val="2"/>
                      <w:sz w:val="21"/>
                      <w:szCs w:val="21"/>
                      <w:lang w:val="en-US" w:eastAsia="zh-CN" w:bidi="ar"/>
                    </w:rPr>
                    <w:t>2</w:t>
                  </w:r>
                  <w:r>
                    <w:rPr>
                      <w:rFonts w:hint="eastAsia" w:ascii="Times New Roman" w:hAnsi="Times New Roman" w:eastAsia="宋体" w:cs="宋体"/>
                      <w:b w:val="0"/>
                      <w:bCs/>
                      <w:kern w:val="2"/>
                      <w:sz w:val="21"/>
                      <w:szCs w:val="21"/>
                      <w:lang w:val="en-US" w:eastAsia="zh-CN" w:bidi="ar"/>
                    </w:rPr>
                    <w:t>、禁止入驻列入负面清单项目。</w:t>
                  </w:r>
                </w:p>
              </w:tc>
              <w:tc>
                <w:tcPr>
                  <w:tcW w:w="1286" w:type="pct"/>
                  <w:tcBorders>
                    <w:top w:val="single" w:color="auto" w:sz="4" w:space="0"/>
                    <w:left w:val="single" w:color="auto" w:sz="4" w:space="0"/>
                    <w:bottom w:val="single" w:color="auto" w:sz="4" w:space="0"/>
                    <w:right w:val="single" w:color="auto" w:sz="4" w:space="0"/>
                  </w:tcBorders>
                  <w:shd w:val="clear" w:color="auto" w:fill="auto"/>
                  <w:vAlign w:val="center"/>
                </w:tcPr>
                <w:p w14:paraId="2EA5D4C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both"/>
                    <w:textAlignment w:val="auto"/>
                    <w:rPr>
                      <w:rFonts w:hint="default" w:hAnsi="宋体"/>
                      <w:b w:val="0"/>
                      <w:bCs/>
                      <w:iCs/>
                      <w:szCs w:val="21"/>
                      <w:lang w:val="en-US"/>
                    </w:rPr>
                  </w:pPr>
                  <w:r>
                    <w:rPr>
                      <w:rFonts w:hint="eastAsia" w:ascii="Times New Roman" w:hAnsi="宋体" w:eastAsia="宋体" w:cs="宋体"/>
                      <w:b w:val="0"/>
                      <w:bCs/>
                      <w:iCs/>
                      <w:kern w:val="2"/>
                      <w:sz w:val="21"/>
                      <w:szCs w:val="21"/>
                      <w:lang w:val="en-US" w:eastAsia="zh-CN" w:bidi="ar"/>
                    </w:rPr>
                    <w:t>未列入汤阴县产业集聚区负面清单项目。</w:t>
                  </w:r>
                </w:p>
              </w:tc>
              <w:tc>
                <w:tcPr>
                  <w:tcW w:w="484" w:type="pct"/>
                  <w:vMerge w:val="continue"/>
                  <w:tcBorders>
                    <w:top w:val="single" w:color="auto" w:sz="4" w:space="0"/>
                    <w:left w:val="single" w:color="auto" w:sz="4" w:space="0"/>
                    <w:bottom w:val="single" w:color="auto" w:sz="4" w:space="0"/>
                    <w:right w:val="nil"/>
                  </w:tcBorders>
                  <w:shd w:val="clear" w:color="auto" w:fill="auto"/>
                  <w:vAlign w:val="center"/>
                </w:tcPr>
                <w:p w14:paraId="51E3A652">
                  <w:pPr>
                    <w:keepNext w:val="0"/>
                    <w:keepLines w:val="0"/>
                    <w:pageBreakBefore w:val="0"/>
                    <w:suppressLineNumbers w:val="0"/>
                    <w:kinsoku/>
                    <w:wordWrap/>
                    <w:overflowPunct/>
                    <w:topLinePunct w:val="0"/>
                    <w:autoSpaceDE/>
                    <w:autoSpaceDN/>
                    <w:bidi w:val="0"/>
                    <w:spacing w:before="0" w:beforeAutospacing="0" w:after="0" w:afterAutospacing="0" w:line="360" w:lineRule="exact"/>
                    <w:ind w:left="0" w:right="0"/>
                    <w:textAlignment w:val="auto"/>
                    <w:rPr>
                      <w:rFonts w:hint="default" w:ascii="Times New Roman" w:hAnsi="Times New Roman" w:cs="Times New Roman"/>
                      <w:b w:val="0"/>
                      <w:bCs/>
                      <w:sz w:val="20"/>
                      <w:szCs w:val="20"/>
                    </w:rPr>
                  </w:pPr>
                </w:p>
              </w:tc>
            </w:tr>
            <w:tr w14:paraId="5339A26E">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20" w:hRule="atLeast"/>
              </w:trPr>
              <w:tc>
                <w:tcPr>
                  <w:tcW w:w="708" w:type="pct"/>
                  <w:vMerge w:val="continue"/>
                  <w:tcBorders>
                    <w:top w:val="single" w:color="auto" w:sz="4" w:space="0"/>
                    <w:left w:val="nil"/>
                    <w:bottom w:val="single" w:color="auto" w:sz="4" w:space="0"/>
                    <w:right w:val="single" w:color="auto" w:sz="4" w:space="0"/>
                  </w:tcBorders>
                  <w:shd w:val="clear" w:color="auto" w:fill="auto"/>
                  <w:vAlign w:val="center"/>
                </w:tcPr>
                <w:p w14:paraId="21FB6C78">
                  <w:pPr>
                    <w:keepNext w:val="0"/>
                    <w:keepLines w:val="0"/>
                    <w:pageBreakBefore w:val="0"/>
                    <w:suppressLineNumbers w:val="0"/>
                    <w:kinsoku/>
                    <w:wordWrap/>
                    <w:overflowPunct/>
                    <w:topLinePunct w:val="0"/>
                    <w:autoSpaceDE/>
                    <w:autoSpaceDN/>
                    <w:bidi w:val="0"/>
                    <w:spacing w:before="0" w:beforeAutospacing="0" w:after="0" w:afterAutospacing="0" w:line="360" w:lineRule="exact"/>
                    <w:ind w:left="0" w:right="0"/>
                    <w:textAlignment w:val="auto"/>
                    <w:rPr>
                      <w:rFonts w:hint="default" w:ascii="Times New Roman" w:hAnsi="Times New Roman" w:cs="Times New Roman"/>
                      <w:b w:val="0"/>
                      <w:bCs/>
                      <w:sz w:val="20"/>
                      <w:szCs w:val="20"/>
                    </w:rPr>
                  </w:pPr>
                </w:p>
              </w:tc>
              <w:tc>
                <w:tcPr>
                  <w:tcW w:w="525"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DE07D7C">
                  <w:pPr>
                    <w:keepNext w:val="0"/>
                    <w:keepLines w:val="0"/>
                    <w:pageBreakBefore w:val="0"/>
                    <w:suppressLineNumbers w:val="0"/>
                    <w:kinsoku/>
                    <w:wordWrap/>
                    <w:overflowPunct/>
                    <w:topLinePunct w:val="0"/>
                    <w:autoSpaceDE/>
                    <w:autoSpaceDN/>
                    <w:bidi w:val="0"/>
                    <w:spacing w:before="0" w:beforeAutospacing="0" w:after="0" w:afterAutospacing="0" w:line="360" w:lineRule="exact"/>
                    <w:ind w:left="0" w:right="0"/>
                    <w:textAlignment w:val="auto"/>
                    <w:rPr>
                      <w:rFonts w:hint="default" w:ascii="Times New Roman" w:hAnsi="Times New Roman" w:cs="Times New Roman"/>
                      <w:b w:val="0"/>
                      <w:bCs/>
                      <w:sz w:val="20"/>
                      <w:szCs w:val="20"/>
                    </w:rPr>
                  </w:pPr>
                </w:p>
              </w:tc>
              <w:tc>
                <w:tcPr>
                  <w:tcW w:w="1995" w:type="pct"/>
                  <w:tcBorders>
                    <w:top w:val="single" w:color="auto" w:sz="4" w:space="0"/>
                    <w:left w:val="single" w:color="auto" w:sz="4" w:space="0"/>
                    <w:bottom w:val="single" w:color="auto" w:sz="4" w:space="0"/>
                    <w:right w:val="single" w:color="auto" w:sz="4" w:space="0"/>
                  </w:tcBorders>
                  <w:shd w:val="clear" w:color="auto" w:fill="auto"/>
                  <w:vAlign w:val="center"/>
                </w:tcPr>
                <w:p w14:paraId="6097A74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both"/>
                    <w:textAlignment w:val="auto"/>
                    <w:rPr>
                      <w:rFonts w:hint="default"/>
                      <w:b w:val="0"/>
                      <w:bCs/>
                      <w:szCs w:val="21"/>
                      <w:lang w:val="en-US"/>
                    </w:rPr>
                  </w:pPr>
                  <w:r>
                    <w:rPr>
                      <w:rFonts w:hint="default" w:ascii="Times New Roman" w:hAnsi="Times New Roman" w:eastAsia="宋体" w:cs="Times New Roman"/>
                      <w:b w:val="0"/>
                      <w:bCs/>
                      <w:kern w:val="2"/>
                      <w:sz w:val="21"/>
                      <w:szCs w:val="21"/>
                      <w:lang w:val="en-US" w:eastAsia="zh-CN" w:bidi="ar"/>
                    </w:rPr>
                    <w:t>3</w:t>
                  </w:r>
                  <w:r>
                    <w:rPr>
                      <w:rFonts w:hint="eastAsia" w:ascii="Times New Roman" w:hAnsi="Times New Roman" w:eastAsia="宋体" w:cs="宋体"/>
                      <w:b w:val="0"/>
                      <w:bCs/>
                      <w:kern w:val="2"/>
                      <w:sz w:val="21"/>
                      <w:szCs w:val="21"/>
                      <w:lang w:val="en-US" w:eastAsia="zh-CN" w:bidi="ar"/>
                    </w:rPr>
                    <w:t>、开发区禁止引入：煤化工、石油化工、制浆造纸、水泥、陶瓷、农药、制革及毛皮鞣制等高水耗、高能耗、污染排放量大的行业。</w:t>
                  </w:r>
                </w:p>
              </w:tc>
              <w:tc>
                <w:tcPr>
                  <w:tcW w:w="1286" w:type="pct"/>
                  <w:tcBorders>
                    <w:top w:val="single" w:color="auto" w:sz="4" w:space="0"/>
                    <w:left w:val="single" w:color="auto" w:sz="4" w:space="0"/>
                    <w:bottom w:val="single" w:color="auto" w:sz="4" w:space="0"/>
                    <w:right w:val="single" w:color="auto" w:sz="4" w:space="0"/>
                  </w:tcBorders>
                  <w:shd w:val="clear" w:color="auto" w:fill="auto"/>
                  <w:vAlign w:val="center"/>
                </w:tcPr>
                <w:p w14:paraId="194D801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both"/>
                    <w:textAlignment w:val="auto"/>
                    <w:rPr>
                      <w:rFonts w:hint="default" w:hAnsi="宋体"/>
                      <w:b w:val="0"/>
                      <w:bCs/>
                      <w:iCs/>
                      <w:szCs w:val="21"/>
                      <w:lang w:val="en-US"/>
                    </w:rPr>
                  </w:pPr>
                  <w:r>
                    <w:rPr>
                      <w:rFonts w:hint="eastAsia" w:ascii="Times New Roman" w:hAnsi="宋体" w:eastAsia="宋体" w:cs="宋体"/>
                      <w:b w:val="0"/>
                      <w:bCs/>
                      <w:iCs/>
                      <w:kern w:val="2"/>
                      <w:sz w:val="21"/>
                      <w:szCs w:val="21"/>
                      <w:lang w:val="en-US" w:eastAsia="zh-CN" w:bidi="ar"/>
                    </w:rPr>
                    <w:t>不属于以上高水耗、高能耗、污染排放量大的行业。</w:t>
                  </w:r>
                </w:p>
              </w:tc>
              <w:tc>
                <w:tcPr>
                  <w:tcW w:w="484" w:type="pct"/>
                  <w:vMerge w:val="continue"/>
                  <w:tcBorders>
                    <w:top w:val="single" w:color="auto" w:sz="4" w:space="0"/>
                    <w:left w:val="single" w:color="auto" w:sz="4" w:space="0"/>
                    <w:bottom w:val="single" w:color="auto" w:sz="4" w:space="0"/>
                    <w:right w:val="nil"/>
                  </w:tcBorders>
                  <w:shd w:val="clear" w:color="auto" w:fill="auto"/>
                  <w:vAlign w:val="center"/>
                </w:tcPr>
                <w:p w14:paraId="4B9AA954">
                  <w:pPr>
                    <w:keepNext w:val="0"/>
                    <w:keepLines w:val="0"/>
                    <w:pageBreakBefore w:val="0"/>
                    <w:suppressLineNumbers w:val="0"/>
                    <w:kinsoku/>
                    <w:wordWrap/>
                    <w:overflowPunct/>
                    <w:topLinePunct w:val="0"/>
                    <w:autoSpaceDE/>
                    <w:autoSpaceDN/>
                    <w:bidi w:val="0"/>
                    <w:spacing w:before="0" w:beforeAutospacing="0" w:after="0" w:afterAutospacing="0" w:line="360" w:lineRule="exact"/>
                    <w:ind w:left="0" w:right="0"/>
                    <w:textAlignment w:val="auto"/>
                    <w:rPr>
                      <w:rFonts w:hint="default" w:ascii="Times New Roman" w:hAnsi="Times New Roman" w:cs="Times New Roman"/>
                      <w:b w:val="0"/>
                      <w:bCs/>
                      <w:sz w:val="20"/>
                      <w:szCs w:val="20"/>
                    </w:rPr>
                  </w:pPr>
                </w:p>
              </w:tc>
            </w:tr>
            <w:tr w14:paraId="47353E32">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708" w:type="pct"/>
                  <w:vMerge w:val="continue"/>
                  <w:tcBorders>
                    <w:top w:val="single" w:color="auto" w:sz="4" w:space="0"/>
                    <w:left w:val="nil"/>
                    <w:bottom w:val="single" w:color="auto" w:sz="4" w:space="0"/>
                    <w:right w:val="single" w:color="auto" w:sz="4" w:space="0"/>
                  </w:tcBorders>
                  <w:shd w:val="clear" w:color="auto" w:fill="auto"/>
                  <w:vAlign w:val="center"/>
                </w:tcPr>
                <w:p w14:paraId="36F0EEE0">
                  <w:pPr>
                    <w:keepNext w:val="0"/>
                    <w:keepLines w:val="0"/>
                    <w:pageBreakBefore w:val="0"/>
                    <w:suppressLineNumbers w:val="0"/>
                    <w:kinsoku/>
                    <w:wordWrap/>
                    <w:overflowPunct/>
                    <w:topLinePunct w:val="0"/>
                    <w:autoSpaceDE/>
                    <w:autoSpaceDN/>
                    <w:bidi w:val="0"/>
                    <w:spacing w:before="0" w:beforeAutospacing="0" w:after="0" w:afterAutospacing="0" w:line="360" w:lineRule="exact"/>
                    <w:ind w:left="0" w:right="0"/>
                    <w:textAlignment w:val="auto"/>
                    <w:rPr>
                      <w:rFonts w:hint="default" w:ascii="Times New Roman" w:hAnsi="Times New Roman" w:cs="Times New Roman"/>
                      <w:b w:val="0"/>
                      <w:bCs/>
                      <w:sz w:val="20"/>
                      <w:szCs w:val="20"/>
                    </w:rPr>
                  </w:pPr>
                </w:p>
              </w:tc>
              <w:tc>
                <w:tcPr>
                  <w:tcW w:w="525"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84CFB89">
                  <w:pPr>
                    <w:keepNext w:val="0"/>
                    <w:keepLines w:val="0"/>
                    <w:pageBreakBefore w:val="0"/>
                    <w:suppressLineNumbers w:val="0"/>
                    <w:kinsoku/>
                    <w:wordWrap/>
                    <w:overflowPunct/>
                    <w:topLinePunct w:val="0"/>
                    <w:autoSpaceDE/>
                    <w:autoSpaceDN/>
                    <w:bidi w:val="0"/>
                    <w:spacing w:before="0" w:beforeAutospacing="0" w:after="0" w:afterAutospacing="0" w:line="360" w:lineRule="exact"/>
                    <w:ind w:left="0" w:right="0"/>
                    <w:textAlignment w:val="auto"/>
                    <w:rPr>
                      <w:rFonts w:hint="default" w:ascii="Times New Roman" w:hAnsi="Times New Roman" w:cs="Times New Roman"/>
                      <w:b w:val="0"/>
                      <w:bCs/>
                      <w:sz w:val="20"/>
                      <w:szCs w:val="20"/>
                    </w:rPr>
                  </w:pPr>
                </w:p>
              </w:tc>
              <w:tc>
                <w:tcPr>
                  <w:tcW w:w="1995" w:type="pct"/>
                  <w:tcBorders>
                    <w:top w:val="single" w:color="auto" w:sz="4" w:space="0"/>
                    <w:left w:val="single" w:color="auto" w:sz="4" w:space="0"/>
                    <w:bottom w:val="single" w:color="auto" w:sz="4" w:space="0"/>
                    <w:right w:val="single" w:color="auto" w:sz="4" w:space="0"/>
                  </w:tcBorders>
                  <w:shd w:val="clear" w:color="auto" w:fill="auto"/>
                  <w:vAlign w:val="center"/>
                </w:tcPr>
                <w:p w14:paraId="63C81C5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both"/>
                    <w:textAlignment w:val="auto"/>
                    <w:rPr>
                      <w:rFonts w:hint="default"/>
                      <w:b w:val="0"/>
                      <w:bCs/>
                      <w:szCs w:val="21"/>
                      <w:lang w:val="en-US"/>
                    </w:rPr>
                  </w:pPr>
                  <w:r>
                    <w:rPr>
                      <w:rFonts w:hint="default" w:ascii="Times New Roman" w:hAnsi="Times New Roman" w:eastAsia="宋体" w:cs="Times New Roman"/>
                      <w:b w:val="0"/>
                      <w:bCs/>
                      <w:kern w:val="2"/>
                      <w:sz w:val="21"/>
                      <w:szCs w:val="21"/>
                      <w:lang w:val="en-US" w:eastAsia="zh-CN" w:bidi="ar"/>
                    </w:rPr>
                    <w:t>4</w:t>
                  </w:r>
                  <w:r>
                    <w:rPr>
                      <w:rFonts w:hint="eastAsia" w:ascii="Times New Roman" w:hAnsi="Times New Roman" w:eastAsia="宋体" w:cs="宋体"/>
                      <w:b w:val="0"/>
                      <w:bCs/>
                      <w:kern w:val="2"/>
                      <w:sz w:val="21"/>
                      <w:szCs w:val="21"/>
                      <w:lang w:val="en-US" w:eastAsia="zh-CN" w:bidi="ar"/>
                    </w:rPr>
                    <w:t>、禁止建设区范围：道路两侧的防护绿地；京广铁路客运专线两侧的生态绿地；伏道镇地下水井一级保护区范围；淤泥河和永通河及其两侧的生态绿地；公园绿地；广场用地；消防用地以及规划的城市发展备用地。</w:t>
                  </w:r>
                </w:p>
              </w:tc>
              <w:tc>
                <w:tcPr>
                  <w:tcW w:w="1286" w:type="pct"/>
                  <w:tcBorders>
                    <w:top w:val="single" w:color="auto" w:sz="4" w:space="0"/>
                    <w:left w:val="single" w:color="auto" w:sz="4" w:space="0"/>
                    <w:bottom w:val="single" w:color="auto" w:sz="4" w:space="0"/>
                    <w:right w:val="single" w:color="auto" w:sz="4" w:space="0"/>
                  </w:tcBorders>
                  <w:shd w:val="clear" w:color="auto" w:fill="auto"/>
                  <w:vAlign w:val="center"/>
                </w:tcPr>
                <w:p w14:paraId="05B2B69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both"/>
                    <w:textAlignment w:val="auto"/>
                    <w:rPr>
                      <w:rFonts w:hint="default"/>
                      <w:b w:val="0"/>
                      <w:bCs/>
                      <w:iCs/>
                      <w:szCs w:val="21"/>
                      <w:lang w:val="en-US"/>
                    </w:rPr>
                  </w:pPr>
                  <w:r>
                    <w:rPr>
                      <w:rFonts w:hint="eastAsia" w:ascii="Times New Roman" w:hAnsi="Times New Roman" w:eastAsia="宋体" w:cs="宋体"/>
                      <w:b w:val="0"/>
                      <w:bCs/>
                      <w:iCs/>
                      <w:kern w:val="2"/>
                      <w:sz w:val="21"/>
                      <w:szCs w:val="21"/>
                      <w:lang w:val="en-US" w:eastAsia="zh-CN" w:bidi="ar"/>
                    </w:rPr>
                    <w:t>项目租赁现有</w:t>
                  </w:r>
                  <w:r>
                    <w:rPr>
                      <w:rFonts w:hint="eastAsia" w:cs="宋体"/>
                      <w:b w:val="0"/>
                      <w:bCs/>
                      <w:iCs/>
                      <w:kern w:val="2"/>
                      <w:sz w:val="21"/>
                      <w:szCs w:val="21"/>
                      <w:lang w:val="en-US" w:eastAsia="zh-CN" w:bidi="ar"/>
                    </w:rPr>
                    <w:t>工业</w:t>
                  </w:r>
                  <w:r>
                    <w:rPr>
                      <w:rFonts w:hint="eastAsia" w:ascii="Times New Roman" w:hAnsi="Times New Roman" w:eastAsia="宋体" w:cs="宋体"/>
                      <w:b w:val="0"/>
                      <w:bCs/>
                      <w:iCs/>
                      <w:kern w:val="2"/>
                      <w:sz w:val="21"/>
                      <w:szCs w:val="21"/>
                      <w:lang w:val="en-US" w:eastAsia="zh-CN" w:bidi="ar"/>
                    </w:rPr>
                    <w:t>用地</w:t>
                  </w:r>
                  <w:r>
                    <w:rPr>
                      <w:rFonts w:hint="eastAsia" w:cs="宋体"/>
                      <w:b w:val="0"/>
                      <w:bCs/>
                      <w:iCs/>
                      <w:kern w:val="2"/>
                      <w:sz w:val="21"/>
                      <w:szCs w:val="21"/>
                      <w:lang w:val="en-US" w:eastAsia="zh-CN" w:bidi="ar"/>
                    </w:rPr>
                    <w:t>及厂房</w:t>
                  </w:r>
                  <w:r>
                    <w:rPr>
                      <w:rFonts w:hint="eastAsia" w:ascii="Times New Roman" w:hAnsi="Times New Roman" w:eastAsia="宋体" w:cs="宋体"/>
                      <w:b w:val="0"/>
                      <w:bCs/>
                      <w:iCs/>
                      <w:kern w:val="2"/>
                      <w:sz w:val="21"/>
                      <w:szCs w:val="21"/>
                      <w:lang w:val="en-US" w:eastAsia="zh-CN" w:bidi="ar"/>
                    </w:rPr>
                    <w:t>，不属于禁止建设区范围。</w:t>
                  </w:r>
                </w:p>
              </w:tc>
              <w:tc>
                <w:tcPr>
                  <w:tcW w:w="484" w:type="pct"/>
                  <w:vMerge w:val="continue"/>
                  <w:tcBorders>
                    <w:top w:val="single" w:color="auto" w:sz="4" w:space="0"/>
                    <w:left w:val="single" w:color="auto" w:sz="4" w:space="0"/>
                    <w:bottom w:val="single" w:color="auto" w:sz="4" w:space="0"/>
                    <w:right w:val="nil"/>
                  </w:tcBorders>
                  <w:shd w:val="clear" w:color="auto" w:fill="auto"/>
                  <w:vAlign w:val="center"/>
                </w:tcPr>
                <w:p w14:paraId="3C5B0BEC">
                  <w:pPr>
                    <w:keepNext w:val="0"/>
                    <w:keepLines w:val="0"/>
                    <w:pageBreakBefore w:val="0"/>
                    <w:suppressLineNumbers w:val="0"/>
                    <w:kinsoku/>
                    <w:wordWrap/>
                    <w:overflowPunct/>
                    <w:topLinePunct w:val="0"/>
                    <w:autoSpaceDE/>
                    <w:autoSpaceDN/>
                    <w:bidi w:val="0"/>
                    <w:spacing w:before="0" w:beforeAutospacing="0" w:after="0" w:afterAutospacing="0" w:line="360" w:lineRule="exact"/>
                    <w:ind w:left="0" w:right="0"/>
                    <w:textAlignment w:val="auto"/>
                    <w:rPr>
                      <w:rFonts w:hint="default" w:ascii="Times New Roman" w:hAnsi="Times New Roman" w:cs="Times New Roman"/>
                      <w:b w:val="0"/>
                      <w:bCs/>
                      <w:sz w:val="20"/>
                      <w:szCs w:val="20"/>
                    </w:rPr>
                  </w:pPr>
                </w:p>
              </w:tc>
            </w:tr>
            <w:tr w14:paraId="61B98442">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20" w:hRule="atLeast"/>
              </w:trPr>
              <w:tc>
                <w:tcPr>
                  <w:tcW w:w="708" w:type="pct"/>
                  <w:vMerge w:val="continue"/>
                  <w:tcBorders>
                    <w:top w:val="single" w:color="auto" w:sz="4" w:space="0"/>
                    <w:left w:val="nil"/>
                    <w:bottom w:val="single" w:color="auto" w:sz="4" w:space="0"/>
                    <w:right w:val="single" w:color="auto" w:sz="4" w:space="0"/>
                  </w:tcBorders>
                  <w:shd w:val="clear" w:color="auto" w:fill="auto"/>
                  <w:vAlign w:val="center"/>
                </w:tcPr>
                <w:p w14:paraId="4D141A1D">
                  <w:pPr>
                    <w:keepNext w:val="0"/>
                    <w:keepLines w:val="0"/>
                    <w:pageBreakBefore w:val="0"/>
                    <w:suppressLineNumbers w:val="0"/>
                    <w:kinsoku/>
                    <w:wordWrap/>
                    <w:overflowPunct/>
                    <w:topLinePunct w:val="0"/>
                    <w:autoSpaceDE/>
                    <w:autoSpaceDN/>
                    <w:bidi w:val="0"/>
                    <w:spacing w:before="0" w:beforeAutospacing="0" w:after="0" w:afterAutospacing="0" w:line="360" w:lineRule="exact"/>
                    <w:ind w:left="0" w:right="0"/>
                    <w:textAlignment w:val="auto"/>
                    <w:rPr>
                      <w:rFonts w:hint="default" w:ascii="Times New Roman" w:hAnsi="Times New Roman" w:cs="Times New Roman"/>
                      <w:b w:val="0"/>
                      <w:bCs/>
                      <w:sz w:val="20"/>
                      <w:szCs w:val="20"/>
                    </w:rPr>
                  </w:pPr>
                </w:p>
              </w:tc>
              <w:tc>
                <w:tcPr>
                  <w:tcW w:w="525"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673433C">
                  <w:pPr>
                    <w:keepNext w:val="0"/>
                    <w:keepLines w:val="0"/>
                    <w:pageBreakBefore w:val="0"/>
                    <w:suppressLineNumbers w:val="0"/>
                    <w:kinsoku/>
                    <w:wordWrap/>
                    <w:overflowPunct/>
                    <w:topLinePunct w:val="0"/>
                    <w:autoSpaceDE/>
                    <w:autoSpaceDN/>
                    <w:bidi w:val="0"/>
                    <w:spacing w:before="0" w:beforeAutospacing="0" w:after="0" w:afterAutospacing="0" w:line="360" w:lineRule="exact"/>
                    <w:ind w:left="0" w:right="0"/>
                    <w:textAlignment w:val="auto"/>
                    <w:rPr>
                      <w:rFonts w:hint="default" w:ascii="Times New Roman" w:hAnsi="Times New Roman" w:cs="Times New Roman"/>
                      <w:b w:val="0"/>
                      <w:bCs/>
                      <w:sz w:val="20"/>
                      <w:szCs w:val="20"/>
                    </w:rPr>
                  </w:pPr>
                </w:p>
              </w:tc>
              <w:tc>
                <w:tcPr>
                  <w:tcW w:w="1995" w:type="pct"/>
                  <w:tcBorders>
                    <w:top w:val="single" w:color="auto" w:sz="4" w:space="0"/>
                    <w:left w:val="single" w:color="auto" w:sz="4" w:space="0"/>
                    <w:bottom w:val="single" w:color="auto" w:sz="4" w:space="0"/>
                    <w:right w:val="single" w:color="auto" w:sz="4" w:space="0"/>
                  </w:tcBorders>
                  <w:shd w:val="clear" w:color="auto" w:fill="auto"/>
                  <w:vAlign w:val="top"/>
                </w:tcPr>
                <w:p w14:paraId="063CD047">
                  <w:pPr>
                    <w:pStyle w:val="21"/>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both"/>
                    <w:textAlignment w:val="auto"/>
                    <w:rPr>
                      <w:rFonts w:hint="default" w:eastAsia="宋体"/>
                      <w:b w:val="0"/>
                      <w:bCs/>
                      <w:color w:val="auto"/>
                      <w:sz w:val="21"/>
                      <w:szCs w:val="21"/>
                      <w:lang w:val="en-US"/>
                    </w:rPr>
                  </w:pPr>
                  <w:r>
                    <w:rPr>
                      <w:rFonts w:hint="default" w:ascii="Times New Roman" w:hAnsi="宋体" w:eastAsia="宋体" w:cs="Times New Roman"/>
                      <w:b w:val="0"/>
                      <w:bCs/>
                      <w:color w:val="000000"/>
                      <w:kern w:val="0"/>
                      <w:sz w:val="21"/>
                      <w:szCs w:val="21"/>
                      <w:lang w:val="en-US" w:eastAsia="zh-CN" w:bidi="ar"/>
                    </w:rPr>
                    <w:t>5</w:t>
                  </w:r>
                  <w:r>
                    <w:rPr>
                      <w:rFonts w:hint="eastAsia" w:ascii="Times New Roman" w:hAnsi="宋体" w:eastAsia="宋体" w:cs="宋体"/>
                      <w:b w:val="0"/>
                      <w:bCs/>
                      <w:color w:val="000000"/>
                      <w:kern w:val="0"/>
                      <w:sz w:val="21"/>
                      <w:szCs w:val="21"/>
                      <w:lang w:val="en-US" w:eastAsia="zh-CN" w:bidi="ar"/>
                    </w:rPr>
                    <w:t>、严格落实规划环评及批复文件要求，规划调整修编时应同步开展规划环评。</w:t>
                  </w:r>
                </w:p>
              </w:tc>
              <w:tc>
                <w:tcPr>
                  <w:tcW w:w="1286" w:type="pct"/>
                  <w:tcBorders>
                    <w:top w:val="single" w:color="auto" w:sz="4" w:space="0"/>
                    <w:left w:val="single" w:color="auto" w:sz="4" w:space="0"/>
                    <w:bottom w:val="single" w:color="auto" w:sz="4" w:space="0"/>
                    <w:right w:val="single" w:color="auto" w:sz="4" w:space="0"/>
                  </w:tcBorders>
                  <w:shd w:val="clear" w:color="auto" w:fill="auto"/>
                  <w:vAlign w:val="center"/>
                </w:tcPr>
                <w:p w14:paraId="3EA8CBE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both"/>
                    <w:textAlignment w:val="auto"/>
                    <w:rPr>
                      <w:rFonts w:hint="default"/>
                      <w:b w:val="0"/>
                      <w:bCs/>
                      <w:iCs/>
                      <w:szCs w:val="21"/>
                      <w:lang w:val="en-US"/>
                    </w:rPr>
                  </w:pPr>
                  <w:r>
                    <w:rPr>
                      <w:rFonts w:hint="eastAsia" w:ascii="Times New Roman" w:hAnsi="Times New Roman" w:eastAsia="宋体" w:cs="宋体"/>
                      <w:b w:val="0"/>
                      <w:bCs/>
                      <w:iCs/>
                      <w:kern w:val="2"/>
                      <w:sz w:val="21"/>
                      <w:szCs w:val="21"/>
                      <w:lang w:val="en-US" w:eastAsia="zh-CN" w:bidi="ar"/>
                    </w:rPr>
                    <w:t>按照集聚区要求落实</w:t>
                  </w:r>
                  <w:r>
                    <w:rPr>
                      <w:rFonts w:hint="eastAsia" w:ascii="Times New Roman" w:hAnsi="宋体" w:eastAsia="宋体" w:cs="宋体"/>
                      <w:b w:val="0"/>
                      <w:bCs/>
                      <w:kern w:val="0"/>
                      <w:sz w:val="21"/>
                      <w:szCs w:val="21"/>
                      <w:lang w:val="en-US" w:eastAsia="zh-CN" w:bidi="ar"/>
                    </w:rPr>
                    <w:t>。</w:t>
                  </w:r>
                </w:p>
              </w:tc>
              <w:tc>
                <w:tcPr>
                  <w:tcW w:w="484" w:type="pct"/>
                  <w:vMerge w:val="continue"/>
                  <w:tcBorders>
                    <w:top w:val="single" w:color="auto" w:sz="4" w:space="0"/>
                    <w:left w:val="single" w:color="auto" w:sz="4" w:space="0"/>
                    <w:bottom w:val="single" w:color="auto" w:sz="4" w:space="0"/>
                    <w:right w:val="nil"/>
                  </w:tcBorders>
                  <w:shd w:val="clear" w:color="auto" w:fill="auto"/>
                  <w:vAlign w:val="center"/>
                </w:tcPr>
                <w:p w14:paraId="2035E6E7">
                  <w:pPr>
                    <w:keepNext w:val="0"/>
                    <w:keepLines w:val="0"/>
                    <w:pageBreakBefore w:val="0"/>
                    <w:suppressLineNumbers w:val="0"/>
                    <w:kinsoku/>
                    <w:wordWrap/>
                    <w:overflowPunct/>
                    <w:topLinePunct w:val="0"/>
                    <w:autoSpaceDE/>
                    <w:autoSpaceDN/>
                    <w:bidi w:val="0"/>
                    <w:spacing w:before="0" w:beforeAutospacing="0" w:after="0" w:afterAutospacing="0" w:line="360" w:lineRule="exact"/>
                    <w:ind w:left="0" w:right="0"/>
                    <w:textAlignment w:val="auto"/>
                    <w:rPr>
                      <w:rFonts w:hint="default" w:ascii="Times New Roman" w:hAnsi="Times New Roman" w:cs="Times New Roman"/>
                      <w:b w:val="0"/>
                      <w:bCs/>
                      <w:sz w:val="20"/>
                      <w:szCs w:val="20"/>
                    </w:rPr>
                  </w:pPr>
                </w:p>
              </w:tc>
            </w:tr>
            <w:tr w14:paraId="720E929D">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708" w:type="pct"/>
                  <w:vMerge w:val="continue"/>
                  <w:tcBorders>
                    <w:top w:val="single" w:color="auto" w:sz="4" w:space="0"/>
                    <w:left w:val="nil"/>
                    <w:bottom w:val="single" w:color="auto" w:sz="4" w:space="0"/>
                    <w:right w:val="single" w:color="auto" w:sz="4" w:space="0"/>
                  </w:tcBorders>
                  <w:shd w:val="clear" w:color="auto" w:fill="auto"/>
                  <w:vAlign w:val="center"/>
                </w:tcPr>
                <w:p w14:paraId="1A18A79D">
                  <w:pPr>
                    <w:keepNext w:val="0"/>
                    <w:keepLines w:val="0"/>
                    <w:pageBreakBefore w:val="0"/>
                    <w:suppressLineNumbers w:val="0"/>
                    <w:kinsoku/>
                    <w:wordWrap/>
                    <w:overflowPunct/>
                    <w:topLinePunct w:val="0"/>
                    <w:autoSpaceDE/>
                    <w:autoSpaceDN/>
                    <w:bidi w:val="0"/>
                    <w:spacing w:before="0" w:beforeAutospacing="0" w:after="0" w:afterAutospacing="0" w:line="360" w:lineRule="exact"/>
                    <w:ind w:left="0" w:right="0"/>
                    <w:textAlignment w:val="auto"/>
                    <w:rPr>
                      <w:rFonts w:hint="default" w:ascii="Times New Roman" w:hAnsi="Times New Roman" w:cs="Times New Roman"/>
                      <w:b w:val="0"/>
                      <w:bCs/>
                      <w:sz w:val="20"/>
                      <w:szCs w:val="20"/>
                    </w:rPr>
                  </w:pPr>
                </w:p>
              </w:tc>
              <w:tc>
                <w:tcPr>
                  <w:tcW w:w="525"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C58573B">
                  <w:pPr>
                    <w:keepNext w:val="0"/>
                    <w:keepLines w:val="0"/>
                    <w:pageBreakBefore w:val="0"/>
                    <w:suppressLineNumbers w:val="0"/>
                    <w:kinsoku/>
                    <w:wordWrap/>
                    <w:overflowPunct/>
                    <w:topLinePunct w:val="0"/>
                    <w:autoSpaceDE/>
                    <w:autoSpaceDN/>
                    <w:bidi w:val="0"/>
                    <w:spacing w:before="0" w:beforeAutospacing="0" w:after="0" w:afterAutospacing="0" w:line="360" w:lineRule="exact"/>
                    <w:ind w:left="0" w:right="0"/>
                    <w:textAlignment w:val="auto"/>
                    <w:rPr>
                      <w:rFonts w:hint="default" w:ascii="Times New Roman" w:hAnsi="Times New Roman" w:cs="Times New Roman"/>
                      <w:b w:val="0"/>
                      <w:bCs/>
                      <w:sz w:val="20"/>
                      <w:szCs w:val="20"/>
                    </w:rPr>
                  </w:pPr>
                </w:p>
              </w:tc>
              <w:tc>
                <w:tcPr>
                  <w:tcW w:w="1995" w:type="pct"/>
                  <w:tcBorders>
                    <w:top w:val="single" w:color="auto" w:sz="4" w:space="0"/>
                    <w:left w:val="single" w:color="auto" w:sz="4" w:space="0"/>
                    <w:bottom w:val="single" w:color="auto" w:sz="4" w:space="0"/>
                    <w:right w:val="single" w:color="auto" w:sz="4" w:space="0"/>
                  </w:tcBorders>
                  <w:shd w:val="clear" w:color="auto" w:fill="auto"/>
                  <w:vAlign w:val="top"/>
                </w:tcPr>
                <w:p w14:paraId="23A5085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both"/>
                    <w:textAlignment w:val="auto"/>
                    <w:rPr>
                      <w:rFonts w:hint="default" w:ascii="Times New Roman" w:hAnsi="宋体" w:eastAsia="宋体" w:cs="Times New Roman"/>
                      <w:b w:val="0"/>
                      <w:bCs/>
                      <w:color w:val="000000"/>
                      <w:kern w:val="0"/>
                      <w:sz w:val="21"/>
                      <w:szCs w:val="21"/>
                      <w:lang w:val="en-US" w:eastAsia="zh-CN" w:bidi="ar"/>
                    </w:rPr>
                  </w:pPr>
                  <w:r>
                    <w:rPr>
                      <w:rFonts w:hint="default" w:ascii="Times New Roman" w:hAnsi="Times New Roman" w:eastAsia="宋体" w:cs="Times New Roman"/>
                      <w:b w:val="0"/>
                      <w:bCs/>
                      <w:kern w:val="2"/>
                      <w:sz w:val="21"/>
                      <w:szCs w:val="21"/>
                      <w:lang w:val="en-US" w:eastAsia="zh-CN" w:bidi="ar"/>
                    </w:rPr>
                    <w:t>6</w:t>
                  </w:r>
                  <w:r>
                    <w:rPr>
                      <w:rFonts w:hint="eastAsia" w:ascii="Times New Roman" w:hAnsi="宋体" w:eastAsia="宋体" w:cs="宋体"/>
                      <w:b w:val="0"/>
                      <w:bCs/>
                      <w:kern w:val="2"/>
                      <w:sz w:val="21"/>
                      <w:szCs w:val="21"/>
                      <w:lang w:val="en-US" w:eastAsia="zh-CN" w:bidi="ar"/>
                    </w:rPr>
                    <w:t>、</w:t>
                  </w:r>
                  <w:r>
                    <w:rPr>
                      <w:rFonts w:hint="eastAsia" w:ascii="Times New Roman" w:hAnsi="宋体" w:eastAsia="宋体" w:cs="宋体"/>
                      <w:b w:val="0"/>
                      <w:bCs/>
                      <w:kern w:val="0"/>
                      <w:sz w:val="21"/>
                      <w:szCs w:val="21"/>
                      <w:lang w:val="en-US" w:eastAsia="zh-CN" w:bidi="ar"/>
                    </w:rPr>
                    <w:t>新建、改建、扩建“两高”项目须符合生态环境保护法律法规和相关法定规划，满足重点污染物排放总量控制、碳排放达峰目标、生态环境准入清单、相关规划环评和相应行业建设项目环境准入条件、环评文件审批原则要求。</w:t>
                  </w:r>
                </w:p>
              </w:tc>
              <w:tc>
                <w:tcPr>
                  <w:tcW w:w="1286" w:type="pct"/>
                  <w:tcBorders>
                    <w:top w:val="single" w:color="auto" w:sz="4" w:space="0"/>
                    <w:left w:val="single" w:color="auto" w:sz="4" w:space="0"/>
                    <w:bottom w:val="single" w:color="auto" w:sz="4" w:space="0"/>
                    <w:right w:val="single" w:color="auto" w:sz="4" w:space="0"/>
                  </w:tcBorders>
                  <w:shd w:val="clear" w:color="auto" w:fill="auto"/>
                  <w:vAlign w:val="center"/>
                </w:tcPr>
                <w:p w14:paraId="4101FEE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both"/>
                    <w:textAlignment w:val="auto"/>
                    <w:rPr>
                      <w:rFonts w:hint="eastAsia" w:ascii="Times New Roman" w:hAnsi="Times New Roman" w:eastAsia="宋体" w:cs="宋体"/>
                      <w:b w:val="0"/>
                      <w:bCs/>
                      <w:iCs/>
                      <w:kern w:val="2"/>
                      <w:sz w:val="21"/>
                      <w:szCs w:val="21"/>
                      <w:lang w:val="en-US" w:eastAsia="zh-CN" w:bidi="ar"/>
                    </w:rPr>
                  </w:pPr>
                  <w:r>
                    <w:rPr>
                      <w:rFonts w:hint="eastAsia" w:ascii="Times New Roman" w:hAnsi="宋体" w:eastAsia="宋体" w:cs="宋体"/>
                      <w:b w:val="0"/>
                      <w:bCs/>
                      <w:iCs/>
                      <w:kern w:val="2"/>
                      <w:sz w:val="21"/>
                      <w:szCs w:val="21"/>
                      <w:lang w:val="en-US" w:eastAsia="zh-CN" w:bidi="ar"/>
                    </w:rPr>
                    <w:t>不属于两高项目。</w:t>
                  </w:r>
                </w:p>
              </w:tc>
              <w:tc>
                <w:tcPr>
                  <w:tcW w:w="484" w:type="pct"/>
                  <w:vMerge w:val="continue"/>
                  <w:tcBorders>
                    <w:top w:val="single" w:color="auto" w:sz="4" w:space="0"/>
                    <w:left w:val="single" w:color="auto" w:sz="4" w:space="0"/>
                    <w:bottom w:val="single" w:color="auto" w:sz="4" w:space="0"/>
                    <w:right w:val="nil"/>
                  </w:tcBorders>
                  <w:shd w:val="clear" w:color="auto" w:fill="auto"/>
                  <w:vAlign w:val="center"/>
                </w:tcPr>
                <w:p w14:paraId="6D6B13F8">
                  <w:pPr>
                    <w:keepNext w:val="0"/>
                    <w:keepLines w:val="0"/>
                    <w:pageBreakBefore w:val="0"/>
                    <w:suppressLineNumbers w:val="0"/>
                    <w:kinsoku/>
                    <w:wordWrap/>
                    <w:overflowPunct/>
                    <w:topLinePunct w:val="0"/>
                    <w:autoSpaceDE/>
                    <w:autoSpaceDN/>
                    <w:bidi w:val="0"/>
                    <w:spacing w:before="0" w:beforeAutospacing="0" w:after="0" w:afterAutospacing="0" w:line="360" w:lineRule="exact"/>
                    <w:ind w:left="0" w:right="0"/>
                    <w:textAlignment w:val="auto"/>
                    <w:rPr>
                      <w:rFonts w:hint="default" w:ascii="Times New Roman" w:hAnsi="Times New Roman" w:cs="Times New Roman"/>
                      <w:b w:val="0"/>
                      <w:bCs/>
                      <w:sz w:val="20"/>
                      <w:szCs w:val="20"/>
                    </w:rPr>
                  </w:pPr>
                </w:p>
              </w:tc>
            </w:tr>
            <w:tr w14:paraId="75DB4AFF">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708" w:type="pct"/>
                  <w:vMerge w:val="continue"/>
                  <w:tcBorders>
                    <w:top w:val="single" w:color="auto" w:sz="4" w:space="0"/>
                    <w:left w:val="nil"/>
                    <w:bottom w:val="single" w:color="auto" w:sz="4" w:space="0"/>
                    <w:right w:val="single" w:color="auto" w:sz="4" w:space="0"/>
                  </w:tcBorders>
                  <w:shd w:val="clear" w:color="auto" w:fill="auto"/>
                  <w:vAlign w:val="center"/>
                </w:tcPr>
                <w:p w14:paraId="3D4157CA">
                  <w:pPr>
                    <w:keepNext w:val="0"/>
                    <w:keepLines w:val="0"/>
                    <w:pageBreakBefore w:val="0"/>
                    <w:suppressLineNumbers w:val="0"/>
                    <w:kinsoku/>
                    <w:wordWrap/>
                    <w:overflowPunct/>
                    <w:topLinePunct w:val="0"/>
                    <w:autoSpaceDE/>
                    <w:autoSpaceDN/>
                    <w:bidi w:val="0"/>
                    <w:spacing w:before="0" w:beforeAutospacing="0" w:after="0" w:afterAutospacing="0" w:line="360" w:lineRule="exact"/>
                    <w:ind w:left="0" w:right="0"/>
                    <w:textAlignment w:val="auto"/>
                    <w:rPr>
                      <w:rFonts w:hint="default" w:ascii="Times New Roman" w:hAnsi="Times New Roman" w:cs="Times New Roman"/>
                      <w:b w:val="0"/>
                      <w:bCs/>
                      <w:sz w:val="20"/>
                      <w:szCs w:val="20"/>
                    </w:rPr>
                  </w:pPr>
                </w:p>
              </w:tc>
              <w:tc>
                <w:tcPr>
                  <w:tcW w:w="525"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604463A">
                  <w:pPr>
                    <w:keepNext w:val="0"/>
                    <w:keepLines w:val="0"/>
                    <w:pageBreakBefore w:val="0"/>
                    <w:suppressLineNumbers w:val="0"/>
                    <w:kinsoku/>
                    <w:wordWrap/>
                    <w:overflowPunct/>
                    <w:topLinePunct w:val="0"/>
                    <w:autoSpaceDE/>
                    <w:autoSpaceDN/>
                    <w:bidi w:val="0"/>
                    <w:spacing w:before="0" w:beforeAutospacing="0" w:after="0" w:afterAutospacing="0" w:line="360" w:lineRule="exact"/>
                    <w:ind w:left="0" w:right="0"/>
                    <w:textAlignment w:val="auto"/>
                    <w:rPr>
                      <w:rFonts w:hint="default" w:ascii="Times New Roman" w:hAnsi="Times New Roman" w:cs="Times New Roman"/>
                      <w:b w:val="0"/>
                      <w:bCs/>
                      <w:sz w:val="20"/>
                      <w:szCs w:val="20"/>
                    </w:rPr>
                  </w:pPr>
                </w:p>
              </w:tc>
              <w:tc>
                <w:tcPr>
                  <w:tcW w:w="1995" w:type="pct"/>
                  <w:tcBorders>
                    <w:top w:val="single" w:color="auto" w:sz="4" w:space="0"/>
                    <w:left w:val="single" w:color="auto" w:sz="4" w:space="0"/>
                    <w:bottom w:val="single" w:color="auto" w:sz="4" w:space="0"/>
                    <w:right w:val="single" w:color="auto" w:sz="4" w:space="0"/>
                  </w:tcBorders>
                  <w:shd w:val="clear" w:color="auto" w:fill="auto"/>
                  <w:vAlign w:val="top"/>
                </w:tcPr>
                <w:p w14:paraId="56B5980F">
                  <w:pPr>
                    <w:pStyle w:val="21"/>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both"/>
                    <w:textAlignment w:val="auto"/>
                    <w:rPr>
                      <w:rFonts w:hint="default" w:ascii="Times New Roman" w:hAnsi="宋体" w:eastAsia="宋体" w:cs="Times New Roman"/>
                      <w:b w:val="0"/>
                      <w:bCs/>
                      <w:color w:val="000000"/>
                      <w:kern w:val="0"/>
                      <w:sz w:val="21"/>
                      <w:szCs w:val="21"/>
                      <w:lang w:val="en-US" w:eastAsia="zh-CN" w:bidi="ar"/>
                    </w:rPr>
                  </w:pPr>
                  <w:r>
                    <w:rPr>
                      <w:rFonts w:hint="eastAsia" w:ascii="Times New Roman" w:hAnsi="宋体" w:eastAsia="宋体" w:cs="Times New Roman"/>
                      <w:b w:val="0"/>
                      <w:bCs/>
                      <w:color w:val="000000"/>
                      <w:kern w:val="0"/>
                      <w:sz w:val="21"/>
                      <w:szCs w:val="21"/>
                      <w:lang w:val="en-US" w:eastAsia="zh-CN" w:bidi="ar"/>
                    </w:rPr>
                    <w:t>7、鼓励粮油深加工、肉制品深加工；高性能优质钢材和装备制造用钢；化学制药、中药制造；智慧医疗技术系统、高端医疗器械等医疗产品相关产业入驻。</w:t>
                  </w:r>
                </w:p>
              </w:tc>
              <w:tc>
                <w:tcPr>
                  <w:tcW w:w="1286" w:type="pct"/>
                  <w:tcBorders>
                    <w:top w:val="single" w:color="auto" w:sz="4" w:space="0"/>
                    <w:left w:val="single" w:color="auto" w:sz="4" w:space="0"/>
                    <w:bottom w:val="single" w:color="auto" w:sz="4" w:space="0"/>
                    <w:right w:val="single" w:color="auto" w:sz="4" w:space="0"/>
                  </w:tcBorders>
                  <w:shd w:val="clear" w:color="auto" w:fill="auto"/>
                  <w:vAlign w:val="center"/>
                </w:tcPr>
                <w:p w14:paraId="42A71F6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both"/>
                    <w:textAlignment w:val="auto"/>
                    <w:rPr>
                      <w:rFonts w:hint="default" w:ascii="Times New Roman" w:hAnsi="Times New Roman" w:eastAsia="宋体" w:cs="宋体"/>
                      <w:b w:val="0"/>
                      <w:bCs/>
                      <w:iCs/>
                      <w:kern w:val="2"/>
                      <w:sz w:val="21"/>
                      <w:szCs w:val="21"/>
                      <w:lang w:val="en-US" w:eastAsia="zh-CN" w:bidi="ar"/>
                    </w:rPr>
                  </w:pPr>
                  <w:r>
                    <w:rPr>
                      <w:rFonts w:hint="eastAsia" w:cs="宋体"/>
                      <w:b w:val="0"/>
                      <w:bCs/>
                      <w:iCs/>
                      <w:kern w:val="2"/>
                      <w:sz w:val="21"/>
                      <w:szCs w:val="21"/>
                      <w:lang w:val="en-US" w:eastAsia="zh-CN" w:bidi="ar"/>
                    </w:rPr>
                    <w:t>项目不属于以上鼓励行业。</w:t>
                  </w:r>
                </w:p>
              </w:tc>
              <w:tc>
                <w:tcPr>
                  <w:tcW w:w="484" w:type="pct"/>
                  <w:vMerge w:val="continue"/>
                  <w:tcBorders>
                    <w:top w:val="single" w:color="auto" w:sz="4" w:space="0"/>
                    <w:left w:val="single" w:color="auto" w:sz="4" w:space="0"/>
                    <w:bottom w:val="single" w:color="auto" w:sz="4" w:space="0"/>
                    <w:right w:val="nil"/>
                  </w:tcBorders>
                  <w:shd w:val="clear" w:color="auto" w:fill="auto"/>
                  <w:vAlign w:val="center"/>
                </w:tcPr>
                <w:p w14:paraId="27E06A31">
                  <w:pPr>
                    <w:keepNext w:val="0"/>
                    <w:keepLines w:val="0"/>
                    <w:pageBreakBefore w:val="0"/>
                    <w:suppressLineNumbers w:val="0"/>
                    <w:kinsoku/>
                    <w:wordWrap/>
                    <w:overflowPunct/>
                    <w:topLinePunct w:val="0"/>
                    <w:autoSpaceDE/>
                    <w:autoSpaceDN/>
                    <w:bidi w:val="0"/>
                    <w:spacing w:before="0" w:beforeAutospacing="0" w:after="0" w:afterAutospacing="0" w:line="360" w:lineRule="exact"/>
                    <w:ind w:left="0" w:right="0"/>
                    <w:textAlignment w:val="auto"/>
                    <w:rPr>
                      <w:rFonts w:hint="default" w:ascii="Times New Roman" w:hAnsi="Times New Roman" w:cs="Times New Roman"/>
                      <w:b w:val="0"/>
                      <w:bCs/>
                      <w:sz w:val="20"/>
                      <w:szCs w:val="20"/>
                    </w:rPr>
                  </w:pPr>
                </w:p>
              </w:tc>
            </w:tr>
            <w:tr w14:paraId="0D9FB541">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708" w:type="pct"/>
                  <w:vMerge w:val="continue"/>
                  <w:tcBorders>
                    <w:top w:val="single" w:color="auto" w:sz="4" w:space="0"/>
                    <w:left w:val="nil"/>
                    <w:bottom w:val="single" w:color="auto" w:sz="4" w:space="0"/>
                    <w:right w:val="single" w:color="auto" w:sz="4" w:space="0"/>
                  </w:tcBorders>
                  <w:shd w:val="clear" w:color="auto" w:fill="auto"/>
                  <w:vAlign w:val="center"/>
                </w:tcPr>
                <w:p w14:paraId="24DA722A">
                  <w:pPr>
                    <w:keepNext w:val="0"/>
                    <w:keepLines w:val="0"/>
                    <w:pageBreakBefore w:val="0"/>
                    <w:suppressLineNumbers w:val="0"/>
                    <w:kinsoku/>
                    <w:wordWrap/>
                    <w:overflowPunct/>
                    <w:topLinePunct w:val="0"/>
                    <w:autoSpaceDE/>
                    <w:autoSpaceDN/>
                    <w:bidi w:val="0"/>
                    <w:spacing w:before="0" w:beforeAutospacing="0" w:after="0" w:afterAutospacing="0" w:line="360" w:lineRule="exact"/>
                    <w:ind w:left="0" w:right="0"/>
                    <w:textAlignment w:val="auto"/>
                    <w:rPr>
                      <w:rFonts w:hint="default" w:ascii="Times New Roman" w:hAnsi="Times New Roman" w:cs="Times New Roman"/>
                      <w:b w:val="0"/>
                      <w:bCs/>
                      <w:sz w:val="20"/>
                      <w:szCs w:val="20"/>
                    </w:rPr>
                  </w:pPr>
                </w:p>
              </w:tc>
              <w:tc>
                <w:tcPr>
                  <w:tcW w:w="525"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18E55C5">
                  <w:pPr>
                    <w:keepNext w:val="0"/>
                    <w:keepLines w:val="0"/>
                    <w:pageBreakBefore w:val="0"/>
                    <w:suppressLineNumbers w:val="0"/>
                    <w:kinsoku/>
                    <w:wordWrap/>
                    <w:overflowPunct/>
                    <w:topLinePunct w:val="0"/>
                    <w:autoSpaceDE/>
                    <w:autoSpaceDN/>
                    <w:bidi w:val="0"/>
                    <w:spacing w:before="0" w:beforeAutospacing="0" w:after="0" w:afterAutospacing="0" w:line="360" w:lineRule="exact"/>
                    <w:ind w:left="0" w:right="0"/>
                    <w:textAlignment w:val="auto"/>
                    <w:rPr>
                      <w:rFonts w:hint="default" w:ascii="Times New Roman" w:hAnsi="Times New Roman" w:cs="Times New Roman"/>
                      <w:b w:val="0"/>
                      <w:bCs/>
                      <w:sz w:val="20"/>
                      <w:szCs w:val="20"/>
                    </w:rPr>
                  </w:pPr>
                </w:p>
              </w:tc>
              <w:tc>
                <w:tcPr>
                  <w:tcW w:w="1995" w:type="pct"/>
                  <w:tcBorders>
                    <w:top w:val="single" w:color="auto" w:sz="4" w:space="0"/>
                    <w:left w:val="single" w:color="auto" w:sz="4" w:space="0"/>
                    <w:bottom w:val="single" w:color="auto" w:sz="4" w:space="0"/>
                    <w:right w:val="single" w:color="auto" w:sz="4" w:space="0"/>
                  </w:tcBorders>
                  <w:shd w:val="clear" w:color="auto" w:fill="auto"/>
                  <w:vAlign w:val="center"/>
                </w:tcPr>
                <w:p w14:paraId="04B415F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both"/>
                    <w:textAlignment w:val="auto"/>
                    <w:rPr>
                      <w:rFonts w:hint="eastAsia" w:eastAsia="宋体"/>
                      <w:b w:val="0"/>
                      <w:bCs/>
                      <w:szCs w:val="21"/>
                      <w:lang w:val="en-US" w:eastAsia="zh-CN"/>
                    </w:rPr>
                  </w:pPr>
                  <w:r>
                    <w:rPr>
                      <w:rFonts w:hint="eastAsia"/>
                      <w:b w:val="0"/>
                      <w:bCs/>
                      <w:szCs w:val="21"/>
                      <w:lang w:val="en-US" w:eastAsia="zh-CN"/>
                    </w:rPr>
                    <w:t>8、入驻项目应符合园区规划或规划环评的要求。</w:t>
                  </w:r>
                </w:p>
              </w:tc>
              <w:tc>
                <w:tcPr>
                  <w:tcW w:w="1286" w:type="pct"/>
                  <w:tcBorders>
                    <w:top w:val="single" w:color="auto" w:sz="4" w:space="0"/>
                    <w:left w:val="single" w:color="auto" w:sz="4" w:space="0"/>
                    <w:bottom w:val="single" w:color="auto" w:sz="4" w:space="0"/>
                    <w:right w:val="single" w:color="auto" w:sz="4" w:space="0"/>
                  </w:tcBorders>
                  <w:shd w:val="clear" w:color="auto" w:fill="auto"/>
                  <w:vAlign w:val="center"/>
                </w:tcPr>
                <w:p w14:paraId="712A242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both"/>
                    <w:textAlignment w:val="auto"/>
                    <w:rPr>
                      <w:rFonts w:hint="default" w:eastAsia="宋体"/>
                      <w:b w:val="0"/>
                      <w:bCs/>
                      <w:iCs/>
                      <w:szCs w:val="21"/>
                      <w:lang w:val="en-US" w:eastAsia="zh-CN"/>
                    </w:rPr>
                  </w:pPr>
                  <w:r>
                    <w:rPr>
                      <w:rFonts w:hint="eastAsia"/>
                      <w:b w:val="0"/>
                      <w:bCs/>
                      <w:iCs/>
                      <w:szCs w:val="21"/>
                      <w:lang w:val="en-US" w:eastAsia="zh-CN"/>
                    </w:rPr>
                    <w:t>项目建设符合园区规划及规划环评要求。</w:t>
                  </w:r>
                </w:p>
              </w:tc>
              <w:tc>
                <w:tcPr>
                  <w:tcW w:w="484" w:type="pct"/>
                  <w:vMerge w:val="continue"/>
                  <w:tcBorders>
                    <w:top w:val="single" w:color="auto" w:sz="4" w:space="0"/>
                    <w:left w:val="single" w:color="auto" w:sz="4" w:space="0"/>
                    <w:bottom w:val="single" w:color="auto" w:sz="4" w:space="0"/>
                    <w:right w:val="nil"/>
                  </w:tcBorders>
                  <w:shd w:val="clear" w:color="auto" w:fill="auto"/>
                  <w:vAlign w:val="center"/>
                </w:tcPr>
                <w:p w14:paraId="3C44028C">
                  <w:pPr>
                    <w:keepNext w:val="0"/>
                    <w:keepLines w:val="0"/>
                    <w:pageBreakBefore w:val="0"/>
                    <w:suppressLineNumbers w:val="0"/>
                    <w:kinsoku/>
                    <w:wordWrap/>
                    <w:overflowPunct/>
                    <w:topLinePunct w:val="0"/>
                    <w:autoSpaceDE/>
                    <w:autoSpaceDN/>
                    <w:bidi w:val="0"/>
                    <w:spacing w:before="0" w:beforeAutospacing="0" w:after="0" w:afterAutospacing="0" w:line="360" w:lineRule="exact"/>
                    <w:ind w:left="0" w:right="0"/>
                    <w:textAlignment w:val="auto"/>
                    <w:rPr>
                      <w:rFonts w:hint="default" w:ascii="Times New Roman" w:hAnsi="Times New Roman" w:cs="Times New Roman"/>
                      <w:b w:val="0"/>
                      <w:bCs/>
                      <w:sz w:val="20"/>
                      <w:szCs w:val="20"/>
                    </w:rPr>
                  </w:pPr>
                </w:p>
              </w:tc>
            </w:tr>
            <w:tr w14:paraId="4EE5A2DE">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708" w:type="pct"/>
                  <w:vMerge w:val="continue"/>
                  <w:tcBorders>
                    <w:top w:val="single" w:color="auto" w:sz="4" w:space="0"/>
                    <w:left w:val="nil"/>
                    <w:bottom w:val="single" w:color="auto" w:sz="4" w:space="0"/>
                    <w:right w:val="single" w:color="auto" w:sz="4" w:space="0"/>
                  </w:tcBorders>
                  <w:shd w:val="clear" w:color="auto" w:fill="auto"/>
                  <w:vAlign w:val="center"/>
                </w:tcPr>
                <w:p w14:paraId="1D1E2655">
                  <w:pPr>
                    <w:keepNext w:val="0"/>
                    <w:keepLines w:val="0"/>
                    <w:pageBreakBefore w:val="0"/>
                    <w:suppressLineNumbers w:val="0"/>
                    <w:kinsoku/>
                    <w:wordWrap/>
                    <w:overflowPunct/>
                    <w:topLinePunct w:val="0"/>
                    <w:autoSpaceDE/>
                    <w:autoSpaceDN/>
                    <w:bidi w:val="0"/>
                    <w:spacing w:before="0" w:beforeAutospacing="0" w:after="0" w:afterAutospacing="0" w:line="360" w:lineRule="exact"/>
                    <w:ind w:left="0" w:right="0"/>
                    <w:textAlignment w:val="auto"/>
                    <w:rPr>
                      <w:rFonts w:hint="default" w:ascii="Times New Roman" w:hAnsi="Times New Roman" w:cs="Times New Roman"/>
                      <w:b w:val="0"/>
                      <w:bCs/>
                      <w:sz w:val="20"/>
                      <w:szCs w:val="20"/>
                    </w:rPr>
                  </w:pPr>
                </w:p>
              </w:tc>
              <w:tc>
                <w:tcPr>
                  <w:tcW w:w="52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31258C4">
                  <w:pPr>
                    <w:pStyle w:val="21"/>
                    <w:keepNext w:val="0"/>
                    <w:keepLines w:val="0"/>
                    <w:pageBreakBefore w:val="0"/>
                    <w:widowControl/>
                    <w:suppressLineNumbers w:val="0"/>
                    <w:kinsoku/>
                    <w:wordWrap/>
                    <w:overflowPunct/>
                    <w:topLinePunct w:val="0"/>
                    <w:autoSpaceDE/>
                    <w:autoSpaceDN/>
                    <w:bidi w:val="0"/>
                    <w:spacing w:before="0" w:beforeAutospacing="0" w:after="0" w:afterAutospacing="0" w:line="360" w:lineRule="exact"/>
                    <w:ind w:left="0" w:right="0"/>
                    <w:jc w:val="center"/>
                    <w:textAlignment w:val="auto"/>
                    <w:rPr>
                      <w:rFonts w:hint="default"/>
                      <w:b w:val="0"/>
                      <w:bCs/>
                      <w:sz w:val="21"/>
                      <w:szCs w:val="21"/>
                      <w:lang w:val="en-US"/>
                    </w:rPr>
                  </w:pPr>
                  <w:r>
                    <w:rPr>
                      <w:rFonts w:hint="eastAsia" w:ascii="Times New Roman" w:hAnsi="宋体" w:eastAsia="宋体" w:cs="宋体"/>
                      <w:b w:val="0"/>
                      <w:bCs/>
                      <w:kern w:val="0"/>
                      <w:sz w:val="21"/>
                      <w:szCs w:val="21"/>
                      <w:lang w:val="en-US" w:eastAsia="zh-CN" w:bidi="ar"/>
                    </w:rPr>
                    <w:t>污染物排放管控</w:t>
                  </w:r>
                </w:p>
              </w:tc>
              <w:tc>
                <w:tcPr>
                  <w:tcW w:w="1995" w:type="pct"/>
                  <w:tcBorders>
                    <w:top w:val="single" w:color="auto" w:sz="4" w:space="0"/>
                    <w:left w:val="single" w:color="auto" w:sz="4" w:space="0"/>
                    <w:bottom w:val="single" w:color="auto" w:sz="4" w:space="0"/>
                    <w:right w:val="single" w:color="auto" w:sz="4" w:space="0"/>
                  </w:tcBorders>
                  <w:shd w:val="clear" w:color="auto" w:fill="auto"/>
                  <w:vAlign w:val="center"/>
                </w:tcPr>
                <w:p w14:paraId="5F06D3F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both"/>
                    <w:textAlignment w:val="auto"/>
                    <w:rPr>
                      <w:rFonts w:hint="default"/>
                      <w:b w:val="0"/>
                      <w:bCs/>
                      <w:szCs w:val="21"/>
                      <w:lang w:val="en-US"/>
                    </w:rPr>
                  </w:pPr>
                  <w:r>
                    <w:rPr>
                      <w:rFonts w:hint="default" w:ascii="Times New Roman" w:hAnsi="Times New Roman" w:eastAsia="宋体" w:cs="Times New Roman"/>
                      <w:b w:val="0"/>
                      <w:bCs/>
                      <w:kern w:val="2"/>
                      <w:sz w:val="21"/>
                      <w:szCs w:val="21"/>
                      <w:lang w:val="en-US" w:eastAsia="zh-CN" w:bidi="ar"/>
                    </w:rPr>
                    <w:t>1</w:t>
                  </w:r>
                  <w:r>
                    <w:rPr>
                      <w:rFonts w:hint="eastAsia" w:ascii="Times New Roman" w:hAnsi="宋体" w:eastAsia="宋体" w:cs="宋体"/>
                      <w:b w:val="0"/>
                      <w:bCs/>
                      <w:kern w:val="2"/>
                      <w:sz w:val="21"/>
                      <w:szCs w:val="21"/>
                      <w:lang w:val="en-US" w:eastAsia="zh-CN" w:bidi="ar"/>
                    </w:rPr>
                    <w:t>、严格执行污染物排放总量控制制度，采取调整能源结构、加强污染治理等措施，严格控制烟粉尘、二氧化硫、氮氧化物、可挥发性有机物等大气污染物的排放。</w:t>
                  </w:r>
                </w:p>
              </w:tc>
              <w:tc>
                <w:tcPr>
                  <w:tcW w:w="1286" w:type="pct"/>
                  <w:tcBorders>
                    <w:top w:val="single" w:color="auto" w:sz="4" w:space="0"/>
                    <w:left w:val="single" w:color="auto" w:sz="4" w:space="0"/>
                    <w:bottom w:val="single" w:color="auto" w:sz="4" w:space="0"/>
                    <w:right w:val="single" w:color="auto" w:sz="4" w:space="0"/>
                  </w:tcBorders>
                  <w:shd w:val="clear" w:color="auto" w:fill="auto"/>
                  <w:vAlign w:val="center"/>
                </w:tcPr>
                <w:p w14:paraId="05F790C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both"/>
                    <w:textAlignment w:val="auto"/>
                    <w:rPr>
                      <w:rFonts w:hint="default"/>
                      <w:b w:val="0"/>
                      <w:bCs/>
                      <w:iCs/>
                      <w:szCs w:val="21"/>
                      <w:lang w:val="en-US"/>
                    </w:rPr>
                  </w:pPr>
                  <w:r>
                    <w:rPr>
                      <w:rFonts w:hint="eastAsia" w:hAnsi="宋体" w:cs="宋体"/>
                      <w:b w:val="0"/>
                      <w:bCs/>
                      <w:kern w:val="2"/>
                      <w:sz w:val="21"/>
                      <w:szCs w:val="21"/>
                      <w:lang w:val="en-US" w:eastAsia="zh-CN" w:bidi="ar"/>
                    </w:rPr>
                    <w:t>挤出拉丝和覆膜</w:t>
                  </w:r>
                  <w:r>
                    <w:rPr>
                      <w:rFonts w:hint="eastAsia" w:ascii="Times New Roman" w:hAnsi="宋体" w:eastAsia="宋体" w:cs="宋体"/>
                      <w:b w:val="0"/>
                      <w:bCs/>
                      <w:kern w:val="2"/>
                      <w:sz w:val="21"/>
                      <w:szCs w:val="21"/>
                      <w:lang w:val="en-US" w:eastAsia="zh-CN" w:bidi="ar"/>
                    </w:rPr>
                    <w:t>工序在密闭车间内，采用密闭罩收集废气，引至有机废气处理系统，严格控制有机废气排放。</w:t>
                  </w:r>
                </w:p>
              </w:tc>
              <w:tc>
                <w:tcPr>
                  <w:tcW w:w="484" w:type="pct"/>
                  <w:vMerge w:val="restart"/>
                  <w:tcBorders>
                    <w:top w:val="single" w:color="auto" w:sz="4" w:space="0"/>
                    <w:left w:val="single" w:color="auto" w:sz="4" w:space="0"/>
                    <w:bottom w:val="single" w:color="auto" w:sz="4" w:space="0"/>
                    <w:right w:val="nil"/>
                  </w:tcBorders>
                  <w:shd w:val="clear" w:color="auto" w:fill="auto"/>
                  <w:vAlign w:val="center"/>
                </w:tcPr>
                <w:p w14:paraId="12B604F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iCs/>
                      <w:szCs w:val="21"/>
                      <w:lang w:val="en-US"/>
                    </w:rPr>
                  </w:pPr>
                  <w:r>
                    <w:rPr>
                      <w:rFonts w:hint="eastAsia" w:ascii="Times New Roman" w:hAnsi="宋体" w:eastAsia="宋体" w:cs="宋体"/>
                      <w:b w:val="0"/>
                      <w:bCs/>
                      <w:iCs/>
                      <w:kern w:val="2"/>
                      <w:sz w:val="21"/>
                      <w:szCs w:val="21"/>
                      <w:lang w:val="en-US" w:eastAsia="zh-CN" w:bidi="ar"/>
                    </w:rPr>
                    <w:t>符合</w:t>
                  </w:r>
                </w:p>
              </w:tc>
            </w:tr>
            <w:tr w14:paraId="60883BD9">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708" w:type="pct"/>
                  <w:vMerge w:val="continue"/>
                  <w:tcBorders>
                    <w:top w:val="single" w:color="auto" w:sz="4" w:space="0"/>
                    <w:left w:val="nil"/>
                    <w:bottom w:val="single" w:color="auto" w:sz="4" w:space="0"/>
                    <w:right w:val="single" w:color="auto" w:sz="4" w:space="0"/>
                  </w:tcBorders>
                  <w:shd w:val="clear" w:color="auto" w:fill="auto"/>
                  <w:vAlign w:val="center"/>
                </w:tcPr>
                <w:p w14:paraId="3C66C1C3">
                  <w:pPr>
                    <w:keepNext w:val="0"/>
                    <w:keepLines w:val="0"/>
                    <w:pageBreakBefore w:val="0"/>
                    <w:suppressLineNumbers w:val="0"/>
                    <w:kinsoku/>
                    <w:wordWrap/>
                    <w:overflowPunct/>
                    <w:topLinePunct w:val="0"/>
                    <w:autoSpaceDE/>
                    <w:autoSpaceDN/>
                    <w:bidi w:val="0"/>
                    <w:spacing w:before="0" w:beforeAutospacing="0" w:after="0" w:afterAutospacing="0" w:line="360" w:lineRule="exact"/>
                    <w:ind w:left="0" w:right="0"/>
                    <w:textAlignment w:val="auto"/>
                    <w:rPr>
                      <w:rFonts w:hint="default" w:ascii="Times New Roman" w:hAnsi="Times New Roman" w:cs="Times New Roman"/>
                      <w:b w:val="0"/>
                      <w:bCs/>
                      <w:sz w:val="20"/>
                      <w:szCs w:val="20"/>
                    </w:rPr>
                  </w:pPr>
                </w:p>
              </w:tc>
              <w:tc>
                <w:tcPr>
                  <w:tcW w:w="525"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7940ABF">
                  <w:pPr>
                    <w:keepNext w:val="0"/>
                    <w:keepLines w:val="0"/>
                    <w:pageBreakBefore w:val="0"/>
                    <w:suppressLineNumbers w:val="0"/>
                    <w:kinsoku/>
                    <w:wordWrap/>
                    <w:overflowPunct/>
                    <w:topLinePunct w:val="0"/>
                    <w:autoSpaceDE/>
                    <w:autoSpaceDN/>
                    <w:bidi w:val="0"/>
                    <w:spacing w:before="0" w:beforeAutospacing="0" w:after="0" w:afterAutospacing="0" w:line="360" w:lineRule="exact"/>
                    <w:ind w:left="0" w:right="0"/>
                    <w:textAlignment w:val="auto"/>
                    <w:rPr>
                      <w:rFonts w:hint="default" w:ascii="Times New Roman" w:hAnsi="Times New Roman" w:cs="Times New Roman"/>
                      <w:b w:val="0"/>
                      <w:bCs/>
                      <w:sz w:val="20"/>
                      <w:szCs w:val="20"/>
                    </w:rPr>
                  </w:pPr>
                </w:p>
              </w:tc>
              <w:tc>
                <w:tcPr>
                  <w:tcW w:w="1995" w:type="pct"/>
                  <w:tcBorders>
                    <w:top w:val="single" w:color="auto" w:sz="4" w:space="0"/>
                    <w:left w:val="single" w:color="auto" w:sz="4" w:space="0"/>
                    <w:bottom w:val="single" w:color="auto" w:sz="4" w:space="0"/>
                    <w:right w:val="single" w:color="auto" w:sz="4" w:space="0"/>
                  </w:tcBorders>
                  <w:shd w:val="clear" w:color="auto" w:fill="auto"/>
                  <w:vAlign w:val="center"/>
                </w:tcPr>
                <w:p w14:paraId="7262DFF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both"/>
                    <w:textAlignment w:val="auto"/>
                    <w:rPr>
                      <w:rFonts w:hint="default"/>
                      <w:b w:val="0"/>
                      <w:bCs/>
                      <w:szCs w:val="21"/>
                      <w:lang w:val="en-US"/>
                    </w:rPr>
                  </w:pPr>
                  <w:r>
                    <w:rPr>
                      <w:rFonts w:hint="default" w:ascii="Times New Roman" w:hAnsi="Times New Roman" w:eastAsia="宋体" w:cs="Times New Roman"/>
                      <w:b w:val="0"/>
                      <w:bCs/>
                      <w:kern w:val="2"/>
                      <w:sz w:val="21"/>
                      <w:szCs w:val="21"/>
                      <w:lang w:val="en-US" w:eastAsia="zh-CN" w:bidi="ar"/>
                    </w:rPr>
                    <w:t>2</w:t>
                  </w:r>
                  <w:r>
                    <w:rPr>
                      <w:rFonts w:hint="eastAsia" w:ascii="Times New Roman" w:hAnsi="Times New Roman" w:eastAsia="宋体" w:cs="宋体"/>
                      <w:b w:val="0"/>
                      <w:bCs/>
                      <w:kern w:val="2"/>
                      <w:sz w:val="21"/>
                      <w:szCs w:val="21"/>
                      <w:lang w:val="en-US" w:eastAsia="zh-CN" w:bidi="ar"/>
                    </w:rPr>
                    <w:t>、开发区内企业要做到稳定达标排放，确保污水处理厂出水执行《城镇污水处理厂污染物排放标准》（</w:t>
                  </w:r>
                  <w:r>
                    <w:rPr>
                      <w:rFonts w:hint="default" w:ascii="Times New Roman" w:hAnsi="Times New Roman" w:eastAsia="宋体" w:cs="Times New Roman"/>
                      <w:b w:val="0"/>
                      <w:bCs/>
                      <w:kern w:val="2"/>
                      <w:sz w:val="21"/>
                      <w:szCs w:val="21"/>
                      <w:lang w:val="en-US" w:eastAsia="zh-CN" w:bidi="ar"/>
                    </w:rPr>
                    <w:t>GB18918-2002</w:t>
                  </w:r>
                  <w:r>
                    <w:rPr>
                      <w:rFonts w:hint="eastAsia" w:ascii="Times New Roman" w:hAnsi="Times New Roman" w:eastAsia="宋体" w:cs="宋体"/>
                      <w:b w:val="0"/>
                      <w:bCs/>
                      <w:kern w:val="2"/>
                      <w:sz w:val="21"/>
                      <w:szCs w:val="21"/>
                      <w:lang w:val="en-US" w:eastAsia="zh-CN" w:bidi="ar"/>
                    </w:rPr>
                    <w:t>）一级标准的</w:t>
                  </w:r>
                  <w:r>
                    <w:rPr>
                      <w:rFonts w:hint="default" w:ascii="Times New Roman" w:hAnsi="Times New Roman" w:eastAsia="宋体" w:cs="Times New Roman"/>
                      <w:b w:val="0"/>
                      <w:bCs/>
                      <w:kern w:val="2"/>
                      <w:sz w:val="21"/>
                      <w:szCs w:val="21"/>
                      <w:lang w:val="en-US" w:eastAsia="zh-CN" w:bidi="ar"/>
                    </w:rPr>
                    <w:t>A</w:t>
                  </w:r>
                  <w:r>
                    <w:rPr>
                      <w:rFonts w:hint="eastAsia" w:ascii="Times New Roman" w:hAnsi="Times New Roman" w:eastAsia="宋体" w:cs="宋体"/>
                      <w:b w:val="0"/>
                      <w:bCs/>
                      <w:kern w:val="2"/>
                      <w:sz w:val="21"/>
                      <w:szCs w:val="21"/>
                      <w:lang w:val="en-US" w:eastAsia="zh-CN" w:bidi="ar"/>
                    </w:rPr>
                    <w:t>标准，减少对纳入水体的影响。</w:t>
                  </w:r>
                </w:p>
              </w:tc>
              <w:tc>
                <w:tcPr>
                  <w:tcW w:w="1286" w:type="pct"/>
                  <w:tcBorders>
                    <w:top w:val="single" w:color="auto" w:sz="4" w:space="0"/>
                    <w:left w:val="single" w:color="auto" w:sz="4" w:space="0"/>
                    <w:bottom w:val="single" w:color="auto" w:sz="4" w:space="0"/>
                    <w:right w:val="single" w:color="auto" w:sz="4" w:space="0"/>
                  </w:tcBorders>
                  <w:shd w:val="clear" w:color="auto" w:fill="auto"/>
                  <w:vAlign w:val="center"/>
                </w:tcPr>
                <w:p w14:paraId="39B333D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both"/>
                    <w:textAlignment w:val="auto"/>
                    <w:rPr>
                      <w:rFonts w:hint="default" w:hAnsi="宋体"/>
                      <w:b w:val="0"/>
                      <w:bCs/>
                      <w:iCs/>
                      <w:szCs w:val="21"/>
                      <w:lang w:val="en-US"/>
                    </w:rPr>
                  </w:pPr>
                  <w:r>
                    <w:rPr>
                      <w:rFonts w:hint="eastAsia" w:ascii="Times New Roman" w:hAnsi="宋体" w:eastAsia="宋体" w:cs="宋体"/>
                      <w:b w:val="0"/>
                      <w:bCs/>
                      <w:iCs/>
                      <w:kern w:val="2"/>
                      <w:sz w:val="21"/>
                      <w:szCs w:val="21"/>
                      <w:lang w:val="en-US" w:eastAsia="zh-CN" w:bidi="ar"/>
                    </w:rPr>
                    <w:t>项目无生产废水</w:t>
                  </w:r>
                  <w:r>
                    <w:rPr>
                      <w:rFonts w:hint="eastAsia" w:hAnsi="宋体" w:cs="宋体"/>
                      <w:b w:val="0"/>
                      <w:bCs/>
                      <w:iCs/>
                      <w:kern w:val="2"/>
                      <w:sz w:val="21"/>
                      <w:szCs w:val="21"/>
                      <w:lang w:val="en-US" w:eastAsia="zh-CN" w:bidi="ar"/>
                    </w:rPr>
                    <w:t>排放</w:t>
                  </w:r>
                  <w:r>
                    <w:rPr>
                      <w:rFonts w:hint="eastAsia" w:ascii="Times New Roman" w:hAnsi="宋体" w:eastAsia="宋体" w:cs="宋体"/>
                      <w:b w:val="0"/>
                      <w:bCs/>
                      <w:iCs/>
                      <w:kern w:val="2"/>
                      <w:sz w:val="21"/>
                      <w:szCs w:val="21"/>
                      <w:lang w:val="en-US" w:eastAsia="zh-CN" w:bidi="ar"/>
                    </w:rPr>
                    <w:t>，生活废水预处理后排入污水处理厂，能够满足进水水质要求。</w:t>
                  </w:r>
                </w:p>
              </w:tc>
              <w:tc>
                <w:tcPr>
                  <w:tcW w:w="484" w:type="pct"/>
                  <w:vMerge w:val="continue"/>
                  <w:tcBorders>
                    <w:top w:val="single" w:color="auto" w:sz="4" w:space="0"/>
                    <w:left w:val="single" w:color="auto" w:sz="4" w:space="0"/>
                    <w:bottom w:val="single" w:color="auto" w:sz="4" w:space="0"/>
                    <w:right w:val="nil"/>
                  </w:tcBorders>
                  <w:shd w:val="clear" w:color="auto" w:fill="auto"/>
                  <w:vAlign w:val="center"/>
                </w:tcPr>
                <w:p w14:paraId="57C159E4">
                  <w:pPr>
                    <w:keepNext w:val="0"/>
                    <w:keepLines w:val="0"/>
                    <w:pageBreakBefore w:val="0"/>
                    <w:suppressLineNumbers w:val="0"/>
                    <w:kinsoku/>
                    <w:wordWrap/>
                    <w:overflowPunct/>
                    <w:topLinePunct w:val="0"/>
                    <w:autoSpaceDE/>
                    <w:autoSpaceDN/>
                    <w:bidi w:val="0"/>
                    <w:spacing w:before="0" w:beforeAutospacing="0" w:after="0" w:afterAutospacing="0" w:line="360" w:lineRule="exact"/>
                    <w:ind w:left="0" w:right="0"/>
                    <w:textAlignment w:val="auto"/>
                    <w:rPr>
                      <w:rFonts w:hint="default" w:ascii="Times New Roman" w:hAnsi="Times New Roman" w:cs="Times New Roman"/>
                      <w:b w:val="0"/>
                      <w:bCs/>
                      <w:sz w:val="20"/>
                      <w:szCs w:val="20"/>
                    </w:rPr>
                  </w:pPr>
                </w:p>
              </w:tc>
            </w:tr>
            <w:tr w14:paraId="1F6DB038">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8" w:type="pct"/>
                  <w:vMerge w:val="continue"/>
                  <w:tcBorders>
                    <w:top w:val="single" w:color="auto" w:sz="4" w:space="0"/>
                    <w:left w:val="nil"/>
                    <w:bottom w:val="single" w:color="auto" w:sz="4" w:space="0"/>
                    <w:right w:val="single" w:color="auto" w:sz="4" w:space="0"/>
                  </w:tcBorders>
                  <w:shd w:val="clear" w:color="auto" w:fill="auto"/>
                  <w:vAlign w:val="center"/>
                </w:tcPr>
                <w:p w14:paraId="1A20D8D7">
                  <w:pPr>
                    <w:keepNext w:val="0"/>
                    <w:keepLines w:val="0"/>
                    <w:pageBreakBefore w:val="0"/>
                    <w:suppressLineNumbers w:val="0"/>
                    <w:kinsoku/>
                    <w:wordWrap/>
                    <w:overflowPunct/>
                    <w:topLinePunct w:val="0"/>
                    <w:autoSpaceDE/>
                    <w:autoSpaceDN/>
                    <w:bidi w:val="0"/>
                    <w:spacing w:before="0" w:beforeAutospacing="0" w:after="0" w:afterAutospacing="0" w:line="360" w:lineRule="exact"/>
                    <w:ind w:left="0" w:right="0"/>
                    <w:textAlignment w:val="auto"/>
                    <w:rPr>
                      <w:rFonts w:hint="default" w:ascii="Times New Roman" w:hAnsi="Times New Roman" w:cs="Times New Roman"/>
                      <w:b w:val="0"/>
                      <w:bCs/>
                      <w:sz w:val="20"/>
                      <w:szCs w:val="20"/>
                    </w:rPr>
                  </w:pPr>
                </w:p>
              </w:tc>
              <w:tc>
                <w:tcPr>
                  <w:tcW w:w="525"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5D4EBCD">
                  <w:pPr>
                    <w:keepNext w:val="0"/>
                    <w:keepLines w:val="0"/>
                    <w:pageBreakBefore w:val="0"/>
                    <w:suppressLineNumbers w:val="0"/>
                    <w:kinsoku/>
                    <w:wordWrap/>
                    <w:overflowPunct/>
                    <w:topLinePunct w:val="0"/>
                    <w:autoSpaceDE/>
                    <w:autoSpaceDN/>
                    <w:bidi w:val="0"/>
                    <w:spacing w:before="0" w:beforeAutospacing="0" w:after="0" w:afterAutospacing="0" w:line="360" w:lineRule="exact"/>
                    <w:ind w:left="0" w:right="0"/>
                    <w:textAlignment w:val="auto"/>
                    <w:rPr>
                      <w:rFonts w:hint="default" w:ascii="Times New Roman" w:hAnsi="Times New Roman" w:cs="Times New Roman"/>
                      <w:b w:val="0"/>
                      <w:bCs/>
                      <w:sz w:val="20"/>
                      <w:szCs w:val="20"/>
                    </w:rPr>
                  </w:pPr>
                </w:p>
              </w:tc>
              <w:tc>
                <w:tcPr>
                  <w:tcW w:w="1995" w:type="pct"/>
                  <w:tcBorders>
                    <w:top w:val="single" w:color="auto" w:sz="4" w:space="0"/>
                    <w:left w:val="single" w:color="auto" w:sz="4" w:space="0"/>
                    <w:bottom w:val="single" w:color="auto" w:sz="4" w:space="0"/>
                    <w:right w:val="single" w:color="auto" w:sz="4" w:space="0"/>
                  </w:tcBorders>
                  <w:shd w:val="clear" w:color="auto" w:fill="auto"/>
                  <w:vAlign w:val="center"/>
                </w:tcPr>
                <w:p w14:paraId="24B1707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both"/>
                    <w:textAlignment w:val="auto"/>
                    <w:rPr>
                      <w:rFonts w:hint="default"/>
                      <w:b w:val="0"/>
                      <w:bCs/>
                      <w:szCs w:val="21"/>
                      <w:lang w:val="en-US"/>
                    </w:rPr>
                  </w:pPr>
                  <w:r>
                    <w:rPr>
                      <w:rFonts w:hint="default" w:ascii="Times New Roman" w:hAnsi="Times New Roman" w:eastAsia="宋体" w:cs="Times New Roman"/>
                      <w:b w:val="0"/>
                      <w:bCs/>
                      <w:kern w:val="2"/>
                      <w:sz w:val="21"/>
                      <w:szCs w:val="21"/>
                      <w:lang w:val="en-US" w:eastAsia="zh-CN" w:bidi="ar"/>
                    </w:rPr>
                    <w:t>3</w:t>
                  </w:r>
                  <w:r>
                    <w:rPr>
                      <w:rFonts w:hint="eastAsia" w:ascii="Times New Roman" w:hAnsi="Times New Roman" w:eastAsia="宋体" w:cs="宋体"/>
                      <w:b w:val="0"/>
                      <w:bCs/>
                      <w:kern w:val="2"/>
                      <w:sz w:val="21"/>
                      <w:szCs w:val="21"/>
                      <w:lang w:val="en-US" w:eastAsia="zh-CN" w:bidi="ar"/>
                    </w:rPr>
                    <w:t>、新建“两高”项目应按照《关于加强重点行业建设项目区域削减措施监督管理的通知》要求，依据区域环境质量改善目标，制定配套区域污染物削减方案，采取有效的污染物区域削减措施，腾出足够的环境容量。</w:t>
                  </w:r>
                </w:p>
              </w:tc>
              <w:tc>
                <w:tcPr>
                  <w:tcW w:w="1286" w:type="pct"/>
                  <w:tcBorders>
                    <w:top w:val="single" w:color="auto" w:sz="4" w:space="0"/>
                    <w:left w:val="single" w:color="auto" w:sz="4" w:space="0"/>
                    <w:bottom w:val="single" w:color="auto" w:sz="4" w:space="0"/>
                    <w:right w:val="single" w:color="auto" w:sz="4" w:space="0"/>
                  </w:tcBorders>
                  <w:shd w:val="clear" w:color="auto" w:fill="auto"/>
                  <w:vAlign w:val="center"/>
                </w:tcPr>
                <w:p w14:paraId="3900AFE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both"/>
                    <w:textAlignment w:val="auto"/>
                    <w:rPr>
                      <w:rFonts w:hint="default" w:hAnsi="宋体"/>
                      <w:b w:val="0"/>
                      <w:bCs/>
                      <w:iCs/>
                      <w:szCs w:val="21"/>
                      <w:lang w:val="en-US"/>
                    </w:rPr>
                  </w:pPr>
                  <w:r>
                    <w:rPr>
                      <w:rFonts w:hint="eastAsia" w:ascii="Times New Roman" w:hAnsi="宋体" w:eastAsia="宋体" w:cs="宋体"/>
                      <w:b w:val="0"/>
                      <w:bCs/>
                      <w:iCs/>
                      <w:kern w:val="2"/>
                      <w:sz w:val="21"/>
                      <w:szCs w:val="21"/>
                      <w:lang w:val="en-US" w:eastAsia="zh-CN" w:bidi="ar"/>
                    </w:rPr>
                    <w:t>不属于两高项目。</w:t>
                  </w:r>
                </w:p>
              </w:tc>
              <w:tc>
                <w:tcPr>
                  <w:tcW w:w="484" w:type="pct"/>
                  <w:vMerge w:val="continue"/>
                  <w:tcBorders>
                    <w:top w:val="single" w:color="auto" w:sz="4" w:space="0"/>
                    <w:left w:val="single" w:color="auto" w:sz="4" w:space="0"/>
                    <w:bottom w:val="single" w:color="auto" w:sz="4" w:space="0"/>
                    <w:right w:val="nil"/>
                  </w:tcBorders>
                  <w:shd w:val="clear" w:color="auto" w:fill="auto"/>
                  <w:vAlign w:val="center"/>
                </w:tcPr>
                <w:p w14:paraId="16865FA6">
                  <w:pPr>
                    <w:keepNext w:val="0"/>
                    <w:keepLines w:val="0"/>
                    <w:pageBreakBefore w:val="0"/>
                    <w:suppressLineNumbers w:val="0"/>
                    <w:kinsoku/>
                    <w:wordWrap/>
                    <w:overflowPunct/>
                    <w:topLinePunct w:val="0"/>
                    <w:autoSpaceDE/>
                    <w:autoSpaceDN/>
                    <w:bidi w:val="0"/>
                    <w:spacing w:before="0" w:beforeAutospacing="0" w:after="0" w:afterAutospacing="0" w:line="360" w:lineRule="exact"/>
                    <w:ind w:left="0" w:right="0"/>
                    <w:textAlignment w:val="auto"/>
                    <w:rPr>
                      <w:rFonts w:hint="default" w:ascii="Times New Roman" w:hAnsi="Times New Roman" w:cs="Times New Roman"/>
                      <w:b w:val="0"/>
                      <w:bCs/>
                      <w:sz w:val="20"/>
                      <w:szCs w:val="20"/>
                    </w:rPr>
                  </w:pPr>
                </w:p>
              </w:tc>
            </w:tr>
            <w:tr w14:paraId="7912F90D">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20" w:hRule="atLeast"/>
              </w:trPr>
              <w:tc>
                <w:tcPr>
                  <w:tcW w:w="708" w:type="pct"/>
                  <w:vMerge w:val="continue"/>
                  <w:tcBorders>
                    <w:top w:val="single" w:color="auto" w:sz="4" w:space="0"/>
                    <w:left w:val="nil"/>
                    <w:bottom w:val="single" w:color="auto" w:sz="4" w:space="0"/>
                    <w:right w:val="single" w:color="auto" w:sz="4" w:space="0"/>
                  </w:tcBorders>
                  <w:shd w:val="clear" w:color="auto" w:fill="auto"/>
                  <w:vAlign w:val="center"/>
                </w:tcPr>
                <w:p w14:paraId="3EF26691">
                  <w:pPr>
                    <w:keepNext w:val="0"/>
                    <w:keepLines w:val="0"/>
                    <w:pageBreakBefore w:val="0"/>
                    <w:suppressLineNumbers w:val="0"/>
                    <w:kinsoku/>
                    <w:wordWrap/>
                    <w:overflowPunct/>
                    <w:topLinePunct w:val="0"/>
                    <w:autoSpaceDE/>
                    <w:autoSpaceDN/>
                    <w:bidi w:val="0"/>
                    <w:spacing w:before="0" w:beforeAutospacing="0" w:after="0" w:afterAutospacing="0" w:line="360" w:lineRule="exact"/>
                    <w:ind w:left="0" w:right="0"/>
                    <w:textAlignment w:val="auto"/>
                    <w:rPr>
                      <w:rFonts w:hint="default" w:ascii="Times New Roman" w:hAnsi="Times New Roman" w:cs="Times New Roman"/>
                      <w:b w:val="0"/>
                      <w:bCs/>
                      <w:sz w:val="20"/>
                      <w:szCs w:val="20"/>
                    </w:rPr>
                  </w:pPr>
                </w:p>
              </w:tc>
              <w:tc>
                <w:tcPr>
                  <w:tcW w:w="525"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E36123A">
                  <w:pPr>
                    <w:keepNext w:val="0"/>
                    <w:keepLines w:val="0"/>
                    <w:pageBreakBefore w:val="0"/>
                    <w:suppressLineNumbers w:val="0"/>
                    <w:kinsoku/>
                    <w:wordWrap/>
                    <w:overflowPunct/>
                    <w:topLinePunct w:val="0"/>
                    <w:autoSpaceDE/>
                    <w:autoSpaceDN/>
                    <w:bidi w:val="0"/>
                    <w:spacing w:before="0" w:beforeAutospacing="0" w:after="0" w:afterAutospacing="0" w:line="360" w:lineRule="exact"/>
                    <w:ind w:left="0" w:right="0"/>
                    <w:textAlignment w:val="auto"/>
                    <w:rPr>
                      <w:rFonts w:hint="default" w:ascii="Times New Roman" w:hAnsi="Times New Roman" w:cs="Times New Roman"/>
                      <w:b w:val="0"/>
                      <w:bCs/>
                      <w:sz w:val="20"/>
                      <w:szCs w:val="20"/>
                    </w:rPr>
                  </w:pPr>
                </w:p>
              </w:tc>
              <w:tc>
                <w:tcPr>
                  <w:tcW w:w="1995" w:type="pct"/>
                  <w:tcBorders>
                    <w:top w:val="single" w:color="auto" w:sz="4" w:space="0"/>
                    <w:left w:val="single" w:color="auto" w:sz="4" w:space="0"/>
                    <w:bottom w:val="single" w:color="auto" w:sz="4" w:space="0"/>
                    <w:right w:val="single" w:color="auto" w:sz="4" w:space="0"/>
                  </w:tcBorders>
                  <w:shd w:val="clear" w:color="auto" w:fill="auto"/>
                  <w:vAlign w:val="center"/>
                </w:tcPr>
                <w:p w14:paraId="0B0FBDD3">
                  <w:pPr>
                    <w:pStyle w:val="21"/>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both"/>
                    <w:textAlignment w:val="auto"/>
                    <w:rPr>
                      <w:rFonts w:hint="default" w:eastAsia="宋体"/>
                      <w:b w:val="0"/>
                      <w:bCs/>
                      <w:sz w:val="21"/>
                      <w:szCs w:val="21"/>
                      <w:lang w:val="en-US"/>
                    </w:rPr>
                  </w:pPr>
                  <w:r>
                    <w:rPr>
                      <w:rFonts w:hint="default" w:ascii="Times New Roman" w:hAnsi="Times New Roman" w:eastAsia="宋体" w:cs="Times New Roman"/>
                      <w:b w:val="0"/>
                      <w:bCs/>
                      <w:color w:val="auto"/>
                      <w:kern w:val="0"/>
                      <w:sz w:val="21"/>
                      <w:szCs w:val="21"/>
                      <w:lang w:val="en-US" w:eastAsia="zh-CN" w:bidi="ar"/>
                    </w:rPr>
                    <w:t>4</w:t>
                  </w:r>
                  <w:r>
                    <w:rPr>
                      <w:rFonts w:hint="eastAsia" w:ascii="Times New Roman" w:hAnsi="宋体" w:eastAsia="宋体" w:cs="宋体"/>
                      <w:b w:val="0"/>
                      <w:bCs/>
                      <w:color w:val="auto"/>
                      <w:kern w:val="0"/>
                      <w:sz w:val="21"/>
                      <w:szCs w:val="21"/>
                      <w:lang w:val="en-US" w:eastAsia="zh-CN" w:bidi="ar"/>
                    </w:rPr>
                    <w:t>、</w:t>
                  </w:r>
                  <w:r>
                    <w:rPr>
                      <w:rFonts w:hint="eastAsia" w:ascii="Times New Roman" w:hAnsi="宋体" w:eastAsia="宋体" w:cs="宋体"/>
                      <w:b w:val="0"/>
                      <w:bCs/>
                      <w:color w:val="000000"/>
                      <w:kern w:val="0"/>
                      <w:sz w:val="21"/>
                      <w:szCs w:val="21"/>
                      <w:lang w:val="en-US" w:eastAsia="zh-CN" w:bidi="ar"/>
                    </w:rPr>
                    <w:t>新建耗煤项目应严格按规定采取煤炭消费减量替代措施，不得使用高污染燃料作为煤炭减量替代措施。</w:t>
                  </w:r>
                </w:p>
              </w:tc>
              <w:tc>
                <w:tcPr>
                  <w:tcW w:w="1286" w:type="pct"/>
                  <w:tcBorders>
                    <w:top w:val="single" w:color="auto" w:sz="4" w:space="0"/>
                    <w:left w:val="single" w:color="auto" w:sz="4" w:space="0"/>
                    <w:bottom w:val="single" w:color="auto" w:sz="4" w:space="0"/>
                    <w:right w:val="single" w:color="auto" w:sz="4" w:space="0"/>
                  </w:tcBorders>
                  <w:shd w:val="clear" w:color="auto" w:fill="auto"/>
                  <w:vAlign w:val="center"/>
                </w:tcPr>
                <w:p w14:paraId="7B2C54B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both"/>
                    <w:textAlignment w:val="auto"/>
                    <w:rPr>
                      <w:rFonts w:hint="default"/>
                      <w:b w:val="0"/>
                      <w:bCs/>
                      <w:iCs/>
                      <w:szCs w:val="21"/>
                      <w:lang w:val="en-US"/>
                    </w:rPr>
                  </w:pPr>
                  <w:r>
                    <w:rPr>
                      <w:rFonts w:hint="eastAsia" w:ascii="Times New Roman" w:hAnsi="宋体" w:eastAsia="宋体" w:cs="宋体"/>
                      <w:b w:val="0"/>
                      <w:bCs/>
                      <w:iCs/>
                      <w:kern w:val="2"/>
                      <w:sz w:val="21"/>
                      <w:szCs w:val="21"/>
                      <w:lang w:val="en-US" w:eastAsia="zh-CN" w:bidi="ar"/>
                    </w:rPr>
                    <w:t>项目不耗煤。</w:t>
                  </w:r>
                </w:p>
              </w:tc>
              <w:tc>
                <w:tcPr>
                  <w:tcW w:w="484" w:type="pct"/>
                  <w:vMerge w:val="continue"/>
                  <w:tcBorders>
                    <w:top w:val="single" w:color="auto" w:sz="4" w:space="0"/>
                    <w:left w:val="single" w:color="auto" w:sz="4" w:space="0"/>
                    <w:bottom w:val="single" w:color="auto" w:sz="4" w:space="0"/>
                    <w:right w:val="nil"/>
                  </w:tcBorders>
                  <w:shd w:val="clear" w:color="auto" w:fill="auto"/>
                  <w:vAlign w:val="center"/>
                </w:tcPr>
                <w:p w14:paraId="0B76A509">
                  <w:pPr>
                    <w:keepNext w:val="0"/>
                    <w:keepLines w:val="0"/>
                    <w:pageBreakBefore w:val="0"/>
                    <w:suppressLineNumbers w:val="0"/>
                    <w:kinsoku/>
                    <w:wordWrap/>
                    <w:overflowPunct/>
                    <w:topLinePunct w:val="0"/>
                    <w:autoSpaceDE/>
                    <w:autoSpaceDN/>
                    <w:bidi w:val="0"/>
                    <w:spacing w:before="0" w:beforeAutospacing="0" w:after="0" w:afterAutospacing="0" w:line="360" w:lineRule="exact"/>
                    <w:ind w:left="0" w:right="0"/>
                    <w:textAlignment w:val="auto"/>
                    <w:rPr>
                      <w:rFonts w:hint="default" w:ascii="Times New Roman" w:hAnsi="Times New Roman" w:cs="Times New Roman"/>
                      <w:b w:val="0"/>
                      <w:bCs/>
                      <w:sz w:val="20"/>
                      <w:szCs w:val="20"/>
                    </w:rPr>
                  </w:pPr>
                </w:p>
              </w:tc>
            </w:tr>
            <w:tr w14:paraId="603207BB">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708" w:type="pct"/>
                  <w:vMerge w:val="continue"/>
                  <w:tcBorders>
                    <w:top w:val="single" w:color="auto" w:sz="4" w:space="0"/>
                    <w:left w:val="nil"/>
                    <w:bottom w:val="single" w:color="auto" w:sz="4" w:space="0"/>
                    <w:right w:val="single" w:color="auto" w:sz="4" w:space="0"/>
                  </w:tcBorders>
                  <w:shd w:val="clear" w:color="auto" w:fill="auto"/>
                  <w:vAlign w:val="center"/>
                </w:tcPr>
                <w:p w14:paraId="63500548">
                  <w:pPr>
                    <w:keepNext w:val="0"/>
                    <w:keepLines w:val="0"/>
                    <w:pageBreakBefore w:val="0"/>
                    <w:suppressLineNumbers w:val="0"/>
                    <w:kinsoku/>
                    <w:wordWrap/>
                    <w:overflowPunct/>
                    <w:topLinePunct w:val="0"/>
                    <w:autoSpaceDE/>
                    <w:autoSpaceDN/>
                    <w:bidi w:val="0"/>
                    <w:spacing w:before="0" w:beforeAutospacing="0" w:after="0" w:afterAutospacing="0" w:line="360" w:lineRule="exact"/>
                    <w:ind w:left="0" w:right="0"/>
                    <w:textAlignment w:val="auto"/>
                    <w:rPr>
                      <w:rFonts w:hint="default" w:ascii="Times New Roman" w:hAnsi="Times New Roman" w:cs="Times New Roman"/>
                      <w:b w:val="0"/>
                      <w:bCs/>
                      <w:sz w:val="20"/>
                      <w:szCs w:val="20"/>
                    </w:rPr>
                  </w:pPr>
                </w:p>
              </w:tc>
              <w:tc>
                <w:tcPr>
                  <w:tcW w:w="525"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8B5F332">
                  <w:pPr>
                    <w:keepNext w:val="0"/>
                    <w:keepLines w:val="0"/>
                    <w:pageBreakBefore w:val="0"/>
                    <w:suppressLineNumbers w:val="0"/>
                    <w:kinsoku/>
                    <w:wordWrap/>
                    <w:overflowPunct/>
                    <w:topLinePunct w:val="0"/>
                    <w:autoSpaceDE/>
                    <w:autoSpaceDN/>
                    <w:bidi w:val="0"/>
                    <w:spacing w:before="0" w:beforeAutospacing="0" w:after="0" w:afterAutospacing="0" w:line="360" w:lineRule="exact"/>
                    <w:ind w:left="0" w:right="0"/>
                    <w:textAlignment w:val="auto"/>
                    <w:rPr>
                      <w:rFonts w:hint="default" w:ascii="Times New Roman" w:hAnsi="Times New Roman" w:cs="Times New Roman"/>
                      <w:b w:val="0"/>
                      <w:bCs/>
                      <w:sz w:val="20"/>
                      <w:szCs w:val="20"/>
                    </w:rPr>
                  </w:pPr>
                </w:p>
              </w:tc>
              <w:tc>
                <w:tcPr>
                  <w:tcW w:w="1995" w:type="pct"/>
                  <w:tcBorders>
                    <w:top w:val="single" w:color="auto" w:sz="4" w:space="0"/>
                    <w:left w:val="single" w:color="auto" w:sz="4" w:space="0"/>
                    <w:bottom w:val="single" w:color="auto" w:sz="4" w:space="0"/>
                    <w:right w:val="single" w:color="auto" w:sz="4" w:space="0"/>
                  </w:tcBorders>
                  <w:shd w:val="clear" w:color="auto" w:fill="auto"/>
                  <w:vAlign w:val="center"/>
                </w:tcPr>
                <w:p w14:paraId="26EF5435">
                  <w:pPr>
                    <w:pStyle w:val="21"/>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both"/>
                    <w:textAlignment w:val="auto"/>
                    <w:rPr>
                      <w:rFonts w:hint="default" w:eastAsia="宋体"/>
                      <w:b w:val="0"/>
                      <w:bCs/>
                      <w:sz w:val="21"/>
                      <w:szCs w:val="21"/>
                      <w:lang w:val="en-US"/>
                    </w:rPr>
                  </w:pPr>
                  <w:r>
                    <w:rPr>
                      <w:rFonts w:hint="default" w:ascii="Times New Roman" w:hAnsi="Times New Roman" w:eastAsia="宋体" w:cs="Times New Roman"/>
                      <w:b w:val="0"/>
                      <w:bCs/>
                      <w:color w:val="auto"/>
                      <w:kern w:val="0"/>
                      <w:sz w:val="21"/>
                      <w:szCs w:val="21"/>
                      <w:lang w:val="en-US" w:eastAsia="zh-CN" w:bidi="ar"/>
                    </w:rPr>
                    <w:t>5</w:t>
                  </w:r>
                  <w:r>
                    <w:rPr>
                      <w:rFonts w:hint="eastAsia" w:ascii="Times New Roman" w:hAnsi="宋体" w:eastAsia="宋体" w:cs="宋体"/>
                      <w:b w:val="0"/>
                      <w:bCs/>
                      <w:color w:val="auto"/>
                      <w:kern w:val="0"/>
                      <w:sz w:val="21"/>
                      <w:szCs w:val="21"/>
                      <w:lang w:val="en-US" w:eastAsia="zh-CN" w:bidi="ar"/>
                    </w:rPr>
                    <w:t>、</w:t>
                  </w:r>
                  <w:r>
                    <w:rPr>
                      <w:rFonts w:hint="eastAsia" w:ascii="Times New Roman" w:hAnsi="宋体" w:eastAsia="宋体" w:cs="宋体"/>
                      <w:b w:val="0"/>
                      <w:bCs/>
                      <w:color w:val="000000"/>
                      <w:kern w:val="0"/>
                      <w:sz w:val="21"/>
                      <w:szCs w:val="21"/>
                      <w:lang w:val="en-US" w:eastAsia="zh-CN" w:bidi="ar"/>
                    </w:rPr>
                    <w:t>已出台超低排放要求的“两高”行业建设项目应满足超低排放要求。</w:t>
                  </w:r>
                </w:p>
              </w:tc>
              <w:tc>
                <w:tcPr>
                  <w:tcW w:w="1286" w:type="pct"/>
                  <w:tcBorders>
                    <w:top w:val="single" w:color="auto" w:sz="4" w:space="0"/>
                    <w:left w:val="single" w:color="auto" w:sz="4" w:space="0"/>
                    <w:bottom w:val="single" w:color="auto" w:sz="4" w:space="0"/>
                    <w:right w:val="single" w:color="auto" w:sz="4" w:space="0"/>
                  </w:tcBorders>
                  <w:shd w:val="clear" w:color="auto" w:fill="auto"/>
                  <w:vAlign w:val="center"/>
                </w:tcPr>
                <w:p w14:paraId="161D8DC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both"/>
                    <w:textAlignment w:val="auto"/>
                    <w:rPr>
                      <w:rFonts w:hint="default"/>
                      <w:b w:val="0"/>
                      <w:bCs/>
                      <w:iCs/>
                      <w:szCs w:val="21"/>
                      <w:lang w:val="en-US"/>
                    </w:rPr>
                  </w:pPr>
                  <w:r>
                    <w:rPr>
                      <w:rFonts w:hint="eastAsia" w:ascii="Times New Roman" w:hAnsi="宋体" w:eastAsia="宋体" w:cs="宋体"/>
                      <w:b w:val="0"/>
                      <w:bCs/>
                      <w:iCs/>
                      <w:kern w:val="2"/>
                      <w:sz w:val="21"/>
                      <w:szCs w:val="21"/>
                      <w:lang w:val="en-US" w:eastAsia="zh-CN" w:bidi="ar"/>
                    </w:rPr>
                    <w:t>不属于两高项目。</w:t>
                  </w:r>
                </w:p>
              </w:tc>
              <w:tc>
                <w:tcPr>
                  <w:tcW w:w="484" w:type="pct"/>
                  <w:vMerge w:val="continue"/>
                  <w:tcBorders>
                    <w:top w:val="single" w:color="auto" w:sz="4" w:space="0"/>
                    <w:left w:val="single" w:color="auto" w:sz="4" w:space="0"/>
                    <w:bottom w:val="single" w:color="auto" w:sz="4" w:space="0"/>
                    <w:right w:val="nil"/>
                  </w:tcBorders>
                  <w:shd w:val="clear" w:color="auto" w:fill="auto"/>
                  <w:vAlign w:val="center"/>
                </w:tcPr>
                <w:p w14:paraId="4DB78D02">
                  <w:pPr>
                    <w:keepNext w:val="0"/>
                    <w:keepLines w:val="0"/>
                    <w:pageBreakBefore w:val="0"/>
                    <w:suppressLineNumbers w:val="0"/>
                    <w:kinsoku/>
                    <w:wordWrap/>
                    <w:overflowPunct/>
                    <w:topLinePunct w:val="0"/>
                    <w:autoSpaceDE/>
                    <w:autoSpaceDN/>
                    <w:bidi w:val="0"/>
                    <w:spacing w:before="0" w:beforeAutospacing="0" w:after="0" w:afterAutospacing="0" w:line="360" w:lineRule="exact"/>
                    <w:ind w:left="0" w:right="0"/>
                    <w:textAlignment w:val="auto"/>
                    <w:rPr>
                      <w:rFonts w:hint="default" w:ascii="Times New Roman" w:hAnsi="Times New Roman" w:cs="Times New Roman"/>
                      <w:b w:val="0"/>
                      <w:bCs/>
                      <w:sz w:val="20"/>
                      <w:szCs w:val="20"/>
                    </w:rPr>
                  </w:pPr>
                </w:p>
              </w:tc>
            </w:tr>
            <w:tr w14:paraId="03CEC042">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PrEx>
              <w:trPr>
                <w:cantSplit/>
                <w:trHeight w:val="20" w:hRule="atLeast"/>
              </w:trPr>
              <w:tc>
                <w:tcPr>
                  <w:tcW w:w="708" w:type="pct"/>
                  <w:vMerge w:val="continue"/>
                  <w:tcBorders>
                    <w:top w:val="single" w:color="auto" w:sz="4" w:space="0"/>
                    <w:left w:val="nil"/>
                    <w:bottom w:val="single" w:color="auto" w:sz="4" w:space="0"/>
                    <w:right w:val="single" w:color="auto" w:sz="4" w:space="0"/>
                  </w:tcBorders>
                  <w:shd w:val="clear" w:color="auto" w:fill="auto"/>
                  <w:vAlign w:val="center"/>
                </w:tcPr>
                <w:p w14:paraId="509E3721">
                  <w:pPr>
                    <w:keepNext w:val="0"/>
                    <w:keepLines w:val="0"/>
                    <w:pageBreakBefore w:val="0"/>
                    <w:suppressLineNumbers w:val="0"/>
                    <w:kinsoku/>
                    <w:wordWrap/>
                    <w:overflowPunct/>
                    <w:topLinePunct w:val="0"/>
                    <w:autoSpaceDE/>
                    <w:autoSpaceDN/>
                    <w:bidi w:val="0"/>
                    <w:spacing w:before="0" w:beforeAutospacing="0" w:after="0" w:afterAutospacing="0" w:line="360" w:lineRule="exact"/>
                    <w:ind w:left="0" w:right="0"/>
                    <w:textAlignment w:val="auto"/>
                    <w:rPr>
                      <w:rFonts w:hint="default" w:ascii="Times New Roman" w:hAnsi="Times New Roman" w:cs="Times New Roman"/>
                      <w:b w:val="0"/>
                      <w:bCs/>
                      <w:sz w:val="20"/>
                      <w:szCs w:val="20"/>
                    </w:rPr>
                  </w:pPr>
                </w:p>
              </w:tc>
              <w:tc>
                <w:tcPr>
                  <w:tcW w:w="52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5F4C26C">
                  <w:pPr>
                    <w:pStyle w:val="21"/>
                    <w:keepNext w:val="0"/>
                    <w:keepLines w:val="0"/>
                    <w:pageBreakBefore w:val="0"/>
                    <w:widowControl/>
                    <w:suppressLineNumbers w:val="0"/>
                    <w:kinsoku/>
                    <w:wordWrap/>
                    <w:overflowPunct/>
                    <w:topLinePunct w:val="0"/>
                    <w:autoSpaceDE/>
                    <w:autoSpaceDN/>
                    <w:bidi w:val="0"/>
                    <w:spacing w:before="0" w:beforeAutospacing="0" w:after="0" w:afterAutospacing="0" w:line="360" w:lineRule="exact"/>
                    <w:ind w:left="0" w:right="0"/>
                    <w:jc w:val="center"/>
                    <w:textAlignment w:val="auto"/>
                    <w:rPr>
                      <w:rFonts w:hint="default"/>
                      <w:b w:val="0"/>
                      <w:bCs/>
                      <w:sz w:val="21"/>
                      <w:szCs w:val="21"/>
                      <w:lang w:val="en-US"/>
                    </w:rPr>
                  </w:pPr>
                  <w:r>
                    <w:rPr>
                      <w:rFonts w:hint="eastAsia" w:ascii="Times New Roman" w:hAnsi="宋体" w:eastAsia="宋体" w:cs="宋体"/>
                      <w:b w:val="0"/>
                      <w:bCs/>
                      <w:kern w:val="0"/>
                      <w:sz w:val="21"/>
                      <w:szCs w:val="21"/>
                      <w:lang w:val="en-US" w:eastAsia="zh-CN" w:bidi="ar"/>
                    </w:rPr>
                    <w:t>环境风险防控</w:t>
                  </w:r>
                </w:p>
              </w:tc>
              <w:tc>
                <w:tcPr>
                  <w:tcW w:w="1995" w:type="pct"/>
                  <w:tcBorders>
                    <w:top w:val="single" w:color="auto" w:sz="4" w:space="0"/>
                    <w:left w:val="single" w:color="auto" w:sz="4" w:space="0"/>
                    <w:bottom w:val="single" w:color="auto" w:sz="4" w:space="0"/>
                    <w:right w:val="single" w:color="auto" w:sz="4" w:space="0"/>
                  </w:tcBorders>
                  <w:shd w:val="clear" w:color="auto" w:fill="auto"/>
                  <w:vAlign w:val="center"/>
                </w:tcPr>
                <w:p w14:paraId="0F3E5BC1">
                  <w:pPr>
                    <w:pStyle w:val="21"/>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both"/>
                    <w:textAlignment w:val="auto"/>
                    <w:rPr>
                      <w:rFonts w:hint="default" w:eastAsia="宋体"/>
                      <w:b w:val="0"/>
                      <w:bCs/>
                      <w:color w:val="auto"/>
                      <w:sz w:val="21"/>
                      <w:szCs w:val="21"/>
                      <w:lang w:val="en-US"/>
                    </w:rPr>
                  </w:pPr>
                  <w:r>
                    <w:rPr>
                      <w:rFonts w:hint="default" w:ascii="Times New Roman" w:hAnsi="Times New Roman" w:eastAsia="宋体" w:cs="Times New Roman"/>
                      <w:b w:val="0"/>
                      <w:bCs/>
                      <w:color w:val="auto"/>
                      <w:kern w:val="0"/>
                      <w:sz w:val="21"/>
                      <w:szCs w:val="21"/>
                      <w:lang w:val="en-US" w:eastAsia="zh-CN" w:bidi="ar"/>
                    </w:rPr>
                    <w:t>1</w:t>
                  </w:r>
                  <w:r>
                    <w:rPr>
                      <w:rFonts w:hint="eastAsia" w:ascii="Times New Roman" w:hAnsi="Times New Roman" w:eastAsia="宋体" w:cs="宋体"/>
                      <w:b w:val="0"/>
                      <w:bCs/>
                      <w:color w:val="auto"/>
                      <w:kern w:val="0"/>
                      <w:sz w:val="21"/>
                      <w:szCs w:val="21"/>
                      <w:lang w:val="en-US" w:eastAsia="zh-CN" w:bidi="ar"/>
                    </w:rPr>
                    <w:t>、加快环境风险预警体系建设，严格危险化学品管理。</w:t>
                  </w:r>
                </w:p>
              </w:tc>
              <w:tc>
                <w:tcPr>
                  <w:tcW w:w="1286" w:type="pct"/>
                  <w:tcBorders>
                    <w:top w:val="single" w:color="auto" w:sz="4" w:space="0"/>
                    <w:left w:val="single" w:color="auto" w:sz="4" w:space="0"/>
                    <w:bottom w:val="single" w:color="auto" w:sz="4" w:space="0"/>
                    <w:right w:val="single" w:color="auto" w:sz="4" w:space="0"/>
                  </w:tcBorders>
                  <w:shd w:val="clear" w:color="auto" w:fill="auto"/>
                  <w:vAlign w:val="center"/>
                </w:tcPr>
                <w:p w14:paraId="6432414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both"/>
                    <w:textAlignment w:val="auto"/>
                    <w:rPr>
                      <w:rFonts w:hint="default" w:hAnsi="宋体"/>
                      <w:b w:val="0"/>
                      <w:bCs/>
                      <w:iCs/>
                      <w:szCs w:val="21"/>
                      <w:lang w:val="en-US"/>
                    </w:rPr>
                  </w:pPr>
                  <w:r>
                    <w:rPr>
                      <w:rFonts w:hint="eastAsia" w:ascii="Times New Roman" w:hAnsi="宋体" w:eastAsia="宋体" w:cs="宋体"/>
                      <w:b w:val="0"/>
                      <w:bCs/>
                      <w:iCs/>
                      <w:kern w:val="2"/>
                      <w:sz w:val="21"/>
                      <w:szCs w:val="21"/>
                      <w:lang w:val="en-US" w:eastAsia="zh-CN" w:bidi="ar"/>
                    </w:rPr>
                    <w:t>项目不涉及危险化学品。</w:t>
                  </w:r>
                </w:p>
              </w:tc>
              <w:tc>
                <w:tcPr>
                  <w:tcW w:w="484" w:type="pct"/>
                  <w:vMerge w:val="restart"/>
                  <w:tcBorders>
                    <w:top w:val="single" w:color="auto" w:sz="4" w:space="0"/>
                    <w:left w:val="single" w:color="auto" w:sz="4" w:space="0"/>
                    <w:bottom w:val="single" w:color="auto" w:sz="4" w:space="0"/>
                    <w:right w:val="nil"/>
                  </w:tcBorders>
                  <w:shd w:val="clear" w:color="auto" w:fill="auto"/>
                  <w:vAlign w:val="center"/>
                </w:tcPr>
                <w:p w14:paraId="661E492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eastAsia" w:hAnsi="宋体" w:eastAsia="宋体"/>
                      <w:b w:val="0"/>
                      <w:bCs/>
                      <w:iCs/>
                      <w:szCs w:val="21"/>
                      <w:lang w:val="en-US" w:eastAsia="zh-CN"/>
                    </w:rPr>
                  </w:pPr>
                  <w:r>
                    <w:rPr>
                      <w:rFonts w:hint="eastAsia" w:hAnsi="宋体"/>
                      <w:b w:val="0"/>
                      <w:bCs/>
                      <w:iCs/>
                      <w:szCs w:val="21"/>
                      <w:lang w:val="en-US" w:eastAsia="zh-CN"/>
                    </w:rPr>
                    <w:t>符合</w:t>
                  </w:r>
                </w:p>
              </w:tc>
            </w:tr>
            <w:tr w14:paraId="147A3EDB">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708" w:type="pct"/>
                  <w:vMerge w:val="continue"/>
                  <w:tcBorders>
                    <w:top w:val="single" w:color="auto" w:sz="4" w:space="0"/>
                    <w:left w:val="nil"/>
                    <w:bottom w:val="single" w:color="auto" w:sz="4" w:space="0"/>
                    <w:right w:val="single" w:color="auto" w:sz="4" w:space="0"/>
                  </w:tcBorders>
                  <w:shd w:val="clear" w:color="auto" w:fill="auto"/>
                  <w:vAlign w:val="center"/>
                </w:tcPr>
                <w:p w14:paraId="366DDB92">
                  <w:pPr>
                    <w:keepNext w:val="0"/>
                    <w:keepLines w:val="0"/>
                    <w:pageBreakBefore w:val="0"/>
                    <w:suppressLineNumbers w:val="0"/>
                    <w:kinsoku/>
                    <w:wordWrap/>
                    <w:overflowPunct/>
                    <w:topLinePunct w:val="0"/>
                    <w:autoSpaceDE/>
                    <w:autoSpaceDN/>
                    <w:bidi w:val="0"/>
                    <w:spacing w:before="0" w:beforeAutospacing="0" w:after="0" w:afterAutospacing="0" w:line="360" w:lineRule="exact"/>
                    <w:ind w:left="0" w:right="0"/>
                    <w:textAlignment w:val="auto"/>
                    <w:rPr>
                      <w:rFonts w:hint="default" w:ascii="Times New Roman" w:hAnsi="Times New Roman" w:cs="Times New Roman"/>
                      <w:b w:val="0"/>
                      <w:bCs/>
                      <w:sz w:val="20"/>
                      <w:szCs w:val="20"/>
                    </w:rPr>
                  </w:pPr>
                </w:p>
              </w:tc>
              <w:tc>
                <w:tcPr>
                  <w:tcW w:w="525"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AC4AC78">
                  <w:pPr>
                    <w:keepNext w:val="0"/>
                    <w:keepLines w:val="0"/>
                    <w:pageBreakBefore w:val="0"/>
                    <w:suppressLineNumbers w:val="0"/>
                    <w:kinsoku/>
                    <w:wordWrap/>
                    <w:overflowPunct/>
                    <w:topLinePunct w:val="0"/>
                    <w:autoSpaceDE/>
                    <w:autoSpaceDN/>
                    <w:bidi w:val="0"/>
                    <w:spacing w:before="0" w:beforeAutospacing="0" w:after="0" w:afterAutospacing="0" w:line="360" w:lineRule="exact"/>
                    <w:ind w:left="0" w:right="0"/>
                    <w:textAlignment w:val="auto"/>
                    <w:rPr>
                      <w:rFonts w:hint="default" w:ascii="Times New Roman" w:hAnsi="Times New Roman" w:cs="Times New Roman"/>
                      <w:b w:val="0"/>
                      <w:bCs/>
                      <w:sz w:val="20"/>
                      <w:szCs w:val="20"/>
                    </w:rPr>
                  </w:pPr>
                </w:p>
              </w:tc>
              <w:tc>
                <w:tcPr>
                  <w:tcW w:w="1995" w:type="pct"/>
                  <w:tcBorders>
                    <w:top w:val="single" w:color="auto" w:sz="4" w:space="0"/>
                    <w:left w:val="single" w:color="auto" w:sz="4" w:space="0"/>
                    <w:bottom w:val="single" w:color="auto" w:sz="4" w:space="0"/>
                    <w:right w:val="single" w:color="auto" w:sz="4" w:space="0"/>
                  </w:tcBorders>
                  <w:shd w:val="clear" w:color="auto" w:fill="auto"/>
                  <w:vAlign w:val="center"/>
                </w:tcPr>
                <w:p w14:paraId="4534103A">
                  <w:pPr>
                    <w:pStyle w:val="21"/>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both"/>
                    <w:textAlignment w:val="auto"/>
                    <w:rPr>
                      <w:rFonts w:hint="default" w:eastAsia="宋体"/>
                      <w:b w:val="0"/>
                      <w:bCs/>
                      <w:color w:val="auto"/>
                      <w:sz w:val="21"/>
                      <w:szCs w:val="21"/>
                      <w:lang w:val="en-US"/>
                    </w:rPr>
                  </w:pPr>
                  <w:r>
                    <w:rPr>
                      <w:rFonts w:hint="default" w:ascii="Times New Roman" w:hAnsi="Times New Roman" w:eastAsia="宋体" w:cs="Times New Roman"/>
                      <w:b w:val="0"/>
                      <w:bCs/>
                      <w:color w:val="auto"/>
                      <w:kern w:val="0"/>
                      <w:sz w:val="21"/>
                      <w:szCs w:val="21"/>
                      <w:lang w:val="en-US" w:eastAsia="zh-CN" w:bidi="ar"/>
                    </w:rPr>
                    <w:t>2</w:t>
                  </w:r>
                  <w:r>
                    <w:rPr>
                      <w:rFonts w:hint="eastAsia" w:ascii="Times New Roman" w:hAnsi="Times New Roman" w:eastAsia="宋体" w:cs="宋体"/>
                      <w:b w:val="0"/>
                      <w:bCs/>
                      <w:color w:val="auto"/>
                      <w:kern w:val="0"/>
                      <w:sz w:val="21"/>
                      <w:szCs w:val="21"/>
                      <w:lang w:val="en-US" w:eastAsia="zh-CN" w:bidi="ar"/>
                    </w:rPr>
                    <w:t>、建立完善有效的环境风险防控设施和有效的拦截、降污、导流等措施，防止对地表水环境造成危害。</w:t>
                  </w:r>
                </w:p>
              </w:tc>
              <w:tc>
                <w:tcPr>
                  <w:tcW w:w="1286" w:type="pct"/>
                  <w:tcBorders>
                    <w:top w:val="single" w:color="auto" w:sz="4" w:space="0"/>
                    <w:left w:val="single" w:color="auto" w:sz="4" w:space="0"/>
                    <w:bottom w:val="single" w:color="auto" w:sz="4" w:space="0"/>
                    <w:right w:val="single" w:color="auto" w:sz="4" w:space="0"/>
                  </w:tcBorders>
                  <w:shd w:val="clear" w:color="auto" w:fill="auto"/>
                  <w:vAlign w:val="center"/>
                </w:tcPr>
                <w:p w14:paraId="080A3FF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both"/>
                    <w:textAlignment w:val="auto"/>
                    <w:rPr>
                      <w:rFonts w:hint="default" w:hAnsi="宋体"/>
                      <w:b w:val="0"/>
                      <w:bCs/>
                      <w:iCs/>
                      <w:szCs w:val="21"/>
                      <w:highlight w:val="red"/>
                      <w:lang w:val="en-US"/>
                    </w:rPr>
                  </w:pPr>
                  <w:r>
                    <w:rPr>
                      <w:rFonts w:hint="eastAsia" w:ascii="Times New Roman" w:hAnsi="宋体" w:eastAsia="宋体" w:cs="宋体"/>
                      <w:b w:val="0"/>
                      <w:bCs/>
                      <w:iCs/>
                      <w:kern w:val="2"/>
                      <w:sz w:val="21"/>
                      <w:szCs w:val="21"/>
                      <w:lang w:val="en-US" w:eastAsia="zh-CN" w:bidi="ar"/>
                    </w:rPr>
                    <w:t>厂区内进行分区防渗</w:t>
                  </w:r>
                  <w:r>
                    <w:rPr>
                      <w:rFonts w:hint="eastAsia" w:ascii="宋体" w:hAnsi="宋体" w:eastAsia="宋体" w:cs="宋体"/>
                      <w:b w:val="0"/>
                      <w:bCs/>
                      <w:iCs/>
                      <w:kern w:val="2"/>
                      <w:sz w:val="21"/>
                      <w:szCs w:val="24"/>
                      <w:lang w:val="en-US" w:eastAsia="zh-CN" w:bidi="ar"/>
                    </w:rPr>
                    <w:t>，防止对地表水造成危害</w:t>
                  </w:r>
                  <w:r>
                    <w:rPr>
                      <w:rFonts w:hint="eastAsia" w:ascii="Times New Roman" w:hAnsi="宋体" w:eastAsia="宋体" w:cs="宋体"/>
                      <w:b w:val="0"/>
                      <w:bCs/>
                      <w:iCs/>
                      <w:kern w:val="2"/>
                      <w:sz w:val="21"/>
                      <w:szCs w:val="21"/>
                      <w:lang w:val="en-US" w:eastAsia="zh-CN" w:bidi="ar"/>
                    </w:rPr>
                    <w:t>。</w:t>
                  </w:r>
                </w:p>
              </w:tc>
              <w:tc>
                <w:tcPr>
                  <w:tcW w:w="484" w:type="pct"/>
                  <w:vMerge w:val="continue"/>
                  <w:tcBorders>
                    <w:top w:val="single" w:color="auto" w:sz="4" w:space="0"/>
                    <w:left w:val="single" w:color="auto" w:sz="4" w:space="0"/>
                    <w:bottom w:val="single" w:color="auto" w:sz="4" w:space="0"/>
                    <w:right w:val="nil"/>
                  </w:tcBorders>
                  <w:shd w:val="clear" w:color="auto" w:fill="auto"/>
                  <w:vAlign w:val="center"/>
                </w:tcPr>
                <w:p w14:paraId="07FD0E23">
                  <w:pPr>
                    <w:keepNext w:val="0"/>
                    <w:keepLines w:val="0"/>
                    <w:pageBreakBefore w:val="0"/>
                    <w:suppressLineNumbers w:val="0"/>
                    <w:kinsoku/>
                    <w:wordWrap/>
                    <w:overflowPunct/>
                    <w:topLinePunct w:val="0"/>
                    <w:autoSpaceDE/>
                    <w:autoSpaceDN/>
                    <w:bidi w:val="0"/>
                    <w:spacing w:before="0" w:beforeAutospacing="0" w:after="0" w:afterAutospacing="0" w:line="360" w:lineRule="exact"/>
                    <w:ind w:left="0" w:right="0"/>
                    <w:textAlignment w:val="auto"/>
                    <w:rPr>
                      <w:rFonts w:hint="default" w:ascii="Times New Roman" w:hAnsi="Times New Roman" w:cs="Times New Roman"/>
                      <w:b w:val="0"/>
                      <w:bCs/>
                      <w:sz w:val="20"/>
                      <w:szCs w:val="20"/>
                    </w:rPr>
                  </w:pPr>
                </w:p>
              </w:tc>
            </w:tr>
            <w:tr w14:paraId="1BF17B2F">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20" w:hRule="atLeast"/>
              </w:trPr>
              <w:tc>
                <w:tcPr>
                  <w:tcW w:w="708" w:type="pct"/>
                  <w:vMerge w:val="continue"/>
                  <w:tcBorders>
                    <w:top w:val="single" w:color="auto" w:sz="4" w:space="0"/>
                    <w:left w:val="nil"/>
                    <w:bottom w:val="single" w:color="auto" w:sz="4" w:space="0"/>
                    <w:right w:val="single" w:color="auto" w:sz="4" w:space="0"/>
                  </w:tcBorders>
                  <w:shd w:val="clear" w:color="auto" w:fill="auto"/>
                  <w:vAlign w:val="center"/>
                </w:tcPr>
                <w:p w14:paraId="2C5BAD26">
                  <w:pPr>
                    <w:keepNext w:val="0"/>
                    <w:keepLines w:val="0"/>
                    <w:pageBreakBefore w:val="0"/>
                    <w:suppressLineNumbers w:val="0"/>
                    <w:kinsoku/>
                    <w:wordWrap/>
                    <w:overflowPunct/>
                    <w:topLinePunct w:val="0"/>
                    <w:autoSpaceDE/>
                    <w:autoSpaceDN/>
                    <w:bidi w:val="0"/>
                    <w:spacing w:before="0" w:beforeAutospacing="0" w:after="0" w:afterAutospacing="0" w:line="360" w:lineRule="exact"/>
                    <w:ind w:left="0" w:right="0"/>
                    <w:textAlignment w:val="auto"/>
                    <w:rPr>
                      <w:rFonts w:hint="default" w:ascii="Times New Roman" w:hAnsi="Times New Roman" w:cs="Times New Roman"/>
                      <w:b w:val="0"/>
                      <w:bCs/>
                      <w:sz w:val="20"/>
                      <w:szCs w:val="20"/>
                    </w:rPr>
                  </w:pPr>
                </w:p>
              </w:tc>
              <w:tc>
                <w:tcPr>
                  <w:tcW w:w="525"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1360784">
                  <w:pPr>
                    <w:keepNext w:val="0"/>
                    <w:keepLines w:val="0"/>
                    <w:pageBreakBefore w:val="0"/>
                    <w:suppressLineNumbers w:val="0"/>
                    <w:kinsoku/>
                    <w:wordWrap/>
                    <w:overflowPunct/>
                    <w:topLinePunct w:val="0"/>
                    <w:autoSpaceDE/>
                    <w:autoSpaceDN/>
                    <w:bidi w:val="0"/>
                    <w:spacing w:before="0" w:beforeAutospacing="0" w:after="0" w:afterAutospacing="0" w:line="360" w:lineRule="exact"/>
                    <w:ind w:left="0" w:right="0"/>
                    <w:textAlignment w:val="auto"/>
                    <w:rPr>
                      <w:rFonts w:hint="default" w:ascii="Times New Roman" w:hAnsi="Times New Roman" w:cs="Times New Roman"/>
                      <w:b w:val="0"/>
                      <w:bCs/>
                      <w:sz w:val="20"/>
                      <w:szCs w:val="20"/>
                    </w:rPr>
                  </w:pPr>
                </w:p>
              </w:tc>
              <w:tc>
                <w:tcPr>
                  <w:tcW w:w="1995" w:type="pct"/>
                  <w:tcBorders>
                    <w:top w:val="single" w:color="auto" w:sz="4" w:space="0"/>
                    <w:left w:val="single" w:color="auto" w:sz="4" w:space="0"/>
                    <w:bottom w:val="single" w:color="auto" w:sz="4" w:space="0"/>
                    <w:right w:val="single" w:color="auto" w:sz="4" w:space="0"/>
                  </w:tcBorders>
                  <w:shd w:val="clear" w:color="auto" w:fill="auto"/>
                  <w:vAlign w:val="center"/>
                </w:tcPr>
                <w:p w14:paraId="33BE9F4E">
                  <w:pPr>
                    <w:pStyle w:val="21"/>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both"/>
                    <w:textAlignment w:val="auto"/>
                    <w:rPr>
                      <w:rFonts w:hint="default" w:eastAsia="宋体"/>
                      <w:b w:val="0"/>
                      <w:bCs/>
                      <w:color w:val="auto"/>
                      <w:sz w:val="21"/>
                      <w:szCs w:val="21"/>
                      <w:lang w:val="en-US"/>
                    </w:rPr>
                  </w:pPr>
                  <w:r>
                    <w:rPr>
                      <w:rFonts w:hint="default" w:ascii="Times New Roman" w:hAnsi="Times New Roman" w:eastAsia="宋体" w:cs="Times New Roman"/>
                      <w:b w:val="0"/>
                      <w:bCs/>
                      <w:color w:val="auto"/>
                      <w:kern w:val="0"/>
                      <w:sz w:val="21"/>
                      <w:szCs w:val="21"/>
                      <w:lang w:val="en-US" w:eastAsia="zh-CN" w:bidi="ar"/>
                    </w:rPr>
                    <w:t>3</w:t>
                  </w:r>
                  <w:r>
                    <w:rPr>
                      <w:rFonts w:hint="eastAsia" w:ascii="Times New Roman" w:hAnsi="Times New Roman" w:eastAsia="宋体" w:cs="宋体"/>
                      <w:b w:val="0"/>
                      <w:bCs/>
                      <w:color w:val="auto"/>
                      <w:kern w:val="0"/>
                      <w:sz w:val="21"/>
                      <w:szCs w:val="21"/>
                      <w:lang w:val="en-US" w:eastAsia="zh-CN" w:bidi="ar"/>
                    </w:rPr>
                    <w:t>、制定园区级综合环境应急预案，不断完善各类突发环境事件应急预案，有计划地组织应急培训和演练，全面提升园区风险防控和事故应急处置能力。</w:t>
                  </w:r>
                </w:p>
              </w:tc>
              <w:tc>
                <w:tcPr>
                  <w:tcW w:w="1286" w:type="pct"/>
                  <w:tcBorders>
                    <w:top w:val="single" w:color="auto" w:sz="4" w:space="0"/>
                    <w:left w:val="single" w:color="auto" w:sz="4" w:space="0"/>
                    <w:bottom w:val="single" w:color="auto" w:sz="4" w:space="0"/>
                    <w:right w:val="single" w:color="auto" w:sz="4" w:space="0"/>
                  </w:tcBorders>
                  <w:shd w:val="clear" w:color="auto" w:fill="auto"/>
                  <w:vAlign w:val="center"/>
                </w:tcPr>
                <w:p w14:paraId="4DA3AD2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both"/>
                    <w:textAlignment w:val="auto"/>
                    <w:rPr>
                      <w:rFonts w:hint="default" w:hAnsi="宋体"/>
                      <w:b w:val="0"/>
                      <w:bCs/>
                      <w:iCs/>
                      <w:szCs w:val="21"/>
                      <w:lang w:val="en-US"/>
                    </w:rPr>
                  </w:pPr>
                  <w:r>
                    <w:rPr>
                      <w:rFonts w:hint="default" w:ascii="Times New Roman" w:hAnsi="宋体" w:eastAsia="宋体" w:cs="Times New Roman"/>
                      <w:b w:val="0"/>
                      <w:bCs/>
                      <w:iCs/>
                      <w:kern w:val="2"/>
                      <w:sz w:val="21"/>
                      <w:szCs w:val="21"/>
                      <w:lang w:val="en-US" w:eastAsia="zh-CN" w:bidi="ar"/>
                    </w:rPr>
                    <w:t>/</w:t>
                  </w:r>
                </w:p>
              </w:tc>
              <w:tc>
                <w:tcPr>
                  <w:tcW w:w="484" w:type="pct"/>
                  <w:vMerge w:val="continue"/>
                  <w:tcBorders>
                    <w:top w:val="single" w:color="auto" w:sz="4" w:space="0"/>
                    <w:left w:val="single" w:color="auto" w:sz="4" w:space="0"/>
                    <w:bottom w:val="single" w:color="auto" w:sz="4" w:space="0"/>
                    <w:right w:val="nil"/>
                  </w:tcBorders>
                  <w:shd w:val="clear" w:color="auto" w:fill="auto"/>
                  <w:vAlign w:val="center"/>
                </w:tcPr>
                <w:p w14:paraId="35907245">
                  <w:pPr>
                    <w:keepNext w:val="0"/>
                    <w:keepLines w:val="0"/>
                    <w:pageBreakBefore w:val="0"/>
                    <w:suppressLineNumbers w:val="0"/>
                    <w:kinsoku/>
                    <w:wordWrap/>
                    <w:overflowPunct/>
                    <w:topLinePunct w:val="0"/>
                    <w:autoSpaceDE/>
                    <w:autoSpaceDN/>
                    <w:bidi w:val="0"/>
                    <w:spacing w:before="0" w:beforeAutospacing="0" w:after="0" w:afterAutospacing="0" w:line="360" w:lineRule="exact"/>
                    <w:ind w:left="0" w:right="0"/>
                    <w:textAlignment w:val="auto"/>
                    <w:rPr>
                      <w:rFonts w:hint="default" w:ascii="Times New Roman" w:hAnsi="Times New Roman" w:cs="Times New Roman"/>
                      <w:b w:val="0"/>
                      <w:bCs/>
                      <w:sz w:val="20"/>
                      <w:szCs w:val="20"/>
                    </w:rPr>
                  </w:pPr>
                </w:p>
              </w:tc>
            </w:tr>
            <w:tr w14:paraId="28E932F3">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8" w:type="pct"/>
                  <w:vMerge w:val="continue"/>
                  <w:tcBorders>
                    <w:top w:val="single" w:color="auto" w:sz="4" w:space="0"/>
                    <w:left w:val="nil"/>
                    <w:bottom w:val="single" w:color="auto" w:sz="4" w:space="0"/>
                    <w:right w:val="single" w:color="auto" w:sz="4" w:space="0"/>
                  </w:tcBorders>
                  <w:shd w:val="clear" w:color="auto" w:fill="auto"/>
                  <w:vAlign w:val="center"/>
                </w:tcPr>
                <w:p w14:paraId="1EC1BFFE">
                  <w:pPr>
                    <w:keepNext w:val="0"/>
                    <w:keepLines w:val="0"/>
                    <w:pageBreakBefore w:val="0"/>
                    <w:suppressLineNumbers w:val="0"/>
                    <w:kinsoku/>
                    <w:wordWrap/>
                    <w:overflowPunct/>
                    <w:topLinePunct w:val="0"/>
                    <w:autoSpaceDE/>
                    <w:autoSpaceDN/>
                    <w:bidi w:val="0"/>
                    <w:spacing w:before="0" w:beforeAutospacing="0" w:after="0" w:afterAutospacing="0" w:line="360" w:lineRule="exact"/>
                    <w:ind w:left="0" w:right="0"/>
                    <w:textAlignment w:val="auto"/>
                    <w:rPr>
                      <w:rFonts w:hint="default" w:ascii="Times New Roman" w:hAnsi="Times New Roman" w:cs="Times New Roman"/>
                      <w:b w:val="0"/>
                      <w:bCs/>
                      <w:sz w:val="20"/>
                      <w:szCs w:val="20"/>
                    </w:rPr>
                  </w:pPr>
                </w:p>
              </w:tc>
              <w:tc>
                <w:tcPr>
                  <w:tcW w:w="52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079461E">
                  <w:pPr>
                    <w:pStyle w:val="21"/>
                    <w:keepNext w:val="0"/>
                    <w:keepLines w:val="0"/>
                    <w:pageBreakBefore w:val="0"/>
                    <w:widowControl/>
                    <w:suppressLineNumbers w:val="0"/>
                    <w:kinsoku/>
                    <w:wordWrap/>
                    <w:overflowPunct/>
                    <w:topLinePunct w:val="0"/>
                    <w:autoSpaceDE/>
                    <w:autoSpaceDN/>
                    <w:bidi w:val="0"/>
                    <w:spacing w:before="0" w:beforeAutospacing="0" w:after="0" w:afterAutospacing="0" w:line="360" w:lineRule="exact"/>
                    <w:ind w:left="0" w:right="0"/>
                    <w:jc w:val="center"/>
                    <w:textAlignment w:val="auto"/>
                    <w:rPr>
                      <w:rFonts w:hint="default"/>
                      <w:b w:val="0"/>
                      <w:bCs/>
                      <w:sz w:val="21"/>
                      <w:szCs w:val="21"/>
                      <w:lang w:val="en-US"/>
                    </w:rPr>
                  </w:pPr>
                  <w:r>
                    <w:rPr>
                      <w:rFonts w:hint="eastAsia" w:ascii="Times New Roman" w:hAnsi="Times New Roman" w:eastAsia="宋体" w:cs="宋体"/>
                      <w:b w:val="0"/>
                      <w:bCs/>
                      <w:kern w:val="0"/>
                      <w:sz w:val="21"/>
                      <w:szCs w:val="21"/>
                      <w:lang w:val="en-US" w:eastAsia="zh-CN" w:bidi="ar"/>
                    </w:rPr>
                    <w:t>资源开发效率要求</w:t>
                  </w:r>
                </w:p>
              </w:tc>
              <w:tc>
                <w:tcPr>
                  <w:tcW w:w="1995" w:type="pct"/>
                  <w:tcBorders>
                    <w:top w:val="single" w:color="auto" w:sz="4" w:space="0"/>
                    <w:left w:val="single" w:color="auto" w:sz="4" w:space="0"/>
                    <w:bottom w:val="single" w:color="auto" w:sz="4" w:space="0"/>
                    <w:right w:val="single" w:color="auto" w:sz="4" w:space="0"/>
                  </w:tcBorders>
                  <w:shd w:val="clear" w:color="auto" w:fill="auto"/>
                  <w:vAlign w:val="top"/>
                </w:tcPr>
                <w:p w14:paraId="66B6946A">
                  <w:pPr>
                    <w:pStyle w:val="21"/>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both"/>
                    <w:textAlignment w:val="auto"/>
                    <w:rPr>
                      <w:rFonts w:hint="default" w:eastAsia="宋体"/>
                      <w:b w:val="0"/>
                      <w:bCs/>
                      <w:sz w:val="21"/>
                      <w:szCs w:val="21"/>
                      <w:lang w:val="en-US"/>
                    </w:rPr>
                  </w:pPr>
                  <w:r>
                    <w:rPr>
                      <w:rFonts w:hint="default" w:ascii="Times New Roman" w:hAnsi="Times New Roman" w:eastAsia="宋体" w:cs="Times New Roman"/>
                      <w:b w:val="0"/>
                      <w:bCs/>
                      <w:color w:val="auto"/>
                      <w:kern w:val="0"/>
                      <w:sz w:val="21"/>
                      <w:szCs w:val="21"/>
                      <w:lang w:val="en-US" w:eastAsia="zh-CN" w:bidi="ar"/>
                    </w:rPr>
                    <w:t>1</w:t>
                  </w:r>
                  <w:r>
                    <w:rPr>
                      <w:rFonts w:hint="eastAsia" w:ascii="Times New Roman" w:hAnsi="Times New Roman" w:eastAsia="宋体" w:cs="宋体"/>
                      <w:b w:val="0"/>
                      <w:bCs/>
                      <w:color w:val="auto"/>
                      <w:kern w:val="0"/>
                      <w:sz w:val="21"/>
                      <w:szCs w:val="21"/>
                      <w:lang w:val="en-US" w:eastAsia="zh-CN" w:bidi="ar"/>
                    </w:rPr>
                    <w:t>、新建项目的单位产品水耗、单位产品污染物排放量等清洁生产指标应达到国内同行业领先或国际先进水平，项目整体清洁生产水平应达到或超过国内清洁生产先进水平；退城入园企业的清洁生产指标应达到国内同行业先进或领先水平。</w:t>
                  </w:r>
                </w:p>
              </w:tc>
              <w:tc>
                <w:tcPr>
                  <w:tcW w:w="1286" w:type="pct"/>
                  <w:tcBorders>
                    <w:top w:val="single" w:color="auto" w:sz="4" w:space="0"/>
                    <w:left w:val="single" w:color="auto" w:sz="4" w:space="0"/>
                    <w:bottom w:val="single" w:color="auto" w:sz="4" w:space="0"/>
                    <w:right w:val="single" w:color="auto" w:sz="4" w:space="0"/>
                  </w:tcBorders>
                  <w:shd w:val="clear" w:color="auto" w:fill="auto"/>
                  <w:vAlign w:val="center"/>
                </w:tcPr>
                <w:p w14:paraId="5DC012B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both"/>
                    <w:textAlignment w:val="auto"/>
                    <w:rPr>
                      <w:rFonts w:hint="default"/>
                      <w:b w:val="0"/>
                      <w:bCs/>
                      <w:iCs/>
                      <w:szCs w:val="21"/>
                      <w:lang w:val="en-US"/>
                    </w:rPr>
                  </w:pPr>
                  <w:r>
                    <w:rPr>
                      <w:rFonts w:hint="eastAsia" w:ascii="Times New Roman" w:hAnsi="Times New Roman" w:eastAsia="宋体" w:cs="宋体"/>
                      <w:b w:val="0"/>
                      <w:bCs/>
                      <w:kern w:val="0"/>
                      <w:sz w:val="21"/>
                      <w:szCs w:val="21"/>
                      <w:lang w:val="en-US" w:eastAsia="zh-CN" w:bidi="ar"/>
                    </w:rPr>
                    <w:t>项目单位产品水耗、污染物排放等均低于同行业平均水平，</w:t>
                  </w:r>
                  <w:r>
                    <w:rPr>
                      <w:rFonts w:hint="eastAsia" w:ascii="Times New Roman" w:hAnsi="Times New Roman" w:eastAsia="宋体" w:cs="宋体"/>
                      <w:b w:val="0"/>
                      <w:bCs/>
                      <w:kern w:val="2"/>
                      <w:sz w:val="21"/>
                      <w:szCs w:val="21"/>
                      <w:lang w:val="en-US" w:eastAsia="zh-CN" w:bidi="ar"/>
                    </w:rPr>
                    <w:t>清洁生产指标达到国内同行业领先水平。</w:t>
                  </w:r>
                </w:p>
              </w:tc>
              <w:tc>
                <w:tcPr>
                  <w:tcW w:w="484" w:type="pct"/>
                  <w:vMerge w:val="restart"/>
                  <w:tcBorders>
                    <w:top w:val="single" w:color="auto" w:sz="4" w:space="0"/>
                    <w:left w:val="single" w:color="auto" w:sz="4" w:space="0"/>
                    <w:bottom w:val="single" w:color="auto" w:sz="4" w:space="0"/>
                    <w:right w:val="nil"/>
                  </w:tcBorders>
                  <w:shd w:val="clear" w:color="auto" w:fill="auto"/>
                  <w:vAlign w:val="center"/>
                </w:tcPr>
                <w:p w14:paraId="647757C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iCs/>
                      <w:szCs w:val="21"/>
                      <w:lang w:val="en-US"/>
                    </w:rPr>
                  </w:pPr>
                  <w:r>
                    <w:rPr>
                      <w:rFonts w:hint="eastAsia" w:ascii="Times New Roman" w:hAnsi="宋体" w:eastAsia="宋体" w:cs="宋体"/>
                      <w:b w:val="0"/>
                      <w:bCs/>
                      <w:iCs/>
                      <w:kern w:val="2"/>
                      <w:sz w:val="21"/>
                      <w:szCs w:val="21"/>
                      <w:lang w:val="en-US" w:eastAsia="zh-CN" w:bidi="ar"/>
                    </w:rPr>
                    <w:t>符合</w:t>
                  </w:r>
                </w:p>
              </w:tc>
            </w:tr>
            <w:tr w14:paraId="1C4CD88F">
              <w:tblPrEx>
                <w:tblBorders>
                  <w:top w:val="single" w:color="auto" w:sz="4" w:space="0"/>
                  <w:left w:val="none" w:color="auto" w:sz="4" w:space="0"/>
                  <w:bottom w:val="single" w:color="auto" w:sz="4" w:space="0"/>
                  <w:right w:val="non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708" w:type="pct"/>
                  <w:vMerge w:val="continue"/>
                  <w:tcBorders>
                    <w:top w:val="single" w:color="auto" w:sz="4" w:space="0"/>
                    <w:left w:val="nil"/>
                    <w:bottom w:val="single" w:color="auto" w:sz="4" w:space="0"/>
                    <w:right w:val="single" w:color="auto" w:sz="4" w:space="0"/>
                  </w:tcBorders>
                  <w:shd w:val="clear" w:color="auto" w:fill="auto"/>
                  <w:vAlign w:val="center"/>
                </w:tcPr>
                <w:p w14:paraId="49B677E2">
                  <w:pPr>
                    <w:keepNext w:val="0"/>
                    <w:keepLines w:val="0"/>
                    <w:pageBreakBefore w:val="0"/>
                    <w:suppressLineNumbers w:val="0"/>
                    <w:kinsoku/>
                    <w:wordWrap/>
                    <w:overflowPunct/>
                    <w:topLinePunct w:val="0"/>
                    <w:autoSpaceDE/>
                    <w:autoSpaceDN/>
                    <w:bidi w:val="0"/>
                    <w:spacing w:before="0" w:beforeAutospacing="0" w:after="0" w:afterAutospacing="0" w:line="360" w:lineRule="exact"/>
                    <w:ind w:left="0" w:right="0"/>
                    <w:textAlignment w:val="auto"/>
                    <w:rPr>
                      <w:rFonts w:hint="default" w:ascii="Times New Roman" w:hAnsi="Times New Roman" w:cs="Times New Roman"/>
                      <w:b w:val="0"/>
                      <w:bCs/>
                      <w:sz w:val="20"/>
                      <w:szCs w:val="20"/>
                    </w:rPr>
                  </w:pPr>
                </w:p>
              </w:tc>
              <w:tc>
                <w:tcPr>
                  <w:tcW w:w="525"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16A9B1A">
                  <w:pPr>
                    <w:keepNext w:val="0"/>
                    <w:keepLines w:val="0"/>
                    <w:pageBreakBefore w:val="0"/>
                    <w:suppressLineNumbers w:val="0"/>
                    <w:kinsoku/>
                    <w:wordWrap/>
                    <w:overflowPunct/>
                    <w:topLinePunct w:val="0"/>
                    <w:autoSpaceDE/>
                    <w:autoSpaceDN/>
                    <w:bidi w:val="0"/>
                    <w:spacing w:before="0" w:beforeAutospacing="0" w:after="0" w:afterAutospacing="0" w:line="360" w:lineRule="exact"/>
                    <w:ind w:left="0" w:right="0"/>
                    <w:textAlignment w:val="auto"/>
                    <w:rPr>
                      <w:rFonts w:hint="default" w:ascii="Times New Roman" w:hAnsi="Times New Roman" w:cs="Times New Roman"/>
                      <w:b w:val="0"/>
                      <w:bCs/>
                      <w:sz w:val="20"/>
                      <w:szCs w:val="20"/>
                    </w:rPr>
                  </w:pPr>
                </w:p>
              </w:tc>
              <w:tc>
                <w:tcPr>
                  <w:tcW w:w="1995" w:type="pct"/>
                  <w:tcBorders>
                    <w:top w:val="single" w:color="auto" w:sz="4" w:space="0"/>
                    <w:left w:val="single" w:color="auto" w:sz="4" w:space="0"/>
                    <w:bottom w:val="single" w:color="auto" w:sz="4" w:space="0"/>
                    <w:right w:val="single" w:color="auto" w:sz="4" w:space="0"/>
                  </w:tcBorders>
                  <w:shd w:val="clear" w:color="auto" w:fill="auto"/>
                  <w:vAlign w:val="center"/>
                </w:tcPr>
                <w:p w14:paraId="2F0C064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both"/>
                    <w:textAlignment w:val="auto"/>
                    <w:rPr>
                      <w:rFonts w:hint="default"/>
                      <w:b w:val="0"/>
                      <w:bCs/>
                      <w:szCs w:val="21"/>
                      <w:lang w:val="en-US"/>
                    </w:rPr>
                  </w:pPr>
                  <w:r>
                    <w:rPr>
                      <w:rFonts w:hint="default" w:ascii="Times New Roman" w:hAnsi="Times New Roman" w:eastAsia="宋体" w:cs="Times New Roman"/>
                      <w:b w:val="0"/>
                      <w:bCs/>
                      <w:kern w:val="2"/>
                      <w:sz w:val="21"/>
                      <w:szCs w:val="21"/>
                      <w:lang w:val="en-US" w:eastAsia="zh-CN" w:bidi="ar"/>
                    </w:rPr>
                    <w:t>2</w:t>
                  </w:r>
                  <w:r>
                    <w:rPr>
                      <w:rFonts w:hint="eastAsia" w:ascii="Times New Roman" w:hAnsi="宋体" w:eastAsia="宋体" w:cs="宋体"/>
                      <w:b w:val="0"/>
                      <w:bCs/>
                      <w:kern w:val="2"/>
                      <w:sz w:val="21"/>
                      <w:szCs w:val="21"/>
                      <w:lang w:val="en-US" w:eastAsia="zh-CN" w:bidi="ar"/>
                    </w:rPr>
                    <w:t>、集聚区单位</w:t>
                  </w:r>
                  <w:r>
                    <w:rPr>
                      <w:rFonts w:hint="default" w:ascii="Times New Roman" w:hAnsi="宋体" w:eastAsia="宋体" w:cs="Times New Roman"/>
                      <w:b w:val="0"/>
                      <w:bCs/>
                      <w:kern w:val="2"/>
                      <w:sz w:val="21"/>
                      <w:szCs w:val="21"/>
                      <w:lang w:val="en-US" w:eastAsia="zh-CN" w:bidi="ar"/>
                    </w:rPr>
                    <w:t>GDP</w:t>
                  </w:r>
                  <w:r>
                    <w:rPr>
                      <w:rFonts w:hint="eastAsia" w:ascii="Times New Roman" w:hAnsi="宋体" w:eastAsia="宋体" w:cs="宋体"/>
                      <w:b w:val="0"/>
                      <w:bCs/>
                      <w:kern w:val="2"/>
                      <w:sz w:val="21"/>
                      <w:szCs w:val="21"/>
                      <w:lang w:val="en-US" w:eastAsia="zh-CN" w:bidi="ar"/>
                    </w:rPr>
                    <w:t>新鲜水耗≤</w:t>
                  </w:r>
                  <w:r>
                    <w:rPr>
                      <w:rFonts w:hint="default" w:ascii="Times New Roman" w:hAnsi="宋体" w:eastAsia="宋体" w:cs="Times New Roman"/>
                      <w:b w:val="0"/>
                      <w:bCs/>
                      <w:kern w:val="2"/>
                      <w:sz w:val="21"/>
                      <w:szCs w:val="21"/>
                      <w:lang w:val="en-US" w:eastAsia="zh-CN" w:bidi="ar"/>
                    </w:rPr>
                    <w:t>9m</w:t>
                  </w:r>
                  <w:r>
                    <w:rPr>
                      <w:rFonts w:hint="default" w:ascii="Times New Roman" w:hAnsi="宋体" w:eastAsia="宋体" w:cs="Times New Roman"/>
                      <w:b w:val="0"/>
                      <w:bCs/>
                      <w:kern w:val="2"/>
                      <w:sz w:val="21"/>
                      <w:szCs w:val="21"/>
                      <w:vertAlign w:val="superscript"/>
                      <w:lang w:val="en-US" w:eastAsia="zh-CN" w:bidi="ar"/>
                    </w:rPr>
                    <w:t>3</w:t>
                  </w:r>
                  <w:r>
                    <w:rPr>
                      <w:rFonts w:hint="default" w:ascii="Times New Roman" w:hAnsi="宋体" w:eastAsia="宋体" w:cs="Times New Roman"/>
                      <w:b w:val="0"/>
                      <w:bCs/>
                      <w:kern w:val="2"/>
                      <w:sz w:val="21"/>
                      <w:szCs w:val="21"/>
                      <w:lang w:val="en-US" w:eastAsia="zh-CN" w:bidi="ar"/>
                    </w:rPr>
                    <w:t>/</w:t>
                  </w:r>
                  <w:r>
                    <w:rPr>
                      <w:rFonts w:hint="eastAsia" w:ascii="Times New Roman" w:hAnsi="宋体" w:eastAsia="宋体" w:cs="宋体"/>
                      <w:b w:val="0"/>
                      <w:bCs/>
                      <w:kern w:val="2"/>
                      <w:sz w:val="21"/>
                      <w:szCs w:val="21"/>
                      <w:lang w:val="en-US" w:eastAsia="zh-CN" w:bidi="ar"/>
                    </w:rPr>
                    <w:t>万元。</w:t>
                  </w:r>
                </w:p>
              </w:tc>
              <w:tc>
                <w:tcPr>
                  <w:tcW w:w="1286" w:type="pct"/>
                  <w:tcBorders>
                    <w:top w:val="single" w:color="auto" w:sz="4" w:space="0"/>
                    <w:left w:val="single" w:color="auto" w:sz="4" w:space="0"/>
                    <w:bottom w:val="single" w:color="auto" w:sz="4" w:space="0"/>
                    <w:right w:val="single" w:color="auto" w:sz="4" w:space="0"/>
                  </w:tcBorders>
                  <w:shd w:val="clear" w:color="auto" w:fill="auto"/>
                  <w:vAlign w:val="center"/>
                </w:tcPr>
                <w:p w14:paraId="767AA73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both"/>
                    <w:textAlignment w:val="auto"/>
                    <w:rPr>
                      <w:rFonts w:hint="default" w:hAnsi="宋体"/>
                      <w:b w:val="0"/>
                      <w:bCs/>
                      <w:szCs w:val="21"/>
                      <w:lang w:val="en-US"/>
                    </w:rPr>
                  </w:pPr>
                  <w:r>
                    <w:rPr>
                      <w:rFonts w:hint="eastAsia" w:ascii="Times New Roman" w:hAnsi="宋体" w:eastAsia="宋体" w:cs="宋体"/>
                      <w:b w:val="0"/>
                      <w:bCs/>
                      <w:kern w:val="2"/>
                      <w:sz w:val="21"/>
                      <w:szCs w:val="21"/>
                      <w:lang w:val="en-US" w:eastAsia="zh-CN" w:bidi="ar"/>
                    </w:rPr>
                    <w:t>本项目单位</w:t>
                  </w:r>
                  <w:r>
                    <w:rPr>
                      <w:rFonts w:hint="default" w:ascii="Times New Roman" w:hAnsi="宋体" w:eastAsia="宋体" w:cs="Times New Roman"/>
                      <w:b w:val="0"/>
                      <w:bCs/>
                      <w:kern w:val="2"/>
                      <w:sz w:val="21"/>
                      <w:szCs w:val="21"/>
                      <w:lang w:val="en-US" w:eastAsia="zh-CN" w:bidi="ar"/>
                    </w:rPr>
                    <w:t>GDP</w:t>
                  </w:r>
                  <w:r>
                    <w:rPr>
                      <w:rFonts w:hint="eastAsia" w:ascii="Times New Roman" w:hAnsi="宋体" w:eastAsia="宋体" w:cs="宋体"/>
                      <w:b w:val="0"/>
                      <w:bCs/>
                      <w:kern w:val="2"/>
                      <w:sz w:val="21"/>
                      <w:szCs w:val="21"/>
                      <w:lang w:val="en-US" w:eastAsia="zh-CN" w:bidi="ar"/>
                    </w:rPr>
                    <w:t>新鲜水耗</w:t>
                  </w:r>
                  <w:r>
                    <w:rPr>
                      <w:rFonts w:hint="eastAsia" w:hAnsi="宋体" w:cs="宋体"/>
                      <w:b w:val="0"/>
                      <w:bCs/>
                      <w:kern w:val="2"/>
                      <w:sz w:val="21"/>
                      <w:szCs w:val="21"/>
                      <w:lang w:val="en-US" w:eastAsia="zh-CN" w:bidi="ar"/>
                    </w:rPr>
                    <w:t>小于</w:t>
                  </w:r>
                  <w:r>
                    <w:rPr>
                      <w:rFonts w:hint="default" w:ascii="Times New Roman" w:hAnsi="宋体" w:eastAsia="宋体" w:cs="Times New Roman"/>
                      <w:b w:val="0"/>
                      <w:bCs/>
                      <w:kern w:val="2"/>
                      <w:sz w:val="21"/>
                      <w:szCs w:val="21"/>
                      <w:lang w:val="en-US" w:eastAsia="zh-CN" w:bidi="ar"/>
                    </w:rPr>
                    <w:t>0.1m</w:t>
                  </w:r>
                  <w:r>
                    <w:rPr>
                      <w:rFonts w:hint="default" w:ascii="Times New Roman" w:hAnsi="宋体" w:eastAsia="宋体" w:cs="Times New Roman"/>
                      <w:b w:val="0"/>
                      <w:bCs/>
                      <w:kern w:val="2"/>
                      <w:sz w:val="21"/>
                      <w:szCs w:val="21"/>
                      <w:vertAlign w:val="superscript"/>
                      <w:lang w:val="en-US" w:eastAsia="zh-CN" w:bidi="ar"/>
                    </w:rPr>
                    <w:t>3</w:t>
                  </w:r>
                  <w:r>
                    <w:rPr>
                      <w:rFonts w:hint="default" w:ascii="Times New Roman" w:hAnsi="宋体" w:eastAsia="宋体" w:cs="Times New Roman"/>
                      <w:b w:val="0"/>
                      <w:bCs/>
                      <w:kern w:val="2"/>
                      <w:sz w:val="21"/>
                      <w:szCs w:val="21"/>
                      <w:lang w:val="en-US" w:eastAsia="zh-CN" w:bidi="ar"/>
                    </w:rPr>
                    <w:t>/</w:t>
                  </w:r>
                  <w:r>
                    <w:rPr>
                      <w:rFonts w:hint="eastAsia" w:ascii="Times New Roman" w:hAnsi="宋体" w:eastAsia="宋体" w:cs="宋体"/>
                      <w:b w:val="0"/>
                      <w:bCs/>
                      <w:kern w:val="2"/>
                      <w:sz w:val="21"/>
                      <w:szCs w:val="21"/>
                      <w:lang w:val="en-US" w:eastAsia="zh-CN" w:bidi="ar"/>
                    </w:rPr>
                    <w:t>万元</w:t>
                  </w:r>
                  <w:r>
                    <w:rPr>
                      <w:rFonts w:hint="eastAsia" w:hAnsi="宋体" w:cs="宋体"/>
                      <w:b w:val="0"/>
                      <w:bCs/>
                      <w:kern w:val="2"/>
                      <w:sz w:val="21"/>
                      <w:szCs w:val="21"/>
                      <w:lang w:val="en-US" w:eastAsia="zh-CN" w:bidi="ar"/>
                    </w:rPr>
                    <w:t>，满足要求</w:t>
                  </w:r>
                  <w:r>
                    <w:rPr>
                      <w:rFonts w:hint="eastAsia" w:ascii="Times New Roman" w:hAnsi="宋体" w:eastAsia="宋体" w:cs="宋体"/>
                      <w:b w:val="0"/>
                      <w:bCs/>
                      <w:kern w:val="2"/>
                      <w:sz w:val="21"/>
                      <w:szCs w:val="21"/>
                      <w:lang w:val="en-US" w:eastAsia="zh-CN" w:bidi="ar"/>
                    </w:rPr>
                    <w:t>。</w:t>
                  </w:r>
                </w:p>
              </w:tc>
              <w:tc>
                <w:tcPr>
                  <w:tcW w:w="484" w:type="pct"/>
                  <w:vMerge w:val="continue"/>
                  <w:tcBorders>
                    <w:top w:val="single" w:color="auto" w:sz="4" w:space="0"/>
                    <w:left w:val="single" w:color="auto" w:sz="4" w:space="0"/>
                    <w:bottom w:val="single" w:color="auto" w:sz="4" w:space="0"/>
                    <w:right w:val="nil"/>
                  </w:tcBorders>
                  <w:shd w:val="clear" w:color="auto" w:fill="auto"/>
                  <w:vAlign w:val="center"/>
                </w:tcPr>
                <w:p w14:paraId="6526C021">
                  <w:pPr>
                    <w:keepNext w:val="0"/>
                    <w:keepLines w:val="0"/>
                    <w:pageBreakBefore w:val="0"/>
                    <w:suppressLineNumbers w:val="0"/>
                    <w:kinsoku/>
                    <w:wordWrap/>
                    <w:overflowPunct/>
                    <w:topLinePunct w:val="0"/>
                    <w:autoSpaceDE/>
                    <w:autoSpaceDN/>
                    <w:bidi w:val="0"/>
                    <w:spacing w:before="0" w:beforeAutospacing="0" w:after="0" w:afterAutospacing="0" w:line="360" w:lineRule="exact"/>
                    <w:ind w:left="0" w:right="0"/>
                    <w:textAlignment w:val="auto"/>
                    <w:rPr>
                      <w:rFonts w:hint="default" w:ascii="Times New Roman" w:hAnsi="Times New Roman" w:cs="Times New Roman"/>
                      <w:b w:val="0"/>
                      <w:bCs/>
                      <w:sz w:val="20"/>
                      <w:szCs w:val="20"/>
                    </w:rPr>
                  </w:pPr>
                </w:p>
              </w:tc>
            </w:tr>
          </w:tbl>
          <w:p w14:paraId="37448FFB">
            <w:pPr>
              <w:pStyle w:val="66"/>
              <w:keepNext w:val="0"/>
              <w:keepLines w:val="0"/>
              <w:pageBreakBefore w:val="0"/>
              <w:widowControl w:val="0"/>
              <w:suppressLineNumbers w:val="0"/>
              <w:kinsoku/>
              <w:wordWrap/>
              <w:overflowPunct/>
              <w:topLinePunct w:val="0"/>
              <w:autoSpaceDE/>
              <w:autoSpaceDN/>
              <w:bidi w:val="0"/>
              <w:adjustRightInd w:val="0"/>
              <w:snapToGrid/>
              <w:spacing w:before="0" w:beforeLines="0" w:beforeAutospacing="0" w:after="0" w:afterAutospacing="0" w:line="520" w:lineRule="exact"/>
              <w:ind w:left="0" w:leftChars="0" w:right="0" w:firstLine="480" w:firstLineChars="200"/>
              <w:textAlignment w:val="auto"/>
              <w:rPr>
                <w:rFonts w:hint="eastAsia"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14:textFill>
                  <w14:solidFill>
                    <w14:schemeClr w14:val="tx1"/>
                  </w14:solidFill>
                </w14:textFill>
              </w:rPr>
              <w:t>本</w:t>
            </w:r>
            <w:r>
              <w:rPr>
                <w:rFonts w:hint="eastAsia" w:ascii="Times New Roman" w:eastAsia="宋体" w:cs="Times New Roman"/>
                <w:color w:val="000000" w:themeColor="text1"/>
                <w:sz w:val="24"/>
                <w:szCs w:val="24"/>
                <w:lang w:val="en-US" w:eastAsia="zh-CN"/>
                <w14:textFill>
                  <w14:solidFill>
                    <w14:schemeClr w14:val="tx1"/>
                  </w14:solidFill>
                </w14:textFill>
              </w:rPr>
              <w:t>项目</w:t>
            </w:r>
            <w:r>
              <w:rPr>
                <w:rFonts w:hint="default" w:ascii="Times New Roman" w:hAnsi="Times New Roman" w:eastAsia="宋体" w:cs="Times New Roman"/>
                <w:color w:val="000000" w:themeColor="text1"/>
                <w:sz w:val="24"/>
                <w:szCs w:val="24"/>
                <w:lang w:val="en-US"/>
                <w14:textFill>
                  <w14:solidFill>
                    <w14:schemeClr w14:val="tx1"/>
                  </w14:solidFill>
                </w14:textFill>
              </w:rPr>
              <w:t>符合</w:t>
            </w:r>
            <w:r>
              <w:rPr>
                <w:rFonts w:hint="eastAsia" w:ascii="Times New Roman" w:eastAsia="宋体" w:cs="Times New Roman"/>
                <w:color w:val="000000" w:themeColor="text1"/>
                <w:sz w:val="24"/>
                <w:szCs w:val="24"/>
                <w:lang w:val="en-US" w:eastAsia="zh-CN"/>
                <w14:textFill>
                  <w14:solidFill>
                    <w14:schemeClr w14:val="tx1"/>
                  </w14:solidFill>
                </w14:textFill>
              </w:rPr>
              <w:t>安阳市</w:t>
            </w:r>
            <w:r>
              <w:rPr>
                <w:rFonts w:hint="eastAsia" w:ascii="Times New Roman" w:hAnsi="Times New Roman" w:eastAsia="宋体" w:cs="Times New Roman"/>
                <w:color w:val="000000"/>
                <w:kern w:val="2"/>
                <w:sz w:val="24"/>
                <w:szCs w:val="24"/>
                <w:lang w:val="en-US" w:eastAsia="zh-CN" w:bidi="ar"/>
              </w:rPr>
              <w:t>及汤阴县</w:t>
            </w:r>
            <w:r>
              <w:rPr>
                <w:rFonts w:hint="default" w:ascii="Times New Roman" w:hAnsi="Times New Roman" w:eastAsia="宋体" w:cs="Times New Roman"/>
                <w:color w:val="000000" w:themeColor="text1"/>
                <w:sz w:val="24"/>
                <w:szCs w:val="24"/>
                <w:lang w:val="en-US"/>
                <w14:textFill>
                  <w14:solidFill>
                    <w14:schemeClr w14:val="tx1"/>
                  </w14:solidFill>
                </w14:textFill>
              </w:rPr>
              <w:t>“三线一单”</w:t>
            </w:r>
            <w:r>
              <w:rPr>
                <w:rFonts w:hint="eastAsia" w:ascii="Times New Roman" w:eastAsia="宋体" w:cs="Times New Roman"/>
                <w:color w:val="000000" w:themeColor="text1"/>
                <w:sz w:val="24"/>
                <w:szCs w:val="24"/>
                <w:lang w:val="en-US" w:eastAsia="zh-CN"/>
                <w14:textFill>
                  <w14:solidFill>
                    <w14:schemeClr w14:val="tx1"/>
                  </w14:solidFill>
                </w14:textFill>
              </w:rPr>
              <w:t>生态环境准入清单管控</w:t>
            </w:r>
            <w:r>
              <w:rPr>
                <w:rFonts w:hint="default" w:ascii="Times New Roman" w:hAnsi="Times New Roman" w:eastAsia="宋体" w:cs="Times New Roman"/>
                <w:color w:val="000000" w:themeColor="text1"/>
                <w:sz w:val="24"/>
                <w:szCs w:val="24"/>
                <w:lang w:val="en-US"/>
                <w14:textFill>
                  <w14:solidFill>
                    <w14:schemeClr w14:val="tx1"/>
                  </w14:solidFill>
                </w14:textFill>
              </w:rPr>
              <w:t>要求。</w:t>
            </w:r>
          </w:p>
          <w:p w14:paraId="27BCFF9A">
            <w:pPr>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Lines="0" w:beforeAutospacing="0" w:after="0" w:afterAutospacing="0" w:line="520" w:lineRule="exact"/>
              <w:ind w:left="0" w:right="0"/>
              <w:textAlignment w:val="auto"/>
              <w:outlineLvl w:val="0"/>
              <w:rPr>
                <w:rFonts w:hint="eastAsia" w:ascii="Times New Roman" w:hAnsi="Times New Roman" w:eastAsia="宋体" w:cs="Times New Roman"/>
                <w:b w:val="0"/>
                <w:bCs w:val="0"/>
                <w:color w:val="000000" w:themeColor="text1"/>
                <w:sz w:val="24"/>
                <w:szCs w:val="24"/>
                <w:lang w:val="en-US" w:eastAsia="zh-CN"/>
                <w14:textFill>
                  <w14:solidFill>
                    <w14:schemeClr w14:val="tx1"/>
                  </w14:solidFill>
                </w14:textFill>
              </w:rPr>
            </w:pPr>
            <w:bookmarkStart w:id="9" w:name="_Toc20019"/>
            <w:bookmarkStart w:id="10" w:name="_Toc8543"/>
            <w:r>
              <w:rPr>
                <w:rFonts w:hint="eastAsia" w:ascii="Times New Roman" w:hAnsi="Times New Roman" w:eastAsia="宋体" w:cs="Times New Roman"/>
                <w:b w:val="0"/>
                <w:bCs w:val="0"/>
                <w:color w:val="000000" w:themeColor="text1"/>
                <w:sz w:val="24"/>
                <w:szCs w:val="24"/>
                <w:lang w:val="en-US" w:eastAsia="zh-CN"/>
                <w14:textFill>
                  <w14:solidFill>
                    <w14:schemeClr w14:val="tx1"/>
                  </w14:solidFill>
                </w14:textFill>
              </w:rPr>
              <w:t>二、产业政策相符性</w:t>
            </w:r>
            <w:bookmarkEnd w:id="9"/>
            <w:bookmarkEnd w:id="10"/>
          </w:p>
          <w:p w14:paraId="2ECCEF11">
            <w:pPr>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Lines="0" w:beforeAutospacing="0" w:after="0" w:afterAutospacing="0" w:line="520" w:lineRule="exact"/>
              <w:ind w:left="0" w:right="0" w:firstLine="480" w:firstLineChars="200"/>
              <w:textAlignment w:val="auto"/>
              <w:outlineLvl w:val="0"/>
              <w:rPr>
                <w:rFonts w:hint="eastAsia" w:ascii="Times New Roman" w:hAnsi="Times New Roman" w:eastAsia="宋体" w:cs="Times New Roman"/>
                <w:b w:val="0"/>
                <w:bCs w:val="0"/>
                <w:color w:val="000000" w:themeColor="text1"/>
                <w:sz w:val="24"/>
                <w:szCs w:val="24"/>
                <w:lang w:val="en-US" w:eastAsia="zh-CN"/>
                <w14:textFill>
                  <w14:solidFill>
                    <w14:schemeClr w14:val="tx1"/>
                  </w14:solidFill>
                </w14:textFill>
              </w:rPr>
            </w:pPr>
            <w:bookmarkStart w:id="11" w:name="_Toc6823"/>
            <w:bookmarkStart w:id="12" w:name="_Toc17651"/>
            <w:r>
              <w:rPr>
                <w:rFonts w:hint="eastAsia" w:ascii="Times New Roman" w:hAnsi="Times New Roman" w:eastAsia="宋体" w:cs="Times New Roman"/>
                <w:b w:val="0"/>
                <w:bCs w:val="0"/>
                <w:color w:val="000000" w:themeColor="text1"/>
                <w:sz w:val="24"/>
                <w:szCs w:val="24"/>
                <w:lang w:val="en-US" w:eastAsia="zh-CN"/>
                <w14:textFill>
                  <w14:solidFill>
                    <w14:schemeClr w14:val="tx1"/>
                  </w14:solidFill>
                </w14:textFill>
              </w:rPr>
              <w:t>经查阅《产业结构调整指导目录（20</w:t>
            </w:r>
            <w:r>
              <w:rPr>
                <w:rFonts w:hint="eastAsia" w:cs="Times New Roman"/>
                <w:b w:val="0"/>
                <w:bCs w:val="0"/>
                <w:color w:val="000000" w:themeColor="text1"/>
                <w:sz w:val="24"/>
                <w:szCs w:val="24"/>
                <w:lang w:val="en-US" w:eastAsia="zh-CN"/>
                <w14:textFill>
                  <w14:solidFill>
                    <w14:schemeClr w14:val="tx1"/>
                  </w14:solidFill>
                </w14:textFill>
              </w:rPr>
              <w:t>24</w:t>
            </w:r>
            <w:r>
              <w:rPr>
                <w:rFonts w:hint="eastAsia" w:ascii="Times New Roman" w:hAnsi="Times New Roman" w:eastAsia="宋体" w:cs="Times New Roman"/>
                <w:b w:val="0"/>
                <w:bCs w:val="0"/>
                <w:color w:val="000000" w:themeColor="text1"/>
                <w:sz w:val="24"/>
                <w:szCs w:val="24"/>
                <w:lang w:val="en-US" w:eastAsia="zh-CN"/>
                <w14:textFill>
                  <w14:solidFill>
                    <w14:schemeClr w14:val="tx1"/>
                  </w14:solidFill>
                </w14:textFill>
              </w:rPr>
              <w:t>年本）》，本项目产品、工艺、设备均不属于鼓励类、限制类或淘汰类</w:t>
            </w:r>
            <w:r>
              <w:rPr>
                <w:rFonts w:hint="eastAsia" w:cs="Times New Roman"/>
                <w:b w:val="0"/>
                <w:bCs w:val="0"/>
                <w:color w:val="000000" w:themeColor="text1"/>
                <w:sz w:val="24"/>
                <w:szCs w:val="24"/>
                <w:lang w:val="en-US" w:eastAsia="zh-CN"/>
                <w14:textFill>
                  <w14:solidFill>
                    <w14:schemeClr w14:val="tx1"/>
                  </w14:solidFill>
                </w14:textFill>
              </w:rPr>
              <w:t>，</w:t>
            </w:r>
            <w:r>
              <w:rPr>
                <w:rFonts w:hint="eastAsia" w:ascii="Times New Roman" w:hAnsi="Times New Roman" w:eastAsia="宋体" w:cs="Times New Roman"/>
                <w:b w:val="0"/>
                <w:bCs w:val="0"/>
                <w:color w:val="000000" w:themeColor="text1"/>
                <w:sz w:val="24"/>
                <w:szCs w:val="24"/>
                <w:lang w:val="en-US" w:eastAsia="zh-CN"/>
                <w14:textFill>
                  <w14:solidFill>
                    <w14:schemeClr w14:val="tx1"/>
                  </w14:solidFill>
                </w14:textFill>
              </w:rPr>
              <w:t>符合国家产业政策要求。该项目已在</w:t>
            </w:r>
            <w:r>
              <w:rPr>
                <w:rFonts w:hint="eastAsia" w:cs="Times New Roman"/>
                <w:color w:val="000000" w:themeColor="text1"/>
                <w:sz w:val="24"/>
                <w:szCs w:val="24"/>
                <w:lang w:val="en-US" w:eastAsia="zh-CN"/>
                <w14:textFill>
                  <w14:solidFill>
                    <w14:schemeClr w14:val="tx1"/>
                  </w14:solidFill>
                </w14:textFill>
              </w:rPr>
              <w:t>汤阴县发展和改革委员会</w:t>
            </w:r>
            <w:r>
              <w:rPr>
                <w:rFonts w:hint="eastAsia" w:ascii="Times New Roman" w:hAnsi="Times New Roman" w:eastAsia="宋体" w:cs="Times New Roman"/>
                <w:b w:val="0"/>
                <w:bCs w:val="0"/>
                <w:color w:val="000000" w:themeColor="text1"/>
                <w:sz w:val="24"/>
                <w:szCs w:val="24"/>
                <w:lang w:val="en-US" w:eastAsia="zh-CN"/>
                <w14:textFill>
                  <w14:solidFill>
                    <w14:schemeClr w14:val="tx1"/>
                  </w14:solidFill>
                </w14:textFill>
              </w:rPr>
              <w:t>备案。</w:t>
            </w:r>
            <w:bookmarkEnd w:id="11"/>
            <w:bookmarkEnd w:id="12"/>
          </w:p>
          <w:p w14:paraId="260E9FAD">
            <w:pPr>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Lines="0" w:beforeAutospacing="0" w:after="0" w:afterAutospacing="0" w:line="520" w:lineRule="exact"/>
              <w:ind w:left="0" w:right="0"/>
              <w:textAlignment w:val="auto"/>
              <w:outlineLvl w:val="0"/>
              <w:rPr>
                <w:rFonts w:hint="eastAsia" w:cs="Times New Roman"/>
                <w:b w:val="0"/>
                <w:bCs w:val="0"/>
                <w:color w:val="000000" w:themeColor="text1"/>
                <w:sz w:val="24"/>
                <w:szCs w:val="24"/>
                <w:highlight w:val="none"/>
                <w:lang w:val="en-US" w:eastAsia="zh-CN"/>
                <w14:textFill>
                  <w14:solidFill>
                    <w14:schemeClr w14:val="tx1"/>
                  </w14:solidFill>
                </w14:textFill>
              </w:rPr>
            </w:pPr>
            <w:bookmarkStart w:id="13" w:name="_Toc11940"/>
            <w:r>
              <w:rPr>
                <w:rFonts w:hint="eastAsia" w:cs="Times New Roman"/>
                <w:b w:val="0"/>
                <w:bCs w:val="0"/>
                <w:color w:val="000000" w:themeColor="text1"/>
                <w:sz w:val="24"/>
                <w:szCs w:val="24"/>
                <w:highlight w:val="none"/>
                <w:lang w:val="en-US" w:eastAsia="zh-CN"/>
                <w14:textFill>
                  <w14:solidFill>
                    <w14:schemeClr w14:val="tx1"/>
                  </w14:solidFill>
                </w14:textFill>
              </w:rPr>
              <w:t>三、土地规划符合性分析</w:t>
            </w:r>
            <w:bookmarkEnd w:id="13"/>
          </w:p>
          <w:p w14:paraId="66837BB7">
            <w:pPr>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Lines="0" w:beforeAutospacing="0" w:after="0" w:afterAutospacing="0" w:line="520" w:lineRule="exact"/>
              <w:ind w:left="0" w:right="0" w:firstLine="480" w:firstLineChars="200"/>
              <w:textAlignment w:val="auto"/>
              <w:outlineLvl w:val="9"/>
              <w:rPr>
                <w:rFonts w:hint="default" w:ascii="Times New Roman" w:hAnsi="Times New Roman" w:cs="Times New Roman"/>
                <w:color w:val="000000" w:themeColor="text1"/>
                <w:sz w:val="24"/>
                <w:szCs w:val="24"/>
                <w:highlight w:val="none"/>
                <w:lang w:val="en-US" w:eastAsia="zh-CN"/>
                <w14:textFill>
                  <w14:solidFill>
                    <w14:schemeClr w14:val="tx1"/>
                  </w14:solidFill>
                </w14:textFill>
              </w:rPr>
            </w:pPr>
            <w:bookmarkStart w:id="14" w:name="_Toc30713"/>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本</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项目</w:t>
            </w:r>
            <w:r>
              <w:rPr>
                <w:rFonts w:hint="eastAsia" w:cs="Times New Roman"/>
                <w:color w:val="000000" w:themeColor="text1"/>
                <w:sz w:val="24"/>
                <w:szCs w:val="24"/>
                <w:highlight w:val="none"/>
                <w:lang w:val="en-US" w:eastAsia="zh-CN"/>
                <w14:textFill>
                  <w14:solidFill>
                    <w14:schemeClr w14:val="tx1"/>
                  </w14:solidFill>
                </w14:textFill>
              </w:rPr>
              <w:t>租赁</w:t>
            </w:r>
            <w:r>
              <w:rPr>
                <w:rFonts w:hint="eastAsia" w:cs="宋体"/>
                <w:kern w:val="2"/>
                <w:sz w:val="24"/>
                <w:szCs w:val="24"/>
                <w:lang w:val="en-US" w:eastAsia="zh-CN" w:bidi="ar"/>
              </w:rPr>
              <w:t>安阳睿恒数控机床股份有限公司现有厂房建设，</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依据</w:t>
            </w:r>
            <w:r>
              <w:rPr>
                <w:rFonts w:hint="eastAsia" w:cs="Times New Roman"/>
                <w:color w:val="000000" w:themeColor="text1"/>
                <w:sz w:val="24"/>
                <w:szCs w:val="24"/>
                <w:highlight w:val="none"/>
                <w:lang w:val="en-US" w:eastAsia="zh-CN"/>
                <w14:textFill>
                  <w14:solidFill>
                    <w14:schemeClr w14:val="tx1"/>
                  </w14:solidFill>
                </w14:textFill>
              </w:rPr>
              <w:t>其土地证，占地用途为工业用地，</w:t>
            </w:r>
            <w:r>
              <w:rPr>
                <w:rFonts w:hint="eastAsia" w:ascii="Times New Roman" w:hAnsi="Times New Roman" w:eastAsia="宋体" w:cs="Times New Roman"/>
                <w:kern w:val="2"/>
                <w:sz w:val="24"/>
                <w:szCs w:val="24"/>
                <w:lang w:val="en-US" w:eastAsia="zh-CN" w:bidi="ar"/>
              </w:rPr>
              <w:t>项目建设与土地性质相符。</w:t>
            </w:r>
          </w:p>
          <w:bookmarkEnd w:id="14"/>
          <w:p w14:paraId="32FF61AE">
            <w:pPr>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Lines="0" w:beforeAutospacing="0" w:after="0" w:afterAutospacing="0" w:line="520" w:lineRule="exact"/>
              <w:ind w:left="0" w:right="0"/>
              <w:textAlignment w:val="auto"/>
              <w:outlineLvl w:val="0"/>
              <w:rPr>
                <w:rFonts w:hint="eastAsia" w:cs="Times New Roman"/>
                <w:b w:val="0"/>
                <w:bCs w:val="0"/>
                <w:color w:val="000000" w:themeColor="text1"/>
                <w:sz w:val="24"/>
                <w:szCs w:val="24"/>
                <w:lang w:val="en-US" w:eastAsia="zh-CN"/>
                <w14:textFill>
                  <w14:solidFill>
                    <w14:schemeClr w14:val="tx1"/>
                  </w14:solidFill>
                </w14:textFill>
              </w:rPr>
            </w:pPr>
            <w:bookmarkStart w:id="15" w:name="_Toc15792"/>
            <w:r>
              <w:rPr>
                <w:rFonts w:hint="eastAsia" w:cs="Times New Roman"/>
                <w:b w:val="0"/>
                <w:bCs w:val="0"/>
                <w:color w:val="000000" w:themeColor="text1"/>
                <w:sz w:val="24"/>
                <w:szCs w:val="24"/>
                <w:lang w:val="en-US" w:eastAsia="zh-CN"/>
                <w14:textFill>
                  <w14:solidFill>
                    <w14:schemeClr w14:val="tx1"/>
                  </w14:solidFill>
                </w14:textFill>
              </w:rPr>
              <w:t>四、</w:t>
            </w:r>
            <w:bookmarkStart w:id="16" w:name="_Toc466645946"/>
            <w:bookmarkStart w:id="17" w:name="_Toc459714925"/>
            <w:bookmarkStart w:id="18" w:name="_Toc453855790"/>
            <w:bookmarkStart w:id="19" w:name="_Toc459189471"/>
            <w:bookmarkStart w:id="20" w:name="_Toc21458"/>
            <w:r>
              <w:rPr>
                <w:rFonts w:hint="default" w:cs="Times New Roman"/>
                <w:b w:val="0"/>
                <w:bCs w:val="0"/>
                <w:color w:val="000000" w:themeColor="text1"/>
                <w:sz w:val="24"/>
                <w:szCs w:val="24"/>
                <w:lang w:val="en-US" w:eastAsia="zh-CN"/>
                <w14:textFill>
                  <w14:solidFill>
                    <w14:schemeClr w14:val="tx1"/>
                  </w14:solidFill>
                </w14:textFill>
              </w:rPr>
              <w:t>饮用水水源保护区</w:t>
            </w:r>
            <w:bookmarkEnd w:id="16"/>
            <w:bookmarkEnd w:id="17"/>
            <w:bookmarkEnd w:id="18"/>
            <w:bookmarkEnd w:id="19"/>
            <w:r>
              <w:rPr>
                <w:rFonts w:hint="eastAsia" w:cs="Times New Roman"/>
                <w:b w:val="0"/>
                <w:bCs w:val="0"/>
                <w:color w:val="000000" w:themeColor="text1"/>
                <w:sz w:val="24"/>
                <w:szCs w:val="24"/>
                <w:lang w:val="en-US" w:eastAsia="zh-CN"/>
                <w14:textFill>
                  <w14:solidFill>
                    <w14:schemeClr w14:val="tx1"/>
                  </w14:solidFill>
                </w14:textFill>
              </w:rPr>
              <w:t>规划</w:t>
            </w:r>
            <w:bookmarkEnd w:id="15"/>
            <w:bookmarkEnd w:id="20"/>
          </w:p>
          <w:p w14:paraId="249073B8">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520" w:lineRule="exact"/>
              <w:ind w:left="0" w:right="0" w:firstLine="480" w:firstLineChars="200"/>
              <w:jc w:val="both"/>
              <w:textAlignment w:val="auto"/>
              <w:rPr>
                <w:rFonts w:hint="default" w:ascii="Times New Roman" w:hAnsi="Times New Roman" w:eastAsia="宋体" w:cs="宋体"/>
                <w:kern w:val="2"/>
                <w:sz w:val="24"/>
                <w:szCs w:val="24"/>
                <w:lang w:val="en-US" w:eastAsia="zh-CN" w:bidi="ar"/>
              </w:rPr>
            </w:pPr>
            <w:r>
              <w:rPr>
                <w:rFonts w:hint="eastAsia" w:ascii="Times New Roman" w:hAnsi="Times New Roman" w:eastAsia="宋体" w:cs="宋体"/>
                <w:kern w:val="2"/>
                <w:sz w:val="24"/>
                <w:szCs w:val="24"/>
                <w:lang w:val="en-US" w:eastAsia="zh-CN" w:bidi="ar"/>
              </w:rPr>
              <w:t>（1）</w:t>
            </w:r>
            <w:r>
              <w:rPr>
                <w:rFonts w:hint="eastAsia" w:cs="宋体"/>
                <w:kern w:val="2"/>
                <w:sz w:val="24"/>
                <w:szCs w:val="24"/>
                <w:lang w:val="en-US" w:eastAsia="zh-CN" w:bidi="ar"/>
              </w:rPr>
              <w:t>南水北调饮用水水源保护区</w:t>
            </w:r>
          </w:p>
          <w:p w14:paraId="76FCDA12">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520" w:lineRule="exact"/>
              <w:ind w:left="0" w:right="0" w:firstLine="480" w:firstLineChars="200"/>
              <w:jc w:val="both"/>
              <w:textAlignment w:val="auto"/>
              <w:rPr>
                <w:rFonts w:hint="default"/>
                <w:sz w:val="24"/>
                <w:szCs w:val="24"/>
                <w:lang w:val="en-US"/>
              </w:rPr>
            </w:pPr>
            <w:r>
              <w:rPr>
                <w:rFonts w:hint="eastAsia" w:ascii="Times New Roman" w:hAnsi="Times New Roman" w:eastAsia="宋体" w:cs="宋体"/>
                <w:kern w:val="2"/>
                <w:sz w:val="24"/>
                <w:szCs w:val="24"/>
                <w:lang w:val="en-US" w:eastAsia="zh-CN" w:bidi="ar"/>
              </w:rPr>
              <w:t>根据《河南省南水北调中线工程建设领导小组办公室</w:t>
            </w:r>
            <w:r>
              <w:rPr>
                <w:rFonts w:hint="default" w:ascii="Times New Roman" w:hAnsi="Times New Roman" w:eastAsia="宋体" w:cs="Times New Roman"/>
                <w:kern w:val="2"/>
                <w:sz w:val="24"/>
                <w:szCs w:val="24"/>
                <w:lang w:val="en-US" w:eastAsia="zh-CN" w:bidi="ar"/>
              </w:rPr>
              <w:t xml:space="preserve"> </w:t>
            </w:r>
            <w:r>
              <w:rPr>
                <w:rFonts w:hint="eastAsia" w:ascii="Times New Roman" w:hAnsi="Times New Roman" w:eastAsia="宋体" w:cs="宋体"/>
                <w:kern w:val="2"/>
                <w:sz w:val="24"/>
                <w:szCs w:val="24"/>
                <w:lang w:val="en-US" w:eastAsia="zh-CN" w:bidi="ar"/>
              </w:rPr>
              <w:t>河南省环境保护厅</w:t>
            </w:r>
            <w:r>
              <w:rPr>
                <w:rFonts w:hint="default" w:ascii="Times New Roman" w:hAnsi="Times New Roman" w:eastAsia="宋体" w:cs="Times New Roman"/>
                <w:kern w:val="2"/>
                <w:sz w:val="24"/>
                <w:szCs w:val="24"/>
                <w:lang w:val="en-US" w:eastAsia="zh-CN" w:bidi="ar"/>
              </w:rPr>
              <w:t xml:space="preserve"> </w:t>
            </w:r>
            <w:r>
              <w:rPr>
                <w:rFonts w:hint="eastAsia" w:ascii="Times New Roman" w:hAnsi="Times New Roman" w:eastAsia="宋体" w:cs="宋体"/>
                <w:kern w:val="2"/>
                <w:sz w:val="24"/>
                <w:szCs w:val="24"/>
                <w:lang w:val="en-US" w:eastAsia="zh-CN" w:bidi="ar"/>
              </w:rPr>
              <w:t>河南省水利厅</w:t>
            </w:r>
            <w:r>
              <w:rPr>
                <w:rFonts w:hint="default" w:ascii="Times New Roman" w:hAnsi="Times New Roman" w:eastAsia="宋体" w:cs="Times New Roman"/>
                <w:kern w:val="2"/>
                <w:sz w:val="24"/>
                <w:szCs w:val="24"/>
                <w:lang w:val="en-US" w:eastAsia="zh-CN" w:bidi="ar"/>
              </w:rPr>
              <w:t xml:space="preserve"> </w:t>
            </w:r>
            <w:r>
              <w:rPr>
                <w:rFonts w:hint="eastAsia" w:ascii="Times New Roman" w:hAnsi="Times New Roman" w:eastAsia="宋体" w:cs="宋体"/>
                <w:kern w:val="2"/>
                <w:sz w:val="24"/>
                <w:szCs w:val="24"/>
                <w:lang w:val="en-US" w:eastAsia="zh-CN" w:bidi="ar"/>
              </w:rPr>
              <w:t>河南省国土资源厅关于印发南水北调中线一期工程总干渠（河南段）两侧饮用水水源保护区划定的通知》（豫调办</w:t>
            </w:r>
            <w:r>
              <w:rPr>
                <w:rFonts w:hint="default" w:ascii="Times New Roman" w:hAnsi="Times New Roman" w:eastAsia="宋体" w:cs="Times New Roman"/>
                <w:kern w:val="2"/>
                <w:sz w:val="24"/>
                <w:szCs w:val="24"/>
                <w:lang w:val="en-US" w:eastAsia="zh-CN" w:bidi="ar"/>
              </w:rPr>
              <w:t>[2018]56</w:t>
            </w:r>
            <w:r>
              <w:rPr>
                <w:rFonts w:hint="eastAsia" w:ascii="Times New Roman" w:hAnsi="Times New Roman" w:eastAsia="宋体" w:cs="宋体"/>
                <w:kern w:val="2"/>
                <w:sz w:val="24"/>
                <w:szCs w:val="24"/>
                <w:lang w:val="en-US" w:eastAsia="zh-CN" w:bidi="ar"/>
              </w:rPr>
              <w:t>号），南水北调中线一期工程总干渠在河南省境内的工程类型分为建筑物段和总干渠明渠段。</w:t>
            </w:r>
          </w:p>
          <w:p w14:paraId="3C1EF5B7">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520" w:lineRule="exact"/>
              <w:ind w:left="0" w:right="0" w:firstLine="480" w:firstLineChars="200"/>
              <w:jc w:val="both"/>
              <w:textAlignment w:val="auto"/>
              <w:rPr>
                <w:rFonts w:hint="default"/>
                <w:sz w:val="24"/>
                <w:szCs w:val="24"/>
                <w:lang w:val="en-US"/>
              </w:rPr>
            </w:pPr>
            <w:r>
              <w:rPr>
                <w:rFonts w:hint="eastAsia" w:ascii="Times New Roman" w:hAnsi="Times New Roman" w:eastAsia="宋体" w:cs="宋体"/>
                <w:kern w:val="2"/>
                <w:sz w:val="24"/>
                <w:szCs w:val="24"/>
                <w:lang w:val="en-US" w:eastAsia="zh-CN" w:bidi="ar"/>
              </w:rPr>
              <w:t>（一）建筑物段（渡槽、倒虹吸、暗涵、涵洞）</w:t>
            </w:r>
          </w:p>
          <w:p w14:paraId="1F3750B9">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520" w:lineRule="exact"/>
              <w:ind w:left="0" w:right="0" w:firstLine="480" w:firstLineChars="200"/>
              <w:jc w:val="both"/>
              <w:textAlignment w:val="auto"/>
              <w:rPr>
                <w:rFonts w:hint="default"/>
                <w:sz w:val="24"/>
                <w:szCs w:val="24"/>
                <w:lang w:val="en-US"/>
              </w:rPr>
            </w:pPr>
            <w:r>
              <w:rPr>
                <w:rFonts w:hint="eastAsia" w:ascii="Times New Roman" w:hAnsi="Times New Roman" w:eastAsia="宋体" w:cs="宋体"/>
                <w:kern w:val="2"/>
                <w:sz w:val="24"/>
                <w:szCs w:val="24"/>
                <w:lang w:val="en-US" w:eastAsia="zh-CN" w:bidi="ar"/>
              </w:rPr>
              <w:t>一级保护区范围自总干渠管理范围边线（防护栏网）外延</w:t>
            </w:r>
            <w:r>
              <w:rPr>
                <w:rFonts w:hint="default" w:ascii="Times New Roman" w:hAnsi="Times New Roman" w:eastAsia="宋体" w:cs="Times New Roman"/>
                <w:kern w:val="2"/>
                <w:sz w:val="24"/>
                <w:szCs w:val="24"/>
                <w:lang w:val="en-US" w:eastAsia="zh-CN" w:bidi="ar"/>
              </w:rPr>
              <w:t>50</w:t>
            </w:r>
            <w:r>
              <w:rPr>
                <w:rFonts w:hint="eastAsia" w:ascii="Times New Roman" w:hAnsi="Times New Roman" w:eastAsia="宋体" w:cs="宋体"/>
                <w:kern w:val="2"/>
                <w:sz w:val="24"/>
                <w:szCs w:val="24"/>
                <w:lang w:val="en-US" w:eastAsia="zh-CN" w:bidi="ar"/>
              </w:rPr>
              <w:t>米，不设二级保护区。</w:t>
            </w:r>
          </w:p>
          <w:p w14:paraId="74147A76">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520" w:lineRule="exact"/>
              <w:ind w:left="0" w:right="0" w:firstLine="480" w:firstLineChars="200"/>
              <w:jc w:val="both"/>
              <w:textAlignment w:val="auto"/>
              <w:rPr>
                <w:rFonts w:hint="default"/>
                <w:sz w:val="24"/>
                <w:szCs w:val="24"/>
                <w:lang w:val="en-US"/>
              </w:rPr>
            </w:pPr>
            <w:r>
              <w:rPr>
                <w:rFonts w:hint="eastAsia" w:ascii="Times New Roman" w:hAnsi="Times New Roman" w:eastAsia="宋体" w:cs="宋体"/>
                <w:kern w:val="2"/>
                <w:sz w:val="24"/>
                <w:szCs w:val="24"/>
                <w:lang w:val="en-US" w:eastAsia="zh-CN" w:bidi="ar"/>
              </w:rPr>
              <w:t>（二）总干渠明渠段</w:t>
            </w:r>
          </w:p>
          <w:p w14:paraId="21698FC6">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520" w:lineRule="exact"/>
              <w:ind w:left="0" w:right="0" w:firstLine="480" w:firstLineChars="200"/>
              <w:jc w:val="both"/>
              <w:textAlignment w:val="auto"/>
              <w:rPr>
                <w:rFonts w:hint="default"/>
                <w:sz w:val="24"/>
                <w:szCs w:val="24"/>
                <w:lang w:val="en-US"/>
              </w:rPr>
            </w:pPr>
            <w:r>
              <w:rPr>
                <w:rFonts w:hint="eastAsia" w:ascii="Times New Roman" w:hAnsi="Times New Roman" w:eastAsia="宋体" w:cs="宋体"/>
                <w:kern w:val="2"/>
                <w:sz w:val="24"/>
                <w:szCs w:val="24"/>
                <w:lang w:val="en-US" w:eastAsia="zh-CN" w:bidi="ar"/>
              </w:rPr>
              <w:t>根据地下水水位与总干渠渠底高程的关系，分为以下几种类型：</w:t>
            </w:r>
          </w:p>
          <w:p w14:paraId="0772FBE7">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520" w:lineRule="exact"/>
              <w:ind w:left="0" w:right="0" w:firstLine="480" w:firstLineChars="200"/>
              <w:jc w:val="both"/>
              <w:textAlignment w:val="auto"/>
              <w:rPr>
                <w:rFonts w:hint="default"/>
                <w:sz w:val="24"/>
                <w:szCs w:val="24"/>
                <w:lang w:val="en-US"/>
              </w:rPr>
            </w:pPr>
            <w:r>
              <w:rPr>
                <w:rFonts w:hint="default" w:ascii="Times New Roman" w:hAnsi="Times New Roman" w:eastAsia="宋体" w:cs="Times New Roman"/>
                <w:kern w:val="2"/>
                <w:sz w:val="24"/>
                <w:szCs w:val="24"/>
                <w:lang w:val="en-US" w:eastAsia="zh-CN" w:bidi="ar"/>
              </w:rPr>
              <w:t>1</w:t>
            </w:r>
            <w:r>
              <w:rPr>
                <w:rFonts w:hint="eastAsia" w:ascii="Times New Roman" w:hAnsi="Times New Roman" w:eastAsia="宋体" w:cs="宋体"/>
                <w:kern w:val="2"/>
                <w:sz w:val="24"/>
                <w:szCs w:val="24"/>
                <w:lang w:val="en-US" w:eastAsia="zh-CN" w:bidi="ar"/>
              </w:rPr>
              <w:t>、地下水水位低于总干渠渠底的渠段</w:t>
            </w:r>
          </w:p>
          <w:p w14:paraId="04CBB2DD">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520" w:lineRule="exact"/>
              <w:ind w:left="0" w:right="0" w:firstLine="480" w:firstLineChars="200"/>
              <w:jc w:val="both"/>
              <w:textAlignment w:val="auto"/>
              <w:rPr>
                <w:rFonts w:hint="default"/>
                <w:sz w:val="24"/>
                <w:szCs w:val="24"/>
                <w:lang w:val="en-US"/>
              </w:rPr>
            </w:pPr>
            <w:r>
              <w:rPr>
                <w:rFonts w:hint="eastAsia" w:ascii="Times New Roman" w:hAnsi="Times New Roman" w:eastAsia="宋体" w:cs="宋体"/>
                <w:kern w:val="2"/>
                <w:sz w:val="24"/>
                <w:szCs w:val="24"/>
                <w:lang w:val="en-US" w:eastAsia="zh-CN" w:bidi="ar"/>
              </w:rPr>
              <w:t>一级保护区范围自总干渠管理范围边线（防护栏网）外延</w:t>
            </w:r>
            <w:r>
              <w:rPr>
                <w:rFonts w:hint="default" w:ascii="Times New Roman" w:hAnsi="Times New Roman" w:eastAsia="宋体" w:cs="Times New Roman"/>
                <w:kern w:val="2"/>
                <w:sz w:val="24"/>
                <w:szCs w:val="24"/>
                <w:lang w:val="en-US" w:eastAsia="zh-CN" w:bidi="ar"/>
              </w:rPr>
              <w:t>50</w:t>
            </w:r>
            <w:r>
              <w:rPr>
                <w:rFonts w:hint="eastAsia" w:ascii="Times New Roman" w:hAnsi="Times New Roman" w:eastAsia="宋体" w:cs="宋体"/>
                <w:kern w:val="2"/>
                <w:sz w:val="24"/>
                <w:szCs w:val="24"/>
                <w:lang w:val="en-US" w:eastAsia="zh-CN" w:bidi="ar"/>
              </w:rPr>
              <w:t>米；二级保护区范围自一级保护区边线外延</w:t>
            </w:r>
            <w:r>
              <w:rPr>
                <w:rFonts w:hint="default" w:ascii="Times New Roman" w:hAnsi="Times New Roman" w:eastAsia="宋体" w:cs="Times New Roman"/>
                <w:kern w:val="2"/>
                <w:sz w:val="24"/>
                <w:szCs w:val="24"/>
                <w:lang w:val="en-US" w:eastAsia="zh-CN" w:bidi="ar"/>
              </w:rPr>
              <w:t>150</w:t>
            </w:r>
            <w:r>
              <w:rPr>
                <w:rFonts w:hint="eastAsia" w:ascii="Times New Roman" w:hAnsi="Times New Roman" w:eastAsia="宋体" w:cs="宋体"/>
                <w:kern w:val="2"/>
                <w:sz w:val="24"/>
                <w:szCs w:val="24"/>
                <w:lang w:val="en-US" w:eastAsia="zh-CN" w:bidi="ar"/>
              </w:rPr>
              <w:t>米。</w:t>
            </w:r>
          </w:p>
          <w:p w14:paraId="5078DCBD">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520" w:lineRule="exact"/>
              <w:ind w:left="0" w:right="0" w:firstLine="480" w:firstLineChars="200"/>
              <w:jc w:val="both"/>
              <w:textAlignment w:val="auto"/>
              <w:rPr>
                <w:rFonts w:hint="default"/>
                <w:sz w:val="24"/>
                <w:szCs w:val="24"/>
                <w:lang w:val="en-US"/>
              </w:rPr>
            </w:pPr>
            <w:r>
              <w:rPr>
                <w:rFonts w:hint="default" w:ascii="Times New Roman" w:hAnsi="Times New Roman" w:eastAsia="宋体" w:cs="Times New Roman"/>
                <w:kern w:val="2"/>
                <w:sz w:val="24"/>
                <w:szCs w:val="24"/>
                <w:lang w:val="en-US" w:eastAsia="zh-CN" w:bidi="ar"/>
              </w:rPr>
              <w:t>2</w:t>
            </w:r>
            <w:r>
              <w:rPr>
                <w:rFonts w:hint="eastAsia" w:ascii="Times New Roman" w:hAnsi="Times New Roman" w:eastAsia="宋体" w:cs="宋体"/>
                <w:kern w:val="2"/>
                <w:sz w:val="24"/>
                <w:szCs w:val="24"/>
                <w:lang w:val="en-US" w:eastAsia="zh-CN" w:bidi="ar"/>
              </w:rPr>
              <w:t>、地下水水位高于总干渠渠底的渠段</w:t>
            </w:r>
          </w:p>
          <w:p w14:paraId="17FE0F92">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520" w:lineRule="exact"/>
              <w:ind w:left="0" w:right="0" w:firstLine="480" w:firstLineChars="200"/>
              <w:jc w:val="both"/>
              <w:textAlignment w:val="auto"/>
              <w:rPr>
                <w:rFonts w:hint="default"/>
                <w:sz w:val="24"/>
                <w:szCs w:val="24"/>
                <w:lang w:val="en-US"/>
              </w:rPr>
            </w:pPr>
            <w:r>
              <w:rPr>
                <w:rFonts w:hint="default" w:ascii="Times New Roman" w:hAnsi="Times New Roman" w:eastAsia="宋体" w:cs="Times New Roman"/>
                <w:kern w:val="2"/>
                <w:sz w:val="24"/>
                <w:szCs w:val="24"/>
                <w:lang w:val="en-US" w:eastAsia="zh-CN" w:bidi="ar"/>
              </w:rPr>
              <w:t>(1)</w:t>
            </w:r>
            <w:r>
              <w:rPr>
                <w:rFonts w:hint="eastAsia" w:ascii="Times New Roman" w:hAnsi="Times New Roman" w:eastAsia="宋体" w:cs="宋体"/>
                <w:kern w:val="2"/>
                <w:sz w:val="24"/>
                <w:szCs w:val="24"/>
                <w:lang w:val="en-US" w:eastAsia="zh-CN" w:bidi="ar"/>
              </w:rPr>
              <w:t>微</w:t>
            </w:r>
            <w:r>
              <w:rPr>
                <w:rFonts w:hint="default" w:ascii="Times New Roman" w:hAnsi="Times New Roman" w:eastAsia="宋体" w:cs="Times New Roman"/>
                <w:kern w:val="2"/>
                <w:sz w:val="24"/>
                <w:szCs w:val="24"/>
                <w:lang w:val="en-US" w:eastAsia="zh-CN" w:bidi="ar"/>
              </w:rPr>
              <w:t>~</w:t>
            </w:r>
            <w:r>
              <w:rPr>
                <w:rFonts w:hint="eastAsia" w:ascii="Times New Roman" w:hAnsi="Times New Roman" w:eastAsia="宋体" w:cs="宋体"/>
                <w:kern w:val="2"/>
                <w:sz w:val="24"/>
                <w:szCs w:val="24"/>
                <w:lang w:val="en-US" w:eastAsia="zh-CN" w:bidi="ar"/>
              </w:rPr>
              <w:t>弱透水性地层</w:t>
            </w:r>
          </w:p>
          <w:p w14:paraId="4882047B">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520" w:lineRule="exact"/>
              <w:ind w:left="0" w:right="0" w:firstLine="480" w:firstLineChars="200"/>
              <w:jc w:val="both"/>
              <w:textAlignment w:val="auto"/>
              <w:rPr>
                <w:rFonts w:hint="default"/>
                <w:sz w:val="24"/>
                <w:szCs w:val="24"/>
                <w:lang w:val="en-US"/>
              </w:rPr>
            </w:pPr>
            <w:r>
              <w:rPr>
                <w:rFonts w:hint="eastAsia" w:ascii="Times New Roman" w:hAnsi="Times New Roman" w:eastAsia="宋体" w:cs="宋体"/>
                <w:kern w:val="2"/>
                <w:sz w:val="24"/>
                <w:szCs w:val="24"/>
                <w:lang w:val="en-US" w:eastAsia="zh-CN" w:bidi="ar"/>
              </w:rPr>
              <w:t>一级保护区范围自总干渠管理范围边线（防护栏网）外延</w:t>
            </w:r>
            <w:r>
              <w:rPr>
                <w:rFonts w:hint="default" w:ascii="Times New Roman" w:hAnsi="Times New Roman" w:eastAsia="宋体" w:cs="Times New Roman"/>
                <w:kern w:val="2"/>
                <w:sz w:val="24"/>
                <w:szCs w:val="24"/>
                <w:lang w:val="en-US" w:eastAsia="zh-CN" w:bidi="ar"/>
              </w:rPr>
              <w:t>50</w:t>
            </w:r>
            <w:r>
              <w:rPr>
                <w:rFonts w:hint="eastAsia" w:ascii="Times New Roman" w:hAnsi="Times New Roman" w:eastAsia="宋体" w:cs="宋体"/>
                <w:kern w:val="2"/>
                <w:sz w:val="24"/>
                <w:szCs w:val="24"/>
                <w:lang w:val="en-US" w:eastAsia="zh-CN" w:bidi="ar"/>
              </w:rPr>
              <w:t>米；二级保护区范围自一级保护区边线外延</w:t>
            </w:r>
            <w:r>
              <w:rPr>
                <w:rFonts w:hint="default" w:ascii="Times New Roman" w:hAnsi="Times New Roman" w:eastAsia="宋体" w:cs="Times New Roman"/>
                <w:kern w:val="2"/>
                <w:sz w:val="24"/>
                <w:szCs w:val="24"/>
                <w:lang w:val="en-US" w:eastAsia="zh-CN" w:bidi="ar"/>
              </w:rPr>
              <w:t>500</w:t>
            </w:r>
            <w:r>
              <w:rPr>
                <w:rFonts w:hint="eastAsia" w:ascii="Times New Roman" w:hAnsi="Times New Roman" w:eastAsia="宋体" w:cs="宋体"/>
                <w:kern w:val="2"/>
                <w:sz w:val="24"/>
                <w:szCs w:val="24"/>
                <w:lang w:val="en-US" w:eastAsia="zh-CN" w:bidi="ar"/>
              </w:rPr>
              <w:t>米。</w:t>
            </w:r>
          </w:p>
          <w:p w14:paraId="27DD0CF8">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520" w:lineRule="exact"/>
              <w:ind w:left="0" w:right="0" w:firstLine="480" w:firstLineChars="200"/>
              <w:jc w:val="both"/>
              <w:textAlignment w:val="auto"/>
              <w:rPr>
                <w:rFonts w:hint="default"/>
                <w:sz w:val="24"/>
                <w:szCs w:val="24"/>
                <w:lang w:val="en-US"/>
              </w:rPr>
            </w:pPr>
            <w:r>
              <w:rPr>
                <w:rFonts w:hint="default" w:ascii="Times New Roman" w:hAnsi="Times New Roman" w:eastAsia="宋体" w:cs="Times New Roman"/>
                <w:kern w:val="2"/>
                <w:sz w:val="24"/>
                <w:szCs w:val="24"/>
                <w:lang w:val="en-US" w:eastAsia="zh-CN" w:bidi="ar"/>
              </w:rPr>
              <w:t>(2)</w:t>
            </w:r>
            <w:r>
              <w:rPr>
                <w:rFonts w:hint="eastAsia" w:ascii="Times New Roman" w:hAnsi="Times New Roman" w:eastAsia="宋体" w:cs="宋体"/>
                <w:kern w:val="2"/>
                <w:sz w:val="24"/>
                <w:szCs w:val="24"/>
                <w:lang w:val="en-US" w:eastAsia="zh-CN" w:bidi="ar"/>
              </w:rPr>
              <w:t>弱</w:t>
            </w:r>
            <w:r>
              <w:rPr>
                <w:rFonts w:hint="default" w:ascii="Times New Roman" w:hAnsi="Times New Roman" w:eastAsia="宋体" w:cs="Times New Roman"/>
                <w:kern w:val="2"/>
                <w:sz w:val="24"/>
                <w:szCs w:val="24"/>
                <w:lang w:val="en-US" w:eastAsia="zh-CN" w:bidi="ar"/>
              </w:rPr>
              <w:t>~</w:t>
            </w:r>
            <w:r>
              <w:rPr>
                <w:rFonts w:hint="eastAsia" w:ascii="Times New Roman" w:hAnsi="Times New Roman" w:eastAsia="宋体" w:cs="宋体"/>
                <w:kern w:val="2"/>
                <w:sz w:val="24"/>
                <w:szCs w:val="24"/>
                <w:lang w:val="en-US" w:eastAsia="zh-CN" w:bidi="ar"/>
              </w:rPr>
              <w:t>中透水性地层</w:t>
            </w:r>
          </w:p>
          <w:p w14:paraId="00346944">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520" w:lineRule="exact"/>
              <w:ind w:left="0" w:right="0" w:firstLine="480" w:firstLineChars="200"/>
              <w:jc w:val="both"/>
              <w:textAlignment w:val="auto"/>
              <w:rPr>
                <w:rFonts w:hint="default"/>
                <w:sz w:val="24"/>
                <w:szCs w:val="24"/>
                <w:lang w:val="en-US"/>
              </w:rPr>
            </w:pPr>
            <w:r>
              <w:rPr>
                <w:rFonts w:hint="eastAsia" w:ascii="Times New Roman" w:hAnsi="Times New Roman" w:eastAsia="宋体" w:cs="宋体"/>
                <w:kern w:val="2"/>
                <w:sz w:val="24"/>
                <w:szCs w:val="24"/>
                <w:lang w:val="en-US" w:eastAsia="zh-CN" w:bidi="ar"/>
              </w:rPr>
              <w:t>一级保护区范围自总干渠管理范围边线（防护栏网）外延</w:t>
            </w:r>
            <w:r>
              <w:rPr>
                <w:rFonts w:hint="default" w:ascii="Times New Roman" w:hAnsi="Times New Roman" w:eastAsia="宋体" w:cs="Times New Roman"/>
                <w:kern w:val="2"/>
                <w:sz w:val="24"/>
                <w:szCs w:val="24"/>
                <w:lang w:val="en-US" w:eastAsia="zh-CN" w:bidi="ar"/>
              </w:rPr>
              <w:t>100</w:t>
            </w:r>
            <w:r>
              <w:rPr>
                <w:rFonts w:hint="eastAsia" w:ascii="Times New Roman" w:hAnsi="Times New Roman" w:eastAsia="宋体" w:cs="宋体"/>
                <w:kern w:val="2"/>
                <w:sz w:val="24"/>
                <w:szCs w:val="24"/>
                <w:lang w:val="en-US" w:eastAsia="zh-CN" w:bidi="ar"/>
              </w:rPr>
              <w:t>米；二级保护区范围自一级保护区边线外延</w:t>
            </w:r>
            <w:r>
              <w:rPr>
                <w:rFonts w:hint="default" w:ascii="Times New Roman" w:hAnsi="Times New Roman" w:eastAsia="宋体" w:cs="Times New Roman"/>
                <w:kern w:val="2"/>
                <w:sz w:val="24"/>
                <w:szCs w:val="24"/>
                <w:lang w:val="en-US" w:eastAsia="zh-CN" w:bidi="ar"/>
              </w:rPr>
              <w:t>1000</w:t>
            </w:r>
            <w:r>
              <w:rPr>
                <w:rFonts w:hint="eastAsia" w:ascii="Times New Roman" w:hAnsi="Times New Roman" w:eastAsia="宋体" w:cs="宋体"/>
                <w:kern w:val="2"/>
                <w:sz w:val="24"/>
                <w:szCs w:val="24"/>
                <w:lang w:val="en-US" w:eastAsia="zh-CN" w:bidi="ar"/>
              </w:rPr>
              <w:t>米。</w:t>
            </w:r>
          </w:p>
          <w:p w14:paraId="14177EEF">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520" w:lineRule="exact"/>
              <w:ind w:left="0" w:right="0" w:firstLine="480" w:firstLineChars="200"/>
              <w:jc w:val="both"/>
              <w:textAlignment w:val="auto"/>
              <w:rPr>
                <w:rFonts w:hint="default"/>
                <w:sz w:val="24"/>
                <w:szCs w:val="24"/>
                <w:lang w:val="en-US"/>
              </w:rPr>
            </w:pPr>
            <w:r>
              <w:rPr>
                <w:rFonts w:hint="default" w:ascii="Times New Roman" w:hAnsi="Times New Roman" w:eastAsia="宋体" w:cs="Times New Roman"/>
                <w:kern w:val="2"/>
                <w:sz w:val="24"/>
                <w:szCs w:val="24"/>
                <w:lang w:val="en-US" w:eastAsia="zh-CN" w:bidi="ar"/>
              </w:rPr>
              <w:t>(3)</w:t>
            </w:r>
            <w:r>
              <w:rPr>
                <w:rFonts w:hint="eastAsia" w:ascii="Times New Roman" w:hAnsi="Times New Roman" w:eastAsia="宋体" w:cs="宋体"/>
                <w:kern w:val="2"/>
                <w:sz w:val="24"/>
                <w:szCs w:val="24"/>
                <w:lang w:val="en-US" w:eastAsia="zh-CN" w:bidi="ar"/>
              </w:rPr>
              <w:t>强透水性地层</w:t>
            </w:r>
          </w:p>
          <w:p w14:paraId="5C6C996B">
            <w:pPr>
              <w:keepNext w:val="0"/>
              <w:keepLines w:val="0"/>
              <w:pageBreakBefore w:val="0"/>
              <w:widowControl w:val="0"/>
              <w:suppressLineNumbers w:val="0"/>
              <w:tabs>
                <w:tab w:val="left" w:pos="720"/>
              </w:tabs>
              <w:kinsoku/>
              <w:wordWrap/>
              <w:overflowPunct/>
              <w:topLinePunct w:val="0"/>
              <w:bidi w:val="0"/>
              <w:adjustRightInd w:val="0"/>
              <w:snapToGrid w:val="0"/>
              <w:spacing w:before="0" w:beforeAutospacing="0" w:after="0" w:afterAutospacing="0" w:line="520" w:lineRule="exact"/>
              <w:ind w:left="0" w:right="0" w:firstLine="480" w:firstLineChars="200"/>
              <w:jc w:val="both"/>
              <w:textAlignment w:val="auto"/>
              <w:rPr>
                <w:rFonts w:hint="default"/>
                <w:sz w:val="24"/>
                <w:szCs w:val="24"/>
                <w:lang w:val="en-US"/>
              </w:rPr>
            </w:pPr>
            <w:r>
              <w:rPr>
                <w:rFonts w:hint="eastAsia" w:ascii="Times New Roman" w:hAnsi="Times New Roman" w:eastAsia="宋体" w:cs="宋体"/>
                <w:kern w:val="2"/>
                <w:sz w:val="24"/>
                <w:szCs w:val="24"/>
                <w:lang w:val="en-US" w:eastAsia="zh-CN" w:bidi="ar"/>
              </w:rPr>
              <w:t>一级保护区范围自总干渠管理范围边线（防护栏网）外延</w:t>
            </w:r>
            <w:r>
              <w:rPr>
                <w:rFonts w:hint="default" w:ascii="Times New Roman" w:hAnsi="Times New Roman" w:eastAsia="宋体" w:cs="Times New Roman"/>
                <w:kern w:val="2"/>
                <w:sz w:val="24"/>
                <w:szCs w:val="24"/>
                <w:lang w:val="en-US" w:eastAsia="zh-CN" w:bidi="ar"/>
              </w:rPr>
              <w:t>200</w:t>
            </w:r>
            <w:r>
              <w:rPr>
                <w:rFonts w:hint="eastAsia" w:ascii="Times New Roman" w:hAnsi="Times New Roman" w:eastAsia="宋体" w:cs="宋体"/>
                <w:kern w:val="2"/>
                <w:sz w:val="24"/>
                <w:szCs w:val="24"/>
                <w:lang w:val="en-US" w:eastAsia="zh-CN" w:bidi="ar"/>
              </w:rPr>
              <w:t>米；二级保护区范围自一级保护区边线外延</w:t>
            </w:r>
            <w:r>
              <w:rPr>
                <w:rFonts w:hint="default" w:ascii="Times New Roman" w:hAnsi="Times New Roman" w:eastAsia="宋体" w:cs="Times New Roman"/>
                <w:kern w:val="2"/>
                <w:sz w:val="24"/>
                <w:szCs w:val="24"/>
                <w:lang w:val="en-US" w:eastAsia="zh-CN" w:bidi="ar"/>
              </w:rPr>
              <w:t>2000</w:t>
            </w:r>
            <w:r>
              <w:rPr>
                <w:rFonts w:hint="eastAsia" w:ascii="Times New Roman" w:hAnsi="Times New Roman" w:eastAsia="宋体" w:cs="宋体"/>
                <w:kern w:val="2"/>
                <w:sz w:val="24"/>
                <w:szCs w:val="24"/>
                <w:lang w:val="en-US" w:eastAsia="zh-CN" w:bidi="ar"/>
              </w:rPr>
              <w:t>米、</w:t>
            </w:r>
            <w:r>
              <w:rPr>
                <w:rFonts w:hint="default" w:ascii="Times New Roman" w:hAnsi="Times New Roman" w:eastAsia="宋体" w:cs="Times New Roman"/>
                <w:kern w:val="2"/>
                <w:sz w:val="24"/>
                <w:szCs w:val="24"/>
                <w:lang w:val="en-US" w:eastAsia="zh-CN" w:bidi="ar"/>
              </w:rPr>
              <w:t>1500</w:t>
            </w:r>
            <w:r>
              <w:rPr>
                <w:rFonts w:hint="eastAsia" w:ascii="Times New Roman" w:hAnsi="Times New Roman" w:eastAsia="宋体" w:cs="宋体"/>
                <w:kern w:val="2"/>
                <w:sz w:val="24"/>
                <w:szCs w:val="24"/>
                <w:lang w:val="en-US" w:eastAsia="zh-CN" w:bidi="ar"/>
              </w:rPr>
              <w:t>米。</w:t>
            </w:r>
          </w:p>
          <w:p w14:paraId="6AE8CBC9">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520" w:lineRule="exact"/>
              <w:ind w:left="0" w:right="0" w:firstLine="480" w:firstLineChars="200"/>
              <w:jc w:val="both"/>
              <w:textAlignment w:val="auto"/>
              <w:rPr>
                <w:rFonts w:hint="eastAsia" w:ascii="Times New Roman" w:hAnsi="Times New Roman" w:eastAsia="宋体" w:cs="宋体"/>
                <w:kern w:val="2"/>
                <w:sz w:val="24"/>
                <w:szCs w:val="24"/>
                <w:lang w:val="en-US" w:eastAsia="zh-CN" w:bidi="ar"/>
              </w:rPr>
            </w:pPr>
            <w:r>
              <w:rPr>
                <w:rFonts w:hint="eastAsia" w:ascii="Times New Roman" w:hAnsi="Times New Roman" w:eastAsia="宋体" w:cs="宋体"/>
                <w:kern w:val="2"/>
                <w:sz w:val="24"/>
                <w:szCs w:val="24"/>
                <w:lang w:val="en-US" w:eastAsia="zh-CN" w:bidi="ar"/>
              </w:rPr>
              <w:t>本项目向西距离南水北调中线工程</w:t>
            </w:r>
            <w:r>
              <w:rPr>
                <w:rFonts w:hint="eastAsia" w:ascii="Times New Roman" w:hAnsi="Times New Roman" w:eastAsia="宋体" w:cs="Times New Roman"/>
                <w:kern w:val="2"/>
                <w:sz w:val="24"/>
                <w:szCs w:val="24"/>
                <w:lang w:val="en-US" w:eastAsia="zh-CN" w:bidi="ar"/>
              </w:rPr>
              <w:t>2260</w:t>
            </w:r>
            <w:r>
              <w:rPr>
                <w:rFonts w:hint="eastAsia" w:ascii="Times New Roman" w:hAnsi="Times New Roman" w:eastAsia="宋体" w:cs="宋体"/>
                <w:kern w:val="2"/>
                <w:sz w:val="24"/>
                <w:szCs w:val="24"/>
                <w:lang w:val="en-US" w:eastAsia="zh-CN" w:bidi="ar"/>
              </w:rPr>
              <w:t>米，不在其一级保护区和二级保护区范围内。</w:t>
            </w:r>
          </w:p>
          <w:p w14:paraId="22566304">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520" w:lineRule="exact"/>
              <w:ind w:left="0" w:right="0" w:firstLine="480" w:firstLineChars="200"/>
              <w:jc w:val="both"/>
              <w:textAlignment w:val="auto"/>
              <w:rPr>
                <w:rFonts w:hint="default" w:ascii="Times New Roman" w:hAnsi="Times New Roman" w:eastAsia="宋体" w:cs="宋体"/>
                <w:kern w:val="2"/>
                <w:sz w:val="24"/>
                <w:szCs w:val="24"/>
                <w:lang w:val="en-US" w:eastAsia="zh-CN" w:bidi="ar"/>
              </w:rPr>
            </w:pPr>
            <w:r>
              <w:rPr>
                <w:rFonts w:hint="eastAsia" w:ascii="Times New Roman" w:hAnsi="Times New Roman" w:eastAsia="宋体" w:cs="宋体"/>
                <w:kern w:val="2"/>
                <w:sz w:val="24"/>
                <w:szCs w:val="24"/>
                <w:lang w:val="en-US" w:eastAsia="zh-CN" w:bidi="ar"/>
              </w:rPr>
              <w:t>（</w:t>
            </w:r>
            <w:r>
              <w:rPr>
                <w:rFonts w:hint="eastAsia" w:cs="宋体"/>
                <w:kern w:val="2"/>
                <w:sz w:val="24"/>
                <w:szCs w:val="24"/>
                <w:lang w:val="en-US" w:eastAsia="zh-CN" w:bidi="ar"/>
              </w:rPr>
              <w:t>2</w:t>
            </w:r>
            <w:r>
              <w:rPr>
                <w:rFonts w:hint="eastAsia" w:ascii="Times New Roman" w:hAnsi="Times New Roman" w:eastAsia="宋体" w:cs="宋体"/>
                <w:kern w:val="2"/>
                <w:sz w:val="24"/>
                <w:szCs w:val="24"/>
                <w:lang w:val="en-US" w:eastAsia="zh-CN" w:bidi="ar"/>
              </w:rPr>
              <w:t>）</w:t>
            </w:r>
            <w:r>
              <w:rPr>
                <w:rFonts w:hint="eastAsia" w:cs="宋体"/>
                <w:kern w:val="2"/>
                <w:sz w:val="24"/>
                <w:szCs w:val="24"/>
                <w:lang w:val="en-US" w:eastAsia="zh-CN" w:bidi="ar"/>
              </w:rPr>
              <w:t>乡镇</w:t>
            </w:r>
            <w:r>
              <w:rPr>
                <w:rFonts w:hint="eastAsia" w:ascii="Times New Roman" w:hAnsi="Times New Roman" w:eastAsia="宋体" w:cs="宋体"/>
                <w:kern w:val="2"/>
                <w:sz w:val="24"/>
                <w:szCs w:val="24"/>
                <w:lang w:val="en-US" w:eastAsia="zh-CN" w:bidi="ar"/>
              </w:rPr>
              <w:t>集中式</w:t>
            </w:r>
            <w:r>
              <w:rPr>
                <w:rFonts w:hint="eastAsia" w:cs="宋体"/>
                <w:kern w:val="2"/>
                <w:sz w:val="24"/>
                <w:szCs w:val="24"/>
                <w:lang w:val="en-US" w:eastAsia="zh-CN" w:bidi="ar"/>
              </w:rPr>
              <w:t>饮</w:t>
            </w:r>
            <w:r>
              <w:rPr>
                <w:rFonts w:hint="eastAsia" w:ascii="Times New Roman" w:hAnsi="Times New Roman" w:eastAsia="宋体" w:cs="宋体"/>
                <w:kern w:val="2"/>
                <w:sz w:val="24"/>
                <w:szCs w:val="24"/>
                <w:lang w:val="en-US" w:eastAsia="zh-CN" w:bidi="ar"/>
              </w:rPr>
              <w:t>用水源</w:t>
            </w:r>
          </w:p>
          <w:p w14:paraId="382958A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textAlignment w:val="auto"/>
              <w:rPr>
                <w:rFonts w:hint="default"/>
                <w:sz w:val="24"/>
                <w:szCs w:val="24"/>
                <w:lang w:val="en-US"/>
              </w:rPr>
            </w:pPr>
            <w:r>
              <w:rPr>
                <w:rFonts w:hint="eastAsia" w:ascii="Times New Roman" w:hAnsi="Times New Roman" w:eastAsia="宋体" w:cs="宋体"/>
                <w:kern w:val="2"/>
                <w:sz w:val="24"/>
                <w:szCs w:val="24"/>
                <w:lang w:val="en-US" w:eastAsia="zh-CN" w:bidi="ar"/>
              </w:rPr>
              <w:t>根据《河南省人民政府办公厅关于印发河南省乡镇集中式饮用水水源保护区划的通知》（豫政办</w:t>
            </w:r>
            <w:r>
              <w:rPr>
                <w:rFonts w:hint="default" w:ascii="Times New Roman" w:hAnsi="Times New Roman" w:eastAsia="宋体" w:cs="Times New Roman"/>
                <w:kern w:val="2"/>
                <w:sz w:val="24"/>
                <w:szCs w:val="24"/>
                <w:lang w:val="en-US" w:eastAsia="zh-CN" w:bidi="ar"/>
              </w:rPr>
              <w:t>[2016]23</w:t>
            </w:r>
            <w:r>
              <w:rPr>
                <w:rFonts w:hint="eastAsia" w:ascii="Times New Roman" w:hAnsi="Times New Roman" w:eastAsia="宋体" w:cs="宋体"/>
                <w:kern w:val="2"/>
                <w:sz w:val="24"/>
                <w:szCs w:val="24"/>
                <w:lang w:val="en-US" w:eastAsia="zh-CN" w:bidi="ar"/>
              </w:rPr>
              <w:t>号），汤阴县乡镇级集中式饮用水水源保护区如下：</w:t>
            </w:r>
          </w:p>
          <w:p w14:paraId="595AD45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textAlignment w:val="auto"/>
              <w:rPr>
                <w:rFonts w:hint="default"/>
                <w:sz w:val="24"/>
                <w:szCs w:val="24"/>
                <w:lang w:val="en-US"/>
              </w:rPr>
            </w:pPr>
            <w:r>
              <w:rPr>
                <w:rFonts w:hint="eastAsia" w:ascii="Times New Roman" w:hAnsi="Times New Roman" w:eastAsia="宋体" w:cs="宋体"/>
                <w:kern w:val="2"/>
                <w:sz w:val="24"/>
                <w:szCs w:val="24"/>
                <w:lang w:val="en-US" w:eastAsia="zh-CN" w:bidi="ar"/>
              </w:rPr>
              <w:t>①汤阴县古贤乡地下水井（共</w:t>
            </w:r>
            <w:r>
              <w:rPr>
                <w:rFonts w:hint="default" w:ascii="Times New Roman" w:hAnsi="Times New Roman" w:eastAsia="宋体" w:cs="Times New Roman"/>
                <w:kern w:val="2"/>
                <w:sz w:val="24"/>
                <w:szCs w:val="24"/>
                <w:lang w:val="en-US" w:eastAsia="zh-CN" w:bidi="ar"/>
              </w:rPr>
              <w:t>1</w:t>
            </w:r>
            <w:r>
              <w:rPr>
                <w:rFonts w:hint="eastAsia" w:ascii="Times New Roman" w:hAnsi="Times New Roman" w:eastAsia="宋体" w:cs="宋体"/>
                <w:kern w:val="2"/>
                <w:sz w:val="24"/>
                <w:szCs w:val="24"/>
                <w:lang w:val="en-US" w:eastAsia="zh-CN" w:bidi="ar"/>
              </w:rPr>
              <w:t>眼井）</w:t>
            </w:r>
          </w:p>
          <w:p w14:paraId="6745EE9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textAlignment w:val="auto"/>
              <w:rPr>
                <w:rFonts w:hint="default"/>
                <w:sz w:val="24"/>
                <w:szCs w:val="24"/>
                <w:lang w:val="en-US"/>
              </w:rPr>
            </w:pPr>
            <w:r>
              <w:rPr>
                <w:rFonts w:hint="eastAsia" w:ascii="Times New Roman" w:hAnsi="Times New Roman" w:eastAsia="宋体" w:cs="宋体"/>
                <w:kern w:val="2"/>
                <w:sz w:val="24"/>
                <w:szCs w:val="24"/>
                <w:lang w:val="en-US" w:eastAsia="zh-CN" w:bidi="ar"/>
              </w:rPr>
              <w:t>一级保护区范围：水管站内及外围东</w:t>
            </w:r>
            <w:r>
              <w:rPr>
                <w:rFonts w:hint="default" w:ascii="Times New Roman" w:hAnsi="Times New Roman" w:eastAsia="宋体" w:cs="Times New Roman"/>
                <w:kern w:val="2"/>
                <w:sz w:val="24"/>
                <w:szCs w:val="24"/>
                <w:lang w:val="en-US" w:eastAsia="zh-CN" w:bidi="ar"/>
              </w:rPr>
              <w:t>12</w:t>
            </w:r>
            <w:r>
              <w:rPr>
                <w:rFonts w:hint="eastAsia" w:ascii="Times New Roman" w:hAnsi="Times New Roman" w:eastAsia="宋体" w:cs="宋体"/>
                <w:kern w:val="2"/>
                <w:sz w:val="24"/>
                <w:szCs w:val="24"/>
                <w:lang w:val="en-US" w:eastAsia="zh-CN" w:bidi="ar"/>
              </w:rPr>
              <w:t>米、北</w:t>
            </w:r>
            <w:r>
              <w:rPr>
                <w:rFonts w:hint="default" w:ascii="Times New Roman" w:hAnsi="Times New Roman" w:eastAsia="宋体" w:cs="Times New Roman"/>
                <w:kern w:val="2"/>
                <w:sz w:val="24"/>
                <w:szCs w:val="24"/>
                <w:lang w:val="en-US" w:eastAsia="zh-CN" w:bidi="ar"/>
              </w:rPr>
              <w:t>60</w:t>
            </w:r>
            <w:r>
              <w:rPr>
                <w:rFonts w:hint="eastAsia" w:ascii="Times New Roman" w:hAnsi="Times New Roman" w:eastAsia="宋体" w:cs="宋体"/>
                <w:kern w:val="2"/>
                <w:sz w:val="24"/>
                <w:szCs w:val="24"/>
                <w:lang w:val="en-US" w:eastAsia="zh-CN" w:bidi="ar"/>
              </w:rPr>
              <w:t>米、西</w:t>
            </w:r>
            <w:r>
              <w:rPr>
                <w:rFonts w:hint="default" w:ascii="Times New Roman" w:hAnsi="Times New Roman" w:eastAsia="宋体" w:cs="Times New Roman"/>
                <w:kern w:val="2"/>
                <w:sz w:val="24"/>
                <w:szCs w:val="24"/>
                <w:lang w:val="en-US" w:eastAsia="zh-CN" w:bidi="ar"/>
              </w:rPr>
              <w:t>49</w:t>
            </w:r>
            <w:r>
              <w:rPr>
                <w:rFonts w:hint="eastAsia" w:ascii="Times New Roman" w:hAnsi="Times New Roman" w:eastAsia="宋体" w:cs="宋体"/>
                <w:kern w:val="2"/>
                <w:sz w:val="24"/>
                <w:szCs w:val="24"/>
                <w:lang w:val="en-US" w:eastAsia="zh-CN" w:bidi="ar"/>
              </w:rPr>
              <w:t>米、南</w:t>
            </w:r>
            <w:r>
              <w:rPr>
                <w:rFonts w:hint="default" w:ascii="Times New Roman" w:hAnsi="Times New Roman" w:eastAsia="宋体" w:cs="Times New Roman"/>
                <w:kern w:val="2"/>
                <w:sz w:val="24"/>
                <w:szCs w:val="24"/>
                <w:lang w:val="en-US" w:eastAsia="zh-CN" w:bidi="ar"/>
              </w:rPr>
              <w:t>29</w:t>
            </w:r>
            <w:r>
              <w:rPr>
                <w:rFonts w:hint="eastAsia" w:ascii="Times New Roman" w:hAnsi="Times New Roman" w:eastAsia="宋体" w:cs="宋体"/>
                <w:kern w:val="2"/>
                <w:sz w:val="24"/>
                <w:szCs w:val="24"/>
                <w:lang w:val="en-US" w:eastAsia="zh-CN" w:bidi="ar"/>
              </w:rPr>
              <w:t>米的区域。</w:t>
            </w:r>
          </w:p>
          <w:p w14:paraId="4B0B579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textAlignment w:val="auto"/>
              <w:rPr>
                <w:rFonts w:hint="default"/>
                <w:sz w:val="24"/>
                <w:szCs w:val="24"/>
                <w:lang w:val="en-US"/>
              </w:rPr>
            </w:pPr>
            <w:r>
              <w:rPr>
                <w:rFonts w:hint="eastAsia" w:ascii="Times New Roman" w:hAnsi="Times New Roman" w:eastAsia="宋体" w:cs="宋体"/>
                <w:kern w:val="2"/>
                <w:sz w:val="24"/>
                <w:szCs w:val="24"/>
                <w:lang w:val="en-US" w:eastAsia="zh-CN" w:bidi="ar"/>
              </w:rPr>
              <w:t>②汤阴县菜园镇地下水井（共</w:t>
            </w:r>
            <w:r>
              <w:rPr>
                <w:rFonts w:hint="default" w:ascii="Times New Roman" w:hAnsi="Times New Roman" w:eastAsia="宋体" w:cs="Times New Roman"/>
                <w:kern w:val="2"/>
                <w:sz w:val="24"/>
                <w:szCs w:val="24"/>
                <w:lang w:val="en-US" w:eastAsia="zh-CN" w:bidi="ar"/>
              </w:rPr>
              <w:t>1</w:t>
            </w:r>
            <w:r>
              <w:rPr>
                <w:rFonts w:hint="eastAsia" w:ascii="Times New Roman" w:hAnsi="Times New Roman" w:eastAsia="宋体" w:cs="宋体"/>
                <w:kern w:val="2"/>
                <w:sz w:val="24"/>
                <w:szCs w:val="24"/>
                <w:lang w:val="en-US" w:eastAsia="zh-CN" w:bidi="ar"/>
              </w:rPr>
              <w:t>眼井）</w:t>
            </w:r>
          </w:p>
          <w:p w14:paraId="2361BB6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textAlignment w:val="auto"/>
              <w:rPr>
                <w:rFonts w:hint="default"/>
                <w:sz w:val="24"/>
                <w:szCs w:val="24"/>
                <w:lang w:val="en-US"/>
              </w:rPr>
            </w:pPr>
            <w:r>
              <w:rPr>
                <w:rFonts w:hint="eastAsia" w:ascii="Times New Roman" w:hAnsi="Times New Roman" w:eastAsia="宋体" w:cs="宋体"/>
                <w:kern w:val="2"/>
                <w:sz w:val="24"/>
                <w:szCs w:val="24"/>
                <w:lang w:val="en-US" w:eastAsia="zh-CN" w:bidi="ar"/>
              </w:rPr>
              <w:t>一级保护区范围：水厂厂区及外围东</w:t>
            </w:r>
            <w:r>
              <w:rPr>
                <w:rFonts w:hint="default" w:ascii="Times New Roman" w:hAnsi="Times New Roman" w:eastAsia="宋体" w:cs="Times New Roman"/>
                <w:kern w:val="2"/>
                <w:sz w:val="24"/>
                <w:szCs w:val="24"/>
                <w:lang w:val="en-US" w:eastAsia="zh-CN" w:bidi="ar"/>
              </w:rPr>
              <w:t>30</w:t>
            </w:r>
            <w:r>
              <w:rPr>
                <w:rFonts w:hint="eastAsia" w:ascii="Times New Roman" w:hAnsi="Times New Roman" w:eastAsia="宋体" w:cs="宋体"/>
                <w:kern w:val="2"/>
                <w:sz w:val="24"/>
                <w:szCs w:val="24"/>
                <w:lang w:val="en-US" w:eastAsia="zh-CN" w:bidi="ar"/>
              </w:rPr>
              <w:t>米、西</w:t>
            </w:r>
            <w:r>
              <w:rPr>
                <w:rFonts w:hint="default" w:ascii="Times New Roman" w:hAnsi="Times New Roman" w:eastAsia="宋体" w:cs="Times New Roman"/>
                <w:kern w:val="2"/>
                <w:sz w:val="24"/>
                <w:szCs w:val="24"/>
                <w:lang w:val="en-US" w:eastAsia="zh-CN" w:bidi="ar"/>
              </w:rPr>
              <w:t>23</w:t>
            </w:r>
            <w:r>
              <w:rPr>
                <w:rFonts w:hint="eastAsia" w:ascii="Times New Roman" w:hAnsi="Times New Roman" w:eastAsia="宋体" w:cs="宋体"/>
                <w:kern w:val="2"/>
                <w:sz w:val="24"/>
                <w:szCs w:val="24"/>
                <w:lang w:val="en-US" w:eastAsia="zh-CN" w:bidi="ar"/>
              </w:rPr>
              <w:t>米、南</w:t>
            </w:r>
            <w:r>
              <w:rPr>
                <w:rFonts w:hint="default" w:ascii="Times New Roman" w:hAnsi="Times New Roman" w:eastAsia="宋体" w:cs="Times New Roman"/>
                <w:kern w:val="2"/>
                <w:sz w:val="24"/>
                <w:szCs w:val="24"/>
                <w:lang w:val="en-US" w:eastAsia="zh-CN" w:bidi="ar"/>
              </w:rPr>
              <w:t>32</w:t>
            </w:r>
            <w:r>
              <w:rPr>
                <w:rFonts w:hint="eastAsia" w:ascii="Times New Roman" w:hAnsi="Times New Roman" w:eastAsia="宋体" w:cs="宋体"/>
                <w:kern w:val="2"/>
                <w:sz w:val="24"/>
                <w:szCs w:val="24"/>
                <w:lang w:val="en-US" w:eastAsia="zh-CN" w:bidi="ar"/>
              </w:rPr>
              <w:t>米、北</w:t>
            </w:r>
            <w:r>
              <w:rPr>
                <w:rFonts w:hint="default" w:ascii="Times New Roman" w:hAnsi="Times New Roman" w:eastAsia="宋体" w:cs="Times New Roman"/>
                <w:kern w:val="2"/>
                <w:sz w:val="24"/>
                <w:szCs w:val="24"/>
                <w:lang w:val="en-US" w:eastAsia="zh-CN" w:bidi="ar"/>
              </w:rPr>
              <w:t>33</w:t>
            </w:r>
            <w:r>
              <w:rPr>
                <w:rFonts w:hint="eastAsia" w:ascii="Times New Roman" w:hAnsi="Times New Roman" w:eastAsia="宋体" w:cs="宋体"/>
                <w:kern w:val="2"/>
                <w:sz w:val="24"/>
                <w:szCs w:val="24"/>
                <w:lang w:val="en-US" w:eastAsia="zh-CN" w:bidi="ar"/>
              </w:rPr>
              <w:t>米的区域。</w:t>
            </w:r>
          </w:p>
          <w:p w14:paraId="5D70122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textAlignment w:val="auto"/>
              <w:rPr>
                <w:rFonts w:hint="default"/>
                <w:sz w:val="24"/>
                <w:szCs w:val="24"/>
                <w:lang w:val="en-US"/>
              </w:rPr>
            </w:pPr>
            <w:r>
              <w:rPr>
                <w:rFonts w:hint="eastAsia" w:ascii="Times New Roman" w:hAnsi="Times New Roman" w:eastAsia="宋体" w:cs="宋体"/>
                <w:kern w:val="2"/>
                <w:sz w:val="24"/>
                <w:szCs w:val="24"/>
                <w:lang w:val="en-US" w:eastAsia="zh-CN" w:bidi="ar"/>
              </w:rPr>
              <w:t>③汤阴县任固镇地下水井群（共</w:t>
            </w:r>
            <w:r>
              <w:rPr>
                <w:rFonts w:hint="default" w:ascii="Times New Roman" w:hAnsi="Times New Roman" w:eastAsia="宋体" w:cs="Times New Roman"/>
                <w:kern w:val="2"/>
                <w:sz w:val="24"/>
                <w:szCs w:val="24"/>
                <w:lang w:val="en-US" w:eastAsia="zh-CN" w:bidi="ar"/>
              </w:rPr>
              <w:t>2</w:t>
            </w:r>
            <w:r>
              <w:rPr>
                <w:rFonts w:hint="eastAsia" w:ascii="Times New Roman" w:hAnsi="Times New Roman" w:eastAsia="宋体" w:cs="宋体"/>
                <w:kern w:val="2"/>
                <w:sz w:val="24"/>
                <w:szCs w:val="24"/>
                <w:lang w:val="en-US" w:eastAsia="zh-CN" w:bidi="ar"/>
              </w:rPr>
              <w:t>眼井）</w:t>
            </w:r>
          </w:p>
          <w:p w14:paraId="2CEC6ED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textAlignment w:val="auto"/>
              <w:rPr>
                <w:rFonts w:hint="default"/>
                <w:sz w:val="24"/>
                <w:szCs w:val="24"/>
                <w:lang w:val="en-US"/>
              </w:rPr>
            </w:pPr>
            <w:r>
              <w:rPr>
                <w:rFonts w:hint="eastAsia" w:ascii="Times New Roman" w:hAnsi="Times New Roman" w:eastAsia="宋体" w:cs="宋体"/>
                <w:kern w:val="2"/>
                <w:sz w:val="24"/>
                <w:szCs w:val="24"/>
                <w:lang w:val="en-US" w:eastAsia="zh-CN" w:bidi="ar"/>
              </w:rPr>
              <w:t>一级保护区范围：水厂厂区及外围东</w:t>
            </w:r>
            <w:r>
              <w:rPr>
                <w:rFonts w:hint="default" w:ascii="Times New Roman" w:hAnsi="Times New Roman" w:eastAsia="宋体" w:cs="Times New Roman"/>
                <w:kern w:val="2"/>
                <w:sz w:val="24"/>
                <w:szCs w:val="24"/>
                <w:lang w:val="en-US" w:eastAsia="zh-CN" w:bidi="ar"/>
              </w:rPr>
              <w:t>10</w:t>
            </w:r>
            <w:r>
              <w:rPr>
                <w:rFonts w:hint="eastAsia" w:ascii="Times New Roman" w:hAnsi="Times New Roman" w:eastAsia="宋体" w:cs="宋体"/>
                <w:kern w:val="2"/>
                <w:sz w:val="24"/>
                <w:szCs w:val="24"/>
                <w:lang w:val="en-US" w:eastAsia="zh-CN" w:bidi="ar"/>
              </w:rPr>
              <w:t>米、西</w:t>
            </w:r>
            <w:r>
              <w:rPr>
                <w:rFonts w:hint="default" w:ascii="Times New Roman" w:hAnsi="Times New Roman" w:eastAsia="宋体" w:cs="Times New Roman"/>
                <w:kern w:val="2"/>
                <w:sz w:val="24"/>
                <w:szCs w:val="24"/>
                <w:lang w:val="en-US" w:eastAsia="zh-CN" w:bidi="ar"/>
              </w:rPr>
              <w:t>16</w:t>
            </w:r>
            <w:r>
              <w:rPr>
                <w:rFonts w:hint="eastAsia" w:ascii="Times New Roman" w:hAnsi="Times New Roman" w:eastAsia="宋体" w:cs="宋体"/>
                <w:kern w:val="2"/>
                <w:sz w:val="24"/>
                <w:szCs w:val="24"/>
                <w:lang w:val="en-US" w:eastAsia="zh-CN" w:bidi="ar"/>
              </w:rPr>
              <w:t>米、南</w:t>
            </w:r>
            <w:r>
              <w:rPr>
                <w:rFonts w:hint="default" w:ascii="Times New Roman" w:hAnsi="Times New Roman" w:eastAsia="宋体" w:cs="Times New Roman"/>
                <w:kern w:val="2"/>
                <w:sz w:val="24"/>
                <w:szCs w:val="24"/>
                <w:lang w:val="en-US" w:eastAsia="zh-CN" w:bidi="ar"/>
              </w:rPr>
              <w:t>18</w:t>
            </w:r>
            <w:r>
              <w:rPr>
                <w:rFonts w:hint="eastAsia" w:ascii="Times New Roman" w:hAnsi="Times New Roman" w:eastAsia="宋体" w:cs="宋体"/>
                <w:kern w:val="2"/>
                <w:sz w:val="24"/>
                <w:szCs w:val="24"/>
                <w:lang w:val="en-US" w:eastAsia="zh-CN" w:bidi="ar"/>
              </w:rPr>
              <w:t>米、北</w:t>
            </w:r>
            <w:r>
              <w:rPr>
                <w:rFonts w:hint="default" w:ascii="Times New Roman" w:hAnsi="Times New Roman" w:eastAsia="宋体" w:cs="Times New Roman"/>
                <w:kern w:val="2"/>
                <w:sz w:val="24"/>
                <w:szCs w:val="24"/>
                <w:lang w:val="en-US" w:eastAsia="zh-CN" w:bidi="ar"/>
              </w:rPr>
              <w:t>11</w:t>
            </w:r>
            <w:r>
              <w:rPr>
                <w:rFonts w:hint="eastAsia" w:ascii="Times New Roman" w:hAnsi="Times New Roman" w:eastAsia="宋体" w:cs="宋体"/>
                <w:kern w:val="2"/>
                <w:sz w:val="24"/>
                <w:szCs w:val="24"/>
                <w:lang w:val="en-US" w:eastAsia="zh-CN" w:bidi="ar"/>
              </w:rPr>
              <w:t>米的区域。</w:t>
            </w:r>
          </w:p>
          <w:p w14:paraId="44B6C47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textAlignment w:val="auto"/>
              <w:rPr>
                <w:rFonts w:hint="default"/>
                <w:sz w:val="24"/>
                <w:szCs w:val="24"/>
                <w:lang w:val="en-US"/>
              </w:rPr>
            </w:pPr>
            <w:r>
              <w:rPr>
                <w:rFonts w:hint="eastAsia" w:ascii="Times New Roman" w:hAnsi="Times New Roman" w:eastAsia="宋体" w:cs="宋体"/>
                <w:kern w:val="2"/>
                <w:sz w:val="24"/>
                <w:szCs w:val="24"/>
                <w:lang w:val="en-US" w:eastAsia="zh-CN" w:bidi="ar"/>
              </w:rPr>
              <w:t>④汤阴县五陵镇地下水井（共</w:t>
            </w:r>
            <w:r>
              <w:rPr>
                <w:rFonts w:hint="default" w:ascii="Times New Roman" w:hAnsi="Times New Roman" w:eastAsia="宋体" w:cs="Times New Roman"/>
                <w:kern w:val="2"/>
                <w:sz w:val="24"/>
                <w:szCs w:val="24"/>
                <w:lang w:val="en-US" w:eastAsia="zh-CN" w:bidi="ar"/>
              </w:rPr>
              <w:t>1</w:t>
            </w:r>
            <w:r>
              <w:rPr>
                <w:rFonts w:hint="eastAsia" w:ascii="Times New Roman" w:hAnsi="Times New Roman" w:eastAsia="宋体" w:cs="宋体"/>
                <w:kern w:val="2"/>
                <w:sz w:val="24"/>
                <w:szCs w:val="24"/>
                <w:lang w:val="en-US" w:eastAsia="zh-CN" w:bidi="ar"/>
              </w:rPr>
              <w:t>眼井）</w:t>
            </w:r>
          </w:p>
          <w:p w14:paraId="3EE46A5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textAlignment w:val="auto"/>
              <w:rPr>
                <w:rFonts w:hint="default"/>
                <w:sz w:val="24"/>
                <w:szCs w:val="24"/>
                <w:lang w:val="en-US"/>
              </w:rPr>
            </w:pPr>
            <w:r>
              <w:rPr>
                <w:rFonts w:hint="eastAsia" w:ascii="Times New Roman" w:hAnsi="Times New Roman" w:eastAsia="宋体" w:cs="宋体"/>
                <w:kern w:val="2"/>
                <w:sz w:val="24"/>
                <w:szCs w:val="24"/>
                <w:lang w:val="en-US" w:eastAsia="zh-CN" w:bidi="ar"/>
              </w:rPr>
              <w:t>一级保护区范围：水厂厂区及外围西</w:t>
            </w:r>
            <w:r>
              <w:rPr>
                <w:rFonts w:hint="default" w:ascii="Times New Roman" w:hAnsi="Times New Roman" w:eastAsia="宋体" w:cs="Times New Roman"/>
                <w:kern w:val="2"/>
                <w:sz w:val="24"/>
                <w:szCs w:val="24"/>
                <w:lang w:val="en-US" w:eastAsia="zh-CN" w:bidi="ar"/>
              </w:rPr>
              <w:t>11</w:t>
            </w:r>
            <w:r>
              <w:rPr>
                <w:rFonts w:hint="eastAsia" w:ascii="Times New Roman" w:hAnsi="Times New Roman" w:eastAsia="宋体" w:cs="宋体"/>
                <w:kern w:val="2"/>
                <w:sz w:val="24"/>
                <w:szCs w:val="24"/>
                <w:lang w:val="en-US" w:eastAsia="zh-CN" w:bidi="ar"/>
              </w:rPr>
              <w:t>米、南</w:t>
            </w:r>
            <w:r>
              <w:rPr>
                <w:rFonts w:hint="default" w:ascii="Times New Roman" w:hAnsi="Times New Roman" w:eastAsia="宋体" w:cs="Times New Roman"/>
                <w:kern w:val="2"/>
                <w:sz w:val="24"/>
                <w:szCs w:val="24"/>
                <w:lang w:val="en-US" w:eastAsia="zh-CN" w:bidi="ar"/>
              </w:rPr>
              <w:t>20</w:t>
            </w:r>
            <w:r>
              <w:rPr>
                <w:rFonts w:hint="eastAsia" w:ascii="Times New Roman" w:hAnsi="Times New Roman" w:eastAsia="宋体" w:cs="宋体"/>
                <w:kern w:val="2"/>
                <w:sz w:val="24"/>
                <w:szCs w:val="24"/>
                <w:lang w:val="en-US" w:eastAsia="zh-CN" w:bidi="ar"/>
              </w:rPr>
              <w:t>米的区域。</w:t>
            </w:r>
          </w:p>
          <w:p w14:paraId="2E4114D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textAlignment w:val="auto"/>
              <w:rPr>
                <w:rFonts w:hint="default"/>
                <w:sz w:val="24"/>
                <w:szCs w:val="24"/>
                <w:lang w:val="en-US"/>
              </w:rPr>
            </w:pPr>
            <w:r>
              <w:rPr>
                <w:rFonts w:hint="eastAsia" w:ascii="Times New Roman" w:hAnsi="Times New Roman" w:eastAsia="宋体" w:cs="宋体"/>
                <w:kern w:val="2"/>
                <w:sz w:val="24"/>
                <w:szCs w:val="24"/>
                <w:lang w:val="en-US" w:eastAsia="zh-CN" w:bidi="ar"/>
              </w:rPr>
              <w:t>⑤汤阴县瓦岗乡地下水井群（共</w:t>
            </w:r>
            <w:r>
              <w:rPr>
                <w:rFonts w:hint="default" w:ascii="Times New Roman" w:hAnsi="Times New Roman" w:eastAsia="宋体" w:cs="Times New Roman"/>
                <w:kern w:val="2"/>
                <w:sz w:val="24"/>
                <w:szCs w:val="24"/>
                <w:lang w:val="en-US" w:eastAsia="zh-CN" w:bidi="ar"/>
              </w:rPr>
              <w:t>3</w:t>
            </w:r>
            <w:r>
              <w:rPr>
                <w:rFonts w:hint="eastAsia" w:ascii="Times New Roman" w:hAnsi="Times New Roman" w:eastAsia="宋体" w:cs="宋体"/>
                <w:kern w:val="2"/>
                <w:sz w:val="24"/>
                <w:szCs w:val="24"/>
                <w:lang w:val="en-US" w:eastAsia="zh-CN" w:bidi="ar"/>
              </w:rPr>
              <w:t>眼井）</w:t>
            </w:r>
          </w:p>
          <w:p w14:paraId="57BCF79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textAlignment w:val="auto"/>
              <w:rPr>
                <w:rFonts w:hint="default"/>
                <w:sz w:val="24"/>
                <w:szCs w:val="24"/>
                <w:lang w:val="en-US"/>
              </w:rPr>
            </w:pPr>
            <w:r>
              <w:rPr>
                <w:rFonts w:hint="eastAsia" w:ascii="Times New Roman" w:hAnsi="Times New Roman" w:eastAsia="宋体" w:cs="宋体"/>
                <w:kern w:val="2"/>
                <w:sz w:val="24"/>
                <w:szCs w:val="24"/>
                <w:lang w:val="en-US" w:eastAsia="zh-CN" w:bidi="ar"/>
              </w:rPr>
              <w:t>一级保护区范围：水厂厂区及外围东</w:t>
            </w:r>
            <w:r>
              <w:rPr>
                <w:rFonts w:hint="default" w:ascii="Times New Roman" w:hAnsi="Times New Roman" w:eastAsia="宋体" w:cs="Times New Roman"/>
                <w:kern w:val="2"/>
                <w:sz w:val="24"/>
                <w:szCs w:val="24"/>
                <w:lang w:val="en-US" w:eastAsia="zh-CN" w:bidi="ar"/>
              </w:rPr>
              <w:t>8</w:t>
            </w:r>
            <w:r>
              <w:rPr>
                <w:rFonts w:hint="eastAsia" w:ascii="Times New Roman" w:hAnsi="Times New Roman" w:eastAsia="宋体" w:cs="宋体"/>
                <w:kern w:val="2"/>
                <w:sz w:val="24"/>
                <w:szCs w:val="24"/>
                <w:lang w:val="en-US" w:eastAsia="zh-CN" w:bidi="ar"/>
              </w:rPr>
              <w:t>米、西</w:t>
            </w:r>
            <w:r>
              <w:rPr>
                <w:rFonts w:hint="default" w:ascii="Times New Roman" w:hAnsi="Times New Roman" w:eastAsia="宋体" w:cs="Times New Roman"/>
                <w:kern w:val="2"/>
                <w:sz w:val="24"/>
                <w:szCs w:val="24"/>
                <w:lang w:val="en-US" w:eastAsia="zh-CN" w:bidi="ar"/>
              </w:rPr>
              <w:t>60</w:t>
            </w:r>
            <w:r>
              <w:rPr>
                <w:rFonts w:hint="eastAsia" w:ascii="Times New Roman" w:hAnsi="Times New Roman" w:eastAsia="宋体" w:cs="宋体"/>
                <w:kern w:val="2"/>
                <w:sz w:val="24"/>
                <w:szCs w:val="24"/>
                <w:lang w:val="en-US" w:eastAsia="zh-CN" w:bidi="ar"/>
              </w:rPr>
              <w:t>米、南</w:t>
            </w:r>
            <w:r>
              <w:rPr>
                <w:rFonts w:hint="default" w:ascii="Times New Roman" w:hAnsi="Times New Roman" w:eastAsia="宋体" w:cs="Times New Roman"/>
                <w:kern w:val="2"/>
                <w:sz w:val="24"/>
                <w:szCs w:val="24"/>
                <w:lang w:val="en-US" w:eastAsia="zh-CN" w:bidi="ar"/>
              </w:rPr>
              <w:t>58</w:t>
            </w:r>
            <w:r>
              <w:rPr>
                <w:rFonts w:hint="eastAsia" w:ascii="Times New Roman" w:hAnsi="Times New Roman" w:eastAsia="宋体" w:cs="宋体"/>
                <w:kern w:val="2"/>
                <w:sz w:val="24"/>
                <w:szCs w:val="24"/>
                <w:lang w:val="en-US" w:eastAsia="zh-CN" w:bidi="ar"/>
              </w:rPr>
              <w:t>米的区域。</w:t>
            </w:r>
          </w:p>
          <w:p w14:paraId="1F68C3A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textAlignment w:val="auto"/>
              <w:rPr>
                <w:rFonts w:hint="default"/>
                <w:sz w:val="24"/>
                <w:szCs w:val="24"/>
                <w:lang w:val="en-US"/>
              </w:rPr>
            </w:pPr>
            <w:r>
              <w:rPr>
                <w:rFonts w:hint="eastAsia" w:ascii="Times New Roman" w:hAnsi="Times New Roman" w:eastAsia="宋体" w:cs="宋体"/>
                <w:kern w:val="2"/>
                <w:sz w:val="24"/>
                <w:szCs w:val="24"/>
                <w:lang w:val="en-US" w:eastAsia="zh-CN" w:bidi="ar"/>
              </w:rPr>
              <w:t>⑥汤阴县伏道镇地下水井（共</w:t>
            </w:r>
            <w:r>
              <w:rPr>
                <w:rFonts w:hint="default" w:ascii="Times New Roman" w:hAnsi="Times New Roman" w:eastAsia="宋体" w:cs="Times New Roman"/>
                <w:kern w:val="2"/>
                <w:sz w:val="24"/>
                <w:szCs w:val="24"/>
                <w:lang w:val="en-US" w:eastAsia="zh-CN" w:bidi="ar"/>
              </w:rPr>
              <w:t>1</w:t>
            </w:r>
            <w:r>
              <w:rPr>
                <w:rFonts w:hint="eastAsia" w:ascii="Times New Roman" w:hAnsi="Times New Roman" w:eastAsia="宋体" w:cs="宋体"/>
                <w:kern w:val="2"/>
                <w:sz w:val="24"/>
                <w:szCs w:val="24"/>
                <w:lang w:val="en-US" w:eastAsia="zh-CN" w:bidi="ar"/>
              </w:rPr>
              <w:t>眼井）</w:t>
            </w:r>
          </w:p>
          <w:p w14:paraId="565FDB7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textAlignment w:val="auto"/>
              <w:rPr>
                <w:rFonts w:hint="default"/>
                <w:sz w:val="24"/>
                <w:szCs w:val="24"/>
                <w:lang w:val="en-US"/>
              </w:rPr>
            </w:pPr>
            <w:r>
              <w:rPr>
                <w:rFonts w:hint="eastAsia" w:ascii="Times New Roman" w:hAnsi="Times New Roman" w:eastAsia="宋体" w:cs="宋体"/>
                <w:kern w:val="2"/>
                <w:sz w:val="24"/>
                <w:szCs w:val="24"/>
                <w:lang w:val="en-US" w:eastAsia="zh-CN" w:bidi="ar"/>
              </w:rPr>
              <w:t>一级保护区范围：水厂厂区及外围东</w:t>
            </w:r>
            <w:r>
              <w:rPr>
                <w:rFonts w:hint="default" w:ascii="Times New Roman" w:hAnsi="Times New Roman" w:eastAsia="宋体" w:cs="Times New Roman"/>
                <w:kern w:val="2"/>
                <w:sz w:val="24"/>
                <w:szCs w:val="24"/>
                <w:lang w:val="en-US" w:eastAsia="zh-CN" w:bidi="ar"/>
              </w:rPr>
              <w:t>6</w:t>
            </w:r>
            <w:r>
              <w:rPr>
                <w:rFonts w:hint="eastAsia" w:ascii="Times New Roman" w:hAnsi="Times New Roman" w:eastAsia="宋体" w:cs="宋体"/>
                <w:kern w:val="2"/>
                <w:sz w:val="24"/>
                <w:szCs w:val="24"/>
                <w:lang w:val="en-US" w:eastAsia="zh-CN" w:bidi="ar"/>
              </w:rPr>
              <w:t>米、西</w:t>
            </w:r>
            <w:r>
              <w:rPr>
                <w:rFonts w:hint="default" w:ascii="Times New Roman" w:hAnsi="Times New Roman" w:eastAsia="宋体" w:cs="Times New Roman"/>
                <w:kern w:val="2"/>
                <w:sz w:val="24"/>
                <w:szCs w:val="24"/>
                <w:lang w:val="en-US" w:eastAsia="zh-CN" w:bidi="ar"/>
              </w:rPr>
              <w:t>24</w:t>
            </w:r>
            <w:r>
              <w:rPr>
                <w:rFonts w:hint="eastAsia" w:ascii="Times New Roman" w:hAnsi="Times New Roman" w:eastAsia="宋体" w:cs="宋体"/>
                <w:kern w:val="2"/>
                <w:sz w:val="24"/>
                <w:szCs w:val="24"/>
                <w:lang w:val="en-US" w:eastAsia="zh-CN" w:bidi="ar"/>
              </w:rPr>
              <w:t>米、南</w:t>
            </w:r>
            <w:r>
              <w:rPr>
                <w:rFonts w:hint="default" w:ascii="Times New Roman" w:hAnsi="Times New Roman" w:eastAsia="宋体" w:cs="Times New Roman"/>
                <w:kern w:val="2"/>
                <w:sz w:val="24"/>
                <w:szCs w:val="24"/>
                <w:lang w:val="en-US" w:eastAsia="zh-CN" w:bidi="ar"/>
              </w:rPr>
              <w:t>15</w:t>
            </w:r>
            <w:r>
              <w:rPr>
                <w:rFonts w:hint="eastAsia" w:ascii="Times New Roman" w:hAnsi="Times New Roman" w:eastAsia="宋体" w:cs="宋体"/>
                <w:kern w:val="2"/>
                <w:sz w:val="24"/>
                <w:szCs w:val="24"/>
                <w:lang w:val="en-US" w:eastAsia="zh-CN" w:bidi="ar"/>
              </w:rPr>
              <w:t>米的区域。</w:t>
            </w:r>
          </w:p>
          <w:p w14:paraId="7EEE40E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textAlignment w:val="auto"/>
              <w:rPr>
                <w:rFonts w:hint="default"/>
                <w:sz w:val="24"/>
                <w:szCs w:val="24"/>
                <w:lang w:val="en-US"/>
              </w:rPr>
            </w:pPr>
            <w:r>
              <w:rPr>
                <w:rFonts w:hint="eastAsia" w:ascii="Times New Roman" w:hAnsi="Times New Roman" w:eastAsia="宋体" w:cs="宋体"/>
                <w:kern w:val="2"/>
                <w:sz w:val="24"/>
                <w:szCs w:val="24"/>
                <w:lang w:val="en-US" w:eastAsia="zh-CN" w:bidi="ar"/>
              </w:rPr>
              <w:t>⑦汤阴县白营镇地下水井（共</w:t>
            </w:r>
            <w:r>
              <w:rPr>
                <w:rFonts w:hint="default" w:ascii="Times New Roman" w:hAnsi="Times New Roman" w:eastAsia="宋体" w:cs="Times New Roman"/>
                <w:kern w:val="2"/>
                <w:sz w:val="24"/>
                <w:szCs w:val="24"/>
                <w:lang w:val="en-US" w:eastAsia="zh-CN" w:bidi="ar"/>
              </w:rPr>
              <w:t>1</w:t>
            </w:r>
            <w:r>
              <w:rPr>
                <w:rFonts w:hint="eastAsia" w:ascii="Times New Roman" w:hAnsi="Times New Roman" w:eastAsia="宋体" w:cs="宋体"/>
                <w:kern w:val="2"/>
                <w:sz w:val="24"/>
                <w:szCs w:val="24"/>
                <w:lang w:val="en-US" w:eastAsia="zh-CN" w:bidi="ar"/>
              </w:rPr>
              <w:t>眼井）</w:t>
            </w:r>
          </w:p>
          <w:p w14:paraId="5C8F8A4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textAlignment w:val="auto"/>
              <w:rPr>
                <w:rFonts w:hint="default"/>
                <w:sz w:val="24"/>
                <w:szCs w:val="24"/>
                <w:lang w:val="en-US"/>
              </w:rPr>
            </w:pPr>
            <w:r>
              <w:rPr>
                <w:rFonts w:hint="eastAsia" w:ascii="Times New Roman" w:hAnsi="Times New Roman" w:eastAsia="宋体" w:cs="宋体"/>
                <w:kern w:val="2"/>
                <w:sz w:val="24"/>
                <w:szCs w:val="24"/>
                <w:lang w:val="en-US" w:eastAsia="zh-CN" w:bidi="ar"/>
              </w:rPr>
              <w:t>一级保护区范围：取水井外围</w:t>
            </w:r>
            <w:r>
              <w:rPr>
                <w:rFonts w:hint="default" w:ascii="Times New Roman" w:hAnsi="Times New Roman" w:eastAsia="宋体" w:cs="Times New Roman"/>
                <w:kern w:val="2"/>
                <w:sz w:val="24"/>
                <w:szCs w:val="24"/>
                <w:lang w:val="en-US" w:eastAsia="zh-CN" w:bidi="ar"/>
              </w:rPr>
              <w:t>30</w:t>
            </w:r>
            <w:r>
              <w:rPr>
                <w:rFonts w:hint="eastAsia" w:ascii="Times New Roman" w:hAnsi="Times New Roman" w:eastAsia="宋体" w:cs="宋体"/>
                <w:kern w:val="2"/>
                <w:sz w:val="24"/>
                <w:szCs w:val="24"/>
                <w:lang w:val="en-US" w:eastAsia="zh-CN" w:bidi="ar"/>
              </w:rPr>
              <w:t>米的区域。</w:t>
            </w:r>
          </w:p>
          <w:p w14:paraId="15BEB09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textAlignment w:val="auto"/>
              <w:rPr>
                <w:rFonts w:hint="default"/>
                <w:sz w:val="24"/>
                <w:szCs w:val="24"/>
                <w:lang w:val="en-US"/>
              </w:rPr>
            </w:pPr>
            <w:r>
              <w:rPr>
                <w:rFonts w:hint="eastAsia" w:ascii="Times New Roman" w:hAnsi="Times New Roman" w:eastAsia="宋体" w:cs="宋体"/>
                <w:kern w:val="2"/>
                <w:sz w:val="24"/>
                <w:szCs w:val="24"/>
                <w:lang w:val="en-US" w:eastAsia="zh-CN" w:bidi="ar"/>
              </w:rPr>
              <w:t>二级保护区范围：一级保护区外围</w:t>
            </w:r>
            <w:r>
              <w:rPr>
                <w:rFonts w:hint="default" w:ascii="Times New Roman" w:hAnsi="Times New Roman" w:eastAsia="宋体" w:cs="Times New Roman"/>
                <w:kern w:val="2"/>
                <w:sz w:val="24"/>
                <w:szCs w:val="24"/>
                <w:lang w:val="en-US" w:eastAsia="zh-CN" w:bidi="ar"/>
              </w:rPr>
              <w:t>300</w:t>
            </w:r>
            <w:r>
              <w:rPr>
                <w:rFonts w:hint="eastAsia" w:ascii="Times New Roman" w:hAnsi="Times New Roman" w:eastAsia="宋体" w:cs="宋体"/>
                <w:kern w:val="2"/>
                <w:sz w:val="24"/>
                <w:szCs w:val="24"/>
                <w:lang w:val="en-US" w:eastAsia="zh-CN" w:bidi="ar"/>
              </w:rPr>
              <w:t>米的区域。</w:t>
            </w:r>
          </w:p>
          <w:p w14:paraId="7D43F6A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textAlignment w:val="auto"/>
              <w:rPr>
                <w:rFonts w:hint="default"/>
                <w:sz w:val="24"/>
                <w:szCs w:val="24"/>
                <w:lang w:val="en-US"/>
              </w:rPr>
            </w:pPr>
            <w:r>
              <w:rPr>
                <w:rFonts w:hint="eastAsia" w:ascii="Times New Roman" w:hAnsi="Times New Roman" w:eastAsia="宋体" w:cs="宋体"/>
                <w:kern w:val="2"/>
                <w:sz w:val="24"/>
                <w:szCs w:val="24"/>
                <w:lang w:val="en-US" w:eastAsia="zh-CN" w:bidi="ar"/>
              </w:rPr>
              <w:t>⑧汤阴县宜沟镇地下水井群（共</w:t>
            </w:r>
            <w:r>
              <w:rPr>
                <w:rFonts w:hint="default" w:ascii="Times New Roman" w:hAnsi="Times New Roman" w:eastAsia="宋体" w:cs="Times New Roman"/>
                <w:kern w:val="2"/>
                <w:sz w:val="24"/>
                <w:szCs w:val="24"/>
                <w:lang w:val="en-US" w:eastAsia="zh-CN" w:bidi="ar"/>
              </w:rPr>
              <w:t>2</w:t>
            </w:r>
            <w:r>
              <w:rPr>
                <w:rFonts w:hint="eastAsia" w:ascii="Times New Roman" w:hAnsi="Times New Roman" w:eastAsia="宋体" w:cs="宋体"/>
                <w:kern w:val="2"/>
                <w:sz w:val="24"/>
                <w:szCs w:val="24"/>
                <w:lang w:val="en-US" w:eastAsia="zh-CN" w:bidi="ar"/>
              </w:rPr>
              <w:t>眼井）</w:t>
            </w:r>
          </w:p>
          <w:p w14:paraId="6D45BE9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textAlignment w:val="auto"/>
              <w:rPr>
                <w:rFonts w:hint="default"/>
                <w:sz w:val="24"/>
                <w:szCs w:val="24"/>
                <w:lang w:val="en-US"/>
              </w:rPr>
            </w:pPr>
            <w:r>
              <w:rPr>
                <w:rFonts w:hint="eastAsia" w:ascii="Times New Roman" w:hAnsi="Times New Roman" w:eastAsia="宋体" w:cs="宋体"/>
                <w:kern w:val="2"/>
                <w:sz w:val="24"/>
                <w:szCs w:val="24"/>
                <w:lang w:val="en-US" w:eastAsia="zh-CN" w:bidi="ar"/>
              </w:rPr>
              <w:t>一级保护区范围：井群外包线内及外围</w:t>
            </w:r>
            <w:r>
              <w:rPr>
                <w:rFonts w:hint="default" w:ascii="Times New Roman" w:hAnsi="Times New Roman" w:eastAsia="宋体" w:cs="Times New Roman"/>
                <w:kern w:val="2"/>
                <w:sz w:val="24"/>
                <w:szCs w:val="24"/>
                <w:lang w:val="en-US" w:eastAsia="zh-CN" w:bidi="ar"/>
              </w:rPr>
              <w:t>30</w:t>
            </w:r>
            <w:r>
              <w:rPr>
                <w:rFonts w:hint="eastAsia" w:ascii="Times New Roman" w:hAnsi="Times New Roman" w:eastAsia="宋体" w:cs="宋体"/>
                <w:kern w:val="2"/>
                <w:sz w:val="24"/>
                <w:szCs w:val="24"/>
                <w:lang w:val="en-US" w:eastAsia="zh-CN" w:bidi="ar"/>
              </w:rPr>
              <w:t>米的区域。</w:t>
            </w:r>
          </w:p>
          <w:p w14:paraId="35D80BC5">
            <w:pPr>
              <w:keepNext w:val="0"/>
              <w:keepLines w:val="0"/>
              <w:pageBreakBefore w:val="0"/>
              <w:widowControl/>
              <w:suppressLineNumbers w:val="0"/>
              <w:kinsoku/>
              <w:wordWrap/>
              <w:overflowPunct/>
              <w:topLinePunct w:val="0"/>
              <w:autoSpaceDE/>
              <w:autoSpaceDN/>
              <w:bidi w:val="0"/>
              <w:spacing w:before="0" w:beforeAutospacing="0" w:after="0" w:afterAutospacing="0" w:line="520" w:lineRule="exact"/>
              <w:ind w:left="0" w:right="0"/>
              <w:jc w:val="left"/>
              <w:textAlignment w:val="auto"/>
              <w:rPr>
                <w:rFonts w:hint="default"/>
              </w:rPr>
            </w:pPr>
            <w:r>
              <w:rPr>
                <w:rFonts w:hint="eastAsia" w:ascii="Times New Roman" w:hAnsi="Times New Roman" w:eastAsia="宋体" w:cs="Times New Roman"/>
                <w:kern w:val="2"/>
                <w:sz w:val="24"/>
                <w:szCs w:val="24"/>
                <w:lang w:val="en-US" w:eastAsia="zh-CN" w:bidi="ar"/>
              </w:rPr>
              <w:t>二级保护区范围：一级保护区外围</w:t>
            </w:r>
            <w:r>
              <w:rPr>
                <w:rFonts w:hint="default" w:ascii="Times New Roman" w:hAnsi="Times New Roman" w:eastAsia="宋体" w:cs="Times New Roman"/>
                <w:kern w:val="2"/>
                <w:sz w:val="24"/>
                <w:szCs w:val="24"/>
                <w:lang w:val="en-US" w:eastAsia="zh-CN" w:bidi="ar"/>
              </w:rPr>
              <w:t>300</w:t>
            </w:r>
            <w:r>
              <w:rPr>
                <w:rFonts w:hint="eastAsia" w:ascii="Times New Roman" w:hAnsi="Times New Roman" w:eastAsia="宋体" w:cs="Times New Roman"/>
                <w:kern w:val="2"/>
                <w:sz w:val="24"/>
                <w:szCs w:val="24"/>
                <w:lang w:val="en-US" w:eastAsia="zh-CN" w:bidi="ar"/>
              </w:rPr>
              <w:t>米的区域。</w:t>
            </w:r>
          </w:p>
          <w:p w14:paraId="1AD401E8">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520" w:lineRule="exact"/>
              <w:ind w:left="0" w:right="0" w:firstLine="480" w:firstLineChars="200"/>
              <w:jc w:val="both"/>
              <w:textAlignment w:val="auto"/>
              <w:rPr>
                <w:rFonts w:hint="default"/>
                <w:sz w:val="24"/>
                <w:szCs w:val="24"/>
                <w:highlight w:val="none"/>
                <w:lang w:val="en-US"/>
              </w:rPr>
            </w:pPr>
            <w:r>
              <w:rPr>
                <w:rFonts w:hint="eastAsia" w:ascii="Times New Roman" w:hAnsi="Times New Roman" w:eastAsia="宋体" w:cs="宋体"/>
                <w:kern w:val="2"/>
                <w:sz w:val="24"/>
                <w:szCs w:val="24"/>
                <w:highlight w:val="none"/>
                <w:lang w:val="en-US" w:eastAsia="zh-CN" w:bidi="ar"/>
              </w:rPr>
              <w:t>项目位于</w:t>
            </w:r>
            <w:r>
              <w:rPr>
                <w:rFonts w:hint="eastAsia" w:cs="宋体"/>
                <w:kern w:val="2"/>
                <w:sz w:val="24"/>
                <w:szCs w:val="24"/>
                <w:highlight w:val="none"/>
                <w:lang w:val="en-US" w:eastAsia="zh-CN" w:bidi="ar"/>
              </w:rPr>
              <w:t>汤阴县韩庄镇</w:t>
            </w:r>
            <w:r>
              <w:rPr>
                <w:rFonts w:hint="eastAsia" w:ascii="Times New Roman" w:hAnsi="Times New Roman" w:eastAsia="宋体" w:cs="宋体"/>
                <w:kern w:val="2"/>
                <w:sz w:val="24"/>
                <w:szCs w:val="24"/>
                <w:highlight w:val="none"/>
                <w:lang w:val="en-US" w:eastAsia="zh-CN" w:bidi="ar"/>
              </w:rPr>
              <w:t>，</w:t>
            </w:r>
            <w:r>
              <w:rPr>
                <w:rFonts w:hint="eastAsia" w:cs="宋体"/>
                <w:kern w:val="2"/>
                <w:sz w:val="24"/>
                <w:szCs w:val="24"/>
                <w:highlight w:val="none"/>
                <w:lang w:val="en-US" w:eastAsia="zh-CN" w:bidi="ar"/>
              </w:rPr>
              <w:t>周边无</w:t>
            </w:r>
            <w:r>
              <w:rPr>
                <w:rFonts w:hint="eastAsia" w:ascii="Times New Roman" w:hAnsi="Times New Roman" w:eastAsia="宋体" w:cs="宋体"/>
                <w:kern w:val="2"/>
                <w:sz w:val="24"/>
                <w:szCs w:val="24"/>
                <w:lang w:val="en-US" w:eastAsia="zh-CN" w:bidi="ar"/>
              </w:rPr>
              <w:t>乡镇级集中式饮用水水源保护区</w:t>
            </w:r>
            <w:r>
              <w:rPr>
                <w:rFonts w:hint="eastAsia" w:ascii="Times New Roman" w:hAnsi="Times New Roman" w:eastAsia="宋体" w:cs="宋体"/>
                <w:kern w:val="2"/>
                <w:sz w:val="24"/>
                <w:szCs w:val="24"/>
                <w:highlight w:val="none"/>
                <w:lang w:val="en-US" w:eastAsia="zh-CN" w:bidi="ar"/>
              </w:rPr>
              <w:t>。</w:t>
            </w:r>
          </w:p>
          <w:p w14:paraId="5D3A5DFD">
            <w:pPr>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Lines="0" w:beforeAutospacing="0" w:after="0" w:afterAutospacing="0" w:line="520" w:lineRule="exact"/>
              <w:ind w:left="0" w:right="0"/>
              <w:textAlignment w:val="auto"/>
              <w:outlineLvl w:val="0"/>
              <w:rPr>
                <w:rFonts w:hint="default" w:cs="Times New Roman"/>
                <w:b w:val="0"/>
                <w:bCs w:val="0"/>
                <w:color w:val="000000" w:themeColor="text1"/>
                <w:sz w:val="24"/>
                <w:szCs w:val="24"/>
                <w:highlight w:val="none"/>
                <w:lang w:val="en-US" w:eastAsia="zh-CN"/>
                <w14:textFill>
                  <w14:solidFill>
                    <w14:schemeClr w14:val="tx1"/>
                  </w14:solidFill>
                </w14:textFill>
              </w:rPr>
            </w:pPr>
            <w:bookmarkStart w:id="21" w:name="_Toc6379"/>
            <w:r>
              <w:rPr>
                <w:rFonts w:hint="eastAsia" w:cs="Times New Roman"/>
                <w:b w:val="0"/>
                <w:bCs w:val="0"/>
                <w:color w:val="000000" w:themeColor="text1"/>
                <w:sz w:val="24"/>
                <w:szCs w:val="24"/>
                <w:highlight w:val="none"/>
                <w:lang w:val="en-US" w:eastAsia="zh-CN"/>
                <w14:textFill>
                  <w14:solidFill>
                    <w14:schemeClr w14:val="tx1"/>
                  </w14:solidFill>
                </w14:textFill>
              </w:rPr>
              <w:t>五、绩效分级要求符合性</w:t>
            </w:r>
            <w:r>
              <w:rPr>
                <w:rFonts w:hint="default" w:cs="Times New Roman"/>
                <w:b w:val="0"/>
                <w:bCs w:val="0"/>
                <w:color w:val="000000" w:themeColor="text1"/>
                <w:sz w:val="24"/>
                <w:szCs w:val="24"/>
                <w:highlight w:val="none"/>
                <w:lang w:val="en-US" w:eastAsia="zh-CN"/>
                <w14:textFill>
                  <w14:solidFill>
                    <w14:schemeClr w14:val="tx1"/>
                  </w14:solidFill>
                </w14:textFill>
              </w:rPr>
              <w:t>分析</w:t>
            </w:r>
            <w:bookmarkEnd w:id="21"/>
          </w:p>
          <w:p w14:paraId="1F44F819">
            <w:pPr>
              <w:keepNext w:val="0"/>
              <w:keepLines w:val="0"/>
              <w:suppressLineNumbers w:val="0"/>
              <w:spacing w:before="0" w:beforeAutospacing="0" w:after="0" w:afterAutospacing="0" w:line="520" w:lineRule="exact"/>
              <w:ind w:left="0" w:right="0" w:firstLine="480" w:firstLineChars="200"/>
              <w:rPr>
                <w:rFonts w:hint="default"/>
                <w:sz w:val="24"/>
                <w:szCs w:val="24"/>
              </w:rPr>
            </w:pPr>
            <w:r>
              <w:rPr>
                <w:rFonts w:hint="default"/>
                <w:sz w:val="24"/>
                <w:szCs w:val="24"/>
                <w:lang w:val="en-US" w:eastAsia="zh-CN"/>
              </w:rPr>
              <w:t>根据</w:t>
            </w:r>
            <w:r>
              <w:rPr>
                <w:rFonts w:hint="eastAsia" w:ascii="Times New Roman" w:hAnsi="Times New Roman" w:eastAsia="宋体" w:cs="Times New Roman"/>
                <w:bCs/>
                <w:kern w:val="2"/>
                <w:sz w:val="24"/>
                <w:szCs w:val="24"/>
                <w:lang w:val="en-US" w:eastAsia="zh-CN" w:bidi="ar"/>
              </w:rPr>
              <w:t>《河南省重污染天气重点行业应急减排措施制定技术指南（</w:t>
            </w:r>
            <w:r>
              <w:rPr>
                <w:rFonts w:hint="default" w:ascii="Times New Roman" w:hAnsi="Times New Roman" w:eastAsia="宋体" w:cs="Times New Roman"/>
                <w:bCs/>
                <w:kern w:val="2"/>
                <w:sz w:val="24"/>
                <w:szCs w:val="24"/>
                <w:lang w:val="en-US" w:eastAsia="zh-CN" w:bidi="ar"/>
              </w:rPr>
              <w:t>2024</w:t>
            </w:r>
            <w:r>
              <w:rPr>
                <w:rFonts w:hint="eastAsia" w:ascii="Times New Roman" w:hAnsi="Times New Roman" w:eastAsia="宋体" w:cs="Times New Roman"/>
                <w:bCs/>
                <w:kern w:val="2"/>
                <w:sz w:val="24"/>
                <w:szCs w:val="24"/>
                <w:lang w:val="en-US" w:eastAsia="zh-CN" w:bidi="ar"/>
              </w:rPr>
              <w:t>年修订版）》中塑料制品企业绩效分级</w:t>
            </w:r>
            <w:r>
              <w:rPr>
                <w:rFonts w:hint="default" w:ascii="Times New Roman" w:hAnsi="Times New Roman" w:eastAsia="宋体" w:cs="Times New Roman"/>
                <w:bCs/>
                <w:kern w:val="2"/>
                <w:sz w:val="24"/>
                <w:szCs w:val="24"/>
                <w:lang w:val="en-US" w:eastAsia="zh-CN" w:bidi="ar"/>
              </w:rPr>
              <w:t>A</w:t>
            </w:r>
            <w:r>
              <w:rPr>
                <w:rFonts w:hint="eastAsia" w:ascii="Times New Roman" w:hAnsi="Times New Roman" w:eastAsia="宋体" w:cs="Times New Roman"/>
                <w:bCs/>
                <w:kern w:val="2"/>
                <w:sz w:val="24"/>
                <w:szCs w:val="24"/>
                <w:lang w:val="en-US" w:eastAsia="zh-CN" w:bidi="ar"/>
              </w:rPr>
              <w:t>级指标进行对标分析见下表</w:t>
            </w:r>
            <w:r>
              <w:rPr>
                <w:rFonts w:hint="default"/>
                <w:sz w:val="24"/>
                <w:szCs w:val="24"/>
              </w:rPr>
              <w:t>：</w:t>
            </w:r>
          </w:p>
          <w:p w14:paraId="31090780">
            <w:pPr>
              <w:pStyle w:val="2"/>
              <w:keepLines w:val="0"/>
              <w:suppressLineNumbers w:val="0"/>
              <w:spacing w:before="0" w:beforeAutospacing="0" w:after="0" w:afterAutospacing="0" w:line="520" w:lineRule="exact"/>
              <w:ind w:right="0"/>
              <w:jc w:val="center"/>
              <w:rPr>
                <w:rFonts w:hint="default" w:eastAsia="黑体"/>
                <w:b w:val="0"/>
                <w:bCs/>
                <w:spacing w:val="9"/>
                <w:sz w:val="24"/>
                <w:szCs w:val="24"/>
              </w:rPr>
            </w:pPr>
            <w:bookmarkStart w:id="22" w:name="_Toc160631679"/>
            <w:bookmarkStart w:id="23" w:name="_Toc22945"/>
            <w:r>
              <w:rPr>
                <w:rFonts w:hint="default" w:eastAsia="黑体"/>
                <w:b w:val="0"/>
                <w:bCs/>
                <w:spacing w:val="9"/>
                <w:sz w:val="24"/>
                <w:szCs w:val="24"/>
              </w:rPr>
              <w:t>表</w:t>
            </w:r>
            <w:r>
              <w:rPr>
                <w:rFonts w:hint="eastAsia"/>
                <w:b w:val="0"/>
                <w:bCs/>
                <w:spacing w:val="9"/>
                <w:sz w:val="24"/>
                <w:szCs w:val="24"/>
                <w:lang w:val="en-US" w:eastAsia="zh-CN"/>
              </w:rPr>
              <w:t>1-8</w:t>
            </w:r>
            <w:r>
              <w:rPr>
                <w:rFonts w:hint="default" w:eastAsia="黑体"/>
                <w:b w:val="0"/>
                <w:bCs/>
                <w:spacing w:val="9"/>
                <w:sz w:val="24"/>
                <w:szCs w:val="24"/>
              </w:rPr>
              <w:t xml:space="preserve">  </w:t>
            </w:r>
            <w:r>
              <w:rPr>
                <w:rFonts w:hint="eastAsia"/>
                <w:b w:val="0"/>
                <w:bCs/>
                <w:spacing w:val="9"/>
                <w:sz w:val="24"/>
                <w:szCs w:val="24"/>
                <w:lang w:val="en-US" w:eastAsia="zh-CN"/>
              </w:rPr>
              <w:t>塑料制品行业绩效分级指标</w:t>
            </w:r>
            <w:r>
              <w:rPr>
                <w:rFonts w:hint="default" w:eastAsia="黑体"/>
                <w:b w:val="0"/>
                <w:bCs/>
                <w:spacing w:val="9"/>
                <w:sz w:val="24"/>
                <w:szCs w:val="24"/>
              </w:rPr>
              <w:t>对照表</w:t>
            </w:r>
            <w:bookmarkEnd w:id="22"/>
            <w:bookmarkEnd w:id="23"/>
          </w:p>
          <w:tbl>
            <w:tblPr>
              <w:tblStyle w:val="2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554"/>
              <w:gridCol w:w="555"/>
              <w:gridCol w:w="3700"/>
              <w:gridCol w:w="2243"/>
              <w:gridCol w:w="879"/>
            </w:tblGrid>
            <w:tr w14:paraId="4D2965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 w:hRule="atLeast"/>
                <w:jc w:val="center"/>
              </w:trPr>
              <w:tc>
                <w:tcPr>
                  <w:tcW w:w="699" w:type="pct"/>
                  <w:gridSpan w:val="2"/>
                  <w:tcBorders>
                    <w:tl2br w:val="nil"/>
                    <w:tr2bl w:val="nil"/>
                  </w:tcBorders>
                  <w:shd w:val="clear" w:color="auto" w:fill="auto"/>
                  <w:vAlign w:val="center"/>
                </w:tcPr>
                <w:p w14:paraId="353B4434">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center"/>
                    <w:textAlignment w:val="auto"/>
                    <w:rPr>
                      <w:rFonts w:hint="default"/>
                      <w:b w:val="0"/>
                      <w:bCs w:val="0"/>
                      <w:szCs w:val="21"/>
                      <w:lang w:val="en-US"/>
                    </w:rPr>
                  </w:pPr>
                  <w:r>
                    <w:rPr>
                      <w:rFonts w:hint="eastAsia" w:ascii="Times New Roman" w:hAnsi="Times New Roman" w:eastAsia="宋体" w:cs="宋体"/>
                      <w:b w:val="0"/>
                      <w:bCs w:val="0"/>
                      <w:kern w:val="2"/>
                      <w:sz w:val="21"/>
                      <w:szCs w:val="21"/>
                      <w:lang w:val="en-US" w:eastAsia="zh-CN" w:bidi="ar"/>
                    </w:rPr>
                    <w:t>类别</w:t>
                  </w:r>
                </w:p>
              </w:tc>
              <w:tc>
                <w:tcPr>
                  <w:tcW w:w="2332" w:type="pct"/>
                  <w:tcBorders>
                    <w:tl2br w:val="nil"/>
                    <w:tr2bl w:val="nil"/>
                  </w:tcBorders>
                  <w:shd w:val="clear" w:color="auto" w:fill="auto"/>
                  <w:vAlign w:val="center"/>
                </w:tcPr>
                <w:p w14:paraId="1C7AFAD8">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center"/>
                    <w:textAlignment w:val="auto"/>
                    <w:rPr>
                      <w:rFonts w:hint="default"/>
                      <w:b w:val="0"/>
                      <w:bCs w:val="0"/>
                      <w:szCs w:val="21"/>
                      <w:lang w:val="en-US"/>
                    </w:rPr>
                  </w:pPr>
                  <w:r>
                    <w:rPr>
                      <w:rFonts w:hint="eastAsia" w:ascii="Times New Roman" w:hAnsi="宋体" w:eastAsia="宋体" w:cs="宋体"/>
                      <w:b w:val="0"/>
                      <w:bCs w:val="0"/>
                      <w:kern w:val="2"/>
                      <w:sz w:val="21"/>
                      <w:szCs w:val="21"/>
                      <w:lang w:val="en-US" w:eastAsia="zh-CN" w:bidi="ar"/>
                    </w:rPr>
                    <w:t>塑料制品行业</w:t>
                  </w:r>
                  <w:r>
                    <w:rPr>
                      <w:rFonts w:hint="default" w:ascii="Times New Roman" w:hAnsi="宋体" w:eastAsia="宋体" w:cs="Times New Roman"/>
                      <w:b w:val="0"/>
                      <w:bCs w:val="0"/>
                      <w:kern w:val="2"/>
                      <w:sz w:val="21"/>
                      <w:szCs w:val="21"/>
                      <w:lang w:val="en-US" w:eastAsia="zh-CN" w:bidi="ar"/>
                    </w:rPr>
                    <w:t>A</w:t>
                  </w:r>
                  <w:r>
                    <w:rPr>
                      <w:rFonts w:hint="eastAsia" w:ascii="Times New Roman" w:hAnsi="宋体" w:eastAsia="宋体" w:cs="宋体"/>
                      <w:b w:val="0"/>
                      <w:bCs w:val="0"/>
                      <w:kern w:val="2"/>
                      <w:sz w:val="21"/>
                      <w:szCs w:val="21"/>
                      <w:lang w:val="en-US" w:eastAsia="zh-CN" w:bidi="ar"/>
                    </w:rPr>
                    <w:t>级指标要求</w:t>
                  </w:r>
                </w:p>
              </w:tc>
              <w:tc>
                <w:tcPr>
                  <w:tcW w:w="1414" w:type="pct"/>
                  <w:tcBorders>
                    <w:tl2br w:val="nil"/>
                    <w:tr2bl w:val="nil"/>
                  </w:tcBorders>
                  <w:shd w:val="clear" w:color="auto" w:fill="auto"/>
                  <w:vAlign w:val="center"/>
                </w:tcPr>
                <w:p w14:paraId="0E4012EB">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center"/>
                    <w:textAlignment w:val="auto"/>
                    <w:rPr>
                      <w:rFonts w:hint="default"/>
                      <w:b w:val="0"/>
                      <w:bCs w:val="0"/>
                      <w:szCs w:val="21"/>
                      <w:lang w:val="en-US"/>
                    </w:rPr>
                  </w:pPr>
                  <w:r>
                    <w:rPr>
                      <w:rFonts w:hint="eastAsia" w:ascii="Times New Roman" w:hAnsi="宋体" w:eastAsia="宋体" w:cs="宋体"/>
                      <w:b w:val="0"/>
                      <w:bCs w:val="0"/>
                      <w:kern w:val="2"/>
                      <w:sz w:val="21"/>
                      <w:szCs w:val="21"/>
                      <w:lang w:val="en-US" w:eastAsia="zh-CN" w:bidi="ar"/>
                    </w:rPr>
                    <w:t>企业对标情况</w:t>
                  </w:r>
                </w:p>
              </w:tc>
              <w:tc>
                <w:tcPr>
                  <w:tcW w:w="554" w:type="pct"/>
                  <w:tcBorders>
                    <w:tl2br w:val="nil"/>
                    <w:tr2bl w:val="nil"/>
                  </w:tcBorders>
                  <w:shd w:val="clear" w:color="auto" w:fill="auto"/>
                  <w:vAlign w:val="center"/>
                </w:tcPr>
                <w:p w14:paraId="3DAAC4DB">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center"/>
                    <w:textAlignment w:val="auto"/>
                    <w:rPr>
                      <w:rFonts w:hint="default"/>
                      <w:b w:val="0"/>
                      <w:bCs w:val="0"/>
                      <w:szCs w:val="21"/>
                      <w:lang w:val="en-US"/>
                    </w:rPr>
                  </w:pPr>
                  <w:r>
                    <w:rPr>
                      <w:rFonts w:hint="eastAsia" w:ascii="Times New Roman" w:hAnsi="Times New Roman" w:eastAsia="宋体" w:cs="宋体"/>
                      <w:b w:val="0"/>
                      <w:bCs w:val="0"/>
                      <w:kern w:val="2"/>
                      <w:sz w:val="21"/>
                      <w:szCs w:val="21"/>
                      <w:lang w:val="en-US" w:eastAsia="zh-CN" w:bidi="ar"/>
                    </w:rPr>
                    <w:t>符合性</w:t>
                  </w:r>
                </w:p>
              </w:tc>
            </w:tr>
            <w:tr w14:paraId="11BDEC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 w:hRule="atLeast"/>
                <w:jc w:val="center"/>
              </w:trPr>
              <w:tc>
                <w:tcPr>
                  <w:tcW w:w="699" w:type="pct"/>
                  <w:gridSpan w:val="2"/>
                  <w:tcBorders>
                    <w:tl2br w:val="nil"/>
                    <w:tr2bl w:val="nil"/>
                  </w:tcBorders>
                  <w:shd w:val="clear" w:color="auto" w:fill="auto"/>
                  <w:vAlign w:val="center"/>
                </w:tcPr>
                <w:p w14:paraId="0B0BF269">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center"/>
                    <w:textAlignment w:val="auto"/>
                    <w:rPr>
                      <w:rFonts w:hint="default"/>
                      <w:b w:val="0"/>
                      <w:bCs w:val="0"/>
                      <w:szCs w:val="21"/>
                      <w:lang w:val="en-US"/>
                    </w:rPr>
                  </w:pPr>
                  <w:r>
                    <w:rPr>
                      <w:rFonts w:hint="eastAsia" w:ascii="Times New Roman" w:hAnsi="Times New Roman" w:eastAsia="宋体" w:cs="宋体"/>
                      <w:b w:val="0"/>
                      <w:bCs w:val="0"/>
                      <w:kern w:val="2"/>
                      <w:sz w:val="21"/>
                      <w:szCs w:val="21"/>
                      <w:lang w:val="en-US" w:eastAsia="zh-CN" w:bidi="ar"/>
                    </w:rPr>
                    <w:t>原料、能源类型</w:t>
                  </w:r>
                </w:p>
              </w:tc>
              <w:tc>
                <w:tcPr>
                  <w:tcW w:w="2332" w:type="pct"/>
                  <w:tcBorders>
                    <w:tl2br w:val="nil"/>
                    <w:tr2bl w:val="nil"/>
                  </w:tcBorders>
                  <w:shd w:val="clear" w:color="auto" w:fill="auto"/>
                  <w:vAlign w:val="center"/>
                </w:tcPr>
                <w:p w14:paraId="64265935">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center"/>
                    <w:textAlignment w:val="auto"/>
                    <w:rPr>
                      <w:rFonts w:hint="default" w:hAnsi="宋体"/>
                      <w:b w:val="0"/>
                      <w:bCs w:val="0"/>
                      <w:szCs w:val="21"/>
                      <w:lang w:val="en-US"/>
                    </w:rPr>
                  </w:pPr>
                  <w:r>
                    <w:rPr>
                      <w:rFonts w:hint="default" w:ascii="Times New Roman" w:hAnsi="Times New Roman" w:eastAsia="宋体" w:cs="Times New Roman"/>
                      <w:b w:val="0"/>
                      <w:bCs w:val="0"/>
                      <w:kern w:val="2"/>
                      <w:sz w:val="21"/>
                      <w:szCs w:val="21"/>
                      <w:lang w:val="en-US" w:eastAsia="zh-CN" w:bidi="ar"/>
                    </w:rPr>
                    <w:t>1.</w:t>
                  </w:r>
                  <w:r>
                    <w:rPr>
                      <w:rFonts w:hint="eastAsia" w:ascii="Times New Roman" w:hAnsi="Times New Roman" w:eastAsia="宋体" w:cs="宋体"/>
                      <w:b w:val="0"/>
                      <w:bCs w:val="0"/>
                      <w:kern w:val="2"/>
                      <w:sz w:val="21"/>
                      <w:szCs w:val="21"/>
                      <w:lang w:val="en-US" w:eastAsia="zh-CN" w:bidi="ar"/>
                    </w:rPr>
                    <w:t>能源使用电、天然气、液化石油气</w:t>
                  </w:r>
                </w:p>
              </w:tc>
              <w:tc>
                <w:tcPr>
                  <w:tcW w:w="1414" w:type="pct"/>
                  <w:tcBorders>
                    <w:tl2br w:val="nil"/>
                    <w:tr2bl w:val="nil"/>
                  </w:tcBorders>
                  <w:shd w:val="clear" w:color="auto" w:fill="auto"/>
                  <w:vAlign w:val="center"/>
                </w:tcPr>
                <w:p w14:paraId="69CE9BEF">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center"/>
                    <w:textAlignment w:val="auto"/>
                    <w:rPr>
                      <w:rFonts w:hint="default" w:hAnsi="宋体"/>
                      <w:b w:val="0"/>
                      <w:bCs w:val="0"/>
                      <w:szCs w:val="21"/>
                      <w:lang w:val="en-US"/>
                    </w:rPr>
                  </w:pPr>
                  <w:r>
                    <w:rPr>
                      <w:rFonts w:hint="default" w:ascii="Times New Roman" w:hAnsi="Times New Roman" w:eastAsia="宋体" w:cs="Times New Roman"/>
                      <w:b w:val="0"/>
                      <w:bCs w:val="0"/>
                      <w:kern w:val="2"/>
                      <w:sz w:val="21"/>
                      <w:szCs w:val="21"/>
                      <w:lang w:val="en-US" w:eastAsia="zh-CN" w:bidi="ar"/>
                    </w:rPr>
                    <w:t>1.</w:t>
                  </w:r>
                  <w:r>
                    <w:rPr>
                      <w:rFonts w:hint="eastAsia" w:ascii="Times New Roman" w:hAnsi="Times New Roman" w:eastAsia="宋体" w:cs="宋体"/>
                      <w:b w:val="0"/>
                      <w:bCs w:val="0"/>
                      <w:kern w:val="2"/>
                      <w:sz w:val="21"/>
                      <w:szCs w:val="21"/>
                      <w:lang w:val="en-US" w:eastAsia="zh-CN" w:bidi="ar"/>
                    </w:rPr>
                    <w:t>项目能源仅使用电。</w:t>
                  </w:r>
                </w:p>
              </w:tc>
              <w:tc>
                <w:tcPr>
                  <w:tcW w:w="554" w:type="pct"/>
                  <w:tcBorders>
                    <w:tl2br w:val="nil"/>
                    <w:tr2bl w:val="nil"/>
                  </w:tcBorders>
                  <w:shd w:val="clear" w:color="auto" w:fill="auto"/>
                  <w:vAlign w:val="center"/>
                </w:tcPr>
                <w:p w14:paraId="570D9BCB">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center"/>
                    <w:textAlignment w:val="auto"/>
                    <w:rPr>
                      <w:rFonts w:hint="default"/>
                      <w:b w:val="0"/>
                      <w:bCs w:val="0"/>
                      <w:szCs w:val="21"/>
                      <w:lang w:val="en-US"/>
                    </w:rPr>
                  </w:pPr>
                  <w:r>
                    <w:rPr>
                      <w:rFonts w:hint="eastAsia" w:ascii="Times New Roman" w:hAnsi="Times New Roman" w:eastAsia="宋体" w:cs="宋体"/>
                      <w:b w:val="0"/>
                      <w:bCs w:val="0"/>
                      <w:kern w:val="2"/>
                      <w:sz w:val="21"/>
                      <w:szCs w:val="21"/>
                      <w:lang w:val="en-US" w:eastAsia="zh-CN" w:bidi="ar"/>
                    </w:rPr>
                    <w:t>符合</w:t>
                  </w:r>
                </w:p>
              </w:tc>
            </w:tr>
            <w:tr w14:paraId="2FF462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 w:hRule="atLeast"/>
                <w:jc w:val="center"/>
              </w:trPr>
              <w:tc>
                <w:tcPr>
                  <w:tcW w:w="699" w:type="pct"/>
                  <w:gridSpan w:val="2"/>
                  <w:tcBorders>
                    <w:tl2br w:val="nil"/>
                    <w:tr2bl w:val="nil"/>
                  </w:tcBorders>
                  <w:shd w:val="clear" w:color="auto" w:fill="auto"/>
                  <w:vAlign w:val="center"/>
                </w:tcPr>
                <w:p w14:paraId="3DE48871">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center"/>
                    <w:textAlignment w:val="auto"/>
                    <w:rPr>
                      <w:rFonts w:hint="default"/>
                      <w:b w:val="0"/>
                      <w:bCs w:val="0"/>
                      <w:szCs w:val="21"/>
                      <w:lang w:val="en-US"/>
                    </w:rPr>
                  </w:pPr>
                  <w:r>
                    <w:rPr>
                      <w:rFonts w:hint="eastAsia" w:ascii="Times New Roman" w:hAnsi="Times New Roman" w:eastAsia="宋体" w:cs="宋体"/>
                      <w:b w:val="0"/>
                      <w:bCs w:val="0"/>
                      <w:kern w:val="2"/>
                      <w:sz w:val="21"/>
                      <w:szCs w:val="21"/>
                      <w:lang w:val="en-US" w:eastAsia="zh-CN" w:bidi="ar"/>
                    </w:rPr>
                    <w:t>生产工艺及装备水平</w:t>
                  </w:r>
                </w:p>
              </w:tc>
              <w:tc>
                <w:tcPr>
                  <w:tcW w:w="2332" w:type="pct"/>
                  <w:tcBorders>
                    <w:tl2br w:val="nil"/>
                    <w:tr2bl w:val="nil"/>
                  </w:tcBorders>
                  <w:shd w:val="clear" w:color="auto" w:fill="auto"/>
                  <w:vAlign w:val="center"/>
                </w:tcPr>
                <w:p w14:paraId="4024249A">
                  <w:pPr>
                    <w:pStyle w:val="21"/>
                    <w:keepNext w:val="0"/>
                    <w:keepLines w:val="0"/>
                    <w:pageBreakBefore w:val="0"/>
                    <w:widowControl w:val="0"/>
                    <w:suppressLineNumbers w:val="0"/>
                    <w:kinsoku/>
                    <w:wordWrap/>
                    <w:overflowPunct/>
                    <w:topLinePunct w:val="0"/>
                    <w:autoSpaceDE w:val="0"/>
                    <w:autoSpaceDN w:val="0"/>
                    <w:bidi w:val="0"/>
                    <w:adjustRightInd w:val="0"/>
                    <w:spacing w:before="0" w:beforeAutospacing="0" w:after="0" w:afterAutospacing="0" w:line="360" w:lineRule="exact"/>
                    <w:ind w:left="0" w:right="0"/>
                    <w:jc w:val="both"/>
                    <w:textAlignment w:val="auto"/>
                    <w:rPr>
                      <w:rFonts w:hint="default" w:ascii="Times New Roman" w:hAnsi="宋体" w:cs="Times New Roman"/>
                      <w:b w:val="0"/>
                      <w:bCs w:val="0"/>
                      <w:color w:val="auto"/>
                      <w:sz w:val="21"/>
                      <w:szCs w:val="21"/>
                      <w:lang w:val="en-US"/>
                    </w:rPr>
                  </w:pPr>
                  <w:r>
                    <w:rPr>
                      <w:rFonts w:hint="default" w:ascii="Times New Roman" w:hAnsi="宋体" w:eastAsia="宋体" w:cs="Times New Roman"/>
                      <w:b w:val="0"/>
                      <w:bCs w:val="0"/>
                      <w:color w:val="auto"/>
                      <w:kern w:val="0"/>
                      <w:sz w:val="21"/>
                      <w:szCs w:val="21"/>
                      <w:lang w:val="en-US" w:eastAsia="zh-CN" w:bidi="ar"/>
                    </w:rPr>
                    <w:t>1.</w:t>
                  </w:r>
                  <w:r>
                    <w:rPr>
                      <w:rFonts w:hint="eastAsia" w:ascii="Times New Roman" w:hAnsi="宋体" w:eastAsia="宋体" w:cs="Times New Roman"/>
                      <w:b w:val="0"/>
                      <w:bCs w:val="0"/>
                      <w:color w:val="auto"/>
                      <w:kern w:val="0"/>
                      <w:sz w:val="21"/>
                      <w:szCs w:val="21"/>
                      <w:lang w:val="en-US" w:eastAsia="zh-CN" w:bidi="ar"/>
                    </w:rPr>
                    <w:t>属于《产业结构调整指导目录（</w:t>
                  </w:r>
                  <w:r>
                    <w:rPr>
                      <w:rFonts w:hint="default" w:ascii="Times New Roman" w:hAnsi="宋体" w:eastAsia="宋体" w:cs="Times New Roman"/>
                      <w:b w:val="0"/>
                      <w:bCs w:val="0"/>
                      <w:color w:val="auto"/>
                      <w:kern w:val="0"/>
                      <w:sz w:val="21"/>
                      <w:szCs w:val="21"/>
                      <w:lang w:val="en-US" w:eastAsia="zh-CN" w:bidi="ar"/>
                    </w:rPr>
                    <w:t>2024</w:t>
                  </w:r>
                  <w:r>
                    <w:rPr>
                      <w:rFonts w:hint="eastAsia" w:ascii="Times New Roman" w:hAnsi="宋体" w:eastAsia="宋体" w:cs="Times New Roman"/>
                      <w:b w:val="0"/>
                      <w:bCs w:val="0"/>
                      <w:color w:val="auto"/>
                      <w:kern w:val="0"/>
                      <w:sz w:val="21"/>
                      <w:szCs w:val="21"/>
                      <w:lang w:val="en-US" w:eastAsia="zh-CN" w:bidi="ar"/>
                    </w:rPr>
                    <w:t>年版）》鼓励类和允许类；</w:t>
                  </w:r>
                </w:p>
                <w:p w14:paraId="3C4FB8BA">
                  <w:pPr>
                    <w:pStyle w:val="21"/>
                    <w:keepNext w:val="0"/>
                    <w:keepLines w:val="0"/>
                    <w:pageBreakBefore w:val="0"/>
                    <w:widowControl w:val="0"/>
                    <w:suppressLineNumbers w:val="0"/>
                    <w:kinsoku/>
                    <w:wordWrap/>
                    <w:overflowPunct/>
                    <w:topLinePunct w:val="0"/>
                    <w:autoSpaceDE w:val="0"/>
                    <w:autoSpaceDN w:val="0"/>
                    <w:bidi w:val="0"/>
                    <w:adjustRightInd w:val="0"/>
                    <w:spacing w:before="0" w:beforeAutospacing="0" w:after="0" w:afterAutospacing="0" w:line="360" w:lineRule="exact"/>
                    <w:ind w:left="0" w:right="0"/>
                    <w:jc w:val="both"/>
                    <w:textAlignment w:val="auto"/>
                    <w:rPr>
                      <w:rFonts w:hint="default" w:ascii="Times New Roman" w:hAnsi="宋体" w:cs="Times New Roman"/>
                      <w:b w:val="0"/>
                      <w:bCs w:val="0"/>
                      <w:color w:val="auto"/>
                      <w:sz w:val="21"/>
                      <w:szCs w:val="21"/>
                      <w:lang w:val="en-US"/>
                    </w:rPr>
                  </w:pPr>
                  <w:r>
                    <w:rPr>
                      <w:rFonts w:hint="default" w:ascii="Times New Roman" w:hAnsi="宋体" w:eastAsia="宋体" w:cs="Times New Roman"/>
                      <w:b w:val="0"/>
                      <w:bCs w:val="0"/>
                      <w:color w:val="auto"/>
                      <w:kern w:val="0"/>
                      <w:sz w:val="21"/>
                      <w:szCs w:val="21"/>
                      <w:lang w:val="en-US" w:eastAsia="zh-CN" w:bidi="ar"/>
                    </w:rPr>
                    <w:t>2.</w:t>
                  </w:r>
                  <w:r>
                    <w:rPr>
                      <w:rFonts w:hint="eastAsia" w:ascii="Times New Roman" w:hAnsi="宋体" w:eastAsia="宋体" w:cs="Times New Roman"/>
                      <w:b w:val="0"/>
                      <w:bCs w:val="0"/>
                      <w:color w:val="auto"/>
                      <w:kern w:val="0"/>
                      <w:sz w:val="21"/>
                      <w:szCs w:val="21"/>
                      <w:lang w:val="en-US" w:eastAsia="zh-CN" w:bidi="ar"/>
                    </w:rPr>
                    <w:t>符合相关行业产业政策；</w:t>
                  </w:r>
                </w:p>
                <w:p w14:paraId="289AD2EC">
                  <w:pPr>
                    <w:pStyle w:val="21"/>
                    <w:keepNext w:val="0"/>
                    <w:keepLines w:val="0"/>
                    <w:pageBreakBefore w:val="0"/>
                    <w:widowControl w:val="0"/>
                    <w:suppressLineNumbers w:val="0"/>
                    <w:kinsoku/>
                    <w:wordWrap/>
                    <w:overflowPunct/>
                    <w:topLinePunct w:val="0"/>
                    <w:autoSpaceDE w:val="0"/>
                    <w:autoSpaceDN w:val="0"/>
                    <w:bidi w:val="0"/>
                    <w:adjustRightInd w:val="0"/>
                    <w:spacing w:before="0" w:beforeAutospacing="0" w:after="0" w:afterAutospacing="0" w:line="360" w:lineRule="exact"/>
                    <w:ind w:left="0" w:right="0"/>
                    <w:jc w:val="both"/>
                    <w:textAlignment w:val="auto"/>
                    <w:rPr>
                      <w:rFonts w:hint="default" w:ascii="Times New Roman" w:hAnsi="宋体" w:cs="Times New Roman"/>
                      <w:b w:val="0"/>
                      <w:bCs w:val="0"/>
                      <w:color w:val="auto"/>
                      <w:sz w:val="21"/>
                      <w:szCs w:val="21"/>
                      <w:lang w:val="en-US"/>
                    </w:rPr>
                  </w:pPr>
                  <w:r>
                    <w:rPr>
                      <w:rFonts w:hint="default" w:ascii="Times New Roman" w:hAnsi="宋体" w:eastAsia="宋体" w:cs="Times New Roman"/>
                      <w:b w:val="0"/>
                      <w:bCs w:val="0"/>
                      <w:color w:val="auto"/>
                      <w:kern w:val="0"/>
                      <w:sz w:val="21"/>
                      <w:szCs w:val="21"/>
                      <w:lang w:val="en-US" w:eastAsia="zh-CN" w:bidi="ar"/>
                    </w:rPr>
                    <w:t>3.</w:t>
                  </w:r>
                  <w:r>
                    <w:rPr>
                      <w:rFonts w:hint="eastAsia" w:ascii="Times New Roman" w:hAnsi="宋体" w:eastAsia="宋体" w:cs="Times New Roman"/>
                      <w:b w:val="0"/>
                      <w:bCs w:val="0"/>
                      <w:color w:val="auto"/>
                      <w:kern w:val="0"/>
                      <w:sz w:val="21"/>
                      <w:szCs w:val="21"/>
                      <w:lang w:val="en-US" w:eastAsia="zh-CN" w:bidi="ar"/>
                    </w:rPr>
                    <w:t>符合河南省相关政策要求；</w:t>
                  </w:r>
                </w:p>
                <w:p w14:paraId="100FA47B">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both"/>
                    <w:textAlignment w:val="auto"/>
                    <w:rPr>
                      <w:rFonts w:hint="default" w:hAnsi="宋体"/>
                      <w:b w:val="0"/>
                      <w:bCs w:val="0"/>
                      <w:szCs w:val="21"/>
                      <w:lang w:val="en-US"/>
                    </w:rPr>
                  </w:pPr>
                  <w:r>
                    <w:rPr>
                      <w:rFonts w:hint="default" w:ascii="Times New Roman" w:hAnsi="Times New Roman" w:eastAsia="宋体" w:cs="Times New Roman"/>
                      <w:b w:val="0"/>
                      <w:bCs w:val="0"/>
                      <w:kern w:val="2"/>
                      <w:sz w:val="21"/>
                      <w:szCs w:val="21"/>
                      <w:lang w:val="en-US" w:eastAsia="zh-CN" w:bidi="ar"/>
                    </w:rPr>
                    <w:t>4.</w:t>
                  </w:r>
                  <w:r>
                    <w:rPr>
                      <w:rFonts w:hint="eastAsia" w:ascii="Times New Roman" w:hAnsi="Times New Roman" w:eastAsia="宋体" w:cs="宋体"/>
                      <w:b w:val="0"/>
                      <w:bCs w:val="0"/>
                      <w:kern w:val="2"/>
                      <w:sz w:val="21"/>
                      <w:szCs w:val="21"/>
                      <w:lang w:val="en-US" w:eastAsia="zh-CN" w:bidi="ar"/>
                    </w:rPr>
                    <w:t>符合市级规划。</w:t>
                  </w:r>
                </w:p>
              </w:tc>
              <w:tc>
                <w:tcPr>
                  <w:tcW w:w="1414" w:type="pct"/>
                  <w:tcBorders>
                    <w:tl2br w:val="nil"/>
                    <w:tr2bl w:val="nil"/>
                  </w:tcBorders>
                  <w:shd w:val="clear" w:color="auto" w:fill="auto"/>
                  <w:vAlign w:val="center"/>
                </w:tcPr>
                <w:p w14:paraId="3C3FE632">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center"/>
                    <w:textAlignment w:val="auto"/>
                    <w:rPr>
                      <w:rFonts w:hint="default" w:hAnsi="宋体"/>
                      <w:b w:val="0"/>
                      <w:bCs w:val="0"/>
                      <w:szCs w:val="21"/>
                      <w:lang w:val="en-US"/>
                    </w:rPr>
                  </w:pPr>
                  <w:r>
                    <w:rPr>
                      <w:rFonts w:hint="eastAsia" w:ascii="Times New Roman" w:hAnsi="Times New Roman" w:eastAsia="宋体" w:cs="宋体"/>
                      <w:b w:val="0"/>
                      <w:bCs w:val="0"/>
                      <w:kern w:val="2"/>
                      <w:sz w:val="21"/>
                      <w:szCs w:val="21"/>
                      <w:lang w:val="en-US" w:eastAsia="zh-CN" w:bidi="ar"/>
                    </w:rPr>
                    <w:t>经查阅《产业结构调整指导目录（</w:t>
                  </w:r>
                  <w:r>
                    <w:rPr>
                      <w:rFonts w:hint="default" w:ascii="Times New Roman" w:hAnsi="Times New Roman" w:eastAsia="宋体" w:cs="Times New Roman"/>
                      <w:b w:val="0"/>
                      <w:bCs w:val="0"/>
                      <w:kern w:val="2"/>
                      <w:sz w:val="21"/>
                      <w:szCs w:val="21"/>
                      <w:lang w:val="en-US" w:eastAsia="zh-CN" w:bidi="ar"/>
                    </w:rPr>
                    <w:t>2024</w:t>
                  </w:r>
                  <w:r>
                    <w:rPr>
                      <w:rFonts w:hint="eastAsia" w:ascii="Times New Roman" w:hAnsi="Times New Roman" w:eastAsia="宋体" w:cs="宋体"/>
                      <w:b w:val="0"/>
                      <w:bCs w:val="0"/>
                      <w:kern w:val="2"/>
                      <w:sz w:val="21"/>
                      <w:szCs w:val="21"/>
                      <w:lang w:val="en-US" w:eastAsia="zh-CN" w:bidi="ar"/>
                    </w:rPr>
                    <w:t>年本）》，本项目不属于鼓励类、限制类及淘汰类，为允许类。项目位于汤阴县产业集聚区，与园区产业规划相符。</w:t>
                  </w:r>
                </w:p>
              </w:tc>
              <w:tc>
                <w:tcPr>
                  <w:tcW w:w="554" w:type="pct"/>
                  <w:tcBorders>
                    <w:tl2br w:val="nil"/>
                    <w:tr2bl w:val="nil"/>
                  </w:tcBorders>
                  <w:shd w:val="clear" w:color="auto" w:fill="auto"/>
                  <w:vAlign w:val="center"/>
                </w:tcPr>
                <w:p w14:paraId="4E05666F">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center"/>
                    <w:textAlignment w:val="auto"/>
                    <w:rPr>
                      <w:rFonts w:hint="default"/>
                      <w:b w:val="0"/>
                      <w:bCs w:val="0"/>
                      <w:szCs w:val="21"/>
                      <w:lang w:val="en-US"/>
                    </w:rPr>
                  </w:pPr>
                  <w:r>
                    <w:rPr>
                      <w:rFonts w:hint="eastAsia" w:ascii="Times New Roman" w:hAnsi="Times New Roman" w:eastAsia="宋体" w:cs="宋体"/>
                      <w:b w:val="0"/>
                      <w:bCs w:val="0"/>
                      <w:kern w:val="2"/>
                      <w:sz w:val="21"/>
                      <w:szCs w:val="21"/>
                      <w:lang w:val="en-US" w:eastAsia="zh-CN" w:bidi="ar"/>
                    </w:rPr>
                    <w:t>符合</w:t>
                  </w:r>
                </w:p>
              </w:tc>
            </w:tr>
            <w:tr w14:paraId="14401E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 w:hRule="atLeast"/>
                <w:jc w:val="center"/>
              </w:trPr>
              <w:tc>
                <w:tcPr>
                  <w:tcW w:w="699" w:type="pct"/>
                  <w:gridSpan w:val="2"/>
                  <w:tcBorders>
                    <w:tl2br w:val="nil"/>
                    <w:tr2bl w:val="nil"/>
                  </w:tcBorders>
                  <w:shd w:val="clear" w:color="auto" w:fill="auto"/>
                  <w:vAlign w:val="center"/>
                </w:tcPr>
                <w:p w14:paraId="02904671">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center"/>
                    <w:textAlignment w:val="auto"/>
                    <w:rPr>
                      <w:rFonts w:hint="default"/>
                      <w:b w:val="0"/>
                      <w:bCs w:val="0"/>
                      <w:szCs w:val="21"/>
                      <w:lang w:val="en-US"/>
                    </w:rPr>
                  </w:pPr>
                  <w:r>
                    <w:rPr>
                      <w:rFonts w:hint="eastAsia" w:ascii="Times New Roman" w:hAnsi="Times New Roman" w:eastAsia="宋体" w:cs="宋体"/>
                      <w:b w:val="0"/>
                      <w:bCs w:val="0"/>
                      <w:kern w:val="2"/>
                      <w:sz w:val="21"/>
                      <w:szCs w:val="21"/>
                      <w:lang w:val="en-US" w:eastAsia="zh-CN" w:bidi="ar"/>
                    </w:rPr>
                    <w:t>废气收集及处理工艺</w:t>
                  </w:r>
                </w:p>
              </w:tc>
              <w:tc>
                <w:tcPr>
                  <w:tcW w:w="2332" w:type="pct"/>
                  <w:tcBorders>
                    <w:tl2br w:val="nil"/>
                    <w:tr2bl w:val="nil"/>
                  </w:tcBorders>
                  <w:shd w:val="clear" w:color="auto" w:fill="auto"/>
                  <w:vAlign w:val="center"/>
                </w:tcPr>
                <w:p w14:paraId="49254A9D">
                  <w:pPr>
                    <w:pStyle w:val="21"/>
                    <w:keepNext w:val="0"/>
                    <w:keepLines w:val="0"/>
                    <w:pageBreakBefore w:val="0"/>
                    <w:widowControl w:val="0"/>
                    <w:suppressLineNumbers w:val="0"/>
                    <w:kinsoku/>
                    <w:wordWrap/>
                    <w:overflowPunct/>
                    <w:topLinePunct w:val="0"/>
                    <w:autoSpaceDE w:val="0"/>
                    <w:autoSpaceDN w:val="0"/>
                    <w:bidi w:val="0"/>
                    <w:adjustRightInd w:val="0"/>
                    <w:spacing w:before="0" w:beforeAutospacing="0" w:after="0" w:afterAutospacing="0" w:line="360" w:lineRule="exact"/>
                    <w:ind w:left="0" w:right="0"/>
                    <w:jc w:val="both"/>
                    <w:textAlignment w:val="auto"/>
                    <w:rPr>
                      <w:rFonts w:hint="default" w:ascii="Times New Roman" w:hAnsi="宋体" w:cs="Times New Roman"/>
                      <w:b w:val="0"/>
                      <w:bCs w:val="0"/>
                      <w:color w:val="auto"/>
                      <w:sz w:val="21"/>
                      <w:szCs w:val="21"/>
                      <w:lang w:val="en-US"/>
                    </w:rPr>
                  </w:pPr>
                  <w:r>
                    <w:rPr>
                      <w:rFonts w:hint="default" w:ascii="Times New Roman" w:hAnsi="宋体" w:eastAsia="宋体" w:cs="Times New Roman"/>
                      <w:b w:val="0"/>
                      <w:bCs w:val="0"/>
                      <w:color w:val="auto"/>
                      <w:kern w:val="0"/>
                      <w:sz w:val="21"/>
                      <w:szCs w:val="21"/>
                      <w:lang w:val="en-US" w:eastAsia="zh-CN" w:bidi="ar"/>
                    </w:rPr>
                    <w:t>1.</w:t>
                  </w:r>
                  <w:r>
                    <w:rPr>
                      <w:rFonts w:hint="eastAsia" w:ascii="宋体" w:hAnsi="宋体" w:eastAsia="宋体" w:cs="宋体"/>
                      <w:b w:val="0"/>
                      <w:bCs w:val="0"/>
                      <w:color w:val="000000"/>
                      <w:kern w:val="0"/>
                      <w:sz w:val="21"/>
                      <w:szCs w:val="21"/>
                      <w:lang w:val="en-US" w:eastAsia="zh-CN" w:bidi="ar"/>
                    </w:rPr>
                    <w:t xml:space="preserve"> 投料、挤塑、注塑、滚塑、吹塑、挤出、造粒、热定型、冷却、发泡、熟化、干燥、塑炼、压延、涂覆等涉</w:t>
                  </w:r>
                  <w:r>
                    <w:rPr>
                      <w:rFonts w:hint="default" w:ascii="Times New Roman" w:hAnsi="Times New Roman" w:eastAsia="宋体" w:cs="Times New Roman"/>
                      <w:b w:val="0"/>
                      <w:bCs w:val="0"/>
                      <w:color w:val="000000"/>
                      <w:kern w:val="0"/>
                      <w:sz w:val="21"/>
                      <w:szCs w:val="21"/>
                      <w:lang w:val="en-US" w:eastAsia="zh-CN" w:bidi="ar"/>
                    </w:rPr>
                    <w:t>VOCs</w:t>
                  </w:r>
                  <w:r>
                    <w:rPr>
                      <w:rFonts w:hint="eastAsia" w:ascii="Times New Roman" w:hAnsi="宋体" w:eastAsia="宋体" w:cs="Times New Roman"/>
                      <w:b w:val="0"/>
                      <w:bCs w:val="0"/>
                      <w:color w:val="000000"/>
                      <w:kern w:val="0"/>
                      <w:sz w:val="21"/>
                      <w:szCs w:val="21"/>
                      <w:lang w:val="en-US" w:eastAsia="zh-CN" w:bidi="ar"/>
                    </w:rPr>
                    <w:t>工序采用密闭设备或在密闭空间内操作，废气有效收集至</w:t>
                  </w:r>
                  <w:r>
                    <w:rPr>
                      <w:rFonts w:hint="default" w:ascii="Times New Roman" w:hAnsi="Times New Roman" w:eastAsia="宋体" w:cs="Times New Roman"/>
                      <w:b w:val="0"/>
                      <w:bCs w:val="0"/>
                      <w:color w:val="000000"/>
                      <w:kern w:val="0"/>
                      <w:sz w:val="21"/>
                      <w:szCs w:val="21"/>
                      <w:lang w:val="en-US" w:eastAsia="zh-CN" w:bidi="ar"/>
                    </w:rPr>
                    <w:t>VOCs</w:t>
                  </w:r>
                  <w:r>
                    <w:rPr>
                      <w:rFonts w:hint="eastAsia" w:ascii="Times New Roman" w:hAnsi="宋体" w:eastAsia="宋体" w:cs="Times New Roman"/>
                      <w:b w:val="0"/>
                      <w:bCs w:val="0"/>
                      <w:color w:val="000000"/>
                      <w:kern w:val="0"/>
                      <w:sz w:val="21"/>
                      <w:szCs w:val="21"/>
                      <w:lang w:val="en-US" w:eastAsia="zh-CN" w:bidi="ar"/>
                    </w:rPr>
                    <w:t>废气处理系统，车间外无异味；采用局部集气罩的，距集气罩开口面最远处</w:t>
                  </w:r>
                  <w:r>
                    <w:rPr>
                      <w:rFonts w:hint="eastAsia" w:ascii="Times New Roman" w:hAnsi="Times New Roman" w:eastAsia="宋体" w:cs="Times New Roman"/>
                      <w:b w:val="0"/>
                      <w:bCs w:val="0"/>
                      <w:color w:val="auto"/>
                      <w:kern w:val="0"/>
                      <w:sz w:val="21"/>
                      <w:szCs w:val="21"/>
                      <w:lang w:val="en-US" w:eastAsia="zh-CN" w:bidi="ar"/>
                    </w:rPr>
                    <w:t>的</w:t>
                  </w:r>
                  <w:r>
                    <w:rPr>
                      <w:rFonts w:hint="default" w:ascii="Times New Roman" w:hAnsi="Times New Roman" w:eastAsia="宋体" w:cs="Times New Roman"/>
                      <w:b w:val="0"/>
                      <w:bCs w:val="0"/>
                      <w:color w:val="auto"/>
                      <w:kern w:val="0"/>
                      <w:sz w:val="21"/>
                      <w:szCs w:val="21"/>
                      <w:lang w:val="en-US" w:eastAsia="zh-CN" w:bidi="ar"/>
                    </w:rPr>
                    <w:t>VOCs</w:t>
                  </w:r>
                  <w:r>
                    <w:rPr>
                      <w:rFonts w:hint="eastAsia" w:ascii="Times New Roman" w:hAnsi="Times New Roman" w:eastAsia="宋体" w:cs="Times New Roman"/>
                      <w:b w:val="0"/>
                      <w:bCs w:val="0"/>
                      <w:color w:val="auto"/>
                      <w:kern w:val="0"/>
                      <w:sz w:val="21"/>
                      <w:szCs w:val="21"/>
                      <w:lang w:val="en-US" w:eastAsia="zh-CN" w:bidi="ar"/>
                    </w:rPr>
                    <w:t>无组织排放位置，控制风速不低于</w:t>
                  </w:r>
                  <w:r>
                    <w:rPr>
                      <w:rFonts w:hint="default" w:ascii="Times New Roman" w:hAnsi="Times New Roman" w:eastAsia="宋体" w:cs="Times New Roman"/>
                      <w:b w:val="0"/>
                      <w:bCs w:val="0"/>
                      <w:color w:val="auto"/>
                      <w:kern w:val="0"/>
                      <w:sz w:val="21"/>
                      <w:szCs w:val="21"/>
                      <w:lang w:val="en-US" w:eastAsia="zh-CN" w:bidi="ar"/>
                    </w:rPr>
                    <w:t>0.3</w:t>
                  </w:r>
                  <w:r>
                    <w:rPr>
                      <w:rFonts w:hint="eastAsia" w:ascii="Times New Roman" w:hAnsi="Times New Roman" w:eastAsia="宋体" w:cs="Times New Roman"/>
                      <w:b w:val="0"/>
                      <w:bCs w:val="0"/>
                      <w:color w:val="auto"/>
                      <w:kern w:val="0"/>
                      <w:sz w:val="21"/>
                      <w:szCs w:val="21"/>
                      <w:lang w:val="en-US" w:eastAsia="zh-CN" w:bidi="ar"/>
                    </w:rPr>
                    <w:t>米</w:t>
                  </w:r>
                  <w:r>
                    <w:rPr>
                      <w:rFonts w:hint="default" w:ascii="Times New Roman" w:hAnsi="Times New Roman" w:eastAsia="宋体" w:cs="Times New Roman"/>
                      <w:b w:val="0"/>
                      <w:bCs w:val="0"/>
                      <w:color w:val="auto"/>
                      <w:kern w:val="0"/>
                      <w:sz w:val="21"/>
                      <w:szCs w:val="21"/>
                      <w:lang w:val="en-US" w:eastAsia="zh-CN" w:bidi="ar"/>
                    </w:rPr>
                    <w:t>/</w:t>
                  </w:r>
                  <w:r>
                    <w:rPr>
                      <w:rFonts w:hint="eastAsia" w:ascii="Times New Roman" w:hAnsi="Times New Roman" w:eastAsia="宋体" w:cs="Times New Roman"/>
                      <w:b w:val="0"/>
                      <w:bCs w:val="0"/>
                      <w:color w:val="auto"/>
                      <w:kern w:val="0"/>
                      <w:sz w:val="21"/>
                      <w:szCs w:val="21"/>
                      <w:lang w:val="en-US" w:eastAsia="zh-CN" w:bidi="ar"/>
                    </w:rPr>
                    <w:t>秒</w:t>
                  </w:r>
                  <w:r>
                    <w:rPr>
                      <w:rFonts w:hint="eastAsia" w:ascii="Times New Roman" w:hAnsi="宋体" w:eastAsia="宋体" w:cs="Times New Roman"/>
                      <w:b w:val="0"/>
                      <w:bCs w:val="0"/>
                      <w:color w:val="auto"/>
                      <w:kern w:val="0"/>
                      <w:sz w:val="21"/>
                      <w:szCs w:val="21"/>
                      <w:lang w:val="en-US" w:eastAsia="zh-CN" w:bidi="ar"/>
                    </w:rPr>
                    <w:t>；</w:t>
                  </w:r>
                </w:p>
                <w:p w14:paraId="4998A142">
                  <w:pPr>
                    <w:pStyle w:val="21"/>
                    <w:keepNext w:val="0"/>
                    <w:keepLines w:val="0"/>
                    <w:pageBreakBefore w:val="0"/>
                    <w:widowControl w:val="0"/>
                    <w:suppressLineNumbers w:val="0"/>
                    <w:kinsoku/>
                    <w:wordWrap/>
                    <w:overflowPunct/>
                    <w:topLinePunct w:val="0"/>
                    <w:autoSpaceDE w:val="0"/>
                    <w:autoSpaceDN w:val="0"/>
                    <w:bidi w:val="0"/>
                    <w:adjustRightInd w:val="0"/>
                    <w:spacing w:before="0" w:beforeAutospacing="0" w:after="0" w:afterAutospacing="0" w:line="360" w:lineRule="exact"/>
                    <w:ind w:left="0" w:right="0"/>
                    <w:jc w:val="both"/>
                    <w:textAlignment w:val="auto"/>
                    <w:rPr>
                      <w:rFonts w:hint="default" w:ascii="Times New Roman" w:hAnsi="Times New Roman" w:cs="Times New Roman"/>
                      <w:b w:val="0"/>
                      <w:bCs w:val="0"/>
                      <w:color w:val="auto"/>
                      <w:sz w:val="21"/>
                      <w:szCs w:val="21"/>
                      <w:lang w:val="en-US"/>
                    </w:rPr>
                  </w:pPr>
                  <w:r>
                    <w:rPr>
                      <w:rFonts w:hint="default" w:ascii="Times New Roman" w:hAnsi="Times New Roman" w:eastAsia="宋体" w:cs="Times New Roman"/>
                      <w:b w:val="0"/>
                      <w:bCs w:val="0"/>
                      <w:color w:val="auto"/>
                      <w:kern w:val="0"/>
                      <w:sz w:val="21"/>
                      <w:szCs w:val="21"/>
                      <w:lang w:val="en-US" w:eastAsia="zh-CN" w:bidi="ar"/>
                    </w:rPr>
                    <w:t>2.</w:t>
                  </w:r>
                  <w:r>
                    <w:rPr>
                      <w:rFonts w:hint="eastAsia" w:ascii="Times New Roman" w:hAnsi="宋体" w:eastAsia="宋体" w:cs="Times New Roman"/>
                      <w:b w:val="0"/>
                      <w:bCs w:val="0"/>
                      <w:color w:val="000000"/>
                      <w:kern w:val="0"/>
                      <w:sz w:val="21"/>
                      <w:szCs w:val="21"/>
                      <w:lang w:val="en-US" w:eastAsia="zh-CN" w:bidi="ar"/>
                    </w:rPr>
                    <w:t>使用再生料的企业</w:t>
                  </w:r>
                  <w:r>
                    <w:rPr>
                      <w:rFonts w:hint="default" w:ascii="Times New Roman" w:hAnsi="Times New Roman" w:eastAsia="宋体" w:cs="Times New Roman"/>
                      <w:b w:val="0"/>
                      <w:bCs w:val="0"/>
                      <w:color w:val="000000"/>
                      <w:kern w:val="0"/>
                      <w:sz w:val="21"/>
                      <w:szCs w:val="21"/>
                      <w:lang w:val="en-US" w:eastAsia="zh-CN" w:bidi="ar"/>
                    </w:rPr>
                    <w:t>VOCs</w:t>
                  </w:r>
                  <w:r>
                    <w:rPr>
                      <w:rFonts w:hint="eastAsia" w:ascii="Times New Roman" w:hAnsi="宋体" w:eastAsia="宋体" w:cs="Times New Roman"/>
                      <w:b w:val="0"/>
                      <w:bCs w:val="0"/>
                      <w:color w:val="000000"/>
                      <w:kern w:val="0"/>
                      <w:sz w:val="21"/>
                      <w:szCs w:val="21"/>
                      <w:lang w:val="en-US" w:eastAsia="zh-CN" w:bidi="ar"/>
                    </w:rPr>
                    <w:t>治理采用燃烧工艺（包括直接燃烧、催化燃烧和蓄热燃烧）；使用原生料的企业</w:t>
                  </w:r>
                  <w:r>
                    <w:rPr>
                      <w:rFonts w:hint="default" w:ascii="Times New Roman" w:hAnsi="Times New Roman" w:eastAsia="宋体" w:cs="Times New Roman"/>
                      <w:b w:val="0"/>
                      <w:bCs w:val="0"/>
                      <w:color w:val="000000"/>
                      <w:kern w:val="0"/>
                      <w:sz w:val="21"/>
                      <w:szCs w:val="21"/>
                      <w:lang w:val="en-US" w:eastAsia="zh-CN" w:bidi="ar"/>
                    </w:rPr>
                    <w:t>VOCs</w:t>
                  </w:r>
                  <w:r>
                    <w:rPr>
                      <w:rFonts w:hint="eastAsia" w:ascii="Times New Roman" w:hAnsi="宋体" w:eastAsia="宋体" w:cs="Times New Roman"/>
                      <w:b w:val="0"/>
                      <w:bCs w:val="0"/>
                      <w:color w:val="000000"/>
                      <w:kern w:val="0"/>
                      <w:sz w:val="21"/>
                      <w:szCs w:val="21"/>
                      <w:lang w:val="en-US" w:eastAsia="zh-CN" w:bidi="ar"/>
                    </w:rPr>
                    <w:t>治理采用燃烧工艺或吸附、冷凝、膜分离等工艺处理（其中采用颗粒状活性炭的，柱状活性炭直径</w:t>
                  </w:r>
                  <w:r>
                    <w:rPr>
                      <w:rFonts w:hint="default" w:ascii="Times New Roman" w:hAnsi="Times New Roman" w:eastAsia="宋体" w:cs="Times New Roman"/>
                      <w:b w:val="0"/>
                      <w:bCs w:val="0"/>
                      <w:color w:val="000000"/>
                      <w:kern w:val="0"/>
                      <w:sz w:val="21"/>
                      <w:szCs w:val="21"/>
                      <w:lang w:val="en-US" w:eastAsia="zh-CN" w:bidi="ar"/>
                    </w:rPr>
                    <w:t>≤5mm</w:t>
                  </w:r>
                  <w:r>
                    <w:rPr>
                      <w:rFonts w:hint="eastAsia" w:ascii="Times New Roman" w:hAnsi="宋体" w:eastAsia="宋体" w:cs="Times New Roman"/>
                      <w:b w:val="0"/>
                      <w:bCs w:val="0"/>
                      <w:color w:val="000000"/>
                      <w:kern w:val="0"/>
                      <w:sz w:val="21"/>
                      <w:szCs w:val="21"/>
                      <w:lang w:val="en-US" w:eastAsia="zh-CN" w:bidi="ar"/>
                    </w:rPr>
                    <w:t>、碘值</w:t>
                  </w:r>
                  <w:r>
                    <w:rPr>
                      <w:rFonts w:hint="default" w:ascii="Times New Roman" w:hAnsi="Times New Roman" w:eastAsia="宋体" w:cs="Times New Roman"/>
                      <w:b w:val="0"/>
                      <w:bCs w:val="0"/>
                      <w:color w:val="000000"/>
                      <w:kern w:val="0"/>
                      <w:sz w:val="21"/>
                      <w:szCs w:val="21"/>
                      <w:lang w:val="en-US" w:eastAsia="zh-CN" w:bidi="ar"/>
                    </w:rPr>
                    <w:t>≥800mg/g</w:t>
                  </w:r>
                  <w:r>
                    <w:rPr>
                      <w:rFonts w:hint="eastAsia" w:ascii="Times New Roman" w:hAnsi="宋体" w:eastAsia="宋体" w:cs="Times New Roman"/>
                      <w:b w:val="0"/>
                      <w:bCs w:val="0"/>
                      <w:color w:val="000000"/>
                      <w:kern w:val="0"/>
                      <w:sz w:val="21"/>
                      <w:szCs w:val="21"/>
                      <w:lang w:val="en-US" w:eastAsia="zh-CN" w:bidi="ar"/>
                    </w:rPr>
                    <w:t>，且填充量与每小时处理废气量体积之比满足</w:t>
                  </w:r>
                  <w:r>
                    <w:rPr>
                      <w:rFonts w:hint="default" w:ascii="Times New Roman" w:hAnsi="Times New Roman" w:eastAsia="宋体" w:cs="Times New Roman"/>
                      <w:b w:val="0"/>
                      <w:bCs w:val="0"/>
                      <w:color w:val="000000"/>
                      <w:kern w:val="0"/>
                      <w:sz w:val="21"/>
                      <w:szCs w:val="21"/>
                      <w:lang w:val="en-US" w:eastAsia="zh-CN" w:bidi="ar"/>
                    </w:rPr>
                    <w:t>1:7000</w:t>
                  </w:r>
                  <w:r>
                    <w:rPr>
                      <w:rFonts w:hint="eastAsia" w:ascii="Times New Roman" w:hAnsi="宋体" w:eastAsia="宋体" w:cs="Times New Roman"/>
                      <w:b w:val="0"/>
                      <w:bCs w:val="0"/>
                      <w:color w:val="000000"/>
                      <w:kern w:val="0"/>
                      <w:sz w:val="21"/>
                      <w:szCs w:val="21"/>
                      <w:lang w:val="en-US" w:eastAsia="zh-CN" w:bidi="ar"/>
                    </w:rPr>
                    <w:t>的要求；使用蜂窝状活性炭的，碘值</w:t>
                  </w:r>
                  <w:r>
                    <w:rPr>
                      <w:rFonts w:hint="default" w:ascii="Times New Roman" w:hAnsi="Times New Roman" w:eastAsia="宋体" w:cs="Times New Roman"/>
                      <w:b w:val="0"/>
                      <w:bCs w:val="0"/>
                      <w:color w:val="000000"/>
                      <w:kern w:val="0"/>
                      <w:sz w:val="21"/>
                      <w:szCs w:val="21"/>
                      <w:lang w:val="en-US" w:eastAsia="zh-CN" w:bidi="ar"/>
                    </w:rPr>
                    <w:t>≥650mg/g</w:t>
                  </w:r>
                  <w:r>
                    <w:rPr>
                      <w:rFonts w:hint="eastAsia" w:ascii="Times New Roman" w:hAnsi="宋体" w:eastAsia="宋体" w:cs="Times New Roman"/>
                      <w:b w:val="0"/>
                      <w:bCs w:val="0"/>
                      <w:color w:val="000000"/>
                      <w:kern w:val="0"/>
                      <w:sz w:val="21"/>
                      <w:szCs w:val="21"/>
                      <w:lang w:val="en-US" w:eastAsia="zh-CN" w:bidi="ar"/>
                    </w:rPr>
                    <w:t>、比表面积应不低于</w:t>
                  </w:r>
                  <w:r>
                    <w:rPr>
                      <w:rFonts w:hint="default" w:ascii="Times New Roman" w:hAnsi="Times New Roman" w:eastAsia="宋体" w:cs="Times New Roman"/>
                      <w:b w:val="0"/>
                      <w:bCs w:val="0"/>
                      <w:color w:val="000000"/>
                      <w:kern w:val="0"/>
                      <w:sz w:val="21"/>
                      <w:szCs w:val="21"/>
                      <w:lang w:val="en-US" w:eastAsia="zh-CN" w:bidi="ar"/>
                    </w:rPr>
                    <w:t>750m²/g</w:t>
                  </w:r>
                  <w:r>
                    <w:rPr>
                      <w:rFonts w:hint="eastAsia" w:ascii="Times New Roman" w:hAnsi="宋体" w:eastAsia="宋体" w:cs="Times New Roman"/>
                      <w:b w:val="0"/>
                      <w:bCs w:val="0"/>
                      <w:color w:val="000000"/>
                      <w:kern w:val="0"/>
                      <w:sz w:val="21"/>
                      <w:szCs w:val="21"/>
                      <w:lang w:val="en-US" w:eastAsia="zh-CN" w:bidi="ar"/>
                    </w:rPr>
                    <w:t>，且填充量与每小时处理废气量体积之比满足</w:t>
                  </w:r>
                  <w:r>
                    <w:rPr>
                      <w:rFonts w:hint="default" w:ascii="Times New Roman" w:hAnsi="Times New Roman" w:eastAsia="宋体" w:cs="Times New Roman"/>
                      <w:b w:val="0"/>
                      <w:bCs w:val="0"/>
                      <w:color w:val="000000"/>
                      <w:kern w:val="0"/>
                      <w:sz w:val="21"/>
                      <w:szCs w:val="21"/>
                      <w:lang w:val="en-US" w:eastAsia="zh-CN" w:bidi="ar"/>
                    </w:rPr>
                    <w:t>1:5000</w:t>
                  </w:r>
                  <w:r>
                    <w:rPr>
                      <w:rFonts w:hint="eastAsia" w:ascii="Times New Roman" w:hAnsi="宋体" w:eastAsia="宋体" w:cs="Times New Roman"/>
                      <w:b w:val="0"/>
                      <w:bCs w:val="0"/>
                      <w:color w:val="000000"/>
                      <w:kern w:val="0"/>
                      <w:sz w:val="21"/>
                      <w:szCs w:val="21"/>
                      <w:lang w:val="en-US" w:eastAsia="zh-CN" w:bidi="ar"/>
                    </w:rPr>
                    <w:t>的要求；活性炭吸附设施废气进口处安装有仪器仪表等装置，可实时监测显示并记录湿度、温度等数据，废气温度、颗粒物、相对湿度分别不超过</w:t>
                  </w:r>
                  <w:r>
                    <w:rPr>
                      <w:rFonts w:hint="default" w:ascii="Times New Roman" w:hAnsi="Times New Roman" w:eastAsia="宋体" w:cs="Times New Roman"/>
                      <w:b w:val="0"/>
                      <w:bCs w:val="0"/>
                      <w:color w:val="000000"/>
                      <w:kern w:val="0"/>
                      <w:sz w:val="21"/>
                      <w:szCs w:val="21"/>
                      <w:lang w:val="en-US" w:eastAsia="zh-CN" w:bidi="ar"/>
                    </w:rPr>
                    <w:t>40℃</w:t>
                  </w:r>
                  <w:r>
                    <w:rPr>
                      <w:rFonts w:hint="eastAsia" w:ascii="Times New Roman" w:hAnsi="宋体" w:eastAsia="宋体" w:cs="Times New Roman"/>
                      <w:b w:val="0"/>
                      <w:bCs w:val="0"/>
                      <w:color w:val="000000"/>
                      <w:kern w:val="0"/>
                      <w:sz w:val="21"/>
                      <w:szCs w:val="21"/>
                      <w:lang w:val="en-US" w:eastAsia="zh-CN" w:bidi="ar"/>
                    </w:rPr>
                    <w:t>、</w:t>
                  </w:r>
                  <w:r>
                    <w:rPr>
                      <w:rFonts w:hint="default" w:ascii="Times New Roman" w:hAnsi="Times New Roman" w:eastAsia="宋体" w:cs="Times New Roman"/>
                      <w:b w:val="0"/>
                      <w:bCs w:val="0"/>
                      <w:color w:val="000000"/>
                      <w:kern w:val="0"/>
                      <w:sz w:val="21"/>
                      <w:szCs w:val="21"/>
                      <w:lang w:val="en-US" w:eastAsia="zh-CN" w:bidi="ar"/>
                    </w:rPr>
                    <w:t>1mg/m3</w:t>
                  </w:r>
                  <w:r>
                    <w:rPr>
                      <w:rFonts w:hint="eastAsia" w:ascii="Times New Roman" w:hAnsi="宋体" w:eastAsia="宋体" w:cs="Times New Roman"/>
                      <w:b w:val="0"/>
                      <w:bCs w:val="0"/>
                      <w:color w:val="000000"/>
                      <w:kern w:val="0"/>
                      <w:sz w:val="21"/>
                      <w:szCs w:val="21"/>
                      <w:lang w:val="en-US" w:eastAsia="zh-CN" w:bidi="ar"/>
                    </w:rPr>
                    <w:t>、</w:t>
                  </w:r>
                  <w:r>
                    <w:rPr>
                      <w:rFonts w:hint="default" w:ascii="Times New Roman" w:hAnsi="Times New Roman" w:eastAsia="宋体" w:cs="Times New Roman"/>
                      <w:b w:val="0"/>
                      <w:bCs w:val="0"/>
                      <w:color w:val="000000"/>
                      <w:kern w:val="0"/>
                      <w:sz w:val="21"/>
                      <w:szCs w:val="21"/>
                      <w:lang w:val="en-US" w:eastAsia="zh-CN" w:bidi="ar"/>
                    </w:rPr>
                    <w:t>50%</w:t>
                  </w:r>
                  <w:r>
                    <w:rPr>
                      <w:rFonts w:hint="eastAsia" w:ascii="Times New Roman" w:hAnsi="宋体" w:eastAsia="宋体" w:cs="Times New Roman"/>
                      <w:b w:val="0"/>
                      <w:bCs w:val="0"/>
                      <w:color w:val="000000"/>
                      <w:kern w:val="0"/>
                      <w:sz w:val="21"/>
                      <w:szCs w:val="21"/>
                      <w:lang w:val="en-US" w:eastAsia="zh-CN" w:bidi="ar"/>
                    </w:rPr>
                    <w:t>）。废气中含有油烟或颗粒物的，应在</w:t>
                  </w:r>
                  <w:r>
                    <w:rPr>
                      <w:rFonts w:hint="default" w:ascii="Times New Roman" w:hAnsi="Times New Roman" w:eastAsia="宋体" w:cs="Times New Roman"/>
                      <w:b w:val="0"/>
                      <w:bCs w:val="0"/>
                      <w:color w:val="000000"/>
                      <w:kern w:val="0"/>
                      <w:sz w:val="21"/>
                      <w:szCs w:val="21"/>
                      <w:lang w:val="en-US" w:eastAsia="zh-CN" w:bidi="ar"/>
                    </w:rPr>
                    <w:t>VOCs</w:t>
                  </w:r>
                  <w:r>
                    <w:rPr>
                      <w:rFonts w:hint="eastAsia" w:ascii="Times New Roman" w:hAnsi="宋体" w:eastAsia="宋体" w:cs="Times New Roman"/>
                      <w:b w:val="0"/>
                      <w:bCs w:val="0"/>
                      <w:color w:val="000000"/>
                      <w:kern w:val="0"/>
                      <w:sz w:val="21"/>
                      <w:szCs w:val="21"/>
                      <w:lang w:val="en-US" w:eastAsia="zh-CN" w:bidi="ar"/>
                    </w:rPr>
                    <w:t>治理</w:t>
                  </w:r>
                  <w:r>
                    <w:rPr>
                      <w:rFonts w:hint="eastAsia" w:ascii="Times New Roman" w:hAnsi="Times New Roman" w:eastAsia="宋体" w:cs="Times New Roman"/>
                      <w:b w:val="0"/>
                      <w:bCs w:val="0"/>
                      <w:color w:val="auto"/>
                      <w:kern w:val="0"/>
                      <w:sz w:val="21"/>
                      <w:szCs w:val="21"/>
                      <w:lang w:val="en-US" w:eastAsia="zh-CN" w:bidi="ar"/>
                    </w:rPr>
                    <w:t>设施前端加装除尘设施或油烟净化装置；</w:t>
                  </w:r>
                </w:p>
                <w:p w14:paraId="0F5AFB1D">
                  <w:pPr>
                    <w:pStyle w:val="21"/>
                    <w:keepNext w:val="0"/>
                    <w:keepLines w:val="0"/>
                    <w:pageBreakBefore w:val="0"/>
                    <w:widowControl w:val="0"/>
                    <w:suppressLineNumbers w:val="0"/>
                    <w:kinsoku/>
                    <w:wordWrap/>
                    <w:overflowPunct/>
                    <w:topLinePunct w:val="0"/>
                    <w:autoSpaceDE w:val="0"/>
                    <w:autoSpaceDN w:val="0"/>
                    <w:bidi w:val="0"/>
                    <w:adjustRightInd w:val="0"/>
                    <w:spacing w:before="0" w:beforeAutospacing="0" w:after="0" w:afterAutospacing="0" w:line="360" w:lineRule="exact"/>
                    <w:ind w:left="0" w:right="0"/>
                    <w:jc w:val="both"/>
                    <w:textAlignment w:val="auto"/>
                    <w:rPr>
                      <w:rFonts w:hint="default" w:ascii="Times New Roman" w:hAnsi="宋体" w:cs="Times New Roman"/>
                      <w:b w:val="0"/>
                      <w:bCs w:val="0"/>
                      <w:color w:val="auto"/>
                      <w:sz w:val="21"/>
                      <w:szCs w:val="21"/>
                      <w:lang w:val="en-US"/>
                    </w:rPr>
                  </w:pPr>
                  <w:r>
                    <w:rPr>
                      <w:rFonts w:hint="default" w:ascii="Times New Roman" w:hAnsi="宋体" w:eastAsia="宋体" w:cs="Times New Roman"/>
                      <w:b w:val="0"/>
                      <w:bCs w:val="0"/>
                      <w:color w:val="auto"/>
                      <w:kern w:val="0"/>
                      <w:sz w:val="21"/>
                      <w:szCs w:val="21"/>
                      <w:lang w:val="en-US" w:eastAsia="zh-CN" w:bidi="ar"/>
                    </w:rPr>
                    <w:t>3.</w:t>
                  </w:r>
                  <w:r>
                    <w:rPr>
                      <w:rFonts w:hint="eastAsia" w:ascii="Times New Roman" w:hAnsi="宋体" w:eastAsia="宋体" w:cs="Times New Roman"/>
                      <w:b w:val="0"/>
                      <w:bCs w:val="0"/>
                      <w:color w:val="auto"/>
                      <w:kern w:val="0"/>
                      <w:sz w:val="21"/>
                      <w:szCs w:val="21"/>
                      <w:lang w:val="en-US" w:eastAsia="zh-CN" w:bidi="ar"/>
                    </w:rPr>
                    <w:t>粉状、粒状物料采用自动投料器投加和配混，投加和混配工序在封闭车间内进行，</w:t>
                  </w:r>
                  <w:r>
                    <w:rPr>
                      <w:rFonts w:hint="default" w:ascii="Times New Roman" w:hAnsi="宋体" w:eastAsia="宋体" w:cs="Times New Roman"/>
                      <w:b w:val="0"/>
                      <w:bCs w:val="0"/>
                      <w:color w:val="auto"/>
                      <w:kern w:val="0"/>
                      <w:sz w:val="21"/>
                      <w:szCs w:val="21"/>
                      <w:lang w:val="en-US" w:eastAsia="zh-CN" w:bidi="ar"/>
                    </w:rPr>
                    <w:t>PM</w:t>
                  </w:r>
                  <w:r>
                    <w:rPr>
                      <w:rFonts w:hint="eastAsia" w:ascii="Times New Roman" w:hAnsi="宋体" w:eastAsia="宋体" w:cs="Times New Roman"/>
                      <w:b w:val="0"/>
                      <w:bCs w:val="0"/>
                      <w:color w:val="auto"/>
                      <w:kern w:val="0"/>
                      <w:sz w:val="21"/>
                      <w:szCs w:val="21"/>
                      <w:lang w:val="en-US" w:eastAsia="zh-CN" w:bidi="ar"/>
                    </w:rPr>
                    <w:t>有效收集，采用覆膜滤袋、滤筒等高效除尘技术；</w:t>
                  </w:r>
                </w:p>
                <w:p w14:paraId="6431B255">
                  <w:pPr>
                    <w:pStyle w:val="21"/>
                    <w:keepNext w:val="0"/>
                    <w:keepLines w:val="0"/>
                    <w:pageBreakBefore w:val="0"/>
                    <w:widowControl w:val="0"/>
                    <w:suppressLineNumbers w:val="0"/>
                    <w:kinsoku/>
                    <w:wordWrap/>
                    <w:overflowPunct/>
                    <w:topLinePunct w:val="0"/>
                    <w:autoSpaceDE w:val="0"/>
                    <w:autoSpaceDN w:val="0"/>
                    <w:bidi w:val="0"/>
                    <w:adjustRightInd w:val="0"/>
                    <w:spacing w:before="0" w:beforeAutospacing="0" w:after="0" w:afterAutospacing="0" w:line="360" w:lineRule="exact"/>
                    <w:ind w:left="0" w:right="0"/>
                    <w:jc w:val="both"/>
                    <w:textAlignment w:val="auto"/>
                    <w:rPr>
                      <w:rFonts w:hint="default" w:ascii="Times New Roman" w:hAnsi="宋体" w:cs="Times New Roman"/>
                      <w:b w:val="0"/>
                      <w:bCs w:val="0"/>
                      <w:color w:val="auto"/>
                      <w:sz w:val="21"/>
                      <w:szCs w:val="21"/>
                      <w:lang w:val="en-US"/>
                    </w:rPr>
                  </w:pPr>
                  <w:r>
                    <w:rPr>
                      <w:rFonts w:hint="default" w:ascii="Times New Roman" w:hAnsi="宋体" w:eastAsia="宋体" w:cs="Times New Roman"/>
                      <w:b w:val="0"/>
                      <w:bCs w:val="0"/>
                      <w:color w:val="auto"/>
                      <w:kern w:val="0"/>
                      <w:sz w:val="21"/>
                      <w:szCs w:val="21"/>
                      <w:lang w:val="en-US" w:eastAsia="zh-CN" w:bidi="ar"/>
                    </w:rPr>
                    <w:t>4.</w:t>
                  </w:r>
                  <w:r>
                    <w:rPr>
                      <w:rFonts w:hint="eastAsia" w:ascii="Times New Roman" w:hAnsi="宋体" w:eastAsia="宋体" w:cs="Times New Roman"/>
                      <w:b w:val="0"/>
                      <w:bCs w:val="0"/>
                      <w:color w:val="auto"/>
                      <w:kern w:val="0"/>
                      <w:sz w:val="21"/>
                      <w:szCs w:val="21"/>
                      <w:lang w:val="en-US" w:eastAsia="zh-CN" w:bidi="ar"/>
                    </w:rPr>
                    <w:t>废吸附剂应密闭的包装袋或容器储存、转运，并建立储存、处置台账；</w:t>
                  </w:r>
                </w:p>
                <w:p w14:paraId="10B5DCAF">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both"/>
                    <w:textAlignment w:val="auto"/>
                    <w:rPr>
                      <w:rFonts w:hint="default" w:hAnsi="宋体"/>
                      <w:b w:val="0"/>
                      <w:bCs w:val="0"/>
                      <w:szCs w:val="21"/>
                      <w:lang w:val="en-US"/>
                    </w:rPr>
                  </w:pPr>
                  <w:r>
                    <w:rPr>
                      <w:rFonts w:hint="default" w:ascii="Times New Roman" w:hAnsi="Times New Roman" w:eastAsia="宋体" w:cs="Times New Roman"/>
                      <w:b w:val="0"/>
                      <w:bCs w:val="0"/>
                      <w:kern w:val="2"/>
                      <w:sz w:val="21"/>
                      <w:szCs w:val="21"/>
                      <w:lang w:val="en-US" w:eastAsia="zh-CN" w:bidi="ar"/>
                    </w:rPr>
                    <w:t>5.NOx</w:t>
                  </w:r>
                  <w:r>
                    <w:rPr>
                      <w:rFonts w:hint="eastAsia" w:ascii="Times New Roman" w:hAnsi="Times New Roman" w:eastAsia="宋体" w:cs="宋体"/>
                      <w:b w:val="0"/>
                      <w:bCs w:val="0"/>
                      <w:kern w:val="2"/>
                      <w:sz w:val="21"/>
                      <w:szCs w:val="21"/>
                      <w:lang w:val="en-US" w:eastAsia="zh-CN" w:bidi="ar"/>
                    </w:rPr>
                    <w:t>治理采用低氮燃烧、</w:t>
                  </w:r>
                  <w:r>
                    <w:rPr>
                      <w:rFonts w:hint="default" w:ascii="Times New Roman" w:hAnsi="Times New Roman" w:eastAsia="宋体" w:cs="Times New Roman"/>
                      <w:b w:val="0"/>
                      <w:bCs w:val="0"/>
                      <w:kern w:val="2"/>
                      <w:sz w:val="21"/>
                      <w:szCs w:val="21"/>
                      <w:lang w:val="en-US" w:eastAsia="zh-CN" w:bidi="ar"/>
                    </w:rPr>
                    <w:t>SNCR/SCR</w:t>
                  </w:r>
                  <w:r>
                    <w:rPr>
                      <w:rFonts w:hint="eastAsia" w:ascii="Times New Roman" w:hAnsi="Times New Roman" w:eastAsia="宋体" w:cs="宋体"/>
                      <w:b w:val="0"/>
                      <w:bCs w:val="0"/>
                      <w:kern w:val="2"/>
                      <w:sz w:val="21"/>
                      <w:szCs w:val="21"/>
                      <w:lang w:val="en-US" w:eastAsia="zh-CN" w:bidi="ar"/>
                    </w:rPr>
                    <w:t>等适宜技术。使用氨法脱硝的企业，氨的装卸、储存、输送、制备等过程全程密闭，并采取氨气泄漏检测和收集措施；采用尿素作为还原剂的配备有尿素加热水解制氨系统。</w:t>
                  </w:r>
                </w:p>
              </w:tc>
              <w:tc>
                <w:tcPr>
                  <w:tcW w:w="1414" w:type="pct"/>
                  <w:tcBorders>
                    <w:tl2br w:val="nil"/>
                    <w:tr2bl w:val="nil"/>
                  </w:tcBorders>
                  <w:shd w:val="clear" w:color="auto" w:fill="auto"/>
                  <w:vAlign w:val="center"/>
                </w:tcPr>
                <w:p w14:paraId="7BB709BE">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center"/>
                    <w:textAlignment w:val="auto"/>
                    <w:rPr>
                      <w:rFonts w:hint="default"/>
                      <w:b w:val="0"/>
                      <w:bCs w:val="0"/>
                      <w:szCs w:val="21"/>
                      <w:lang w:val="en-US"/>
                    </w:rPr>
                  </w:pPr>
                  <w:r>
                    <w:rPr>
                      <w:rFonts w:hint="default" w:ascii="Times New Roman" w:hAnsi="宋体" w:eastAsia="宋体" w:cs="Times New Roman"/>
                      <w:b w:val="0"/>
                      <w:bCs w:val="0"/>
                      <w:kern w:val="2"/>
                      <w:sz w:val="21"/>
                      <w:szCs w:val="21"/>
                      <w:lang w:val="en-US" w:eastAsia="zh-CN" w:bidi="ar"/>
                    </w:rPr>
                    <w:t>1.</w:t>
                  </w:r>
                  <w:r>
                    <w:rPr>
                      <w:rFonts w:hint="eastAsia" w:ascii="Times New Roman" w:hAnsi="宋体" w:eastAsia="宋体" w:cs="宋体"/>
                      <w:b w:val="0"/>
                      <w:bCs w:val="0"/>
                      <w:kern w:val="2"/>
                      <w:sz w:val="21"/>
                      <w:szCs w:val="21"/>
                      <w:lang w:val="en-US" w:eastAsia="zh-CN" w:bidi="ar"/>
                    </w:rPr>
                    <w:t>项目挤出拉丝、覆膜工序安装封闭式集气罩，</w:t>
                  </w:r>
                  <w:r>
                    <w:rPr>
                      <w:rFonts w:hint="eastAsia" w:ascii="Times New Roman" w:hAnsi="Times New Roman" w:eastAsia="宋体" w:cs="宋体"/>
                      <w:b w:val="0"/>
                      <w:bCs w:val="0"/>
                      <w:kern w:val="2"/>
                      <w:sz w:val="21"/>
                      <w:szCs w:val="21"/>
                      <w:lang w:val="en-US" w:eastAsia="zh-CN" w:bidi="ar"/>
                    </w:rPr>
                    <w:t>废气有效收集至</w:t>
                  </w:r>
                  <w:r>
                    <w:rPr>
                      <w:rFonts w:hint="default" w:ascii="Times New Roman" w:hAnsi="Times New Roman" w:eastAsia="宋体" w:cs="Times New Roman"/>
                      <w:b w:val="0"/>
                      <w:bCs w:val="0"/>
                      <w:kern w:val="2"/>
                      <w:sz w:val="21"/>
                      <w:szCs w:val="21"/>
                      <w:lang w:val="en-US" w:eastAsia="zh-CN" w:bidi="ar"/>
                    </w:rPr>
                    <w:t>VOCs</w:t>
                  </w:r>
                  <w:r>
                    <w:rPr>
                      <w:rFonts w:hint="eastAsia" w:ascii="Times New Roman" w:hAnsi="Times New Roman" w:eastAsia="宋体" w:cs="宋体"/>
                      <w:b w:val="0"/>
                      <w:bCs w:val="0"/>
                      <w:kern w:val="2"/>
                      <w:sz w:val="21"/>
                      <w:szCs w:val="21"/>
                      <w:lang w:val="en-US" w:eastAsia="zh-CN" w:bidi="ar"/>
                    </w:rPr>
                    <w:t>废气处理系统，距集气罩开口面最远处的控制风速不低于</w:t>
                  </w:r>
                  <w:r>
                    <w:rPr>
                      <w:rFonts w:hint="default" w:ascii="Times New Roman" w:hAnsi="Times New Roman" w:eastAsia="宋体" w:cs="Times New Roman"/>
                      <w:b w:val="0"/>
                      <w:bCs w:val="0"/>
                      <w:kern w:val="2"/>
                      <w:sz w:val="21"/>
                      <w:szCs w:val="21"/>
                      <w:lang w:val="en-US" w:eastAsia="zh-CN" w:bidi="ar"/>
                    </w:rPr>
                    <w:t>0.3</w:t>
                  </w:r>
                  <w:r>
                    <w:rPr>
                      <w:rFonts w:hint="eastAsia" w:ascii="Times New Roman" w:hAnsi="Times New Roman" w:eastAsia="宋体" w:cs="宋体"/>
                      <w:b w:val="0"/>
                      <w:bCs w:val="0"/>
                      <w:kern w:val="2"/>
                      <w:sz w:val="21"/>
                      <w:szCs w:val="21"/>
                      <w:lang w:val="en-US" w:eastAsia="zh-CN" w:bidi="ar"/>
                    </w:rPr>
                    <w:t>米</w:t>
                  </w:r>
                  <w:r>
                    <w:rPr>
                      <w:rFonts w:hint="default" w:ascii="Times New Roman" w:hAnsi="Times New Roman" w:eastAsia="宋体" w:cs="Times New Roman"/>
                      <w:b w:val="0"/>
                      <w:bCs w:val="0"/>
                      <w:kern w:val="2"/>
                      <w:sz w:val="21"/>
                      <w:szCs w:val="21"/>
                      <w:lang w:val="en-US" w:eastAsia="zh-CN" w:bidi="ar"/>
                    </w:rPr>
                    <w:t>/</w:t>
                  </w:r>
                  <w:r>
                    <w:rPr>
                      <w:rFonts w:hint="eastAsia" w:ascii="Times New Roman" w:hAnsi="Times New Roman" w:eastAsia="宋体" w:cs="宋体"/>
                      <w:b w:val="0"/>
                      <w:bCs w:val="0"/>
                      <w:kern w:val="2"/>
                      <w:sz w:val="21"/>
                      <w:szCs w:val="21"/>
                      <w:lang w:val="en-US" w:eastAsia="zh-CN" w:bidi="ar"/>
                    </w:rPr>
                    <w:t>秒；</w:t>
                  </w:r>
                </w:p>
                <w:p w14:paraId="1B72F83A">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center"/>
                    <w:textAlignment w:val="auto"/>
                    <w:rPr>
                      <w:rFonts w:hint="default" w:hAnsi="宋体"/>
                      <w:b w:val="0"/>
                      <w:bCs w:val="0"/>
                      <w:szCs w:val="21"/>
                      <w:lang w:val="en-US"/>
                    </w:rPr>
                  </w:pPr>
                  <w:r>
                    <w:rPr>
                      <w:rFonts w:hint="default" w:ascii="Times New Roman" w:hAnsi="Times New Roman" w:eastAsia="宋体" w:cs="Times New Roman"/>
                      <w:b w:val="0"/>
                      <w:bCs w:val="0"/>
                      <w:kern w:val="2"/>
                      <w:sz w:val="21"/>
                      <w:szCs w:val="21"/>
                      <w:lang w:val="en-US" w:eastAsia="zh-CN" w:bidi="ar"/>
                    </w:rPr>
                    <w:t>2.</w:t>
                  </w:r>
                  <w:r>
                    <w:rPr>
                      <w:rFonts w:hint="default" w:ascii="Times New Roman" w:hAnsi="宋体" w:eastAsia="宋体" w:cs="Times New Roman"/>
                      <w:b w:val="0"/>
                      <w:bCs w:val="0"/>
                      <w:kern w:val="2"/>
                      <w:sz w:val="21"/>
                      <w:szCs w:val="21"/>
                      <w:lang w:val="en-US" w:eastAsia="zh-CN" w:bidi="ar"/>
                    </w:rPr>
                    <w:t>VOCs</w:t>
                  </w:r>
                  <w:r>
                    <w:rPr>
                      <w:rFonts w:hint="eastAsia" w:ascii="Times New Roman" w:hAnsi="宋体" w:eastAsia="宋体" w:cs="宋体"/>
                      <w:b w:val="0"/>
                      <w:bCs w:val="0"/>
                      <w:kern w:val="2"/>
                      <w:sz w:val="21"/>
                      <w:szCs w:val="21"/>
                      <w:lang w:val="en-US" w:eastAsia="zh-CN" w:bidi="ar"/>
                    </w:rPr>
                    <w:t>采用</w:t>
                  </w:r>
                  <w:r>
                    <w:rPr>
                      <w:rFonts w:hint="eastAsia" w:ascii="Times New Roman" w:hAnsi="Times New Roman" w:eastAsia="宋体" w:cs="宋体"/>
                      <w:b w:val="0"/>
                      <w:bCs w:val="0"/>
                      <w:kern w:val="2"/>
                      <w:sz w:val="21"/>
                      <w:szCs w:val="21"/>
                      <w:lang w:val="en-US" w:eastAsia="zh-CN" w:bidi="ar"/>
                    </w:rPr>
                    <w:t>活性炭吸附浓缩</w:t>
                  </w:r>
                  <w:r>
                    <w:rPr>
                      <w:rFonts w:hint="default" w:ascii="Times New Roman" w:hAnsi="Times New Roman" w:eastAsia="宋体" w:cs="Times New Roman"/>
                      <w:b w:val="0"/>
                      <w:bCs w:val="0"/>
                      <w:kern w:val="2"/>
                      <w:sz w:val="21"/>
                      <w:szCs w:val="21"/>
                      <w:lang w:val="en-US" w:eastAsia="zh-CN" w:bidi="ar"/>
                    </w:rPr>
                    <w:t>-</w:t>
                  </w:r>
                  <w:r>
                    <w:rPr>
                      <w:rFonts w:hint="eastAsia" w:ascii="Times New Roman" w:hAnsi="Times New Roman" w:eastAsia="宋体" w:cs="宋体"/>
                      <w:b w:val="0"/>
                      <w:bCs w:val="0"/>
                      <w:kern w:val="2"/>
                      <w:sz w:val="21"/>
                      <w:szCs w:val="21"/>
                      <w:lang w:val="en-US" w:eastAsia="zh-CN" w:bidi="ar"/>
                    </w:rPr>
                    <w:t>催化燃烧装置</w:t>
                  </w:r>
                  <w:r>
                    <w:rPr>
                      <w:rFonts w:hint="eastAsia" w:ascii="Times New Roman" w:hAnsi="宋体" w:eastAsia="宋体" w:cs="宋体"/>
                      <w:b w:val="0"/>
                      <w:bCs w:val="0"/>
                      <w:kern w:val="2"/>
                      <w:sz w:val="21"/>
                      <w:szCs w:val="21"/>
                      <w:lang w:val="en-US" w:eastAsia="zh-CN" w:bidi="ar"/>
                    </w:rPr>
                    <w:t>处理，采用颗粒状活性炭</w:t>
                  </w:r>
                  <w:r>
                    <w:rPr>
                      <w:rFonts w:hint="eastAsia" w:hAnsi="宋体" w:cs="宋体"/>
                      <w:b w:val="0"/>
                      <w:bCs w:val="0"/>
                      <w:kern w:val="2"/>
                      <w:sz w:val="21"/>
                      <w:szCs w:val="21"/>
                      <w:lang w:val="en-US" w:eastAsia="zh-CN" w:bidi="ar"/>
                    </w:rPr>
                    <w:t>，</w:t>
                  </w:r>
                  <w:r>
                    <w:rPr>
                      <w:rFonts w:hint="eastAsia" w:ascii="Times New Roman" w:hAnsi="宋体" w:eastAsia="宋体" w:cs="宋体"/>
                      <w:b w:val="0"/>
                      <w:bCs w:val="0"/>
                      <w:kern w:val="2"/>
                      <w:sz w:val="21"/>
                      <w:szCs w:val="21"/>
                      <w:lang w:val="en-US" w:eastAsia="zh-CN" w:bidi="ar"/>
                    </w:rPr>
                    <w:t>碘值、比表面积和装填量满足要求，活性炭吸附装置设施废气进口处安装有仪器仪表装置；</w:t>
                  </w:r>
                </w:p>
                <w:p w14:paraId="266A959B">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center"/>
                    <w:textAlignment w:val="auto"/>
                    <w:rPr>
                      <w:rFonts w:hint="default" w:hAnsi="宋体"/>
                      <w:b w:val="0"/>
                      <w:bCs w:val="0"/>
                      <w:szCs w:val="21"/>
                      <w:lang w:val="en-US"/>
                    </w:rPr>
                  </w:pPr>
                  <w:r>
                    <w:rPr>
                      <w:rFonts w:hint="default" w:ascii="Times New Roman" w:hAnsi="宋体" w:eastAsia="宋体" w:cs="Times New Roman"/>
                      <w:b w:val="0"/>
                      <w:bCs w:val="0"/>
                      <w:kern w:val="2"/>
                      <w:sz w:val="21"/>
                      <w:szCs w:val="21"/>
                      <w:lang w:val="en-US" w:eastAsia="zh-CN" w:bidi="ar"/>
                    </w:rPr>
                    <w:t>3.</w:t>
                  </w:r>
                  <w:r>
                    <w:rPr>
                      <w:rFonts w:hint="eastAsia" w:ascii="Times New Roman" w:hAnsi="宋体" w:eastAsia="宋体" w:cs="宋体"/>
                      <w:b w:val="0"/>
                      <w:bCs w:val="0"/>
                      <w:kern w:val="2"/>
                      <w:sz w:val="21"/>
                      <w:szCs w:val="21"/>
                      <w:lang w:val="en-US" w:eastAsia="zh-CN" w:bidi="ar"/>
                    </w:rPr>
                    <w:t>原料采用自动投料器加料，上料过程中不涉及粉料，产生颗粒物极少，不再分析；</w:t>
                  </w:r>
                </w:p>
                <w:p w14:paraId="321BF2A9">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center"/>
                    <w:textAlignment w:val="auto"/>
                    <w:rPr>
                      <w:rFonts w:hint="eastAsia" w:ascii="Times New Roman" w:hAnsi="宋体" w:eastAsia="宋体" w:cs="宋体"/>
                      <w:b w:val="0"/>
                      <w:bCs w:val="0"/>
                      <w:kern w:val="2"/>
                      <w:sz w:val="21"/>
                      <w:szCs w:val="21"/>
                      <w:lang w:val="en-US" w:eastAsia="zh-CN" w:bidi="ar"/>
                    </w:rPr>
                  </w:pPr>
                  <w:r>
                    <w:rPr>
                      <w:rFonts w:hint="default" w:ascii="Times New Roman" w:hAnsi="宋体" w:eastAsia="宋体" w:cs="Times New Roman"/>
                      <w:b w:val="0"/>
                      <w:bCs w:val="0"/>
                      <w:kern w:val="2"/>
                      <w:sz w:val="21"/>
                      <w:szCs w:val="21"/>
                      <w:lang w:val="en-US" w:eastAsia="zh-CN" w:bidi="ar"/>
                    </w:rPr>
                    <w:t>4.</w:t>
                  </w:r>
                  <w:r>
                    <w:rPr>
                      <w:rFonts w:hint="eastAsia" w:ascii="Times New Roman" w:hAnsi="宋体" w:eastAsia="宋体" w:cs="宋体"/>
                      <w:b w:val="0"/>
                      <w:bCs w:val="0"/>
                      <w:kern w:val="2"/>
                      <w:sz w:val="21"/>
                      <w:szCs w:val="21"/>
                      <w:lang w:val="en-US" w:eastAsia="zh-CN" w:bidi="ar"/>
                    </w:rPr>
                    <w:t>废活性炭采用密闭包装容器包装，于危废间暂存，定期交有资质单位处置，建立储存、处置台账；</w:t>
                  </w:r>
                </w:p>
                <w:p w14:paraId="3C27AA34">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center"/>
                    <w:textAlignment w:val="auto"/>
                    <w:rPr>
                      <w:rFonts w:hint="default" w:hAnsi="宋体"/>
                      <w:b w:val="0"/>
                      <w:bCs w:val="0"/>
                      <w:szCs w:val="21"/>
                      <w:lang w:val="en-US"/>
                    </w:rPr>
                  </w:pPr>
                  <w:r>
                    <w:rPr>
                      <w:rFonts w:hint="default" w:ascii="Times New Roman" w:hAnsi="宋体" w:eastAsia="宋体" w:cs="Times New Roman"/>
                      <w:b w:val="0"/>
                      <w:bCs w:val="0"/>
                      <w:kern w:val="2"/>
                      <w:sz w:val="21"/>
                      <w:szCs w:val="21"/>
                      <w:lang w:val="en-US" w:eastAsia="zh-CN" w:bidi="ar"/>
                    </w:rPr>
                    <w:t>5.</w:t>
                  </w:r>
                  <w:r>
                    <w:rPr>
                      <w:rFonts w:hint="eastAsia" w:ascii="Times New Roman" w:hAnsi="宋体" w:eastAsia="宋体" w:cs="宋体"/>
                      <w:b w:val="0"/>
                      <w:bCs w:val="0"/>
                      <w:kern w:val="2"/>
                      <w:sz w:val="21"/>
                      <w:szCs w:val="21"/>
                      <w:lang w:val="en-US" w:eastAsia="zh-CN" w:bidi="ar"/>
                    </w:rPr>
                    <w:t>不涉及</w:t>
                  </w:r>
                  <w:r>
                    <w:rPr>
                      <w:rFonts w:hint="default" w:ascii="Times New Roman" w:hAnsi="Times New Roman" w:eastAsia="宋体" w:cs="Times New Roman"/>
                      <w:b w:val="0"/>
                      <w:bCs w:val="0"/>
                      <w:kern w:val="2"/>
                      <w:sz w:val="21"/>
                      <w:szCs w:val="21"/>
                      <w:lang w:val="en-US" w:eastAsia="zh-CN" w:bidi="ar"/>
                    </w:rPr>
                    <w:t>NOx</w:t>
                  </w:r>
                  <w:r>
                    <w:rPr>
                      <w:rFonts w:hint="eastAsia" w:ascii="Times New Roman" w:hAnsi="Times New Roman" w:eastAsia="宋体" w:cs="宋体"/>
                      <w:b w:val="0"/>
                      <w:bCs w:val="0"/>
                      <w:kern w:val="2"/>
                      <w:sz w:val="21"/>
                      <w:szCs w:val="21"/>
                      <w:lang w:val="en-US" w:eastAsia="zh-CN" w:bidi="ar"/>
                    </w:rPr>
                    <w:t>治理</w:t>
                  </w:r>
                  <w:r>
                    <w:rPr>
                      <w:rFonts w:hint="eastAsia" w:ascii="Times New Roman" w:hAnsi="宋体" w:eastAsia="宋体" w:cs="宋体"/>
                      <w:b w:val="0"/>
                      <w:bCs w:val="0"/>
                      <w:kern w:val="2"/>
                      <w:sz w:val="21"/>
                      <w:szCs w:val="21"/>
                      <w:lang w:val="en-US" w:eastAsia="zh-CN" w:bidi="ar"/>
                    </w:rPr>
                    <w:t>。</w:t>
                  </w:r>
                </w:p>
              </w:tc>
              <w:tc>
                <w:tcPr>
                  <w:tcW w:w="554" w:type="pct"/>
                  <w:tcBorders>
                    <w:tl2br w:val="nil"/>
                    <w:tr2bl w:val="nil"/>
                  </w:tcBorders>
                  <w:shd w:val="clear" w:color="auto" w:fill="auto"/>
                  <w:vAlign w:val="center"/>
                </w:tcPr>
                <w:p w14:paraId="105B1331">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center"/>
                    <w:textAlignment w:val="auto"/>
                    <w:rPr>
                      <w:rFonts w:hint="default"/>
                      <w:b w:val="0"/>
                      <w:bCs w:val="0"/>
                      <w:szCs w:val="21"/>
                      <w:lang w:val="en-US"/>
                    </w:rPr>
                  </w:pPr>
                  <w:r>
                    <w:rPr>
                      <w:rFonts w:hint="eastAsia" w:ascii="Times New Roman" w:hAnsi="Times New Roman" w:eastAsia="宋体" w:cs="宋体"/>
                      <w:b w:val="0"/>
                      <w:bCs w:val="0"/>
                      <w:kern w:val="2"/>
                      <w:sz w:val="21"/>
                      <w:szCs w:val="21"/>
                      <w:lang w:val="en-US" w:eastAsia="zh-CN" w:bidi="ar"/>
                    </w:rPr>
                    <w:t>符合</w:t>
                  </w:r>
                </w:p>
              </w:tc>
            </w:tr>
            <w:tr w14:paraId="0D87A0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 w:hRule="atLeast"/>
                <w:jc w:val="center"/>
              </w:trPr>
              <w:tc>
                <w:tcPr>
                  <w:tcW w:w="699" w:type="pct"/>
                  <w:gridSpan w:val="2"/>
                  <w:tcBorders>
                    <w:tl2br w:val="nil"/>
                    <w:tr2bl w:val="nil"/>
                  </w:tcBorders>
                  <w:shd w:val="clear" w:color="auto" w:fill="auto"/>
                  <w:vAlign w:val="center"/>
                </w:tcPr>
                <w:p w14:paraId="56464E2B">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center"/>
                    <w:textAlignment w:val="auto"/>
                    <w:rPr>
                      <w:rFonts w:hint="default"/>
                      <w:b w:val="0"/>
                      <w:bCs w:val="0"/>
                      <w:szCs w:val="21"/>
                      <w:lang w:val="en-US"/>
                    </w:rPr>
                  </w:pPr>
                  <w:r>
                    <w:rPr>
                      <w:rFonts w:hint="eastAsia" w:ascii="Times New Roman" w:hAnsi="Times New Roman" w:eastAsia="宋体" w:cs="宋体"/>
                      <w:b w:val="0"/>
                      <w:bCs w:val="0"/>
                      <w:kern w:val="2"/>
                      <w:sz w:val="21"/>
                      <w:szCs w:val="21"/>
                      <w:lang w:val="en-US" w:eastAsia="zh-CN" w:bidi="ar"/>
                    </w:rPr>
                    <w:t>无组织管控</w:t>
                  </w:r>
                </w:p>
              </w:tc>
              <w:tc>
                <w:tcPr>
                  <w:tcW w:w="2332" w:type="pct"/>
                  <w:tcBorders>
                    <w:tl2br w:val="nil"/>
                    <w:tr2bl w:val="nil"/>
                  </w:tcBorders>
                  <w:shd w:val="clear" w:color="auto" w:fill="auto"/>
                  <w:vAlign w:val="center"/>
                </w:tcPr>
                <w:p w14:paraId="759A289C">
                  <w:pPr>
                    <w:pStyle w:val="21"/>
                    <w:keepNext w:val="0"/>
                    <w:keepLines w:val="0"/>
                    <w:pageBreakBefore w:val="0"/>
                    <w:widowControl w:val="0"/>
                    <w:suppressLineNumbers w:val="0"/>
                    <w:kinsoku/>
                    <w:wordWrap/>
                    <w:overflowPunct/>
                    <w:topLinePunct w:val="0"/>
                    <w:autoSpaceDE w:val="0"/>
                    <w:autoSpaceDN w:val="0"/>
                    <w:bidi w:val="0"/>
                    <w:adjustRightInd w:val="0"/>
                    <w:spacing w:before="0" w:beforeAutospacing="0" w:after="0" w:afterAutospacing="0" w:line="360" w:lineRule="exact"/>
                    <w:ind w:left="0" w:right="0"/>
                    <w:jc w:val="both"/>
                    <w:textAlignment w:val="auto"/>
                    <w:rPr>
                      <w:rFonts w:hint="default" w:ascii="Times New Roman" w:hAnsi="宋体" w:cs="Times New Roman"/>
                      <w:b w:val="0"/>
                      <w:bCs w:val="0"/>
                      <w:color w:val="auto"/>
                      <w:sz w:val="21"/>
                      <w:szCs w:val="21"/>
                      <w:lang w:val="en-US"/>
                    </w:rPr>
                  </w:pPr>
                  <w:r>
                    <w:rPr>
                      <w:rFonts w:hint="default" w:ascii="Times New Roman" w:hAnsi="宋体" w:eastAsia="宋体" w:cs="Times New Roman"/>
                      <w:b w:val="0"/>
                      <w:bCs w:val="0"/>
                      <w:color w:val="auto"/>
                      <w:kern w:val="0"/>
                      <w:sz w:val="21"/>
                      <w:szCs w:val="21"/>
                      <w:lang w:val="en-US" w:eastAsia="zh-CN" w:bidi="ar"/>
                    </w:rPr>
                    <w:t>1.VOCs</w:t>
                  </w:r>
                  <w:r>
                    <w:rPr>
                      <w:rFonts w:hint="eastAsia" w:ascii="Times New Roman" w:hAnsi="宋体" w:eastAsia="宋体" w:cs="Times New Roman"/>
                      <w:b w:val="0"/>
                      <w:bCs w:val="0"/>
                      <w:color w:val="auto"/>
                      <w:kern w:val="0"/>
                      <w:sz w:val="21"/>
                      <w:szCs w:val="21"/>
                      <w:lang w:val="en-US" w:eastAsia="zh-CN" w:bidi="ar"/>
                    </w:rPr>
                    <w:t>物料存储于密闭的容器、包装袋、储罐、储库、料仓中；盛装</w:t>
                  </w:r>
                  <w:r>
                    <w:rPr>
                      <w:rFonts w:hint="default" w:ascii="Times New Roman" w:hAnsi="宋体" w:eastAsia="宋体" w:cs="Times New Roman"/>
                      <w:b w:val="0"/>
                      <w:bCs w:val="0"/>
                      <w:color w:val="auto"/>
                      <w:kern w:val="0"/>
                      <w:sz w:val="21"/>
                      <w:szCs w:val="21"/>
                      <w:lang w:val="en-US" w:eastAsia="zh-CN" w:bidi="ar"/>
                    </w:rPr>
                    <w:t>VOCs</w:t>
                  </w:r>
                  <w:r>
                    <w:rPr>
                      <w:rFonts w:hint="eastAsia" w:ascii="Times New Roman" w:hAnsi="宋体" w:eastAsia="宋体" w:cs="Times New Roman"/>
                      <w:b w:val="0"/>
                      <w:bCs w:val="0"/>
                      <w:color w:val="auto"/>
                      <w:kern w:val="0"/>
                      <w:sz w:val="21"/>
                      <w:szCs w:val="21"/>
                      <w:lang w:val="en-US" w:eastAsia="zh-CN" w:bidi="ar"/>
                    </w:rPr>
                    <w:t>物料的容器或包装袋存放于室内；盛装</w:t>
                  </w:r>
                  <w:r>
                    <w:rPr>
                      <w:rFonts w:hint="default" w:ascii="Times New Roman" w:hAnsi="宋体" w:eastAsia="宋体" w:cs="Times New Roman"/>
                      <w:b w:val="0"/>
                      <w:bCs w:val="0"/>
                      <w:color w:val="auto"/>
                      <w:kern w:val="0"/>
                      <w:sz w:val="21"/>
                      <w:szCs w:val="21"/>
                      <w:lang w:val="en-US" w:eastAsia="zh-CN" w:bidi="ar"/>
                    </w:rPr>
                    <w:t>VOCs</w:t>
                  </w:r>
                  <w:r>
                    <w:rPr>
                      <w:rFonts w:hint="eastAsia" w:ascii="Times New Roman" w:hAnsi="宋体" w:eastAsia="宋体" w:cs="Times New Roman"/>
                      <w:b w:val="0"/>
                      <w:bCs w:val="0"/>
                      <w:color w:val="auto"/>
                      <w:kern w:val="0"/>
                      <w:sz w:val="21"/>
                      <w:szCs w:val="21"/>
                      <w:lang w:val="en-US" w:eastAsia="zh-CN" w:bidi="ar"/>
                    </w:rPr>
                    <w:t>物料的容器或包装袋在非取用状态时应加盖、封口，保持密闭；</w:t>
                  </w:r>
                </w:p>
                <w:p w14:paraId="6C2BB1E1">
                  <w:pPr>
                    <w:pStyle w:val="21"/>
                    <w:keepNext w:val="0"/>
                    <w:keepLines w:val="0"/>
                    <w:pageBreakBefore w:val="0"/>
                    <w:widowControl w:val="0"/>
                    <w:suppressLineNumbers w:val="0"/>
                    <w:kinsoku/>
                    <w:wordWrap/>
                    <w:overflowPunct/>
                    <w:topLinePunct w:val="0"/>
                    <w:autoSpaceDE w:val="0"/>
                    <w:autoSpaceDN w:val="0"/>
                    <w:bidi w:val="0"/>
                    <w:adjustRightInd w:val="0"/>
                    <w:spacing w:before="0" w:beforeAutospacing="0" w:after="0" w:afterAutospacing="0" w:line="360" w:lineRule="exact"/>
                    <w:ind w:left="0" w:right="0"/>
                    <w:jc w:val="both"/>
                    <w:textAlignment w:val="auto"/>
                    <w:rPr>
                      <w:rFonts w:hint="default" w:ascii="Times New Roman" w:hAnsi="宋体" w:cs="Times New Roman"/>
                      <w:b w:val="0"/>
                      <w:bCs w:val="0"/>
                      <w:color w:val="auto"/>
                      <w:sz w:val="21"/>
                      <w:szCs w:val="21"/>
                      <w:lang w:val="en-US"/>
                    </w:rPr>
                  </w:pPr>
                  <w:r>
                    <w:rPr>
                      <w:rFonts w:hint="default" w:ascii="Times New Roman" w:hAnsi="宋体" w:eastAsia="宋体" w:cs="Times New Roman"/>
                      <w:b w:val="0"/>
                      <w:bCs w:val="0"/>
                      <w:color w:val="auto"/>
                      <w:kern w:val="0"/>
                      <w:sz w:val="21"/>
                      <w:szCs w:val="21"/>
                      <w:lang w:val="en-US" w:eastAsia="zh-CN" w:bidi="ar"/>
                    </w:rPr>
                    <w:t>2.</w:t>
                  </w:r>
                  <w:r>
                    <w:rPr>
                      <w:rFonts w:hint="eastAsia" w:ascii="Times New Roman" w:hAnsi="宋体" w:eastAsia="宋体" w:cs="Times New Roman"/>
                      <w:b w:val="0"/>
                      <w:bCs w:val="0"/>
                      <w:color w:val="auto"/>
                      <w:kern w:val="0"/>
                      <w:sz w:val="21"/>
                      <w:szCs w:val="21"/>
                      <w:lang w:val="en-US" w:eastAsia="zh-CN" w:bidi="ar"/>
                    </w:rPr>
                    <w:t>粉状物料采用气力输送、管状带式输送机、螺旋输送机等自动化、密闭输送方式；粒状物料采用封闭皮带等自动化、封闭输送方式；液态</w:t>
                  </w:r>
                  <w:r>
                    <w:rPr>
                      <w:rFonts w:hint="default" w:ascii="Times New Roman" w:hAnsi="宋体" w:eastAsia="宋体" w:cs="Times New Roman"/>
                      <w:b w:val="0"/>
                      <w:bCs w:val="0"/>
                      <w:color w:val="auto"/>
                      <w:kern w:val="0"/>
                      <w:sz w:val="21"/>
                      <w:szCs w:val="21"/>
                      <w:lang w:val="en-US" w:eastAsia="zh-CN" w:bidi="ar"/>
                    </w:rPr>
                    <w:t>VOCs</w:t>
                  </w:r>
                  <w:r>
                    <w:rPr>
                      <w:rFonts w:hint="eastAsia" w:ascii="Times New Roman" w:hAnsi="宋体" w:eastAsia="宋体" w:cs="Times New Roman"/>
                      <w:b w:val="0"/>
                      <w:bCs w:val="0"/>
                      <w:color w:val="auto"/>
                      <w:kern w:val="0"/>
                      <w:sz w:val="21"/>
                      <w:szCs w:val="21"/>
                      <w:lang w:val="en-US" w:eastAsia="zh-CN" w:bidi="ar"/>
                    </w:rPr>
                    <w:t>物料采用密闭管道输送；</w:t>
                  </w:r>
                </w:p>
                <w:p w14:paraId="0879F2B2">
                  <w:pPr>
                    <w:pStyle w:val="21"/>
                    <w:keepNext w:val="0"/>
                    <w:keepLines w:val="0"/>
                    <w:pageBreakBefore w:val="0"/>
                    <w:widowControl w:val="0"/>
                    <w:suppressLineNumbers w:val="0"/>
                    <w:kinsoku/>
                    <w:wordWrap/>
                    <w:overflowPunct/>
                    <w:topLinePunct w:val="0"/>
                    <w:autoSpaceDE w:val="0"/>
                    <w:autoSpaceDN w:val="0"/>
                    <w:bidi w:val="0"/>
                    <w:adjustRightInd w:val="0"/>
                    <w:spacing w:before="0" w:beforeAutospacing="0" w:after="0" w:afterAutospacing="0" w:line="360" w:lineRule="exact"/>
                    <w:ind w:left="0" w:right="0"/>
                    <w:jc w:val="both"/>
                    <w:textAlignment w:val="auto"/>
                    <w:rPr>
                      <w:rFonts w:hint="default" w:ascii="Times New Roman" w:hAnsi="宋体" w:cs="Times New Roman"/>
                      <w:b w:val="0"/>
                      <w:bCs w:val="0"/>
                      <w:color w:val="auto"/>
                      <w:sz w:val="21"/>
                      <w:szCs w:val="21"/>
                      <w:lang w:val="en-US"/>
                    </w:rPr>
                  </w:pPr>
                  <w:r>
                    <w:rPr>
                      <w:rFonts w:hint="default" w:ascii="Times New Roman" w:hAnsi="宋体" w:eastAsia="宋体" w:cs="Times New Roman"/>
                      <w:b w:val="0"/>
                      <w:bCs w:val="0"/>
                      <w:color w:val="auto"/>
                      <w:kern w:val="0"/>
                      <w:sz w:val="21"/>
                      <w:szCs w:val="21"/>
                      <w:lang w:val="en-US" w:eastAsia="zh-CN" w:bidi="ar"/>
                    </w:rPr>
                    <w:t>3.</w:t>
                  </w:r>
                  <w:r>
                    <w:rPr>
                      <w:rFonts w:hint="eastAsia" w:ascii="Times New Roman" w:hAnsi="宋体" w:eastAsia="宋体" w:cs="Times New Roman"/>
                      <w:b w:val="0"/>
                      <w:bCs w:val="0"/>
                      <w:color w:val="auto"/>
                      <w:kern w:val="0"/>
                      <w:sz w:val="21"/>
                      <w:szCs w:val="21"/>
                      <w:lang w:val="en-US" w:eastAsia="zh-CN" w:bidi="ar"/>
                    </w:rPr>
                    <w:t>产生</w:t>
                  </w:r>
                  <w:r>
                    <w:rPr>
                      <w:rFonts w:hint="default" w:ascii="Times New Roman" w:hAnsi="宋体" w:eastAsia="宋体" w:cs="Times New Roman"/>
                      <w:b w:val="0"/>
                      <w:bCs w:val="0"/>
                      <w:color w:val="auto"/>
                      <w:kern w:val="0"/>
                      <w:sz w:val="21"/>
                      <w:szCs w:val="21"/>
                      <w:lang w:val="en-US" w:eastAsia="zh-CN" w:bidi="ar"/>
                    </w:rPr>
                    <w:t>VOCs</w:t>
                  </w:r>
                  <w:r>
                    <w:rPr>
                      <w:rFonts w:hint="eastAsia" w:ascii="Times New Roman" w:hAnsi="宋体" w:eastAsia="宋体" w:cs="Times New Roman"/>
                      <w:b w:val="0"/>
                      <w:bCs w:val="0"/>
                      <w:color w:val="auto"/>
                      <w:kern w:val="0"/>
                      <w:sz w:val="21"/>
                      <w:szCs w:val="21"/>
                      <w:lang w:val="en-US" w:eastAsia="zh-CN" w:bidi="ar"/>
                    </w:rPr>
                    <w:t>的生产工序和装置应设置有效集气装置并引至</w:t>
                  </w:r>
                  <w:r>
                    <w:rPr>
                      <w:rFonts w:hint="default" w:ascii="Times New Roman" w:hAnsi="宋体" w:eastAsia="宋体" w:cs="Times New Roman"/>
                      <w:b w:val="0"/>
                      <w:bCs w:val="0"/>
                      <w:color w:val="auto"/>
                      <w:kern w:val="0"/>
                      <w:sz w:val="21"/>
                      <w:szCs w:val="21"/>
                      <w:lang w:val="en-US" w:eastAsia="zh-CN" w:bidi="ar"/>
                    </w:rPr>
                    <w:t>VOCs</w:t>
                  </w:r>
                  <w:r>
                    <w:rPr>
                      <w:rFonts w:hint="eastAsia" w:ascii="Times New Roman" w:hAnsi="宋体" w:eastAsia="宋体" w:cs="Times New Roman"/>
                      <w:b w:val="0"/>
                      <w:bCs w:val="0"/>
                      <w:color w:val="auto"/>
                      <w:kern w:val="0"/>
                      <w:sz w:val="21"/>
                      <w:szCs w:val="21"/>
                      <w:lang w:val="en-US" w:eastAsia="zh-CN" w:bidi="ar"/>
                    </w:rPr>
                    <w:t>末端处理设施；</w:t>
                  </w:r>
                </w:p>
                <w:p w14:paraId="41F6D213">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both"/>
                    <w:textAlignment w:val="auto"/>
                    <w:rPr>
                      <w:rFonts w:hint="default" w:hAnsi="宋体"/>
                      <w:b w:val="0"/>
                      <w:bCs w:val="0"/>
                      <w:szCs w:val="21"/>
                      <w:lang w:val="en-US"/>
                    </w:rPr>
                  </w:pPr>
                  <w:r>
                    <w:rPr>
                      <w:rFonts w:hint="default" w:ascii="Times New Roman" w:hAnsi="Times New Roman" w:eastAsia="宋体" w:cs="Times New Roman"/>
                      <w:b w:val="0"/>
                      <w:bCs w:val="0"/>
                      <w:kern w:val="2"/>
                      <w:sz w:val="21"/>
                      <w:szCs w:val="21"/>
                      <w:lang w:val="en-US" w:eastAsia="zh-CN" w:bidi="ar"/>
                    </w:rPr>
                    <w:t>4.</w:t>
                  </w:r>
                  <w:r>
                    <w:rPr>
                      <w:rFonts w:hint="eastAsia" w:ascii="Times New Roman" w:hAnsi="宋体" w:eastAsia="宋体" w:cs="宋体"/>
                      <w:b w:val="0"/>
                      <w:bCs w:val="0"/>
                      <w:kern w:val="2"/>
                      <w:sz w:val="21"/>
                      <w:szCs w:val="21"/>
                      <w:lang w:val="en-US" w:eastAsia="zh-CN" w:bidi="ar"/>
                    </w:rPr>
                    <w:t>厂区道路及车间地面硬化，车间地面、墙壁、设备顶部整洁无积尘；厂内地面全部硬化或绿化，无成片裸露土地；</w:t>
                  </w:r>
                </w:p>
                <w:p w14:paraId="46DDE835">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both"/>
                    <w:textAlignment w:val="auto"/>
                    <w:rPr>
                      <w:rFonts w:hint="default" w:hAnsi="宋体"/>
                      <w:b w:val="0"/>
                      <w:bCs w:val="0"/>
                      <w:szCs w:val="21"/>
                      <w:lang w:val="en-US"/>
                    </w:rPr>
                  </w:pPr>
                  <w:r>
                    <w:rPr>
                      <w:rFonts w:hint="default" w:ascii="Times New Roman" w:hAnsi="宋体" w:eastAsia="宋体" w:cs="Times New Roman"/>
                      <w:b w:val="0"/>
                      <w:bCs w:val="0"/>
                      <w:kern w:val="2"/>
                      <w:sz w:val="21"/>
                      <w:szCs w:val="21"/>
                      <w:lang w:val="en-US" w:eastAsia="zh-CN" w:bidi="ar"/>
                    </w:rPr>
                    <w:t>5.</w:t>
                  </w:r>
                  <w:r>
                    <w:rPr>
                      <w:rFonts w:hint="eastAsia" w:ascii="宋体" w:hAnsi="Times New Roman" w:eastAsia="宋体" w:cs="宋体"/>
                      <w:b w:val="0"/>
                      <w:bCs w:val="0"/>
                      <w:kern w:val="0"/>
                      <w:sz w:val="15"/>
                      <w:szCs w:val="15"/>
                      <w:lang w:val="en-US" w:eastAsia="zh-CN" w:bidi="ar"/>
                    </w:rPr>
                    <w:t xml:space="preserve"> </w:t>
                  </w:r>
                  <w:r>
                    <w:rPr>
                      <w:rFonts w:hint="eastAsia" w:ascii="Times New Roman" w:hAnsi="宋体" w:eastAsia="宋体" w:cs="宋体"/>
                      <w:b w:val="0"/>
                      <w:bCs w:val="0"/>
                      <w:kern w:val="2"/>
                      <w:sz w:val="21"/>
                      <w:szCs w:val="21"/>
                      <w:lang w:val="en-US" w:eastAsia="zh-CN" w:bidi="ar"/>
                    </w:rPr>
                    <w:t>贮存易产生粉尘、</w:t>
                  </w:r>
                  <w:r>
                    <w:rPr>
                      <w:rFonts w:hint="default" w:ascii="Times New Roman" w:hAnsi="宋体" w:eastAsia="宋体" w:cs="Times New Roman"/>
                      <w:b w:val="0"/>
                      <w:bCs w:val="0"/>
                      <w:kern w:val="2"/>
                      <w:sz w:val="21"/>
                      <w:szCs w:val="21"/>
                      <w:lang w:val="en-US" w:eastAsia="zh-CN" w:bidi="ar"/>
                    </w:rPr>
                    <w:t>VOCs</w:t>
                  </w:r>
                  <w:r>
                    <w:rPr>
                      <w:rFonts w:hint="eastAsia" w:ascii="Times New Roman" w:hAnsi="宋体" w:eastAsia="宋体" w:cs="宋体"/>
                      <w:b w:val="0"/>
                      <w:bCs w:val="0"/>
                      <w:kern w:val="2"/>
                      <w:sz w:val="21"/>
                      <w:szCs w:val="21"/>
                      <w:lang w:val="en-US" w:eastAsia="zh-CN" w:bidi="ar"/>
                    </w:rPr>
                    <w:t>和异味的危险废物贮存库，设有废气收集装置和废气处理设施。废气处理设施的排气筒高度不低于</w:t>
                  </w:r>
                  <w:r>
                    <w:rPr>
                      <w:rFonts w:hint="default" w:ascii="Times New Roman" w:hAnsi="宋体" w:eastAsia="宋体" w:cs="Times New Roman"/>
                      <w:b w:val="0"/>
                      <w:bCs w:val="0"/>
                      <w:kern w:val="2"/>
                      <w:sz w:val="21"/>
                      <w:szCs w:val="21"/>
                      <w:lang w:val="en-US" w:eastAsia="zh-CN" w:bidi="ar"/>
                    </w:rPr>
                    <w:t>15m</w:t>
                  </w:r>
                  <w:r>
                    <w:rPr>
                      <w:rFonts w:hint="eastAsia" w:ascii="Times New Roman" w:hAnsi="宋体" w:eastAsia="宋体" w:cs="宋体"/>
                      <w:b w:val="0"/>
                      <w:bCs w:val="0"/>
                      <w:kern w:val="2"/>
                      <w:sz w:val="21"/>
                      <w:szCs w:val="21"/>
                      <w:lang w:val="en-US" w:eastAsia="zh-CN" w:bidi="ar"/>
                    </w:rPr>
                    <w:t>。</w:t>
                  </w:r>
                </w:p>
              </w:tc>
              <w:tc>
                <w:tcPr>
                  <w:tcW w:w="1414" w:type="pct"/>
                  <w:tcBorders>
                    <w:tl2br w:val="nil"/>
                    <w:tr2bl w:val="nil"/>
                  </w:tcBorders>
                  <w:shd w:val="clear" w:color="auto" w:fill="auto"/>
                  <w:vAlign w:val="center"/>
                </w:tcPr>
                <w:p w14:paraId="3792858A">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center"/>
                    <w:textAlignment w:val="auto"/>
                    <w:rPr>
                      <w:rFonts w:hint="default" w:hAnsi="宋体"/>
                      <w:b w:val="0"/>
                      <w:bCs w:val="0"/>
                      <w:szCs w:val="21"/>
                      <w:lang w:val="en-US"/>
                    </w:rPr>
                  </w:pPr>
                  <w:r>
                    <w:rPr>
                      <w:rFonts w:hint="default" w:ascii="Times New Roman" w:hAnsi="宋体" w:eastAsia="宋体" w:cs="Times New Roman"/>
                      <w:b w:val="0"/>
                      <w:bCs w:val="0"/>
                      <w:kern w:val="2"/>
                      <w:sz w:val="21"/>
                      <w:szCs w:val="21"/>
                      <w:lang w:val="en-US" w:eastAsia="zh-CN" w:bidi="ar"/>
                    </w:rPr>
                    <w:t>1.</w:t>
                  </w:r>
                  <w:r>
                    <w:rPr>
                      <w:rFonts w:hint="eastAsia" w:ascii="Times New Roman" w:hAnsi="宋体" w:eastAsia="宋体" w:cs="宋体"/>
                      <w:b w:val="0"/>
                      <w:bCs w:val="0"/>
                      <w:kern w:val="2"/>
                      <w:sz w:val="21"/>
                      <w:szCs w:val="21"/>
                      <w:lang w:val="en-US" w:eastAsia="zh-CN" w:bidi="ar"/>
                    </w:rPr>
                    <w:t>项目涉</w:t>
                  </w:r>
                  <w:r>
                    <w:rPr>
                      <w:rFonts w:hint="default" w:ascii="Times New Roman" w:hAnsi="宋体" w:eastAsia="宋体" w:cs="Times New Roman"/>
                      <w:b w:val="0"/>
                      <w:bCs w:val="0"/>
                      <w:kern w:val="2"/>
                      <w:sz w:val="21"/>
                      <w:szCs w:val="21"/>
                      <w:lang w:val="en-US" w:eastAsia="zh-CN" w:bidi="ar"/>
                    </w:rPr>
                    <w:t>VOCs</w:t>
                  </w:r>
                  <w:r>
                    <w:rPr>
                      <w:rFonts w:hint="eastAsia" w:ascii="Times New Roman" w:hAnsi="宋体" w:eastAsia="宋体" w:cs="宋体"/>
                      <w:b w:val="0"/>
                      <w:bCs w:val="0"/>
                      <w:kern w:val="2"/>
                      <w:sz w:val="21"/>
                      <w:szCs w:val="21"/>
                      <w:lang w:val="en-US" w:eastAsia="zh-CN" w:bidi="ar"/>
                    </w:rPr>
                    <w:t>物料为固体颗粒，采用</w:t>
                  </w:r>
                  <w:r>
                    <w:rPr>
                      <w:rFonts w:hint="eastAsia" w:hAnsi="宋体" w:cs="宋体"/>
                      <w:b w:val="0"/>
                      <w:bCs w:val="0"/>
                      <w:kern w:val="2"/>
                      <w:sz w:val="21"/>
                      <w:szCs w:val="21"/>
                      <w:lang w:val="en-US" w:eastAsia="zh-CN" w:bidi="ar"/>
                    </w:rPr>
                    <w:t>包装</w:t>
                  </w:r>
                  <w:r>
                    <w:rPr>
                      <w:rFonts w:hint="eastAsia" w:ascii="Times New Roman" w:hAnsi="宋体" w:eastAsia="宋体" w:cs="宋体"/>
                      <w:b w:val="0"/>
                      <w:bCs w:val="0"/>
                      <w:kern w:val="2"/>
                      <w:sz w:val="21"/>
                      <w:szCs w:val="21"/>
                      <w:lang w:val="en-US" w:eastAsia="zh-CN" w:bidi="ar"/>
                    </w:rPr>
                    <w:t>袋</w:t>
                  </w:r>
                  <w:r>
                    <w:rPr>
                      <w:rFonts w:hint="eastAsia" w:hAnsi="宋体" w:cs="宋体"/>
                      <w:b w:val="0"/>
                      <w:bCs w:val="0"/>
                      <w:kern w:val="2"/>
                      <w:sz w:val="21"/>
                      <w:szCs w:val="21"/>
                      <w:lang w:val="en-US" w:eastAsia="zh-CN" w:bidi="ar"/>
                    </w:rPr>
                    <w:t>存放</w:t>
                  </w:r>
                  <w:r>
                    <w:rPr>
                      <w:rFonts w:hint="eastAsia" w:ascii="Times New Roman" w:hAnsi="宋体" w:eastAsia="宋体" w:cs="宋体"/>
                      <w:b w:val="0"/>
                      <w:bCs w:val="0"/>
                      <w:kern w:val="2"/>
                      <w:sz w:val="21"/>
                      <w:szCs w:val="21"/>
                      <w:lang w:val="en-US" w:eastAsia="zh-CN" w:bidi="ar"/>
                    </w:rPr>
                    <w:t>，封闭式车间内暂存；</w:t>
                  </w:r>
                </w:p>
                <w:p w14:paraId="5C67293D">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center"/>
                    <w:textAlignment w:val="auto"/>
                    <w:rPr>
                      <w:rFonts w:hint="default" w:hAnsi="宋体"/>
                      <w:b w:val="0"/>
                      <w:bCs w:val="0"/>
                      <w:szCs w:val="21"/>
                      <w:lang w:val="en-US"/>
                    </w:rPr>
                  </w:pPr>
                  <w:r>
                    <w:rPr>
                      <w:rFonts w:hint="default" w:ascii="Times New Roman" w:hAnsi="宋体" w:eastAsia="宋体" w:cs="Times New Roman"/>
                      <w:b w:val="0"/>
                      <w:bCs w:val="0"/>
                      <w:kern w:val="2"/>
                      <w:sz w:val="21"/>
                      <w:szCs w:val="21"/>
                      <w:lang w:val="en-US" w:eastAsia="zh-CN" w:bidi="ar"/>
                    </w:rPr>
                    <w:t>2.</w:t>
                  </w:r>
                  <w:r>
                    <w:rPr>
                      <w:rFonts w:hint="eastAsia" w:ascii="Times New Roman" w:hAnsi="宋体" w:eastAsia="宋体" w:cs="宋体"/>
                      <w:b w:val="0"/>
                      <w:bCs w:val="0"/>
                      <w:kern w:val="2"/>
                      <w:sz w:val="21"/>
                      <w:szCs w:val="21"/>
                      <w:lang w:val="en-US" w:eastAsia="zh-CN" w:bidi="ar"/>
                    </w:rPr>
                    <w:t>物料输送采用密闭输送方式，不涉及液态</w:t>
                  </w:r>
                  <w:r>
                    <w:rPr>
                      <w:rFonts w:hint="default" w:ascii="Times New Roman" w:hAnsi="宋体" w:eastAsia="宋体" w:cs="Times New Roman"/>
                      <w:b w:val="0"/>
                      <w:bCs w:val="0"/>
                      <w:kern w:val="2"/>
                      <w:sz w:val="21"/>
                      <w:szCs w:val="21"/>
                      <w:lang w:val="en-US" w:eastAsia="zh-CN" w:bidi="ar"/>
                    </w:rPr>
                    <w:t>VOCs</w:t>
                  </w:r>
                  <w:r>
                    <w:rPr>
                      <w:rFonts w:hint="eastAsia" w:ascii="Times New Roman" w:hAnsi="宋体" w:eastAsia="宋体" w:cs="宋体"/>
                      <w:b w:val="0"/>
                      <w:bCs w:val="0"/>
                      <w:kern w:val="2"/>
                      <w:sz w:val="21"/>
                      <w:szCs w:val="21"/>
                      <w:lang w:val="en-US" w:eastAsia="zh-CN" w:bidi="ar"/>
                    </w:rPr>
                    <w:t>物料；</w:t>
                  </w:r>
                </w:p>
                <w:p w14:paraId="3EA41283">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center"/>
                    <w:textAlignment w:val="auto"/>
                    <w:rPr>
                      <w:rFonts w:hint="default" w:hAnsi="宋体"/>
                      <w:b w:val="0"/>
                      <w:bCs w:val="0"/>
                      <w:szCs w:val="21"/>
                      <w:lang w:val="en-US"/>
                    </w:rPr>
                  </w:pPr>
                  <w:r>
                    <w:rPr>
                      <w:rFonts w:hint="default" w:ascii="Times New Roman" w:hAnsi="宋体" w:eastAsia="宋体" w:cs="Times New Roman"/>
                      <w:b w:val="0"/>
                      <w:bCs w:val="0"/>
                      <w:kern w:val="2"/>
                      <w:sz w:val="21"/>
                      <w:szCs w:val="21"/>
                      <w:lang w:val="en-US" w:eastAsia="zh-CN" w:bidi="ar"/>
                    </w:rPr>
                    <w:t>3.</w:t>
                  </w:r>
                  <w:r>
                    <w:rPr>
                      <w:rFonts w:hint="eastAsia" w:ascii="Times New Roman" w:hAnsi="宋体" w:eastAsia="宋体" w:cs="宋体"/>
                      <w:b w:val="0"/>
                      <w:bCs w:val="0"/>
                      <w:kern w:val="2"/>
                      <w:sz w:val="21"/>
                      <w:szCs w:val="21"/>
                      <w:lang w:val="en-US" w:eastAsia="zh-CN" w:bidi="ar"/>
                    </w:rPr>
                    <w:t>涉</w:t>
                  </w:r>
                  <w:r>
                    <w:rPr>
                      <w:rFonts w:hint="default" w:ascii="Times New Roman" w:hAnsi="宋体" w:eastAsia="宋体" w:cs="Times New Roman"/>
                      <w:b w:val="0"/>
                      <w:bCs w:val="0"/>
                      <w:kern w:val="2"/>
                      <w:sz w:val="21"/>
                      <w:szCs w:val="21"/>
                      <w:lang w:val="en-US" w:eastAsia="zh-CN" w:bidi="ar"/>
                    </w:rPr>
                    <w:t>VOCs</w:t>
                  </w:r>
                  <w:r>
                    <w:rPr>
                      <w:rFonts w:hint="eastAsia" w:ascii="Times New Roman" w:hAnsi="宋体" w:eastAsia="宋体" w:cs="宋体"/>
                      <w:b w:val="0"/>
                      <w:bCs w:val="0"/>
                      <w:kern w:val="2"/>
                      <w:sz w:val="21"/>
                      <w:szCs w:val="21"/>
                      <w:lang w:val="en-US" w:eastAsia="zh-CN" w:bidi="ar"/>
                    </w:rPr>
                    <w:t>工序废气配备收集装置和末端处理装置；</w:t>
                  </w:r>
                </w:p>
                <w:p w14:paraId="2B4F9189">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center"/>
                    <w:textAlignment w:val="auto"/>
                    <w:rPr>
                      <w:rFonts w:hint="default" w:hAnsi="宋体"/>
                      <w:b w:val="0"/>
                      <w:bCs w:val="0"/>
                      <w:szCs w:val="21"/>
                      <w:lang w:val="en-US"/>
                    </w:rPr>
                  </w:pPr>
                  <w:r>
                    <w:rPr>
                      <w:rFonts w:hint="default" w:ascii="Times New Roman" w:hAnsi="宋体" w:eastAsia="宋体" w:cs="Times New Roman"/>
                      <w:b w:val="0"/>
                      <w:bCs w:val="0"/>
                      <w:kern w:val="2"/>
                      <w:sz w:val="21"/>
                      <w:szCs w:val="21"/>
                      <w:lang w:val="en-US" w:eastAsia="zh-CN" w:bidi="ar"/>
                    </w:rPr>
                    <w:t>4.</w:t>
                  </w:r>
                  <w:r>
                    <w:rPr>
                      <w:rFonts w:hint="eastAsia" w:ascii="Times New Roman" w:hAnsi="宋体" w:eastAsia="宋体" w:cs="宋体"/>
                      <w:b w:val="0"/>
                      <w:bCs w:val="0"/>
                      <w:kern w:val="2"/>
                      <w:sz w:val="21"/>
                      <w:szCs w:val="21"/>
                      <w:lang w:val="en-US" w:eastAsia="zh-CN" w:bidi="ar"/>
                    </w:rPr>
                    <w:t>厂区道路</w:t>
                  </w:r>
                  <w:r>
                    <w:rPr>
                      <w:rFonts w:hint="eastAsia" w:hAnsi="宋体" w:cs="宋体"/>
                      <w:b w:val="0"/>
                      <w:bCs w:val="0"/>
                      <w:kern w:val="2"/>
                      <w:sz w:val="21"/>
                      <w:szCs w:val="21"/>
                      <w:lang w:val="en-US" w:eastAsia="zh-CN" w:bidi="ar"/>
                    </w:rPr>
                    <w:t>及</w:t>
                  </w:r>
                  <w:r>
                    <w:rPr>
                      <w:rFonts w:hint="eastAsia" w:ascii="Times New Roman" w:hAnsi="宋体" w:eastAsia="宋体" w:cs="宋体"/>
                      <w:b w:val="0"/>
                      <w:bCs w:val="0"/>
                      <w:kern w:val="2"/>
                      <w:sz w:val="21"/>
                      <w:szCs w:val="21"/>
                      <w:lang w:val="en-US" w:eastAsia="zh-CN" w:bidi="ar"/>
                    </w:rPr>
                    <w:t>车间地面硬化，车间地面、墙壁、设备顶部整洁无积尘；厂内闲置土地采取绿化；</w:t>
                  </w:r>
                </w:p>
                <w:p w14:paraId="14727FA8">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center"/>
                    <w:textAlignment w:val="auto"/>
                    <w:rPr>
                      <w:rFonts w:hint="default" w:hAnsi="宋体"/>
                      <w:b w:val="0"/>
                      <w:bCs w:val="0"/>
                      <w:szCs w:val="21"/>
                      <w:lang w:val="en-US"/>
                    </w:rPr>
                  </w:pPr>
                  <w:r>
                    <w:rPr>
                      <w:rFonts w:hint="default" w:ascii="Times New Roman" w:hAnsi="宋体" w:eastAsia="宋体" w:cs="Times New Roman"/>
                      <w:b w:val="0"/>
                      <w:bCs w:val="0"/>
                      <w:kern w:val="2"/>
                      <w:sz w:val="21"/>
                      <w:szCs w:val="21"/>
                      <w:lang w:val="en-US" w:eastAsia="zh-CN" w:bidi="ar"/>
                    </w:rPr>
                    <w:t>5.</w:t>
                  </w:r>
                  <w:r>
                    <w:rPr>
                      <w:rFonts w:hint="eastAsia" w:ascii="Times New Roman" w:hAnsi="宋体" w:eastAsia="宋体" w:cs="宋体"/>
                      <w:b w:val="0"/>
                      <w:bCs w:val="0"/>
                      <w:kern w:val="2"/>
                      <w:sz w:val="21"/>
                      <w:szCs w:val="21"/>
                      <w:lang w:val="en-US" w:eastAsia="zh-CN" w:bidi="ar"/>
                    </w:rPr>
                    <w:t>废活性炭、废催化剂采用密闭包装，防止挥发性有机物产生和排放</w:t>
                  </w:r>
                  <w:r>
                    <w:rPr>
                      <w:rFonts w:hint="eastAsia" w:hAnsi="宋体" w:cs="宋体"/>
                      <w:b w:val="0"/>
                      <w:bCs w:val="0"/>
                      <w:kern w:val="2"/>
                      <w:sz w:val="21"/>
                      <w:szCs w:val="21"/>
                      <w:lang w:val="en-US" w:eastAsia="zh-CN" w:bidi="ar"/>
                    </w:rPr>
                    <w:t>，危废间设置集气装置，引至有机废气处理装置对废气进行处置</w:t>
                  </w:r>
                  <w:r>
                    <w:rPr>
                      <w:rFonts w:hint="eastAsia" w:ascii="Times New Roman" w:hAnsi="宋体" w:eastAsia="宋体" w:cs="宋体"/>
                      <w:b w:val="0"/>
                      <w:bCs w:val="0"/>
                      <w:kern w:val="2"/>
                      <w:sz w:val="21"/>
                      <w:szCs w:val="21"/>
                      <w:lang w:val="en-US" w:eastAsia="zh-CN" w:bidi="ar"/>
                    </w:rPr>
                    <w:t>。</w:t>
                  </w:r>
                </w:p>
              </w:tc>
              <w:tc>
                <w:tcPr>
                  <w:tcW w:w="554" w:type="pct"/>
                  <w:tcBorders>
                    <w:tl2br w:val="nil"/>
                    <w:tr2bl w:val="nil"/>
                  </w:tcBorders>
                  <w:shd w:val="clear" w:color="auto" w:fill="auto"/>
                  <w:vAlign w:val="center"/>
                </w:tcPr>
                <w:p w14:paraId="3A83E47D">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center"/>
                    <w:textAlignment w:val="auto"/>
                    <w:rPr>
                      <w:rFonts w:hint="default"/>
                      <w:b w:val="0"/>
                      <w:bCs w:val="0"/>
                      <w:szCs w:val="21"/>
                      <w:lang w:val="en-US"/>
                    </w:rPr>
                  </w:pPr>
                  <w:r>
                    <w:rPr>
                      <w:rFonts w:hint="eastAsia" w:ascii="Times New Roman" w:hAnsi="Times New Roman" w:eastAsia="宋体" w:cs="宋体"/>
                      <w:b w:val="0"/>
                      <w:bCs w:val="0"/>
                      <w:kern w:val="2"/>
                      <w:sz w:val="21"/>
                      <w:szCs w:val="21"/>
                      <w:lang w:val="en-US" w:eastAsia="zh-CN" w:bidi="ar"/>
                    </w:rPr>
                    <w:t>符合</w:t>
                  </w:r>
                </w:p>
              </w:tc>
            </w:tr>
            <w:tr w14:paraId="602D96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 w:hRule="atLeast"/>
                <w:jc w:val="center"/>
              </w:trPr>
              <w:tc>
                <w:tcPr>
                  <w:tcW w:w="699" w:type="pct"/>
                  <w:gridSpan w:val="2"/>
                  <w:tcBorders>
                    <w:tl2br w:val="nil"/>
                    <w:tr2bl w:val="nil"/>
                  </w:tcBorders>
                  <w:shd w:val="clear" w:color="auto" w:fill="auto"/>
                  <w:vAlign w:val="center"/>
                </w:tcPr>
                <w:p w14:paraId="4B121811">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center"/>
                    <w:textAlignment w:val="auto"/>
                    <w:rPr>
                      <w:rFonts w:hint="default"/>
                      <w:b w:val="0"/>
                      <w:bCs w:val="0"/>
                      <w:szCs w:val="21"/>
                      <w:lang w:val="en-US"/>
                    </w:rPr>
                  </w:pPr>
                  <w:r>
                    <w:rPr>
                      <w:rFonts w:hint="eastAsia" w:ascii="Times New Roman" w:hAnsi="Times New Roman" w:eastAsia="宋体" w:cs="宋体"/>
                      <w:b w:val="0"/>
                      <w:bCs w:val="0"/>
                      <w:kern w:val="2"/>
                      <w:sz w:val="21"/>
                      <w:szCs w:val="21"/>
                      <w:lang w:val="en-US" w:eastAsia="zh-CN" w:bidi="ar"/>
                    </w:rPr>
                    <w:t>排放限值</w:t>
                  </w:r>
                </w:p>
              </w:tc>
              <w:tc>
                <w:tcPr>
                  <w:tcW w:w="2332" w:type="pct"/>
                  <w:tcBorders>
                    <w:tl2br w:val="nil"/>
                    <w:tr2bl w:val="nil"/>
                  </w:tcBorders>
                  <w:shd w:val="clear" w:color="auto" w:fill="auto"/>
                  <w:vAlign w:val="center"/>
                </w:tcPr>
                <w:p w14:paraId="7A88BA79">
                  <w:pPr>
                    <w:keepNext w:val="0"/>
                    <w:keepLines w:val="0"/>
                    <w:pageBreakBefore w:val="0"/>
                    <w:widowControl w:val="0"/>
                    <w:suppressLineNumbers w:val="0"/>
                    <w:kinsoku/>
                    <w:wordWrap/>
                    <w:overflowPunct/>
                    <w:topLinePunct w:val="0"/>
                    <w:autoSpaceDE w:val="0"/>
                    <w:autoSpaceDN w:val="0"/>
                    <w:bidi w:val="0"/>
                    <w:adjustRightInd w:val="0"/>
                    <w:spacing w:before="0" w:beforeAutospacing="0" w:after="0" w:afterAutospacing="0" w:line="360" w:lineRule="exact"/>
                    <w:ind w:left="0" w:right="0"/>
                    <w:jc w:val="left"/>
                    <w:textAlignment w:val="auto"/>
                    <w:rPr>
                      <w:rFonts w:hint="default"/>
                      <w:b w:val="0"/>
                      <w:bCs w:val="0"/>
                      <w:kern w:val="0"/>
                      <w:szCs w:val="21"/>
                      <w:lang w:val="en-US"/>
                    </w:rPr>
                  </w:pPr>
                  <w:r>
                    <w:rPr>
                      <w:rFonts w:hint="default" w:ascii="Times New Roman" w:hAnsi="Times New Roman" w:eastAsia="宋体" w:cs="Times New Roman"/>
                      <w:b w:val="0"/>
                      <w:bCs w:val="0"/>
                      <w:kern w:val="0"/>
                      <w:sz w:val="21"/>
                      <w:szCs w:val="21"/>
                      <w:lang w:val="en-US" w:eastAsia="zh-CN" w:bidi="ar"/>
                    </w:rPr>
                    <w:t>1.</w:t>
                  </w:r>
                  <w:r>
                    <w:rPr>
                      <w:rFonts w:hint="eastAsia" w:ascii="Times New Roman" w:hAnsi="宋体" w:eastAsia="宋体" w:cs="宋体"/>
                      <w:b w:val="0"/>
                      <w:bCs w:val="0"/>
                      <w:kern w:val="0"/>
                      <w:sz w:val="21"/>
                      <w:szCs w:val="21"/>
                      <w:lang w:val="en-US" w:eastAsia="zh-CN" w:bidi="ar"/>
                    </w:rPr>
                    <w:t>全厂有组织</w:t>
                  </w:r>
                  <w:r>
                    <w:rPr>
                      <w:rFonts w:hint="default" w:ascii="Times New Roman" w:hAnsi="Times New Roman" w:eastAsia="宋体" w:cs="Times New Roman"/>
                      <w:b w:val="0"/>
                      <w:bCs w:val="0"/>
                      <w:kern w:val="0"/>
                      <w:sz w:val="21"/>
                      <w:szCs w:val="21"/>
                      <w:lang w:val="en-US" w:eastAsia="zh-CN" w:bidi="ar"/>
                    </w:rPr>
                    <w:t>PM</w:t>
                  </w:r>
                  <w:r>
                    <w:rPr>
                      <w:rFonts w:hint="eastAsia" w:ascii="Times New Roman" w:hAnsi="宋体" w:eastAsia="宋体" w:cs="宋体"/>
                      <w:b w:val="0"/>
                      <w:bCs w:val="0"/>
                      <w:kern w:val="0"/>
                      <w:sz w:val="21"/>
                      <w:szCs w:val="21"/>
                      <w:lang w:val="en-US" w:eastAsia="zh-CN" w:bidi="ar"/>
                    </w:rPr>
                    <w:t>、</w:t>
                  </w:r>
                  <w:r>
                    <w:rPr>
                      <w:rFonts w:hint="default" w:ascii="Times New Roman" w:hAnsi="Times New Roman" w:eastAsia="宋体" w:cs="Times New Roman"/>
                      <w:b w:val="0"/>
                      <w:bCs w:val="0"/>
                      <w:kern w:val="0"/>
                      <w:sz w:val="21"/>
                      <w:szCs w:val="21"/>
                      <w:lang w:val="en-US" w:eastAsia="zh-CN" w:bidi="ar"/>
                    </w:rPr>
                    <w:t>NMHC</w:t>
                  </w:r>
                  <w:r>
                    <w:rPr>
                      <w:rFonts w:hint="eastAsia" w:ascii="Times New Roman" w:hAnsi="宋体" w:eastAsia="宋体" w:cs="宋体"/>
                      <w:b w:val="0"/>
                      <w:bCs w:val="0"/>
                      <w:kern w:val="0"/>
                      <w:sz w:val="21"/>
                      <w:szCs w:val="21"/>
                      <w:lang w:val="en-US" w:eastAsia="zh-CN" w:bidi="ar"/>
                    </w:rPr>
                    <w:t>有组织排放浓度分别不高于</w:t>
                  </w:r>
                  <w:r>
                    <w:rPr>
                      <w:rFonts w:hint="default" w:ascii="Times New Roman" w:hAnsi="Times New Roman" w:eastAsia="宋体" w:cs="Times New Roman"/>
                      <w:b w:val="0"/>
                      <w:bCs w:val="0"/>
                      <w:kern w:val="0"/>
                      <w:sz w:val="21"/>
                      <w:szCs w:val="21"/>
                      <w:lang w:val="en-US" w:eastAsia="zh-CN" w:bidi="ar"/>
                    </w:rPr>
                    <w:t>10</w:t>
                  </w:r>
                  <w:r>
                    <w:rPr>
                      <w:rFonts w:hint="eastAsia" w:ascii="Times New Roman" w:hAnsi="宋体" w:eastAsia="宋体" w:cs="宋体"/>
                      <w:b w:val="0"/>
                      <w:bCs w:val="0"/>
                      <w:kern w:val="0"/>
                      <w:sz w:val="21"/>
                      <w:szCs w:val="21"/>
                      <w:lang w:val="en-US" w:eastAsia="zh-CN" w:bidi="ar"/>
                    </w:rPr>
                    <w:t>、</w:t>
                  </w:r>
                  <w:r>
                    <w:rPr>
                      <w:rFonts w:hint="default" w:ascii="Times New Roman" w:hAnsi="Times New Roman" w:eastAsia="宋体" w:cs="Times New Roman"/>
                      <w:b w:val="0"/>
                      <w:bCs w:val="0"/>
                      <w:kern w:val="0"/>
                      <w:sz w:val="21"/>
                      <w:szCs w:val="21"/>
                      <w:lang w:val="en-US" w:eastAsia="zh-CN" w:bidi="ar"/>
                    </w:rPr>
                    <w:t>20mg/m</w:t>
                  </w:r>
                  <w:r>
                    <w:rPr>
                      <w:rFonts w:hint="default" w:ascii="Times New Roman" w:hAnsi="Times New Roman" w:eastAsia="宋体" w:cs="Times New Roman"/>
                      <w:b w:val="0"/>
                      <w:bCs w:val="0"/>
                      <w:kern w:val="0"/>
                      <w:sz w:val="21"/>
                      <w:szCs w:val="21"/>
                      <w:vertAlign w:val="superscript"/>
                      <w:lang w:val="en-US" w:eastAsia="zh-CN" w:bidi="ar"/>
                    </w:rPr>
                    <w:t>3</w:t>
                  </w:r>
                  <w:r>
                    <w:rPr>
                      <w:rFonts w:hint="eastAsia" w:ascii="Times New Roman" w:hAnsi="宋体" w:eastAsia="宋体" w:cs="宋体"/>
                      <w:b w:val="0"/>
                      <w:bCs w:val="0"/>
                      <w:kern w:val="0"/>
                      <w:sz w:val="21"/>
                      <w:szCs w:val="21"/>
                      <w:lang w:val="en-US" w:eastAsia="zh-CN" w:bidi="ar"/>
                    </w:rPr>
                    <w:t>；</w:t>
                  </w:r>
                </w:p>
                <w:p w14:paraId="01DFEDFD">
                  <w:pPr>
                    <w:keepNext w:val="0"/>
                    <w:keepLines w:val="0"/>
                    <w:pageBreakBefore w:val="0"/>
                    <w:widowControl w:val="0"/>
                    <w:suppressLineNumbers w:val="0"/>
                    <w:kinsoku/>
                    <w:wordWrap/>
                    <w:overflowPunct/>
                    <w:topLinePunct w:val="0"/>
                    <w:autoSpaceDE w:val="0"/>
                    <w:autoSpaceDN w:val="0"/>
                    <w:bidi w:val="0"/>
                    <w:adjustRightInd w:val="0"/>
                    <w:spacing w:before="0" w:beforeAutospacing="0" w:after="0" w:afterAutospacing="0" w:line="360" w:lineRule="exact"/>
                    <w:ind w:left="0" w:right="0"/>
                    <w:jc w:val="left"/>
                    <w:textAlignment w:val="auto"/>
                    <w:rPr>
                      <w:rFonts w:hint="default"/>
                      <w:b w:val="0"/>
                      <w:bCs w:val="0"/>
                      <w:kern w:val="0"/>
                      <w:szCs w:val="21"/>
                      <w:lang w:val="en-US"/>
                    </w:rPr>
                  </w:pPr>
                  <w:r>
                    <w:rPr>
                      <w:rFonts w:hint="default" w:ascii="Times New Roman" w:hAnsi="Times New Roman" w:eastAsia="宋体" w:cs="Times New Roman"/>
                      <w:b w:val="0"/>
                      <w:bCs w:val="0"/>
                      <w:kern w:val="0"/>
                      <w:sz w:val="21"/>
                      <w:szCs w:val="21"/>
                      <w:lang w:val="en-US" w:eastAsia="zh-CN" w:bidi="ar"/>
                    </w:rPr>
                    <w:t>2.VOCs</w:t>
                  </w:r>
                  <w:r>
                    <w:rPr>
                      <w:rFonts w:hint="eastAsia" w:ascii="Times New Roman" w:hAnsi="宋体" w:eastAsia="宋体" w:cs="宋体"/>
                      <w:b w:val="0"/>
                      <w:bCs w:val="0"/>
                      <w:kern w:val="0"/>
                      <w:sz w:val="21"/>
                      <w:szCs w:val="21"/>
                      <w:lang w:val="en-US" w:eastAsia="zh-CN" w:bidi="ar"/>
                    </w:rPr>
                    <w:t>治理设施去除率达到</w:t>
                  </w:r>
                  <w:r>
                    <w:rPr>
                      <w:rFonts w:hint="default" w:ascii="Times New Roman" w:hAnsi="Times New Roman" w:eastAsia="宋体" w:cs="Times New Roman"/>
                      <w:b w:val="0"/>
                      <w:bCs w:val="0"/>
                      <w:kern w:val="0"/>
                      <w:sz w:val="21"/>
                      <w:szCs w:val="21"/>
                      <w:lang w:val="en-US" w:eastAsia="zh-CN" w:bidi="ar"/>
                    </w:rPr>
                    <w:t>80%</w:t>
                  </w:r>
                  <w:r>
                    <w:rPr>
                      <w:rFonts w:hint="eastAsia" w:ascii="Times New Roman" w:hAnsi="Times New Roman" w:eastAsia="宋体" w:cs="宋体"/>
                      <w:b w:val="0"/>
                      <w:bCs w:val="0"/>
                      <w:kern w:val="0"/>
                      <w:sz w:val="21"/>
                      <w:szCs w:val="21"/>
                      <w:lang w:val="en-US" w:eastAsia="zh-CN" w:bidi="ar"/>
                    </w:rPr>
                    <w:t>及以上</w:t>
                  </w:r>
                  <w:r>
                    <w:rPr>
                      <w:rFonts w:hint="eastAsia" w:ascii="Times New Roman" w:hAnsi="宋体" w:eastAsia="宋体" w:cs="宋体"/>
                      <w:b w:val="0"/>
                      <w:bCs w:val="0"/>
                      <w:kern w:val="0"/>
                      <w:sz w:val="21"/>
                      <w:szCs w:val="21"/>
                      <w:lang w:val="en-US" w:eastAsia="zh-CN" w:bidi="ar"/>
                    </w:rPr>
                    <w:t>；去除率确实达不到的，生产车间或生产设备的无组织排放监控点</w:t>
                  </w:r>
                  <w:r>
                    <w:rPr>
                      <w:rFonts w:hint="default" w:ascii="Times New Roman" w:hAnsi="Times New Roman" w:eastAsia="宋体" w:cs="Times New Roman"/>
                      <w:b w:val="0"/>
                      <w:bCs w:val="0"/>
                      <w:kern w:val="0"/>
                      <w:sz w:val="21"/>
                      <w:szCs w:val="21"/>
                      <w:lang w:val="en-US" w:eastAsia="zh-CN" w:bidi="ar"/>
                    </w:rPr>
                    <w:t>NMHC</w:t>
                  </w:r>
                  <w:r>
                    <w:rPr>
                      <w:rFonts w:hint="eastAsia" w:ascii="Times New Roman" w:hAnsi="宋体" w:eastAsia="宋体" w:cs="宋体"/>
                      <w:b w:val="0"/>
                      <w:bCs w:val="0"/>
                      <w:kern w:val="0"/>
                      <w:sz w:val="21"/>
                      <w:szCs w:val="21"/>
                      <w:lang w:val="en-US" w:eastAsia="zh-CN" w:bidi="ar"/>
                    </w:rPr>
                    <w:t>浓度低于</w:t>
                  </w:r>
                  <w:r>
                    <w:rPr>
                      <w:rFonts w:hint="default" w:ascii="Times New Roman" w:hAnsi="Times New Roman" w:eastAsia="宋体" w:cs="Times New Roman"/>
                      <w:b w:val="0"/>
                      <w:bCs w:val="0"/>
                      <w:kern w:val="0"/>
                      <w:sz w:val="21"/>
                      <w:szCs w:val="21"/>
                      <w:lang w:val="en-US" w:eastAsia="zh-CN" w:bidi="ar"/>
                    </w:rPr>
                    <w:t>4mg/m</w:t>
                  </w:r>
                  <w:r>
                    <w:rPr>
                      <w:rFonts w:hint="default" w:ascii="Times New Roman" w:hAnsi="Times New Roman" w:eastAsia="宋体" w:cs="Times New Roman"/>
                      <w:b w:val="0"/>
                      <w:bCs w:val="0"/>
                      <w:kern w:val="0"/>
                      <w:sz w:val="21"/>
                      <w:szCs w:val="21"/>
                      <w:vertAlign w:val="superscript"/>
                      <w:lang w:val="en-US" w:eastAsia="zh-CN" w:bidi="ar"/>
                    </w:rPr>
                    <w:t>3</w:t>
                  </w:r>
                  <w:r>
                    <w:rPr>
                      <w:rFonts w:hint="eastAsia" w:ascii="Times New Roman" w:hAnsi="宋体" w:eastAsia="宋体" w:cs="宋体"/>
                      <w:b w:val="0"/>
                      <w:bCs w:val="0"/>
                      <w:kern w:val="0"/>
                      <w:sz w:val="21"/>
                      <w:szCs w:val="21"/>
                      <w:lang w:val="en-US" w:eastAsia="zh-CN" w:bidi="ar"/>
                    </w:rPr>
                    <w:t>，企业边界</w:t>
                  </w:r>
                  <w:r>
                    <w:rPr>
                      <w:rFonts w:hint="default" w:ascii="Times New Roman" w:hAnsi="Times New Roman" w:eastAsia="宋体" w:cs="Times New Roman"/>
                      <w:b w:val="0"/>
                      <w:bCs w:val="0"/>
                      <w:kern w:val="0"/>
                      <w:sz w:val="21"/>
                      <w:szCs w:val="21"/>
                      <w:lang w:val="en-US" w:eastAsia="zh-CN" w:bidi="ar"/>
                    </w:rPr>
                    <w:t>1hNMHC</w:t>
                  </w:r>
                  <w:r>
                    <w:rPr>
                      <w:rFonts w:hint="eastAsia" w:ascii="Times New Roman" w:hAnsi="宋体" w:eastAsia="宋体" w:cs="宋体"/>
                      <w:b w:val="0"/>
                      <w:bCs w:val="0"/>
                      <w:kern w:val="0"/>
                      <w:sz w:val="21"/>
                      <w:szCs w:val="21"/>
                      <w:lang w:val="en-US" w:eastAsia="zh-CN" w:bidi="ar"/>
                    </w:rPr>
                    <w:t>平均浓度低于</w:t>
                  </w:r>
                  <w:r>
                    <w:rPr>
                      <w:rFonts w:hint="default" w:ascii="Times New Roman" w:hAnsi="Times New Roman" w:eastAsia="宋体" w:cs="Times New Roman"/>
                      <w:b w:val="0"/>
                      <w:bCs w:val="0"/>
                      <w:kern w:val="0"/>
                      <w:sz w:val="21"/>
                      <w:szCs w:val="21"/>
                      <w:lang w:val="en-US" w:eastAsia="zh-CN" w:bidi="ar"/>
                    </w:rPr>
                    <w:t>2mg/m</w:t>
                  </w:r>
                  <w:r>
                    <w:rPr>
                      <w:rFonts w:hint="default" w:ascii="Times New Roman" w:hAnsi="Times New Roman" w:eastAsia="宋体" w:cs="Times New Roman"/>
                      <w:b w:val="0"/>
                      <w:bCs w:val="0"/>
                      <w:kern w:val="0"/>
                      <w:sz w:val="21"/>
                      <w:szCs w:val="21"/>
                      <w:vertAlign w:val="superscript"/>
                      <w:lang w:val="en-US" w:eastAsia="zh-CN" w:bidi="ar"/>
                    </w:rPr>
                    <w:t>3</w:t>
                  </w:r>
                  <w:r>
                    <w:rPr>
                      <w:rFonts w:hint="eastAsia" w:ascii="Times New Roman" w:hAnsi="宋体" w:eastAsia="宋体" w:cs="宋体"/>
                      <w:b w:val="0"/>
                      <w:bCs w:val="0"/>
                      <w:kern w:val="0"/>
                      <w:sz w:val="21"/>
                      <w:szCs w:val="21"/>
                      <w:lang w:val="en-US" w:eastAsia="zh-CN" w:bidi="ar"/>
                    </w:rPr>
                    <w:t>；</w:t>
                  </w:r>
                </w:p>
                <w:p w14:paraId="3942518F">
                  <w:pPr>
                    <w:keepNext w:val="0"/>
                    <w:keepLines w:val="0"/>
                    <w:pageBreakBefore w:val="0"/>
                    <w:widowControl w:val="0"/>
                    <w:suppressLineNumbers w:val="0"/>
                    <w:kinsoku/>
                    <w:wordWrap/>
                    <w:overflowPunct/>
                    <w:topLinePunct w:val="0"/>
                    <w:autoSpaceDE w:val="0"/>
                    <w:autoSpaceDN w:val="0"/>
                    <w:bidi w:val="0"/>
                    <w:adjustRightInd w:val="0"/>
                    <w:spacing w:before="0" w:beforeAutospacing="0" w:after="0" w:afterAutospacing="0" w:line="360" w:lineRule="exact"/>
                    <w:ind w:left="0" w:right="0"/>
                    <w:jc w:val="left"/>
                    <w:textAlignment w:val="auto"/>
                    <w:rPr>
                      <w:rFonts w:hint="default"/>
                      <w:b w:val="0"/>
                      <w:bCs w:val="0"/>
                      <w:kern w:val="0"/>
                      <w:szCs w:val="21"/>
                      <w:lang w:val="en-US"/>
                    </w:rPr>
                  </w:pPr>
                  <w:r>
                    <w:rPr>
                      <w:rFonts w:hint="default" w:ascii="Times New Roman" w:hAnsi="Times New Roman" w:eastAsia="宋体" w:cs="Times New Roman"/>
                      <w:b w:val="0"/>
                      <w:bCs w:val="0"/>
                      <w:kern w:val="0"/>
                      <w:sz w:val="21"/>
                      <w:szCs w:val="21"/>
                      <w:lang w:val="en-US" w:eastAsia="zh-CN" w:bidi="ar"/>
                    </w:rPr>
                    <w:t>3.</w:t>
                  </w:r>
                  <w:r>
                    <w:rPr>
                      <w:rFonts w:hint="eastAsia" w:ascii="Times New Roman" w:hAnsi="宋体" w:eastAsia="宋体" w:cs="宋体"/>
                      <w:b w:val="0"/>
                      <w:bCs w:val="0"/>
                      <w:kern w:val="0"/>
                      <w:sz w:val="21"/>
                      <w:szCs w:val="21"/>
                      <w:lang w:val="en-US" w:eastAsia="zh-CN" w:bidi="ar"/>
                    </w:rPr>
                    <w:t>锅炉烟气排放限值要求：</w:t>
                  </w:r>
                </w:p>
                <w:p w14:paraId="267DB024">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both"/>
                    <w:textAlignment w:val="auto"/>
                    <w:rPr>
                      <w:rFonts w:hint="default" w:hAnsi="宋体"/>
                      <w:b w:val="0"/>
                      <w:bCs w:val="0"/>
                      <w:szCs w:val="21"/>
                      <w:lang w:val="en-US"/>
                    </w:rPr>
                  </w:pPr>
                  <w:r>
                    <w:rPr>
                      <w:rFonts w:hint="eastAsia" w:ascii="Times New Roman" w:hAnsi="宋体" w:eastAsia="宋体" w:cs="宋体"/>
                      <w:b w:val="0"/>
                      <w:bCs w:val="0"/>
                      <w:kern w:val="0"/>
                      <w:sz w:val="21"/>
                      <w:szCs w:val="21"/>
                      <w:lang w:val="en-US" w:eastAsia="zh-CN" w:bidi="ar"/>
                    </w:rPr>
                    <w:t>燃气锅炉</w:t>
                  </w:r>
                  <w:r>
                    <w:rPr>
                      <w:rFonts w:hint="default" w:ascii="Times New Roman" w:hAnsi="Times New Roman" w:eastAsia="宋体" w:cs="Times New Roman"/>
                      <w:b w:val="0"/>
                      <w:bCs w:val="0"/>
                      <w:kern w:val="0"/>
                      <w:sz w:val="21"/>
                      <w:szCs w:val="21"/>
                      <w:lang w:val="en-US" w:eastAsia="zh-CN" w:bidi="ar"/>
                    </w:rPr>
                    <w:t>PM</w:t>
                  </w:r>
                  <w:r>
                    <w:rPr>
                      <w:rFonts w:hint="eastAsia" w:ascii="Times New Roman" w:hAnsi="宋体" w:eastAsia="宋体" w:cs="宋体"/>
                      <w:b w:val="0"/>
                      <w:bCs w:val="0"/>
                      <w:kern w:val="0"/>
                      <w:sz w:val="21"/>
                      <w:szCs w:val="21"/>
                      <w:lang w:val="en-US" w:eastAsia="zh-CN" w:bidi="ar"/>
                    </w:rPr>
                    <w:t>、</w:t>
                  </w:r>
                  <w:r>
                    <w:rPr>
                      <w:rFonts w:hint="default" w:ascii="Times New Roman" w:hAnsi="Times New Roman" w:eastAsia="宋体" w:cs="Times New Roman"/>
                      <w:b w:val="0"/>
                      <w:bCs w:val="0"/>
                      <w:kern w:val="0"/>
                      <w:sz w:val="21"/>
                      <w:szCs w:val="21"/>
                      <w:lang w:val="en-US" w:eastAsia="zh-CN" w:bidi="ar"/>
                    </w:rPr>
                    <w:t>SO</w:t>
                  </w:r>
                  <w:r>
                    <w:rPr>
                      <w:rFonts w:hint="default" w:ascii="Times New Roman" w:hAnsi="Times New Roman" w:eastAsia="宋体" w:cs="Times New Roman"/>
                      <w:b w:val="0"/>
                      <w:bCs w:val="0"/>
                      <w:kern w:val="0"/>
                      <w:sz w:val="21"/>
                      <w:szCs w:val="21"/>
                      <w:vertAlign w:val="subscript"/>
                      <w:lang w:val="en-US" w:eastAsia="zh-CN" w:bidi="ar"/>
                    </w:rPr>
                    <w:t>2</w:t>
                  </w:r>
                  <w:r>
                    <w:rPr>
                      <w:rFonts w:hint="eastAsia" w:ascii="Times New Roman" w:hAnsi="宋体" w:eastAsia="宋体" w:cs="宋体"/>
                      <w:b w:val="0"/>
                      <w:bCs w:val="0"/>
                      <w:kern w:val="0"/>
                      <w:sz w:val="21"/>
                      <w:szCs w:val="21"/>
                      <w:lang w:val="en-US" w:eastAsia="zh-CN" w:bidi="ar"/>
                    </w:rPr>
                    <w:t>、</w:t>
                  </w:r>
                  <w:r>
                    <w:rPr>
                      <w:rFonts w:hint="default" w:ascii="Times New Roman" w:hAnsi="Times New Roman" w:eastAsia="宋体" w:cs="Times New Roman"/>
                      <w:b w:val="0"/>
                      <w:bCs w:val="0"/>
                      <w:kern w:val="0"/>
                      <w:sz w:val="21"/>
                      <w:szCs w:val="21"/>
                      <w:lang w:val="en-US" w:eastAsia="zh-CN" w:bidi="ar"/>
                    </w:rPr>
                    <w:t>NOx</w:t>
                  </w:r>
                  <w:r>
                    <w:rPr>
                      <w:rFonts w:hint="eastAsia" w:ascii="Times New Roman" w:hAnsi="宋体" w:eastAsia="宋体" w:cs="宋体"/>
                      <w:b w:val="0"/>
                      <w:bCs w:val="0"/>
                      <w:kern w:val="0"/>
                      <w:sz w:val="21"/>
                      <w:szCs w:val="21"/>
                      <w:lang w:val="en-US" w:eastAsia="zh-CN" w:bidi="ar"/>
                    </w:rPr>
                    <w:t>排放浓度分别不高于：</w:t>
                  </w:r>
                  <w:r>
                    <w:rPr>
                      <w:rFonts w:hint="default" w:ascii="Times New Roman" w:hAnsi="Times New Roman" w:eastAsia="宋体" w:cs="Times New Roman"/>
                      <w:b w:val="0"/>
                      <w:bCs w:val="0"/>
                      <w:kern w:val="0"/>
                      <w:sz w:val="21"/>
                      <w:szCs w:val="21"/>
                      <w:lang w:val="en-US" w:eastAsia="zh-CN" w:bidi="ar"/>
                    </w:rPr>
                    <w:t>5</w:t>
                  </w:r>
                  <w:r>
                    <w:rPr>
                      <w:rFonts w:hint="eastAsia" w:ascii="Times New Roman" w:hAnsi="宋体" w:eastAsia="宋体" w:cs="宋体"/>
                      <w:b w:val="0"/>
                      <w:bCs w:val="0"/>
                      <w:kern w:val="0"/>
                      <w:sz w:val="21"/>
                      <w:szCs w:val="21"/>
                      <w:lang w:val="en-US" w:eastAsia="zh-CN" w:bidi="ar"/>
                    </w:rPr>
                    <w:t>、</w:t>
                  </w:r>
                  <w:r>
                    <w:rPr>
                      <w:rFonts w:hint="default" w:ascii="Times New Roman" w:hAnsi="Times New Roman" w:eastAsia="宋体" w:cs="Times New Roman"/>
                      <w:b w:val="0"/>
                      <w:bCs w:val="0"/>
                      <w:kern w:val="0"/>
                      <w:sz w:val="21"/>
                      <w:szCs w:val="21"/>
                      <w:lang w:val="en-US" w:eastAsia="zh-CN" w:bidi="ar"/>
                    </w:rPr>
                    <w:t>10</w:t>
                  </w:r>
                  <w:r>
                    <w:rPr>
                      <w:rFonts w:hint="eastAsia" w:ascii="Times New Roman" w:hAnsi="宋体" w:eastAsia="宋体" w:cs="宋体"/>
                      <w:b w:val="0"/>
                      <w:bCs w:val="0"/>
                      <w:kern w:val="0"/>
                      <w:sz w:val="21"/>
                      <w:szCs w:val="21"/>
                      <w:lang w:val="en-US" w:eastAsia="zh-CN" w:bidi="ar"/>
                    </w:rPr>
                    <w:t>、</w:t>
                  </w:r>
                  <w:r>
                    <w:rPr>
                      <w:rFonts w:hint="default" w:ascii="Times New Roman" w:hAnsi="Times New Roman" w:eastAsia="宋体" w:cs="Times New Roman"/>
                      <w:b w:val="0"/>
                      <w:bCs w:val="0"/>
                      <w:kern w:val="0"/>
                      <w:sz w:val="21"/>
                      <w:szCs w:val="21"/>
                      <w:lang w:val="en-US" w:eastAsia="zh-CN" w:bidi="ar"/>
                    </w:rPr>
                    <w:t>50/30mg/m</w:t>
                  </w:r>
                  <w:r>
                    <w:rPr>
                      <w:rFonts w:hint="default" w:ascii="Times New Roman" w:hAnsi="Times New Roman" w:eastAsia="宋体" w:cs="Times New Roman"/>
                      <w:b w:val="0"/>
                      <w:bCs w:val="0"/>
                      <w:kern w:val="0"/>
                      <w:sz w:val="21"/>
                      <w:szCs w:val="21"/>
                      <w:vertAlign w:val="superscript"/>
                      <w:lang w:val="en-US" w:eastAsia="zh-CN" w:bidi="ar"/>
                    </w:rPr>
                    <w:t>3</w:t>
                  </w:r>
                  <w:r>
                    <w:rPr>
                      <w:rFonts w:hint="eastAsia" w:ascii="Times New Roman" w:hAnsi="Times New Roman" w:eastAsia="宋体" w:cs="宋体"/>
                      <w:b w:val="0"/>
                      <w:bCs w:val="0"/>
                      <w:kern w:val="0"/>
                      <w:sz w:val="21"/>
                      <w:szCs w:val="21"/>
                      <w:lang w:val="en-US" w:eastAsia="zh-CN" w:bidi="ar"/>
                    </w:rPr>
                    <w:t>。</w:t>
                  </w:r>
                </w:p>
              </w:tc>
              <w:tc>
                <w:tcPr>
                  <w:tcW w:w="1414" w:type="pct"/>
                  <w:tcBorders>
                    <w:tl2br w:val="nil"/>
                    <w:tr2bl w:val="nil"/>
                  </w:tcBorders>
                  <w:shd w:val="clear" w:color="auto" w:fill="auto"/>
                  <w:vAlign w:val="center"/>
                </w:tcPr>
                <w:p w14:paraId="08B61B05">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center"/>
                    <w:textAlignment w:val="auto"/>
                    <w:rPr>
                      <w:rFonts w:hint="eastAsia" w:ascii="Times New Roman" w:hAnsi="宋体" w:eastAsia="宋体" w:cs="宋体"/>
                      <w:b w:val="0"/>
                      <w:bCs w:val="0"/>
                      <w:kern w:val="0"/>
                      <w:sz w:val="21"/>
                      <w:szCs w:val="21"/>
                      <w:lang w:val="en-US" w:eastAsia="zh-CN" w:bidi="ar"/>
                    </w:rPr>
                  </w:pPr>
                  <w:r>
                    <w:rPr>
                      <w:rFonts w:hint="default" w:ascii="Times New Roman" w:hAnsi="宋体" w:eastAsia="宋体" w:cs="Times New Roman"/>
                      <w:b w:val="0"/>
                      <w:bCs w:val="0"/>
                      <w:kern w:val="2"/>
                      <w:sz w:val="21"/>
                      <w:szCs w:val="21"/>
                      <w:lang w:val="en-US" w:eastAsia="zh-CN" w:bidi="ar"/>
                    </w:rPr>
                    <w:t>1.</w:t>
                  </w:r>
                  <w:r>
                    <w:rPr>
                      <w:rFonts w:hint="eastAsia" w:ascii="Times New Roman" w:hAnsi="宋体" w:eastAsia="宋体" w:cs="宋体"/>
                      <w:b w:val="0"/>
                      <w:bCs w:val="0"/>
                      <w:kern w:val="2"/>
                      <w:sz w:val="21"/>
                      <w:szCs w:val="21"/>
                      <w:lang w:val="en-US" w:eastAsia="zh-CN" w:bidi="ar"/>
                    </w:rPr>
                    <w:t>项目有组织非甲烷总烃排放浓度</w:t>
                  </w:r>
                  <w:r>
                    <w:rPr>
                      <w:rFonts w:hint="eastAsia" w:ascii="Times New Roman" w:hAnsi="宋体" w:eastAsia="宋体" w:cs="宋体"/>
                      <w:b w:val="0"/>
                      <w:bCs w:val="0"/>
                      <w:kern w:val="0"/>
                      <w:sz w:val="21"/>
                      <w:szCs w:val="21"/>
                      <w:lang w:val="en-US" w:eastAsia="zh-CN" w:bidi="ar"/>
                    </w:rPr>
                    <w:t>不高于</w:t>
                  </w:r>
                  <w:r>
                    <w:rPr>
                      <w:rFonts w:hint="default" w:ascii="Times New Roman" w:hAnsi="Times New Roman" w:eastAsia="宋体" w:cs="Times New Roman"/>
                      <w:b w:val="0"/>
                      <w:bCs w:val="0"/>
                      <w:kern w:val="0"/>
                      <w:sz w:val="21"/>
                      <w:szCs w:val="21"/>
                      <w:lang w:val="en-US" w:eastAsia="zh-CN" w:bidi="ar"/>
                    </w:rPr>
                    <w:t>20mg/m</w:t>
                  </w:r>
                  <w:r>
                    <w:rPr>
                      <w:rFonts w:hint="default" w:ascii="Times New Roman" w:hAnsi="Times New Roman" w:eastAsia="宋体" w:cs="Times New Roman"/>
                      <w:b w:val="0"/>
                      <w:bCs w:val="0"/>
                      <w:kern w:val="0"/>
                      <w:sz w:val="21"/>
                      <w:szCs w:val="21"/>
                      <w:vertAlign w:val="superscript"/>
                      <w:lang w:val="en-US" w:eastAsia="zh-CN" w:bidi="ar"/>
                    </w:rPr>
                    <w:t>3</w:t>
                  </w:r>
                  <w:r>
                    <w:rPr>
                      <w:rFonts w:hint="eastAsia" w:ascii="Times New Roman" w:hAnsi="宋体" w:eastAsia="宋体" w:cs="宋体"/>
                      <w:b w:val="0"/>
                      <w:bCs w:val="0"/>
                      <w:kern w:val="0"/>
                      <w:sz w:val="21"/>
                      <w:szCs w:val="21"/>
                      <w:lang w:val="en-US" w:eastAsia="zh-CN" w:bidi="ar"/>
                    </w:rPr>
                    <w:t>；</w:t>
                  </w:r>
                </w:p>
                <w:p w14:paraId="611A2F0A">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center"/>
                    <w:textAlignment w:val="auto"/>
                    <w:rPr>
                      <w:rFonts w:hint="eastAsia" w:ascii="Times New Roman" w:hAnsi="宋体" w:eastAsia="宋体" w:cs="宋体"/>
                      <w:b w:val="0"/>
                      <w:bCs w:val="0"/>
                      <w:kern w:val="0"/>
                      <w:sz w:val="21"/>
                      <w:szCs w:val="21"/>
                      <w:lang w:val="en-US" w:eastAsia="zh-CN" w:bidi="ar"/>
                    </w:rPr>
                  </w:pPr>
                  <w:r>
                    <w:rPr>
                      <w:rFonts w:hint="default" w:ascii="Times New Roman" w:hAnsi="宋体" w:eastAsia="宋体" w:cs="Times New Roman"/>
                      <w:b w:val="0"/>
                      <w:bCs w:val="0"/>
                      <w:kern w:val="0"/>
                      <w:sz w:val="21"/>
                      <w:szCs w:val="21"/>
                      <w:lang w:val="en-US" w:eastAsia="zh-CN" w:bidi="ar"/>
                    </w:rPr>
                    <w:t>2.VOCs</w:t>
                  </w:r>
                  <w:r>
                    <w:rPr>
                      <w:rFonts w:hint="eastAsia" w:ascii="Times New Roman" w:hAnsi="宋体" w:eastAsia="宋体" w:cs="宋体"/>
                      <w:b w:val="0"/>
                      <w:bCs w:val="0"/>
                      <w:kern w:val="0"/>
                      <w:sz w:val="21"/>
                      <w:szCs w:val="21"/>
                      <w:lang w:val="en-US" w:eastAsia="zh-CN" w:bidi="ar"/>
                    </w:rPr>
                    <w:t>治理设施去除率达到</w:t>
                  </w:r>
                  <w:r>
                    <w:rPr>
                      <w:rFonts w:hint="default" w:ascii="Times New Roman" w:hAnsi="Times New Roman" w:eastAsia="宋体" w:cs="Times New Roman"/>
                      <w:b w:val="0"/>
                      <w:bCs w:val="0"/>
                      <w:kern w:val="0"/>
                      <w:sz w:val="21"/>
                      <w:szCs w:val="21"/>
                      <w:lang w:val="en-US" w:eastAsia="zh-CN" w:bidi="ar"/>
                    </w:rPr>
                    <w:t>80%</w:t>
                  </w:r>
                  <w:r>
                    <w:rPr>
                      <w:rFonts w:hint="eastAsia" w:ascii="Times New Roman" w:hAnsi="Times New Roman" w:eastAsia="宋体" w:cs="Times New Roman"/>
                      <w:b w:val="0"/>
                      <w:bCs w:val="0"/>
                      <w:kern w:val="0"/>
                      <w:sz w:val="21"/>
                      <w:szCs w:val="21"/>
                      <w:lang w:val="en-US" w:eastAsia="zh-CN" w:bidi="ar"/>
                    </w:rPr>
                    <w:t>以上</w:t>
                  </w:r>
                  <w:r>
                    <w:rPr>
                      <w:rFonts w:hint="eastAsia" w:ascii="Times New Roman" w:hAnsi="Times New Roman" w:eastAsia="宋体" w:cs="宋体"/>
                      <w:b w:val="0"/>
                      <w:bCs w:val="0"/>
                      <w:kern w:val="0"/>
                      <w:sz w:val="21"/>
                      <w:szCs w:val="21"/>
                      <w:lang w:val="en-US" w:eastAsia="zh-CN" w:bidi="ar"/>
                    </w:rPr>
                    <w:t>，</w:t>
                  </w:r>
                  <w:r>
                    <w:rPr>
                      <w:rFonts w:hint="eastAsia" w:ascii="Times New Roman" w:hAnsi="宋体" w:eastAsia="宋体" w:cs="宋体"/>
                      <w:b w:val="0"/>
                      <w:bCs w:val="0"/>
                      <w:kern w:val="0"/>
                      <w:sz w:val="21"/>
                      <w:szCs w:val="21"/>
                      <w:lang w:val="en-US" w:eastAsia="zh-CN" w:bidi="ar"/>
                    </w:rPr>
                    <w:t>生产车间或生产设备的无组织排放监控点</w:t>
                  </w:r>
                  <w:r>
                    <w:rPr>
                      <w:rFonts w:hint="default" w:ascii="Times New Roman" w:hAnsi="Times New Roman" w:eastAsia="宋体" w:cs="Times New Roman"/>
                      <w:b w:val="0"/>
                      <w:bCs w:val="0"/>
                      <w:kern w:val="0"/>
                      <w:sz w:val="21"/>
                      <w:szCs w:val="21"/>
                      <w:lang w:val="en-US" w:eastAsia="zh-CN" w:bidi="ar"/>
                    </w:rPr>
                    <w:t>NMHC</w:t>
                  </w:r>
                  <w:r>
                    <w:rPr>
                      <w:rFonts w:hint="eastAsia" w:ascii="Times New Roman" w:hAnsi="宋体" w:eastAsia="宋体" w:cs="宋体"/>
                      <w:b w:val="0"/>
                      <w:bCs w:val="0"/>
                      <w:kern w:val="0"/>
                      <w:sz w:val="21"/>
                      <w:szCs w:val="21"/>
                      <w:lang w:val="en-US" w:eastAsia="zh-CN" w:bidi="ar"/>
                    </w:rPr>
                    <w:t>浓度低于</w:t>
                  </w:r>
                  <w:r>
                    <w:rPr>
                      <w:rFonts w:hint="default" w:ascii="Times New Roman" w:hAnsi="Times New Roman" w:eastAsia="宋体" w:cs="Times New Roman"/>
                      <w:b w:val="0"/>
                      <w:bCs w:val="0"/>
                      <w:kern w:val="0"/>
                      <w:sz w:val="21"/>
                      <w:szCs w:val="21"/>
                      <w:lang w:val="en-US" w:eastAsia="zh-CN" w:bidi="ar"/>
                    </w:rPr>
                    <w:t>4mg/m</w:t>
                  </w:r>
                  <w:r>
                    <w:rPr>
                      <w:rFonts w:hint="default" w:ascii="Times New Roman" w:hAnsi="Times New Roman" w:eastAsia="宋体" w:cs="Times New Roman"/>
                      <w:b w:val="0"/>
                      <w:bCs w:val="0"/>
                      <w:kern w:val="0"/>
                      <w:sz w:val="21"/>
                      <w:szCs w:val="21"/>
                      <w:vertAlign w:val="superscript"/>
                      <w:lang w:val="en-US" w:eastAsia="zh-CN" w:bidi="ar"/>
                    </w:rPr>
                    <w:t>3</w:t>
                  </w:r>
                  <w:r>
                    <w:rPr>
                      <w:rFonts w:hint="eastAsia" w:ascii="Times New Roman" w:hAnsi="宋体" w:eastAsia="宋体" w:cs="宋体"/>
                      <w:b w:val="0"/>
                      <w:bCs w:val="0"/>
                      <w:kern w:val="0"/>
                      <w:sz w:val="21"/>
                      <w:szCs w:val="21"/>
                      <w:lang w:val="en-US" w:eastAsia="zh-CN" w:bidi="ar"/>
                    </w:rPr>
                    <w:t>，企业边界</w:t>
                  </w:r>
                  <w:r>
                    <w:rPr>
                      <w:rFonts w:hint="default" w:ascii="Times New Roman" w:hAnsi="Times New Roman" w:eastAsia="宋体" w:cs="Times New Roman"/>
                      <w:b w:val="0"/>
                      <w:bCs w:val="0"/>
                      <w:kern w:val="0"/>
                      <w:sz w:val="21"/>
                      <w:szCs w:val="21"/>
                      <w:lang w:val="en-US" w:eastAsia="zh-CN" w:bidi="ar"/>
                    </w:rPr>
                    <w:t>1hNMHC</w:t>
                  </w:r>
                  <w:r>
                    <w:rPr>
                      <w:rFonts w:hint="eastAsia" w:ascii="Times New Roman" w:hAnsi="宋体" w:eastAsia="宋体" w:cs="宋体"/>
                      <w:b w:val="0"/>
                      <w:bCs w:val="0"/>
                      <w:kern w:val="0"/>
                      <w:sz w:val="21"/>
                      <w:szCs w:val="21"/>
                      <w:lang w:val="en-US" w:eastAsia="zh-CN" w:bidi="ar"/>
                    </w:rPr>
                    <w:t>平均浓度低于</w:t>
                  </w:r>
                  <w:r>
                    <w:rPr>
                      <w:rFonts w:hint="default" w:ascii="Times New Roman" w:hAnsi="Times New Roman" w:eastAsia="宋体" w:cs="Times New Roman"/>
                      <w:b w:val="0"/>
                      <w:bCs w:val="0"/>
                      <w:kern w:val="0"/>
                      <w:sz w:val="21"/>
                      <w:szCs w:val="21"/>
                      <w:lang w:val="en-US" w:eastAsia="zh-CN" w:bidi="ar"/>
                    </w:rPr>
                    <w:t>2mg/m</w:t>
                  </w:r>
                  <w:r>
                    <w:rPr>
                      <w:rFonts w:hint="default" w:ascii="Times New Roman" w:hAnsi="Times New Roman" w:eastAsia="宋体" w:cs="Times New Roman"/>
                      <w:b w:val="0"/>
                      <w:bCs w:val="0"/>
                      <w:kern w:val="0"/>
                      <w:sz w:val="21"/>
                      <w:szCs w:val="21"/>
                      <w:vertAlign w:val="superscript"/>
                      <w:lang w:val="en-US" w:eastAsia="zh-CN" w:bidi="ar"/>
                    </w:rPr>
                    <w:t>3</w:t>
                  </w:r>
                  <w:r>
                    <w:rPr>
                      <w:rFonts w:hint="eastAsia" w:ascii="Times New Roman" w:hAnsi="宋体" w:eastAsia="宋体" w:cs="宋体"/>
                      <w:b w:val="0"/>
                      <w:bCs w:val="0"/>
                      <w:kern w:val="0"/>
                      <w:sz w:val="21"/>
                      <w:szCs w:val="21"/>
                      <w:lang w:val="en-US" w:eastAsia="zh-CN" w:bidi="ar"/>
                    </w:rPr>
                    <w:t>；</w:t>
                  </w:r>
                </w:p>
                <w:p w14:paraId="0BE2F10F">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center"/>
                    <w:textAlignment w:val="auto"/>
                    <w:rPr>
                      <w:rFonts w:hint="default" w:hAnsi="宋体"/>
                      <w:b w:val="0"/>
                      <w:bCs w:val="0"/>
                      <w:szCs w:val="21"/>
                      <w:lang w:val="en-US"/>
                    </w:rPr>
                  </w:pPr>
                  <w:r>
                    <w:rPr>
                      <w:rFonts w:hint="default" w:ascii="Times New Roman" w:hAnsi="宋体" w:eastAsia="宋体" w:cs="Times New Roman"/>
                      <w:b w:val="0"/>
                      <w:bCs w:val="0"/>
                      <w:kern w:val="0"/>
                      <w:sz w:val="21"/>
                      <w:szCs w:val="21"/>
                      <w:lang w:val="en-US" w:eastAsia="zh-CN" w:bidi="ar"/>
                    </w:rPr>
                    <w:t>3.</w:t>
                  </w:r>
                  <w:r>
                    <w:rPr>
                      <w:rFonts w:hint="eastAsia" w:ascii="Times New Roman" w:hAnsi="宋体" w:eastAsia="宋体" w:cs="Times New Roman"/>
                      <w:b w:val="0"/>
                      <w:bCs w:val="0"/>
                      <w:kern w:val="0"/>
                      <w:sz w:val="21"/>
                      <w:szCs w:val="21"/>
                      <w:lang w:val="en-US" w:eastAsia="zh-CN" w:bidi="ar"/>
                    </w:rPr>
                    <w:t>不涉及锅炉</w:t>
                  </w:r>
                  <w:r>
                    <w:rPr>
                      <w:rFonts w:hint="eastAsia" w:ascii="Times New Roman" w:hAnsi="Times New Roman" w:eastAsia="宋体" w:cs="宋体"/>
                      <w:b w:val="0"/>
                      <w:bCs w:val="0"/>
                      <w:kern w:val="0"/>
                      <w:sz w:val="21"/>
                      <w:szCs w:val="21"/>
                      <w:lang w:val="en-US" w:eastAsia="zh-CN" w:bidi="ar"/>
                    </w:rPr>
                    <w:t>。</w:t>
                  </w:r>
                </w:p>
              </w:tc>
              <w:tc>
                <w:tcPr>
                  <w:tcW w:w="554" w:type="pct"/>
                  <w:tcBorders>
                    <w:tl2br w:val="nil"/>
                    <w:tr2bl w:val="nil"/>
                  </w:tcBorders>
                  <w:shd w:val="clear" w:color="auto" w:fill="auto"/>
                  <w:vAlign w:val="center"/>
                </w:tcPr>
                <w:p w14:paraId="6DFB9C9B">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center"/>
                    <w:textAlignment w:val="auto"/>
                    <w:rPr>
                      <w:rFonts w:hint="default"/>
                      <w:b w:val="0"/>
                      <w:bCs w:val="0"/>
                      <w:szCs w:val="21"/>
                      <w:lang w:val="en-US"/>
                    </w:rPr>
                  </w:pPr>
                  <w:r>
                    <w:rPr>
                      <w:rFonts w:hint="eastAsia" w:ascii="Times New Roman" w:hAnsi="Times New Roman" w:eastAsia="宋体" w:cs="宋体"/>
                      <w:b w:val="0"/>
                      <w:bCs w:val="0"/>
                      <w:kern w:val="2"/>
                      <w:sz w:val="21"/>
                      <w:szCs w:val="21"/>
                      <w:lang w:val="en-US" w:eastAsia="zh-CN" w:bidi="ar"/>
                    </w:rPr>
                    <w:t>符合</w:t>
                  </w:r>
                </w:p>
              </w:tc>
            </w:tr>
            <w:tr w14:paraId="4FB12F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64" w:hRule="atLeast"/>
                <w:jc w:val="center"/>
              </w:trPr>
              <w:tc>
                <w:tcPr>
                  <w:tcW w:w="699" w:type="pct"/>
                  <w:gridSpan w:val="2"/>
                  <w:tcBorders>
                    <w:tl2br w:val="nil"/>
                    <w:tr2bl w:val="nil"/>
                  </w:tcBorders>
                  <w:shd w:val="clear" w:color="auto" w:fill="auto"/>
                  <w:vAlign w:val="center"/>
                </w:tcPr>
                <w:p w14:paraId="3FD13D21">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center"/>
                    <w:textAlignment w:val="auto"/>
                    <w:rPr>
                      <w:rFonts w:hint="default"/>
                      <w:b w:val="0"/>
                      <w:bCs w:val="0"/>
                      <w:szCs w:val="21"/>
                      <w:lang w:val="en-US"/>
                    </w:rPr>
                  </w:pPr>
                  <w:r>
                    <w:rPr>
                      <w:rFonts w:hint="eastAsia" w:ascii="Times New Roman" w:hAnsi="Times New Roman" w:eastAsia="宋体" w:cs="宋体"/>
                      <w:b w:val="0"/>
                      <w:bCs w:val="0"/>
                      <w:kern w:val="2"/>
                      <w:sz w:val="21"/>
                      <w:szCs w:val="21"/>
                      <w:lang w:val="en-US" w:eastAsia="zh-CN" w:bidi="ar"/>
                    </w:rPr>
                    <w:t>监测监控水平</w:t>
                  </w:r>
                </w:p>
              </w:tc>
              <w:tc>
                <w:tcPr>
                  <w:tcW w:w="2332" w:type="pct"/>
                  <w:tcBorders>
                    <w:tl2br w:val="nil"/>
                    <w:tr2bl w:val="nil"/>
                  </w:tcBorders>
                  <w:shd w:val="clear" w:color="auto" w:fill="auto"/>
                  <w:vAlign w:val="center"/>
                </w:tcPr>
                <w:p w14:paraId="12974453">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both"/>
                    <w:textAlignment w:val="auto"/>
                    <w:rPr>
                      <w:rFonts w:hint="default"/>
                      <w:b w:val="0"/>
                      <w:bCs w:val="0"/>
                      <w:kern w:val="0"/>
                      <w:szCs w:val="21"/>
                      <w:lang w:val="en-US"/>
                    </w:rPr>
                  </w:pPr>
                  <w:r>
                    <w:rPr>
                      <w:rFonts w:hint="default" w:ascii="Times New Roman" w:hAnsi="Times New Roman" w:eastAsia="宋体" w:cs="Times New Roman"/>
                      <w:b w:val="0"/>
                      <w:bCs w:val="0"/>
                      <w:kern w:val="0"/>
                      <w:sz w:val="21"/>
                      <w:szCs w:val="21"/>
                      <w:lang w:val="en-US" w:eastAsia="zh-CN" w:bidi="ar"/>
                    </w:rPr>
                    <w:t>1.</w:t>
                  </w:r>
                  <w:r>
                    <w:rPr>
                      <w:rFonts w:hint="eastAsia" w:ascii="Times New Roman" w:hAnsi="宋体" w:eastAsia="宋体" w:cs="宋体"/>
                      <w:b w:val="0"/>
                      <w:bCs w:val="0"/>
                      <w:kern w:val="0"/>
                      <w:sz w:val="21"/>
                      <w:szCs w:val="21"/>
                      <w:lang w:val="en-US" w:eastAsia="zh-CN" w:bidi="ar"/>
                    </w:rPr>
                    <w:t>有组织排放口按排污许可、环境影响评价或环境现状评估等要求安装烟气排放自动监控设施（</w:t>
                  </w:r>
                  <w:r>
                    <w:rPr>
                      <w:rFonts w:hint="default" w:ascii="Times New Roman" w:hAnsi="Times New Roman" w:eastAsia="宋体" w:cs="Times New Roman"/>
                      <w:b w:val="0"/>
                      <w:bCs w:val="0"/>
                      <w:kern w:val="0"/>
                      <w:sz w:val="21"/>
                      <w:szCs w:val="21"/>
                      <w:lang w:val="en-US" w:eastAsia="zh-CN" w:bidi="ar"/>
                    </w:rPr>
                    <w:t>CEMS</w:t>
                  </w:r>
                  <w:r>
                    <w:rPr>
                      <w:rFonts w:hint="eastAsia" w:ascii="Times New Roman" w:hAnsi="宋体" w:eastAsia="宋体" w:cs="宋体"/>
                      <w:b w:val="0"/>
                      <w:bCs w:val="0"/>
                      <w:kern w:val="0"/>
                      <w:sz w:val="21"/>
                      <w:szCs w:val="21"/>
                      <w:lang w:val="en-US" w:eastAsia="zh-CN" w:bidi="ar"/>
                    </w:rPr>
                    <w:t>），并按要求与省厅联网；重点排污单位风量大于</w:t>
                  </w:r>
                  <w:r>
                    <w:rPr>
                      <w:rFonts w:hint="default" w:ascii="Times New Roman" w:hAnsi="Times New Roman" w:eastAsia="宋体" w:cs="Times New Roman"/>
                      <w:b w:val="0"/>
                      <w:bCs w:val="0"/>
                      <w:kern w:val="0"/>
                      <w:sz w:val="21"/>
                      <w:szCs w:val="21"/>
                      <w:lang w:val="en-US" w:eastAsia="zh-CN" w:bidi="ar"/>
                    </w:rPr>
                    <w:t>10000m</w:t>
                  </w:r>
                  <w:r>
                    <w:rPr>
                      <w:rFonts w:hint="default" w:ascii="Times New Roman" w:hAnsi="Times New Roman" w:eastAsia="宋体" w:cs="Times New Roman"/>
                      <w:b w:val="0"/>
                      <w:bCs w:val="0"/>
                      <w:kern w:val="0"/>
                      <w:sz w:val="21"/>
                      <w:szCs w:val="21"/>
                      <w:vertAlign w:val="superscript"/>
                      <w:lang w:val="en-US" w:eastAsia="zh-CN" w:bidi="ar"/>
                    </w:rPr>
                    <w:t>3</w:t>
                  </w:r>
                  <w:r>
                    <w:rPr>
                      <w:rFonts w:hint="default" w:ascii="Times New Roman" w:hAnsi="Times New Roman" w:eastAsia="宋体" w:cs="Times New Roman"/>
                      <w:b w:val="0"/>
                      <w:bCs w:val="0"/>
                      <w:kern w:val="0"/>
                      <w:sz w:val="21"/>
                      <w:szCs w:val="21"/>
                      <w:lang w:val="en-US" w:eastAsia="zh-CN" w:bidi="ar"/>
                    </w:rPr>
                    <w:t>/h</w:t>
                  </w:r>
                  <w:r>
                    <w:rPr>
                      <w:rFonts w:hint="eastAsia" w:ascii="Times New Roman" w:hAnsi="宋体" w:eastAsia="宋体" w:cs="宋体"/>
                      <w:b w:val="0"/>
                      <w:bCs w:val="0"/>
                      <w:kern w:val="0"/>
                      <w:sz w:val="21"/>
                      <w:szCs w:val="21"/>
                      <w:lang w:val="en-US" w:eastAsia="zh-CN" w:bidi="ar"/>
                    </w:rPr>
                    <w:t>的主要排放口安装</w:t>
                  </w:r>
                  <w:r>
                    <w:rPr>
                      <w:rFonts w:hint="default" w:ascii="Times New Roman" w:hAnsi="Times New Roman" w:eastAsia="宋体" w:cs="Times New Roman"/>
                      <w:b w:val="0"/>
                      <w:bCs w:val="0"/>
                      <w:kern w:val="0"/>
                      <w:sz w:val="21"/>
                      <w:szCs w:val="21"/>
                      <w:lang w:val="en-US" w:eastAsia="zh-CN" w:bidi="ar"/>
                    </w:rPr>
                    <w:t>NMHC</w:t>
                  </w:r>
                  <w:r>
                    <w:rPr>
                      <w:rFonts w:hint="eastAsia" w:ascii="Times New Roman" w:hAnsi="宋体" w:eastAsia="宋体" w:cs="宋体"/>
                      <w:b w:val="0"/>
                      <w:bCs w:val="0"/>
                      <w:kern w:val="0"/>
                      <w:sz w:val="21"/>
                      <w:szCs w:val="21"/>
                      <w:lang w:val="en-US" w:eastAsia="zh-CN" w:bidi="ar"/>
                    </w:rPr>
                    <w:t>在线监测设施（</w:t>
                  </w:r>
                  <w:r>
                    <w:rPr>
                      <w:rFonts w:hint="default" w:ascii="Times New Roman" w:hAnsi="Times New Roman" w:eastAsia="宋体" w:cs="Times New Roman"/>
                      <w:b w:val="0"/>
                      <w:bCs w:val="0"/>
                      <w:kern w:val="0"/>
                      <w:sz w:val="21"/>
                      <w:szCs w:val="21"/>
                      <w:lang w:val="en-US" w:eastAsia="zh-CN" w:bidi="ar"/>
                    </w:rPr>
                    <w:t>FID</w:t>
                  </w:r>
                  <w:r>
                    <w:rPr>
                      <w:rFonts w:hint="eastAsia" w:ascii="Times New Roman" w:hAnsi="宋体" w:eastAsia="宋体" w:cs="宋体"/>
                      <w:b w:val="0"/>
                      <w:bCs w:val="0"/>
                      <w:kern w:val="0"/>
                      <w:sz w:val="21"/>
                      <w:szCs w:val="21"/>
                      <w:lang w:val="en-US" w:eastAsia="zh-CN" w:bidi="ar"/>
                    </w:rPr>
                    <w:t>检测器）并按要求与省厅联网；其他企业</w:t>
                  </w:r>
                  <w:r>
                    <w:rPr>
                      <w:rFonts w:hint="default" w:ascii="Times New Roman" w:hAnsi="Times New Roman" w:eastAsia="宋体" w:cs="Times New Roman"/>
                      <w:b w:val="0"/>
                      <w:bCs w:val="0"/>
                      <w:kern w:val="0"/>
                      <w:sz w:val="21"/>
                      <w:szCs w:val="21"/>
                      <w:lang w:val="en-US" w:eastAsia="zh-CN" w:bidi="ar"/>
                    </w:rPr>
                    <w:t>NMHC</w:t>
                  </w:r>
                  <w:r>
                    <w:rPr>
                      <w:rFonts w:hint="eastAsia" w:ascii="Times New Roman" w:hAnsi="宋体" w:eastAsia="宋体" w:cs="宋体"/>
                      <w:b w:val="0"/>
                      <w:bCs w:val="0"/>
                      <w:kern w:val="0"/>
                      <w:sz w:val="21"/>
                      <w:szCs w:val="21"/>
                      <w:lang w:val="en-US" w:eastAsia="zh-CN" w:bidi="ar"/>
                    </w:rPr>
                    <w:t>初始排放速率大于</w:t>
                  </w:r>
                  <w:r>
                    <w:rPr>
                      <w:rFonts w:hint="default" w:ascii="Times New Roman" w:hAnsi="Times New Roman" w:eastAsia="宋体" w:cs="Times New Roman"/>
                      <w:b w:val="0"/>
                      <w:bCs w:val="0"/>
                      <w:kern w:val="0"/>
                      <w:sz w:val="21"/>
                      <w:szCs w:val="21"/>
                      <w:lang w:val="en-US" w:eastAsia="zh-CN" w:bidi="ar"/>
                    </w:rPr>
                    <w:t>2kg/h</w:t>
                  </w:r>
                  <w:r>
                    <w:rPr>
                      <w:rFonts w:hint="eastAsia" w:ascii="Times New Roman" w:hAnsi="宋体" w:eastAsia="宋体" w:cs="宋体"/>
                      <w:b w:val="0"/>
                      <w:bCs w:val="0"/>
                      <w:kern w:val="0"/>
                      <w:sz w:val="21"/>
                      <w:szCs w:val="21"/>
                      <w:lang w:val="en-US" w:eastAsia="zh-CN" w:bidi="ar"/>
                    </w:rPr>
                    <w:t>且排放口风量大于</w:t>
                  </w:r>
                  <w:r>
                    <w:rPr>
                      <w:rFonts w:hint="default" w:ascii="Times New Roman" w:hAnsi="Times New Roman" w:eastAsia="宋体" w:cs="Times New Roman"/>
                      <w:b w:val="0"/>
                      <w:bCs w:val="0"/>
                      <w:kern w:val="0"/>
                      <w:sz w:val="21"/>
                      <w:szCs w:val="21"/>
                      <w:lang w:val="en-US" w:eastAsia="zh-CN" w:bidi="ar"/>
                    </w:rPr>
                    <w:t>20000m</w:t>
                  </w:r>
                  <w:r>
                    <w:rPr>
                      <w:rFonts w:hint="default" w:ascii="Times New Roman" w:hAnsi="Times New Roman" w:eastAsia="宋体" w:cs="Times New Roman"/>
                      <w:b w:val="0"/>
                      <w:bCs w:val="0"/>
                      <w:kern w:val="0"/>
                      <w:sz w:val="21"/>
                      <w:szCs w:val="21"/>
                      <w:vertAlign w:val="superscript"/>
                      <w:lang w:val="en-US" w:eastAsia="zh-CN" w:bidi="ar"/>
                    </w:rPr>
                    <w:t>3</w:t>
                  </w:r>
                  <w:r>
                    <w:rPr>
                      <w:rFonts w:hint="default" w:ascii="Times New Roman" w:hAnsi="Times New Roman" w:eastAsia="宋体" w:cs="Times New Roman"/>
                      <w:b w:val="0"/>
                      <w:bCs w:val="0"/>
                      <w:kern w:val="0"/>
                      <w:sz w:val="21"/>
                      <w:szCs w:val="21"/>
                      <w:lang w:val="en-US" w:eastAsia="zh-CN" w:bidi="ar"/>
                    </w:rPr>
                    <w:t>/h</w:t>
                  </w:r>
                  <w:r>
                    <w:rPr>
                      <w:rFonts w:hint="eastAsia" w:ascii="Times New Roman" w:hAnsi="宋体" w:eastAsia="宋体" w:cs="宋体"/>
                      <w:b w:val="0"/>
                      <w:bCs w:val="0"/>
                      <w:kern w:val="0"/>
                      <w:sz w:val="21"/>
                      <w:szCs w:val="21"/>
                      <w:lang w:val="en-US" w:eastAsia="zh-CN" w:bidi="ar"/>
                    </w:rPr>
                    <w:t>的废气排放口安装</w:t>
                  </w:r>
                  <w:r>
                    <w:rPr>
                      <w:rFonts w:hint="default" w:ascii="Times New Roman" w:hAnsi="Times New Roman" w:eastAsia="宋体" w:cs="Times New Roman"/>
                      <w:b w:val="0"/>
                      <w:bCs w:val="0"/>
                      <w:kern w:val="0"/>
                      <w:sz w:val="21"/>
                      <w:szCs w:val="21"/>
                      <w:lang w:val="en-US" w:eastAsia="zh-CN" w:bidi="ar"/>
                    </w:rPr>
                    <w:t>NMHC</w:t>
                  </w:r>
                  <w:r>
                    <w:rPr>
                      <w:rFonts w:hint="eastAsia" w:ascii="Times New Roman" w:hAnsi="宋体" w:eastAsia="宋体" w:cs="宋体"/>
                      <w:b w:val="0"/>
                      <w:bCs w:val="0"/>
                      <w:kern w:val="0"/>
                      <w:sz w:val="21"/>
                      <w:szCs w:val="21"/>
                      <w:lang w:val="en-US" w:eastAsia="zh-CN" w:bidi="ar"/>
                    </w:rPr>
                    <w:t>在线监测设施（</w:t>
                  </w:r>
                  <w:r>
                    <w:rPr>
                      <w:rFonts w:hint="default" w:ascii="Times New Roman" w:hAnsi="Times New Roman" w:eastAsia="宋体" w:cs="Times New Roman"/>
                      <w:b w:val="0"/>
                      <w:bCs w:val="0"/>
                      <w:kern w:val="0"/>
                      <w:sz w:val="21"/>
                      <w:szCs w:val="21"/>
                      <w:lang w:val="en-US" w:eastAsia="zh-CN" w:bidi="ar"/>
                    </w:rPr>
                    <w:t>FID</w:t>
                  </w:r>
                  <w:r>
                    <w:rPr>
                      <w:rFonts w:hint="eastAsia" w:ascii="Times New Roman" w:hAnsi="宋体" w:eastAsia="宋体" w:cs="宋体"/>
                      <w:b w:val="0"/>
                      <w:bCs w:val="0"/>
                      <w:kern w:val="0"/>
                      <w:sz w:val="21"/>
                      <w:szCs w:val="21"/>
                      <w:lang w:val="en-US" w:eastAsia="zh-CN" w:bidi="ar"/>
                    </w:rPr>
                    <w:t>检测器），并按要求与省厅联网；在线监测数据至少保存最近</w:t>
                  </w:r>
                  <w:r>
                    <w:rPr>
                      <w:rFonts w:hint="default" w:ascii="Times New Roman" w:hAnsi="Times New Roman" w:eastAsia="宋体" w:cs="Times New Roman"/>
                      <w:b w:val="0"/>
                      <w:bCs w:val="0"/>
                      <w:kern w:val="0"/>
                      <w:sz w:val="21"/>
                      <w:szCs w:val="21"/>
                      <w:lang w:val="en-US" w:eastAsia="zh-CN" w:bidi="ar"/>
                    </w:rPr>
                    <w:t>12</w:t>
                  </w:r>
                  <w:r>
                    <w:rPr>
                      <w:rFonts w:hint="eastAsia" w:ascii="Times New Roman" w:hAnsi="宋体" w:eastAsia="宋体" w:cs="宋体"/>
                      <w:b w:val="0"/>
                      <w:bCs w:val="0"/>
                      <w:kern w:val="0"/>
                      <w:sz w:val="21"/>
                      <w:szCs w:val="21"/>
                      <w:lang w:val="en-US" w:eastAsia="zh-CN" w:bidi="ar"/>
                    </w:rPr>
                    <w:t>个月的</w:t>
                  </w:r>
                  <w:r>
                    <w:rPr>
                      <w:rFonts w:hint="default" w:ascii="Times New Roman" w:hAnsi="Times New Roman" w:eastAsia="宋体" w:cs="Times New Roman"/>
                      <w:b w:val="0"/>
                      <w:bCs w:val="0"/>
                      <w:kern w:val="0"/>
                      <w:sz w:val="21"/>
                      <w:szCs w:val="21"/>
                      <w:lang w:val="en-US" w:eastAsia="zh-CN" w:bidi="ar"/>
                    </w:rPr>
                    <w:t>1</w:t>
                  </w:r>
                  <w:r>
                    <w:rPr>
                      <w:rFonts w:hint="eastAsia" w:ascii="Times New Roman" w:hAnsi="宋体" w:eastAsia="宋体" w:cs="宋体"/>
                      <w:b w:val="0"/>
                      <w:bCs w:val="0"/>
                      <w:kern w:val="0"/>
                      <w:sz w:val="21"/>
                      <w:szCs w:val="21"/>
                      <w:lang w:val="en-US" w:eastAsia="zh-CN" w:bidi="ar"/>
                    </w:rPr>
                    <w:t>分钟均值、</w:t>
                  </w:r>
                  <w:r>
                    <w:rPr>
                      <w:rFonts w:hint="default" w:ascii="Times New Roman" w:hAnsi="Times New Roman" w:eastAsia="宋体" w:cs="Times New Roman"/>
                      <w:b w:val="0"/>
                      <w:bCs w:val="0"/>
                      <w:kern w:val="0"/>
                      <w:sz w:val="21"/>
                      <w:szCs w:val="21"/>
                      <w:lang w:val="en-US" w:eastAsia="zh-CN" w:bidi="ar"/>
                    </w:rPr>
                    <w:t>36</w:t>
                  </w:r>
                  <w:r>
                    <w:rPr>
                      <w:rFonts w:hint="eastAsia" w:ascii="Times New Roman" w:hAnsi="宋体" w:eastAsia="宋体" w:cs="宋体"/>
                      <w:b w:val="0"/>
                      <w:bCs w:val="0"/>
                      <w:kern w:val="0"/>
                      <w:sz w:val="21"/>
                      <w:szCs w:val="21"/>
                      <w:lang w:val="en-US" w:eastAsia="zh-CN" w:bidi="ar"/>
                    </w:rPr>
                    <w:t>个月的</w:t>
                  </w:r>
                  <w:r>
                    <w:rPr>
                      <w:rFonts w:hint="default" w:ascii="Times New Roman" w:hAnsi="Times New Roman" w:eastAsia="宋体" w:cs="Times New Roman"/>
                      <w:b w:val="0"/>
                      <w:bCs w:val="0"/>
                      <w:kern w:val="0"/>
                      <w:sz w:val="21"/>
                      <w:szCs w:val="21"/>
                      <w:lang w:val="en-US" w:eastAsia="zh-CN" w:bidi="ar"/>
                    </w:rPr>
                    <w:t>1</w:t>
                  </w:r>
                  <w:r>
                    <w:rPr>
                      <w:rFonts w:hint="eastAsia" w:ascii="Times New Roman" w:hAnsi="宋体" w:eastAsia="宋体" w:cs="宋体"/>
                      <w:b w:val="0"/>
                      <w:bCs w:val="0"/>
                      <w:kern w:val="0"/>
                      <w:sz w:val="21"/>
                      <w:szCs w:val="21"/>
                      <w:lang w:val="en-US" w:eastAsia="zh-CN" w:bidi="ar"/>
                    </w:rPr>
                    <w:t>小时均值及</w:t>
                  </w:r>
                  <w:r>
                    <w:rPr>
                      <w:rFonts w:hint="default" w:ascii="Times New Roman" w:hAnsi="Times New Roman" w:eastAsia="宋体" w:cs="Times New Roman"/>
                      <w:b w:val="0"/>
                      <w:bCs w:val="0"/>
                      <w:kern w:val="0"/>
                      <w:sz w:val="21"/>
                      <w:szCs w:val="21"/>
                      <w:lang w:val="en-US" w:eastAsia="zh-CN" w:bidi="ar"/>
                    </w:rPr>
                    <w:t>60</w:t>
                  </w:r>
                  <w:r>
                    <w:rPr>
                      <w:rFonts w:hint="eastAsia" w:ascii="Times New Roman" w:hAnsi="宋体" w:eastAsia="宋体" w:cs="宋体"/>
                      <w:b w:val="0"/>
                      <w:bCs w:val="0"/>
                      <w:kern w:val="0"/>
                      <w:sz w:val="21"/>
                      <w:szCs w:val="21"/>
                      <w:lang w:val="en-US" w:eastAsia="zh-CN" w:bidi="ar"/>
                    </w:rPr>
                    <w:t>个月的日均值和月均值。（投产或安装时间不满一年以上的企业，以现有数据为准）；</w:t>
                  </w:r>
                </w:p>
                <w:p w14:paraId="4F4DB88A">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exact"/>
                    <w:ind w:left="0" w:right="0"/>
                    <w:jc w:val="both"/>
                    <w:textAlignment w:val="auto"/>
                    <w:rPr>
                      <w:rFonts w:hint="default" w:hAnsi="宋体"/>
                      <w:b w:val="0"/>
                      <w:bCs w:val="0"/>
                      <w:szCs w:val="21"/>
                      <w:lang w:val="en-US"/>
                    </w:rPr>
                  </w:pPr>
                  <w:r>
                    <w:rPr>
                      <w:rFonts w:hint="default" w:ascii="Times New Roman" w:hAnsi="Times New Roman" w:eastAsia="宋体" w:cs="Times New Roman"/>
                      <w:b w:val="0"/>
                      <w:bCs w:val="0"/>
                      <w:kern w:val="0"/>
                      <w:sz w:val="21"/>
                      <w:szCs w:val="21"/>
                      <w:lang w:val="en-US" w:eastAsia="zh-CN" w:bidi="ar"/>
                    </w:rPr>
                    <w:t>2.</w:t>
                  </w:r>
                  <w:r>
                    <w:rPr>
                      <w:rFonts w:hint="eastAsia" w:ascii="Times New Roman" w:hAnsi="宋体" w:eastAsia="宋体" w:cs="宋体"/>
                      <w:b w:val="0"/>
                      <w:bCs w:val="0"/>
                      <w:kern w:val="0"/>
                      <w:sz w:val="21"/>
                      <w:szCs w:val="21"/>
                      <w:lang w:val="en-US" w:eastAsia="zh-CN" w:bidi="ar"/>
                    </w:rPr>
                    <w:t>按生态环境部门要求规范设置废气排放口标志牌、二维码标识和采样平台、采样孔；各废气排放口按照排污许可要求开展自行监测</w:t>
                  </w:r>
                  <w:r>
                    <w:rPr>
                      <w:rFonts w:hint="eastAsia" w:ascii="Times New Roman" w:hAnsi="宋体" w:eastAsia="宋体" w:cs="宋体"/>
                      <w:b w:val="0"/>
                      <w:bCs w:val="0"/>
                      <w:kern w:val="2"/>
                      <w:sz w:val="21"/>
                      <w:szCs w:val="21"/>
                      <w:lang w:val="en-US" w:eastAsia="zh-CN" w:bidi="ar"/>
                    </w:rPr>
                    <w:t>。</w:t>
                  </w:r>
                </w:p>
              </w:tc>
              <w:tc>
                <w:tcPr>
                  <w:tcW w:w="1414" w:type="pct"/>
                  <w:tcBorders>
                    <w:tl2br w:val="nil"/>
                    <w:tr2bl w:val="nil"/>
                  </w:tcBorders>
                  <w:shd w:val="clear" w:color="auto" w:fill="auto"/>
                  <w:vAlign w:val="center"/>
                </w:tcPr>
                <w:p w14:paraId="41DC2994">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center"/>
                    <w:textAlignment w:val="auto"/>
                    <w:rPr>
                      <w:rFonts w:hint="eastAsia" w:ascii="Times New Roman" w:hAnsi="宋体" w:eastAsia="宋体" w:cs="宋体"/>
                      <w:b w:val="0"/>
                      <w:bCs w:val="0"/>
                      <w:kern w:val="2"/>
                      <w:sz w:val="21"/>
                      <w:szCs w:val="21"/>
                      <w:lang w:val="en-US" w:eastAsia="zh-CN" w:bidi="ar"/>
                    </w:rPr>
                  </w:pPr>
                  <w:r>
                    <w:rPr>
                      <w:rFonts w:hint="default" w:ascii="Times New Roman" w:hAnsi="宋体" w:eastAsia="宋体" w:cs="Times New Roman"/>
                      <w:b w:val="0"/>
                      <w:bCs w:val="0"/>
                      <w:kern w:val="2"/>
                      <w:sz w:val="21"/>
                      <w:szCs w:val="21"/>
                      <w:lang w:val="en-US" w:eastAsia="zh-CN" w:bidi="ar"/>
                    </w:rPr>
                    <w:t>1.</w:t>
                  </w:r>
                  <w:r>
                    <w:rPr>
                      <w:rFonts w:hint="eastAsia" w:ascii="Times New Roman" w:hAnsi="宋体" w:eastAsia="宋体" w:cs="宋体"/>
                      <w:b w:val="0"/>
                      <w:bCs w:val="0"/>
                      <w:kern w:val="2"/>
                      <w:sz w:val="21"/>
                      <w:szCs w:val="21"/>
                      <w:lang w:val="en-US" w:eastAsia="zh-CN" w:bidi="ar"/>
                    </w:rPr>
                    <w:t>企业不属于重点排污单位，依据</w:t>
                  </w:r>
                  <w:r>
                    <w:rPr>
                      <w:rFonts w:hint="eastAsia" w:ascii="Times New Roman" w:hAnsi="Times New Roman" w:eastAsia="宋体" w:cs="宋体"/>
                      <w:b w:val="0"/>
                      <w:bCs w:val="0"/>
                      <w:kern w:val="2"/>
                      <w:sz w:val="21"/>
                      <w:szCs w:val="21"/>
                      <w:lang w:val="en-US" w:eastAsia="zh-CN" w:bidi="ar"/>
                    </w:rPr>
                    <w:t>自行监测技术指南进行监测</w:t>
                  </w:r>
                  <w:r>
                    <w:rPr>
                      <w:rFonts w:hint="eastAsia" w:ascii="Times New Roman" w:hAnsi="宋体" w:eastAsia="宋体" w:cs="宋体"/>
                      <w:b w:val="0"/>
                      <w:bCs w:val="0"/>
                      <w:kern w:val="2"/>
                      <w:sz w:val="21"/>
                      <w:szCs w:val="21"/>
                      <w:lang w:val="en-US" w:eastAsia="zh-CN" w:bidi="ar"/>
                    </w:rPr>
                    <w:t>；</w:t>
                  </w:r>
                </w:p>
                <w:p w14:paraId="3B74F1FA">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center"/>
                    <w:textAlignment w:val="auto"/>
                    <w:rPr>
                      <w:rFonts w:hint="default" w:hAnsi="宋体"/>
                      <w:b w:val="0"/>
                      <w:bCs w:val="0"/>
                      <w:szCs w:val="21"/>
                      <w:lang w:val="en-US"/>
                    </w:rPr>
                  </w:pPr>
                  <w:r>
                    <w:rPr>
                      <w:rFonts w:hint="default" w:ascii="Times New Roman" w:hAnsi="宋体" w:eastAsia="宋体" w:cs="Times New Roman"/>
                      <w:b w:val="0"/>
                      <w:bCs w:val="0"/>
                      <w:kern w:val="2"/>
                      <w:sz w:val="21"/>
                      <w:szCs w:val="21"/>
                      <w:lang w:val="en-US" w:eastAsia="zh-CN" w:bidi="ar"/>
                    </w:rPr>
                    <w:t>2.</w:t>
                  </w:r>
                  <w:r>
                    <w:rPr>
                      <w:rFonts w:hint="eastAsia" w:ascii="Times New Roman" w:hAnsi="宋体" w:eastAsia="宋体" w:cs="宋体"/>
                      <w:b w:val="0"/>
                      <w:bCs w:val="0"/>
                      <w:kern w:val="2"/>
                      <w:sz w:val="21"/>
                      <w:szCs w:val="21"/>
                      <w:lang w:val="en-US" w:eastAsia="zh-CN" w:bidi="ar"/>
                    </w:rPr>
                    <w:t>有组织排放口规范设置废气排放口标志牌、二维码标识和采样平台、采样孔，按照排污许可要求开展自行监测。</w:t>
                  </w:r>
                </w:p>
              </w:tc>
              <w:tc>
                <w:tcPr>
                  <w:tcW w:w="554" w:type="pct"/>
                  <w:tcBorders>
                    <w:tl2br w:val="nil"/>
                    <w:tr2bl w:val="nil"/>
                  </w:tcBorders>
                  <w:shd w:val="clear" w:color="auto" w:fill="auto"/>
                  <w:vAlign w:val="center"/>
                </w:tcPr>
                <w:p w14:paraId="633BDAEA">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center"/>
                    <w:textAlignment w:val="auto"/>
                    <w:rPr>
                      <w:rFonts w:hint="default"/>
                      <w:b w:val="0"/>
                      <w:bCs w:val="0"/>
                      <w:szCs w:val="21"/>
                      <w:lang w:val="en-US"/>
                    </w:rPr>
                  </w:pPr>
                  <w:r>
                    <w:rPr>
                      <w:rFonts w:hint="eastAsia" w:ascii="Times New Roman" w:hAnsi="Times New Roman" w:eastAsia="宋体" w:cs="宋体"/>
                      <w:b w:val="0"/>
                      <w:bCs w:val="0"/>
                      <w:kern w:val="2"/>
                      <w:sz w:val="21"/>
                      <w:szCs w:val="21"/>
                      <w:lang w:val="en-US" w:eastAsia="zh-CN" w:bidi="ar"/>
                    </w:rPr>
                    <w:t>符合</w:t>
                  </w:r>
                </w:p>
              </w:tc>
            </w:tr>
            <w:tr w14:paraId="03F2E63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 w:hRule="atLeast"/>
                <w:jc w:val="center"/>
              </w:trPr>
              <w:tc>
                <w:tcPr>
                  <w:tcW w:w="349" w:type="pct"/>
                  <w:vMerge w:val="restart"/>
                  <w:tcBorders>
                    <w:tl2br w:val="nil"/>
                    <w:tr2bl w:val="nil"/>
                  </w:tcBorders>
                  <w:shd w:val="clear" w:color="auto" w:fill="auto"/>
                  <w:vAlign w:val="center"/>
                </w:tcPr>
                <w:p w14:paraId="06869044">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center"/>
                    <w:textAlignment w:val="auto"/>
                    <w:rPr>
                      <w:rFonts w:hint="default"/>
                      <w:b w:val="0"/>
                      <w:bCs w:val="0"/>
                      <w:szCs w:val="21"/>
                      <w:lang w:val="en-US"/>
                    </w:rPr>
                  </w:pPr>
                  <w:r>
                    <w:rPr>
                      <w:rFonts w:hint="eastAsia" w:ascii="Times New Roman" w:hAnsi="Times New Roman" w:eastAsia="宋体" w:cs="宋体"/>
                      <w:b w:val="0"/>
                      <w:bCs w:val="0"/>
                      <w:kern w:val="2"/>
                      <w:sz w:val="21"/>
                      <w:szCs w:val="21"/>
                      <w:lang w:val="en-US" w:eastAsia="zh-CN" w:bidi="ar"/>
                    </w:rPr>
                    <w:t>环境管理水平</w:t>
                  </w:r>
                </w:p>
              </w:tc>
              <w:tc>
                <w:tcPr>
                  <w:tcW w:w="349" w:type="pct"/>
                  <w:tcBorders>
                    <w:tl2br w:val="nil"/>
                    <w:tr2bl w:val="nil"/>
                  </w:tcBorders>
                  <w:shd w:val="clear" w:color="auto" w:fill="auto"/>
                  <w:vAlign w:val="center"/>
                </w:tcPr>
                <w:p w14:paraId="1A54479E">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center"/>
                    <w:textAlignment w:val="auto"/>
                    <w:rPr>
                      <w:rFonts w:hint="default"/>
                      <w:b w:val="0"/>
                      <w:bCs w:val="0"/>
                      <w:szCs w:val="21"/>
                      <w:lang w:val="en-US"/>
                    </w:rPr>
                  </w:pPr>
                  <w:r>
                    <w:rPr>
                      <w:rFonts w:hint="eastAsia" w:ascii="Times New Roman" w:hAnsi="Times New Roman" w:eastAsia="宋体" w:cs="宋体"/>
                      <w:b w:val="0"/>
                      <w:bCs w:val="0"/>
                      <w:kern w:val="2"/>
                      <w:sz w:val="21"/>
                      <w:szCs w:val="21"/>
                      <w:lang w:val="en-US" w:eastAsia="zh-CN" w:bidi="ar"/>
                    </w:rPr>
                    <w:t>环保档案</w:t>
                  </w:r>
                </w:p>
              </w:tc>
              <w:tc>
                <w:tcPr>
                  <w:tcW w:w="2332" w:type="pct"/>
                  <w:tcBorders>
                    <w:tl2br w:val="nil"/>
                    <w:tr2bl w:val="nil"/>
                  </w:tcBorders>
                  <w:shd w:val="clear" w:color="auto" w:fill="auto"/>
                  <w:vAlign w:val="center"/>
                </w:tcPr>
                <w:p w14:paraId="7F94B815">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both"/>
                    <w:textAlignment w:val="auto"/>
                    <w:rPr>
                      <w:rFonts w:hint="default"/>
                      <w:b w:val="0"/>
                      <w:bCs w:val="0"/>
                      <w:szCs w:val="21"/>
                      <w:lang w:val="en-US"/>
                    </w:rPr>
                  </w:pPr>
                  <w:r>
                    <w:rPr>
                      <w:rFonts w:hint="default" w:ascii="Times New Roman" w:hAnsi="Times New Roman" w:eastAsia="宋体" w:cs="Times New Roman"/>
                      <w:b w:val="0"/>
                      <w:bCs w:val="0"/>
                      <w:kern w:val="2"/>
                      <w:sz w:val="21"/>
                      <w:szCs w:val="21"/>
                      <w:lang w:val="en-US" w:eastAsia="zh-CN" w:bidi="ar"/>
                    </w:rPr>
                    <w:t>1.</w:t>
                  </w:r>
                  <w:r>
                    <w:rPr>
                      <w:rFonts w:hint="eastAsia" w:ascii="Times New Roman" w:hAnsi="宋体" w:eastAsia="宋体" w:cs="宋体"/>
                      <w:b w:val="0"/>
                      <w:bCs w:val="0"/>
                      <w:kern w:val="2"/>
                      <w:sz w:val="21"/>
                      <w:szCs w:val="21"/>
                      <w:lang w:val="en-US" w:eastAsia="zh-CN" w:bidi="ar"/>
                    </w:rPr>
                    <w:t>环评批复文件和竣工环保验收文件或环境现状评估备案证明；</w:t>
                  </w:r>
                </w:p>
                <w:p w14:paraId="06A4CD9B">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both"/>
                    <w:textAlignment w:val="auto"/>
                    <w:rPr>
                      <w:rFonts w:hint="default"/>
                      <w:b w:val="0"/>
                      <w:bCs w:val="0"/>
                      <w:szCs w:val="21"/>
                      <w:lang w:val="en-US"/>
                    </w:rPr>
                  </w:pPr>
                  <w:r>
                    <w:rPr>
                      <w:rFonts w:hint="default" w:ascii="Times New Roman" w:hAnsi="Times New Roman" w:eastAsia="宋体" w:cs="Times New Roman"/>
                      <w:b w:val="0"/>
                      <w:bCs w:val="0"/>
                      <w:kern w:val="2"/>
                      <w:sz w:val="21"/>
                      <w:szCs w:val="21"/>
                      <w:lang w:val="en-US" w:eastAsia="zh-CN" w:bidi="ar"/>
                    </w:rPr>
                    <w:t>2.</w:t>
                  </w:r>
                  <w:r>
                    <w:rPr>
                      <w:rFonts w:hint="eastAsia" w:ascii="Times New Roman" w:hAnsi="宋体" w:eastAsia="宋体" w:cs="宋体"/>
                      <w:b w:val="0"/>
                      <w:bCs w:val="0"/>
                      <w:kern w:val="2"/>
                      <w:sz w:val="21"/>
                      <w:szCs w:val="21"/>
                      <w:lang w:val="en-US" w:eastAsia="zh-CN" w:bidi="ar"/>
                    </w:rPr>
                    <w:t>国家版排污许可证；</w:t>
                  </w:r>
                </w:p>
                <w:p w14:paraId="62D2E43B">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both"/>
                    <w:textAlignment w:val="auto"/>
                    <w:rPr>
                      <w:rFonts w:hint="default"/>
                      <w:b w:val="0"/>
                      <w:bCs w:val="0"/>
                      <w:szCs w:val="21"/>
                      <w:lang w:val="en-US"/>
                    </w:rPr>
                  </w:pPr>
                  <w:r>
                    <w:rPr>
                      <w:rFonts w:hint="default" w:ascii="Times New Roman" w:hAnsi="Times New Roman" w:eastAsia="宋体" w:cs="Times New Roman"/>
                      <w:b w:val="0"/>
                      <w:bCs w:val="0"/>
                      <w:kern w:val="2"/>
                      <w:sz w:val="21"/>
                      <w:szCs w:val="21"/>
                      <w:lang w:val="en-US" w:eastAsia="zh-CN" w:bidi="ar"/>
                    </w:rPr>
                    <w:t>3.</w:t>
                  </w:r>
                  <w:r>
                    <w:rPr>
                      <w:rFonts w:hint="eastAsia" w:ascii="Times New Roman" w:hAnsi="宋体" w:eastAsia="宋体" w:cs="宋体"/>
                      <w:b w:val="0"/>
                      <w:bCs w:val="0"/>
                      <w:kern w:val="2"/>
                      <w:sz w:val="21"/>
                      <w:szCs w:val="21"/>
                      <w:lang w:val="en-US" w:eastAsia="zh-CN" w:bidi="ar"/>
                    </w:rPr>
                    <w:t>环境管理制度（有组织、无组织排放长效管理机制，主要包括日常操作规程、岗位责任制度、污染物排放公示制度和定期巡查维护制度等）；</w:t>
                  </w:r>
                </w:p>
                <w:p w14:paraId="65A18B67">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both"/>
                    <w:textAlignment w:val="auto"/>
                    <w:rPr>
                      <w:rFonts w:hint="default"/>
                      <w:b w:val="0"/>
                      <w:bCs w:val="0"/>
                      <w:szCs w:val="21"/>
                      <w:lang w:val="en-US"/>
                    </w:rPr>
                  </w:pPr>
                  <w:r>
                    <w:rPr>
                      <w:rFonts w:hint="default" w:ascii="Times New Roman" w:hAnsi="Times New Roman" w:eastAsia="宋体" w:cs="Times New Roman"/>
                      <w:b w:val="0"/>
                      <w:bCs w:val="0"/>
                      <w:kern w:val="2"/>
                      <w:sz w:val="21"/>
                      <w:szCs w:val="21"/>
                      <w:lang w:val="en-US" w:eastAsia="zh-CN" w:bidi="ar"/>
                    </w:rPr>
                    <w:t>4.</w:t>
                  </w:r>
                  <w:r>
                    <w:rPr>
                      <w:rFonts w:hint="eastAsia" w:ascii="Times New Roman" w:hAnsi="宋体" w:eastAsia="宋体" w:cs="宋体"/>
                      <w:b w:val="0"/>
                      <w:bCs w:val="0"/>
                      <w:kern w:val="2"/>
                      <w:sz w:val="21"/>
                      <w:szCs w:val="21"/>
                      <w:lang w:val="en-US" w:eastAsia="zh-CN" w:bidi="ar"/>
                    </w:rPr>
                    <w:t>废气治理设施运行管理规程；</w:t>
                  </w:r>
                </w:p>
                <w:p w14:paraId="791E3BE3">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both"/>
                    <w:textAlignment w:val="auto"/>
                    <w:rPr>
                      <w:rFonts w:hint="default" w:hAnsi="宋体"/>
                      <w:b w:val="0"/>
                      <w:bCs w:val="0"/>
                      <w:szCs w:val="21"/>
                      <w:lang w:val="en-US"/>
                    </w:rPr>
                  </w:pPr>
                  <w:r>
                    <w:rPr>
                      <w:rFonts w:hint="default" w:ascii="Times New Roman" w:hAnsi="Times New Roman" w:eastAsia="宋体" w:cs="Times New Roman"/>
                      <w:b w:val="0"/>
                      <w:bCs w:val="0"/>
                      <w:kern w:val="2"/>
                      <w:sz w:val="21"/>
                      <w:szCs w:val="21"/>
                      <w:lang w:val="en-US" w:eastAsia="zh-CN" w:bidi="ar"/>
                    </w:rPr>
                    <w:t>5.</w:t>
                  </w:r>
                  <w:r>
                    <w:rPr>
                      <w:rFonts w:hint="eastAsia" w:ascii="Times New Roman" w:hAnsi="宋体" w:eastAsia="宋体" w:cs="宋体"/>
                      <w:b w:val="0"/>
                      <w:bCs w:val="0"/>
                      <w:kern w:val="2"/>
                      <w:sz w:val="21"/>
                      <w:szCs w:val="21"/>
                      <w:lang w:val="en-US" w:eastAsia="zh-CN" w:bidi="ar"/>
                    </w:rPr>
                    <w:t>一年内废气监测报告（符合排污许可证监测项目及频次要求）。</w:t>
                  </w:r>
                </w:p>
              </w:tc>
              <w:tc>
                <w:tcPr>
                  <w:tcW w:w="1414" w:type="pct"/>
                  <w:tcBorders>
                    <w:tl2br w:val="nil"/>
                    <w:tr2bl w:val="nil"/>
                  </w:tcBorders>
                  <w:shd w:val="clear" w:color="auto" w:fill="auto"/>
                  <w:vAlign w:val="center"/>
                </w:tcPr>
                <w:p w14:paraId="7C6E8D56">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center"/>
                    <w:textAlignment w:val="auto"/>
                    <w:rPr>
                      <w:rFonts w:hint="default" w:hAnsi="宋体"/>
                      <w:b w:val="0"/>
                      <w:bCs w:val="0"/>
                      <w:szCs w:val="21"/>
                      <w:lang w:val="en-US"/>
                    </w:rPr>
                  </w:pPr>
                  <w:r>
                    <w:rPr>
                      <w:rFonts w:hint="default" w:ascii="Times New Roman" w:hAnsi="宋体" w:eastAsia="宋体" w:cs="Times New Roman"/>
                      <w:b w:val="0"/>
                      <w:bCs w:val="0"/>
                      <w:kern w:val="2"/>
                      <w:sz w:val="21"/>
                      <w:szCs w:val="21"/>
                      <w:lang w:val="en-US" w:eastAsia="zh-CN" w:bidi="ar"/>
                    </w:rPr>
                    <w:t>1.</w:t>
                  </w:r>
                  <w:r>
                    <w:rPr>
                      <w:rFonts w:hint="eastAsia" w:ascii="Times New Roman" w:hAnsi="宋体" w:eastAsia="宋体" w:cs="宋体"/>
                      <w:b w:val="0"/>
                      <w:bCs w:val="0"/>
                      <w:kern w:val="2"/>
                      <w:sz w:val="21"/>
                      <w:szCs w:val="21"/>
                      <w:lang w:val="en-US" w:eastAsia="zh-CN" w:bidi="ar"/>
                    </w:rPr>
                    <w:t>环评批复文件和竣工环保验收文件；</w:t>
                  </w:r>
                </w:p>
                <w:p w14:paraId="681D0D52">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center"/>
                    <w:textAlignment w:val="auto"/>
                    <w:rPr>
                      <w:rFonts w:hint="eastAsia" w:ascii="Times New Roman" w:hAnsi="宋体" w:eastAsia="宋体" w:cs="宋体"/>
                      <w:b w:val="0"/>
                      <w:bCs w:val="0"/>
                      <w:kern w:val="2"/>
                      <w:sz w:val="21"/>
                      <w:szCs w:val="21"/>
                      <w:lang w:val="en-US" w:eastAsia="zh-CN" w:bidi="ar"/>
                    </w:rPr>
                  </w:pPr>
                  <w:r>
                    <w:rPr>
                      <w:rFonts w:hint="default" w:ascii="Times New Roman" w:hAnsi="宋体" w:eastAsia="宋体" w:cs="Times New Roman"/>
                      <w:b w:val="0"/>
                      <w:bCs w:val="0"/>
                      <w:kern w:val="2"/>
                      <w:sz w:val="21"/>
                      <w:szCs w:val="21"/>
                      <w:lang w:val="en-US" w:eastAsia="zh-CN" w:bidi="ar"/>
                    </w:rPr>
                    <w:t>2.</w:t>
                  </w:r>
                  <w:r>
                    <w:rPr>
                      <w:rFonts w:hint="eastAsia" w:ascii="Times New Roman" w:hAnsi="宋体" w:eastAsia="宋体" w:cs="宋体"/>
                      <w:b w:val="0"/>
                      <w:bCs w:val="0"/>
                      <w:kern w:val="2"/>
                      <w:sz w:val="21"/>
                      <w:szCs w:val="21"/>
                      <w:lang w:val="en-US" w:eastAsia="zh-CN" w:bidi="ar"/>
                    </w:rPr>
                    <w:t>国家版排污许可证；</w:t>
                  </w:r>
                  <w:r>
                    <w:rPr>
                      <w:rFonts w:hint="default" w:ascii="Times New Roman" w:hAnsi="宋体" w:eastAsia="宋体" w:cs="Times New Roman"/>
                      <w:b w:val="0"/>
                      <w:bCs w:val="0"/>
                      <w:kern w:val="2"/>
                      <w:sz w:val="21"/>
                      <w:szCs w:val="21"/>
                      <w:lang w:val="en-US" w:eastAsia="zh-CN" w:bidi="ar"/>
                    </w:rPr>
                    <w:t>3.</w:t>
                  </w:r>
                  <w:r>
                    <w:rPr>
                      <w:rFonts w:hint="eastAsia" w:ascii="Times New Roman" w:hAnsi="宋体" w:eastAsia="宋体" w:cs="宋体"/>
                      <w:b w:val="0"/>
                      <w:bCs w:val="0"/>
                      <w:kern w:val="2"/>
                      <w:sz w:val="21"/>
                      <w:szCs w:val="21"/>
                      <w:lang w:val="en-US" w:eastAsia="zh-CN" w:bidi="ar"/>
                    </w:rPr>
                    <w:t>环境管理制度；</w:t>
                  </w:r>
                </w:p>
                <w:p w14:paraId="78177C62">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center"/>
                    <w:textAlignment w:val="auto"/>
                    <w:rPr>
                      <w:rFonts w:hint="eastAsia" w:ascii="Times New Roman" w:hAnsi="宋体" w:eastAsia="宋体" w:cs="宋体"/>
                      <w:b w:val="0"/>
                      <w:bCs w:val="0"/>
                      <w:kern w:val="2"/>
                      <w:sz w:val="21"/>
                      <w:szCs w:val="21"/>
                      <w:lang w:val="en-US" w:eastAsia="zh-CN" w:bidi="ar"/>
                    </w:rPr>
                  </w:pPr>
                  <w:r>
                    <w:rPr>
                      <w:rFonts w:hint="default" w:ascii="Times New Roman" w:hAnsi="宋体" w:eastAsia="宋体" w:cs="Times New Roman"/>
                      <w:b w:val="0"/>
                      <w:bCs w:val="0"/>
                      <w:kern w:val="2"/>
                      <w:sz w:val="21"/>
                      <w:szCs w:val="21"/>
                      <w:lang w:val="en-US" w:eastAsia="zh-CN" w:bidi="ar"/>
                    </w:rPr>
                    <w:t>4.</w:t>
                  </w:r>
                  <w:r>
                    <w:rPr>
                      <w:rFonts w:hint="eastAsia" w:ascii="Times New Roman" w:hAnsi="宋体" w:eastAsia="宋体" w:cs="宋体"/>
                      <w:b w:val="0"/>
                      <w:bCs w:val="0"/>
                      <w:kern w:val="2"/>
                      <w:sz w:val="21"/>
                      <w:szCs w:val="21"/>
                      <w:lang w:val="en-US" w:eastAsia="zh-CN" w:bidi="ar"/>
                    </w:rPr>
                    <w:t>废气治理设施运行管理规程；</w:t>
                  </w:r>
                </w:p>
                <w:p w14:paraId="4E555142">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center"/>
                    <w:textAlignment w:val="auto"/>
                    <w:rPr>
                      <w:rFonts w:hint="default" w:hAnsi="宋体"/>
                      <w:b w:val="0"/>
                      <w:bCs w:val="0"/>
                      <w:szCs w:val="21"/>
                      <w:lang w:val="en-US"/>
                    </w:rPr>
                  </w:pPr>
                  <w:r>
                    <w:rPr>
                      <w:rFonts w:hint="default" w:ascii="Times New Roman" w:hAnsi="宋体" w:eastAsia="宋体" w:cs="Times New Roman"/>
                      <w:b w:val="0"/>
                      <w:bCs w:val="0"/>
                      <w:kern w:val="2"/>
                      <w:sz w:val="21"/>
                      <w:szCs w:val="21"/>
                      <w:lang w:val="en-US" w:eastAsia="zh-CN" w:bidi="ar"/>
                    </w:rPr>
                    <w:t>5.</w:t>
                  </w:r>
                  <w:r>
                    <w:rPr>
                      <w:rFonts w:hint="eastAsia" w:ascii="Times New Roman" w:hAnsi="宋体" w:eastAsia="宋体" w:cs="宋体"/>
                      <w:b w:val="0"/>
                      <w:bCs w:val="0"/>
                      <w:kern w:val="2"/>
                      <w:sz w:val="21"/>
                      <w:szCs w:val="21"/>
                      <w:lang w:val="en-US" w:eastAsia="zh-CN" w:bidi="ar"/>
                    </w:rPr>
                    <w:t>一年内废气监测报告。</w:t>
                  </w:r>
                </w:p>
              </w:tc>
              <w:tc>
                <w:tcPr>
                  <w:tcW w:w="554" w:type="pct"/>
                  <w:tcBorders>
                    <w:tl2br w:val="nil"/>
                    <w:tr2bl w:val="nil"/>
                  </w:tcBorders>
                  <w:shd w:val="clear" w:color="auto" w:fill="auto"/>
                  <w:vAlign w:val="center"/>
                </w:tcPr>
                <w:p w14:paraId="17662A0E">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center"/>
                    <w:textAlignment w:val="auto"/>
                    <w:rPr>
                      <w:rFonts w:hint="default"/>
                      <w:b w:val="0"/>
                      <w:bCs w:val="0"/>
                      <w:szCs w:val="21"/>
                      <w:lang w:val="en-US"/>
                    </w:rPr>
                  </w:pPr>
                  <w:r>
                    <w:rPr>
                      <w:rFonts w:hint="eastAsia" w:ascii="Times New Roman" w:hAnsi="Times New Roman" w:eastAsia="宋体" w:cs="宋体"/>
                      <w:b w:val="0"/>
                      <w:bCs w:val="0"/>
                      <w:kern w:val="2"/>
                      <w:sz w:val="21"/>
                      <w:szCs w:val="21"/>
                      <w:lang w:val="en-US" w:eastAsia="zh-CN" w:bidi="ar"/>
                    </w:rPr>
                    <w:t>符合</w:t>
                  </w:r>
                </w:p>
              </w:tc>
            </w:tr>
            <w:tr w14:paraId="09FED5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 w:hRule="atLeast"/>
                <w:jc w:val="center"/>
              </w:trPr>
              <w:tc>
                <w:tcPr>
                  <w:tcW w:w="349" w:type="pct"/>
                  <w:vMerge w:val="continue"/>
                  <w:tcBorders>
                    <w:tl2br w:val="nil"/>
                    <w:tr2bl w:val="nil"/>
                  </w:tcBorders>
                  <w:shd w:val="clear" w:color="auto" w:fill="auto"/>
                  <w:vAlign w:val="center"/>
                </w:tcPr>
                <w:p w14:paraId="1EB6D2A4">
                  <w:pPr>
                    <w:keepNext w:val="0"/>
                    <w:keepLines w:val="0"/>
                    <w:pageBreakBefore w:val="0"/>
                    <w:suppressLineNumbers w:val="0"/>
                    <w:kinsoku/>
                    <w:wordWrap/>
                    <w:overflowPunct/>
                    <w:topLinePunct w:val="0"/>
                    <w:bidi w:val="0"/>
                    <w:spacing w:before="0" w:beforeAutospacing="0" w:after="0" w:afterAutospacing="0" w:line="360" w:lineRule="exact"/>
                    <w:ind w:left="0" w:right="0"/>
                    <w:textAlignment w:val="auto"/>
                    <w:rPr>
                      <w:rFonts w:hint="default" w:ascii="Times New Roman" w:hAnsi="Times New Roman" w:eastAsia="Times New Roman" w:cs="Times New Roman"/>
                      <w:b w:val="0"/>
                      <w:bCs w:val="0"/>
                      <w:sz w:val="20"/>
                      <w:szCs w:val="20"/>
                    </w:rPr>
                  </w:pPr>
                </w:p>
              </w:tc>
              <w:tc>
                <w:tcPr>
                  <w:tcW w:w="349" w:type="pct"/>
                  <w:tcBorders>
                    <w:tl2br w:val="nil"/>
                    <w:tr2bl w:val="nil"/>
                  </w:tcBorders>
                  <w:shd w:val="clear" w:color="auto" w:fill="auto"/>
                  <w:vAlign w:val="center"/>
                </w:tcPr>
                <w:p w14:paraId="08B23D78">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center"/>
                    <w:textAlignment w:val="auto"/>
                    <w:rPr>
                      <w:rFonts w:hint="default"/>
                      <w:b w:val="0"/>
                      <w:bCs w:val="0"/>
                      <w:szCs w:val="21"/>
                      <w:lang w:val="en-US"/>
                    </w:rPr>
                  </w:pPr>
                  <w:r>
                    <w:rPr>
                      <w:rFonts w:hint="eastAsia" w:ascii="Times New Roman" w:hAnsi="Times New Roman" w:eastAsia="宋体" w:cs="宋体"/>
                      <w:b w:val="0"/>
                      <w:bCs w:val="0"/>
                      <w:kern w:val="2"/>
                      <w:sz w:val="21"/>
                      <w:szCs w:val="21"/>
                      <w:lang w:val="en-US" w:eastAsia="zh-CN" w:bidi="ar"/>
                    </w:rPr>
                    <w:t>台账记录</w:t>
                  </w:r>
                </w:p>
              </w:tc>
              <w:tc>
                <w:tcPr>
                  <w:tcW w:w="2332" w:type="pct"/>
                  <w:tcBorders>
                    <w:tl2br w:val="nil"/>
                    <w:tr2bl w:val="nil"/>
                  </w:tcBorders>
                  <w:shd w:val="clear" w:color="auto" w:fill="auto"/>
                  <w:vAlign w:val="center"/>
                </w:tcPr>
                <w:p w14:paraId="481B04D5">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both"/>
                    <w:textAlignment w:val="auto"/>
                    <w:rPr>
                      <w:rFonts w:hint="default"/>
                      <w:b w:val="0"/>
                      <w:bCs w:val="0"/>
                      <w:szCs w:val="21"/>
                      <w:lang w:val="en-US"/>
                    </w:rPr>
                  </w:pPr>
                  <w:r>
                    <w:rPr>
                      <w:rFonts w:hint="default" w:ascii="Times New Roman" w:hAnsi="Times New Roman" w:eastAsia="宋体" w:cs="Times New Roman"/>
                      <w:b w:val="0"/>
                      <w:bCs w:val="0"/>
                      <w:kern w:val="2"/>
                      <w:sz w:val="21"/>
                      <w:szCs w:val="21"/>
                      <w:lang w:val="en-US" w:eastAsia="zh-CN" w:bidi="ar"/>
                    </w:rPr>
                    <w:t>1.</w:t>
                  </w:r>
                  <w:r>
                    <w:rPr>
                      <w:rFonts w:hint="eastAsia" w:ascii="Times New Roman" w:hAnsi="宋体" w:eastAsia="宋体" w:cs="宋体"/>
                      <w:b w:val="0"/>
                      <w:bCs w:val="0"/>
                      <w:kern w:val="2"/>
                      <w:sz w:val="21"/>
                      <w:szCs w:val="21"/>
                      <w:lang w:val="en-US" w:eastAsia="zh-CN" w:bidi="ar"/>
                    </w:rPr>
                    <w:t>生产设施运行管理信息（生产时间、运行负荷、产品产量等）；</w:t>
                  </w:r>
                </w:p>
                <w:p w14:paraId="56356513">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both"/>
                    <w:textAlignment w:val="auto"/>
                    <w:rPr>
                      <w:rFonts w:hint="default"/>
                      <w:b w:val="0"/>
                      <w:bCs w:val="0"/>
                      <w:szCs w:val="21"/>
                      <w:lang w:val="en-US"/>
                    </w:rPr>
                  </w:pPr>
                  <w:r>
                    <w:rPr>
                      <w:rFonts w:hint="default" w:ascii="Times New Roman" w:hAnsi="Times New Roman" w:eastAsia="宋体" w:cs="Times New Roman"/>
                      <w:b w:val="0"/>
                      <w:bCs w:val="0"/>
                      <w:kern w:val="2"/>
                      <w:sz w:val="21"/>
                      <w:szCs w:val="21"/>
                      <w:lang w:val="en-US" w:eastAsia="zh-CN" w:bidi="ar"/>
                    </w:rPr>
                    <w:t>2.</w:t>
                  </w:r>
                  <w:r>
                    <w:rPr>
                      <w:rFonts w:hint="eastAsia" w:ascii="宋体" w:hAnsi="Times New Roman" w:eastAsia="宋体" w:cs="宋体"/>
                      <w:b w:val="0"/>
                      <w:bCs w:val="0"/>
                      <w:kern w:val="0"/>
                      <w:sz w:val="15"/>
                      <w:szCs w:val="15"/>
                      <w:lang w:val="en-US" w:eastAsia="zh-CN" w:bidi="ar"/>
                    </w:rPr>
                    <w:t xml:space="preserve"> </w:t>
                  </w:r>
                  <w:r>
                    <w:rPr>
                      <w:rFonts w:hint="eastAsia" w:ascii="宋体" w:hAnsi="宋体" w:eastAsia="宋体" w:cs="宋体"/>
                      <w:b w:val="0"/>
                      <w:bCs w:val="0"/>
                      <w:kern w:val="2"/>
                      <w:sz w:val="21"/>
                      <w:szCs w:val="21"/>
                      <w:lang w:val="en-US" w:eastAsia="zh-CN" w:bidi="ar"/>
                    </w:rPr>
                    <w:t>废气污染治理设施运行、维护、管理信息（包括但不限于废气收集系统和污染治理设施的名称规格、设计参数、运行参数、巡检记录、污染治理易耗品与药剂用量（吸附剂、催化剂、脱硫剂、脱硝剂、过滤耗材等）、操作记录以及维护记录、运行要求等）；</w:t>
                  </w:r>
                </w:p>
                <w:p w14:paraId="7B262132">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both"/>
                    <w:textAlignment w:val="auto"/>
                    <w:rPr>
                      <w:rFonts w:hint="default"/>
                      <w:b w:val="0"/>
                      <w:bCs w:val="0"/>
                      <w:szCs w:val="21"/>
                      <w:lang w:val="en-US"/>
                    </w:rPr>
                  </w:pPr>
                  <w:r>
                    <w:rPr>
                      <w:rFonts w:hint="default" w:ascii="Times New Roman" w:hAnsi="Times New Roman" w:eastAsia="宋体" w:cs="Times New Roman"/>
                      <w:b w:val="0"/>
                      <w:bCs w:val="0"/>
                      <w:kern w:val="2"/>
                      <w:sz w:val="21"/>
                      <w:szCs w:val="21"/>
                      <w:lang w:val="en-US" w:eastAsia="zh-CN" w:bidi="ar"/>
                    </w:rPr>
                    <w:t>3.</w:t>
                  </w:r>
                  <w:r>
                    <w:rPr>
                      <w:rFonts w:hint="eastAsia" w:ascii="宋体" w:hAnsi="宋体" w:eastAsia="宋体" w:cs="宋体"/>
                      <w:b w:val="0"/>
                      <w:bCs w:val="0"/>
                      <w:kern w:val="2"/>
                      <w:sz w:val="21"/>
                      <w:szCs w:val="21"/>
                      <w:lang w:val="en-US" w:eastAsia="zh-CN" w:bidi="ar"/>
                    </w:rPr>
                    <w:t>监测记录信息（主要污染排放口废气排放记录等）；</w:t>
                  </w:r>
                </w:p>
                <w:p w14:paraId="1EFB9AAD">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both"/>
                    <w:textAlignment w:val="auto"/>
                    <w:rPr>
                      <w:rFonts w:hint="default"/>
                      <w:b w:val="0"/>
                      <w:bCs w:val="0"/>
                      <w:szCs w:val="21"/>
                      <w:lang w:val="en-US"/>
                    </w:rPr>
                  </w:pPr>
                  <w:r>
                    <w:rPr>
                      <w:rFonts w:hint="default" w:ascii="Times New Roman" w:hAnsi="Times New Roman" w:eastAsia="宋体" w:cs="Times New Roman"/>
                      <w:b w:val="0"/>
                      <w:bCs w:val="0"/>
                      <w:kern w:val="2"/>
                      <w:sz w:val="21"/>
                      <w:szCs w:val="21"/>
                      <w:lang w:val="en-US" w:eastAsia="zh-CN" w:bidi="ar"/>
                    </w:rPr>
                    <w:t>4.</w:t>
                  </w:r>
                  <w:r>
                    <w:rPr>
                      <w:rFonts w:hint="eastAsia" w:ascii="宋体" w:hAnsi="宋体" w:eastAsia="宋体" w:cs="宋体"/>
                      <w:b w:val="0"/>
                      <w:bCs w:val="0"/>
                      <w:kern w:val="2"/>
                      <w:sz w:val="21"/>
                      <w:szCs w:val="21"/>
                      <w:lang w:val="en-US" w:eastAsia="zh-CN" w:bidi="ar"/>
                    </w:rPr>
                    <w:t>主要原辅材料消耗记录；</w:t>
                  </w:r>
                </w:p>
                <w:p w14:paraId="2D0BC953">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both"/>
                    <w:textAlignment w:val="auto"/>
                    <w:rPr>
                      <w:rFonts w:hint="default"/>
                      <w:b w:val="0"/>
                      <w:bCs w:val="0"/>
                      <w:szCs w:val="21"/>
                      <w:lang w:val="en-US"/>
                    </w:rPr>
                  </w:pPr>
                  <w:r>
                    <w:rPr>
                      <w:rFonts w:hint="default" w:ascii="Times New Roman" w:hAnsi="Times New Roman" w:eastAsia="宋体" w:cs="Times New Roman"/>
                      <w:b w:val="0"/>
                      <w:bCs w:val="0"/>
                      <w:kern w:val="2"/>
                      <w:sz w:val="21"/>
                      <w:szCs w:val="21"/>
                      <w:lang w:val="en-US" w:eastAsia="zh-CN" w:bidi="ar"/>
                    </w:rPr>
                    <w:t>5.</w:t>
                  </w:r>
                  <w:r>
                    <w:rPr>
                      <w:rFonts w:hint="eastAsia" w:ascii="宋体" w:hAnsi="宋体" w:eastAsia="宋体" w:cs="宋体"/>
                      <w:b w:val="0"/>
                      <w:bCs w:val="0"/>
                      <w:kern w:val="2"/>
                      <w:sz w:val="21"/>
                      <w:szCs w:val="21"/>
                      <w:lang w:val="en-US" w:eastAsia="zh-CN" w:bidi="ar"/>
                    </w:rPr>
                    <w:t>燃料消耗记录；</w:t>
                  </w:r>
                </w:p>
                <w:p w14:paraId="0272A5E5">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both"/>
                    <w:textAlignment w:val="auto"/>
                    <w:rPr>
                      <w:rFonts w:hint="default"/>
                      <w:b w:val="0"/>
                      <w:bCs w:val="0"/>
                      <w:szCs w:val="21"/>
                      <w:lang w:val="en-US"/>
                    </w:rPr>
                  </w:pPr>
                  <w:r>
                    <w:rPr>
                      <w:rFonts w:hint="default" w:ascii="Times New Roman" w:hAnsi="Times New Roman" w:eastAsia="宋体" w:cs="Times New Roman"/>
                      <w:b w:val="0"/>
                      <w:bCs w:val="0"/>
                      <w:kern w:val="2"/>
                      <w:sz w:val="21"/>
                      <w:szCs w:val="21"/>
                      <w:lang w:val="en-US" w:eastAsia="zh-CN" w:bidi="ar"/>
                    </w:rPr>
                    <w:t>6.</w:t>
                  </w:r>
                  <w:r>
                    <w:rPr>
                      <w:rFonts w:hint="eastAsia" w:ascii="宋体" w:hAnsi="宋体" w:eastAsia="宋体" w:cs="宋体"/>
                      <w:b w:val="0"/>
                      <w:bCs w:val="0"/>
                      <w:kern w:val="2"/>
                      <w:sz w:val="21"/>
                      <w:szCs w:val="21"/>
                      <w:lang w:val="en-US" w:eastAsia="zh-CN" w:bidi="ar"/>
                    </w:rPr>
                    <w:t>固废、危废暂存、处理记录。</w:t>
                  </w:r>
                </w:p>
              </w:tc>
              <w:tc>
                <w:tcPr>
                  <w:tcW w:w="1414" w:type="pct"/>
                  <w:tcBorders>
                    <w:tl2br w:val="nil"/>
                    <w:tr2bl w:val="nil"/>
                  </w:tcBorders>
                  <w:shd w:val="clear" w:color="auto" w:fill="auto"/>
                  <w:vAlign w:val="center"/>
                </w:tcPr>
                <w:p w14:paraId="274A2237">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both"/>
                    <w:textAlignment w:val="auto"/>
                    <w:rPr>
                      <w:rFonts w:hint="eastAsia" w:ascii="Times New Roman" w:hAnsi="宋体" w:eastAsia="宋体" w:cs="宋体"/>
                      <w:b w:val="0"/>
                      <w:bCs w:val="0"/>
                      <w:kern w:val="2"/>
                      <w:sz w:val="21"/>
                      <w:szCs w:val="21"/>
                      <w:lang w:val="en-US" w:eastAsia="zh-CN" w:bidi="ar"/>
                    </w:rPr>
                  </w:pPr>
                  <w:r>
                    <w:rPr>
                      <w:rFonts w:hint="default" w:ascii="Times New Roman" w:hAnsi="Times New Roman" w:eastAsia="宋体" w:cs="Times New Roman"/>
                      <w:b w:val="0"/>
                      <w:bCs w:val="0"/>
                      <w:kern w:val="2"/>
                      <w:sz w:val="21"/>
                      <w:szCs w:val="21"/>
                      <w:lang w:val="en-US" w:eastAsia="zh-CN" w:bidi="ar"/>
                    </w:rPr>
                    <w:t>1.</w:t>
                  </w:r>
                  <w:r>
                    <w:rPr>
                      <w:rFonts w:hint="eastAsia" w:ascii="Times New Roman" w:hAnsi="宋体" w:eastAsia="宋体" w:cs="宋体"/>
                      <w:b w:val="0"/>
                      <w:bCs w:val="0"/>
                      <w:kern w:val="2"/>
                      <w:sz w:val="21"/>
                      <w:szCs w:val="21"/>
                      <w:lang w:val="en-US" w:eastAsia="zh-CN" w:bidi="ar"/>
                    </w:rPr>
                    <w:t>生产设施运行管理信息；</w:t>
                  </w:r>
                </w:p>
                <w:p w14:paraId="5E9060E4">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both"/>
                    <w:textAlignment w:val="auto"/>
                    <w:rPr>
                      <w:rFonts w:hint="eastAsia" w:ascii="Times New Roman" w:hAnsi="宋体" w:eastAsia="宋体" w:cs="宋体"/>
                      <w:b w:val="0"/>
                      <w:bCs w:val="0"/>
                      <w:kern w:val="2"/>
                      <w:sz w:val="21"/>
                      <w:szCs w:val="21"/>
                      <w:lang w:val="en-US" w:eastAsia="zh-CN" w:bidi="ar"/>
                    </w:rPr>
                  </w:pPr>
                  <w:r>
                    <w:rPr>
                      <w:rFonts w:hint="default" w:ascii="Times New Roman" w:hAnsi="Times New Roman" w:eastAsia="宋体" w:cs="Times New Roman"/>
                      <w:b w:val="0"/>
                      <w:bCs w:val="0"/>
                      <w:kern w:val="2"/>
                      <w:sz w:val="21"/>
                      <w:szCs w:val="21"/>
                      <w:lang w:val="en-US" w:eastAsia="zh-CN" w:bidi="ar"/>
                    </w:rPr>
                    <w:t>2.</w:t>
                  </w:r>
                  <w:r>
                    <w:rPr>
                      <w:rFonts w:hint="eastAsia" w:ascii="宋体" w:hAnsi="宋体" w:eastAsia="宋体" w:cs="宋体"/>
                      <w:b w:val="0"/>
                      <w:bCs w:val="0"/>
                      <w:kern w:val="2"/>
                      <w:sz w:val="21"/>
                      <w:szCs w:val="21"/>
                      <w:lang w:val="en-US" w:eastAsia="zh-CN" w:bidi="ar"/>
                    </w:rPr>
                    <w:t>废气污染治理设施运行、维护、管理信息</w:t>
                  </w:r>
                  <w:r>
                    <w:rPr>
                      <w:rFonts w:hint="eastAsia" w:ascii="Times New Roman" w:hAnsi="宋体" w:eastAsia="宋体" w:cs="宋体"/>
                      <w:b w:val="0"/>
                      <w:bCs w:val="0"/>
                      <w:kern w:val="2"/>
                      <w:sz w:val="21"/>
                      <w:szCs w:val="21"/>
                      <w:lang w:val="en-US" w:eastAsia="zh-CN" w:bidi="ar"/>
                    </w:rPr>
                    <w:t>；</w:t>
                  </w:r>
                  <w:r>
                    <w:rPr>
                      <w:rFonts w:hint="default" w:ascii="Times New Roman" w:hAnsi="Times New Roman" w:eastAsia="宋体" w:cs="Times New Roman"/>
                      <w:b w:val="0"/>
                      <w:bCs w:val="0"/>
                      <w:kern w:val="2"/>
                      <w:sz w:val="21"/>
                      <w:szCs w:val="21"/>
                      <w:lang w:val="en-US" w:eastAsia="zh-CN" w:bidi="ar"/>
                    </w:rPr>
                    <w:t>3.</w:t>
                  </w:r>
                  <w:r>
                    <w:rPr>
                      <w:rFonts w:hint="eastAsia" w:ascii="Times New Roman" w:hAnsi="宋体" w:eastAsia="宋体" w:cs="宋体"/>
                      <w:b w:val="0"/>
                      <w:bCs w:val="0"/>
                      <w:kern w:val="2"/>
                      <w:sz w:val="21"/>
                      <w:szCs w:val="21"/>
                      <w:lang w:val="en-US" w:eastAsia="zh-CN" w:bidi="ar"/>
                    </w:rPr>
                    <w:t>监测记录信息；</w:t>
                  </w:r>
                </w:p>
                <w:p w14:paraId="404458C1">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both"/>
                    <w:textAlignment w:val="auto"/>
                    <w:rPr>
                      <w:rFonts w:hint="eastAsia" w:ascii="Times New Roman" w:hAnsi="宋体" w:eastAsia="宋体" w:cs="宋体"/>
                      <w:b w:val="0"/>
                      <w:bCs w:val="0"/>
                      <w:kern w:val="2"/>
                      <w:sz w:val="21"/>
                      <w:szCs w:val="21"/>
                      <w:lang w:val="en-US" w:eastAsia="zh-CN" w:bidi="ar"/>
                    </w:rPr>
                  </w:pPr>
                  <w:r>
                    <w:rPr>
                      <w:rFonts w:hint="default" w:ascii="Times New Roman" w:hAnsi="Times New Roman" w:eastAsia="宋体" w:cs="Times New Roman"/>
                      <w:b w:val="0"/>
                      <w:bCs w:val="0"/>
                      <w:kern w:val="2"/>
                      <w:sz w:val="21"/>
                      <w:szCs w:val="21"/>
                      <w:lang w:val="en-US" w:eastAsia="zh-CN" w:bidi="ar"/>
                    </w:rPr>
                    <w:t>4.</w:t>
                  </w:r>
                  <w:r>
                    <w:rPr>
                      <w:rFonts w:hint="eastAsia" w:ascii="Times New Roman" w:hAnsi="宋体" w:eastAsia="宋体" w:cs="宋体"/>
                      <w:b w:val="0"/>
                      <w:bCs w:val="0"/>
                      <w:kern w:val="2"/>
                      <w:sz w:val="21"/>
                      <w:szCs w:val="21"/>
                      <w:lang w:val="en-US" w:eastAsia="zh-CN" w:bidi="ar"/>
                    </w:rPr>
                    <w:t>主要原辅材料消耗记录；</w:t>
                  </w:r>
                </w:p>
                <w:p w14:paraId="52B67B04">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both"/>
                    <w:textAlignment w:val="auto"/>
                    <w:rPr>
                      <w:rFonts w:hint="eastAsia" w:ascii="Times New Roman" w:hAnsi="宋体" w:eastAsia="宋体" w:cs="宋体"/>
                      <w:b w:val="0"/>
                      <w:bCs w:val="0"/>
                      <w:kern w:val="2"/>
                      <w:sz w:val="21"/>
                      <w:szCs w:val="21"/>
                      <w:lang w:val="en-US" w:eastAsia="zh-CN" w:bidi="ar"/>
                    </w:rPr>
                  </w:pPr>
                  <w:r>
                    <w:rPr>
                      <w:rFonts w:hint="default" w:ascii="Times New Roman" w:hAnsi="Times New Roman" w:eastAsia="宋体" w:cs="Times New Roman"/>
                      <w:b w:val="0"/>
                      <w:bCs w:val="0"/>
                      <w:kern w:val="2"/>
                      <w:sz w:val="21"/>
                      <w:szCs w:val="21"/>
                      <w:lang w:val="en-US" w:eastAsia="zh-CN" w:bidi="ar"/>
                    </w:rPr>
                    <w:t>5.</w:t>
                  </w:r>
                  <w:r>
                    <w:rPr>
                      <w:rFonts w:hint="eastAsia" w:cs="Times New Roman"/>
                      <w:b w:val="0"/>
                      <w:bCs w:val="0"/>
                      <w:kern w:val="2"/>
                      <w:sz w:val="21"/>
                      <w:szCs w:val="21"/>
                      <w:lang w:val="en-US" w:eastAsia="zh-CN" w:bidi="ar"/>
                    </w:rPr>
                    <w:t>不涉及</w:t>
                  </w:r>
                  <w:r>
                    <w:rPr>
                      <w:rFonts w:hint="eastAsia" w:ascii="Times New Roman" w:hAnsi="宋体" w:eastAsia="宋体" w:cs="宋体"/>
                      <w:b w:val="0"/>
                      <w:bCs w:val="0"/>
                      <w:kern w:val="2"/>
                      <w:sz w:val="21"/>
                      <w:szCs w:val="21"/>
                      <w:lang w:val="en-US" w:eastAsia="zh-CN" w:bidi="ar"/>
                    </w:rPr>
                    <w:t>燃料消耗；</w:t>
                  </w:r>
                </w:p>
                <w:p w14:paraId="19ACCE78">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both"/>
                    <w:textAlignment w:val="auto"/>
                    <w:rPr>
                      <w:rFonts w:hint="default"/>
                      <w:b w:val="0"/>
                      <w:bCs w:val="0"/>
                      <w:szCs w:val="21"/>
                      <w:lang w:val="en-US"/>
                    </w:rPr>
                  </w:pPr>
                  <w:r>
                    <w:rPr>
                      <w:rFonts w:hint="default" w:ascii="Times New Roman" w:hAnsi="Times New Roman" w:eastAsia="宋体" w:cs="Times New Roman"/>
                      <w:b w:val="0"/>
                      <w:bCs w:val="0"/>
                      <w:kern w:val="2"/>
                      <w:sz w:val="21"/>
                      <w:szCs w:val="21"/>
                      <w:lang w:val="en-US" w:eastAsia="zh-CN" w:bidi="ar"/>
                    </w:rPr>
                    <w:t>6.</w:t>
                  </w:r>
                  <w:r>
                    <w:rPr>
                      <w:rFonts w:hint="eastAsia" w:ascii="Times New Roman" w:hAnsi="宋体" w:eastAsia="宋体" w:cs="宋体"/>
                      <w:b w:val="0"/>
                      <w:bCs w:val="0"/>
                      <w:kern w:val="2"/>
                      <w:sz w:val="21"/>
                      <w:szCs w:val="21"/>
                      <w:lang w:val="en-US" w:eastAsia="zh-CN" w:bidi="ar"/>
                    </w:rPr>
                    <w:t>固废、危废暂存、处理记录。</w:t>
                  </w:r>
                </w:p>
              </w:tc>
              <w:tc>
                <w:tcPr>
                  <w:tcW w:w="554" w:type="pct"/>
                  <w:tcBorders>
                    <w:tl2br w:val="nil"/>
                    <w:tr2bl w:val="nil"/>
                  </w:tcBorders>
                  <w:shd w:val="clear" w:color="auto" w:fill="auto"/>
                  <w:vAlign w:val="center"/>
                </w:tcPr>
                <w:p w14:paraId="27707091">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center"/>
                    <w:textAlignment w:val="auto"/>
                    <w:rPr>
                      <w:rFonts w:hint="default"/>
                      <w:b w:val="0"/>
                      <w:bCs w:val="0"/>
                      <w:szCs w:val="21"/>
                      <w:lang w:val="en-US"/>
                    </w:rPr>
                  </w:pPr>
                  <w:r>
                    <w:rPr>
                      <w:rFonts w:hint="eastAsia" w:ascii="Times New Roman" w:hAnsi="Times New Roman" w:eastAsia="宋体" w:cs="宋体"/>
                      <w:b w:val="0"/>
                      <w:bCs w:val="0"/>
                      <w:kern w:val="2"/>
                      <w:sz w:val="21"/>
                      <w:szCs w:val="21"/>
                      <w:lang w:val="en-US" w:eastAsia="zh-CN" w:bidi="ar"/>
                    </w:rPr>
                    <w:t>符合</w:t>
                  </w:r>
                </w:p>
              </w:tc>
            </w:tr>
            <w:tr w14:paraId="28BAAB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 w:hRule="atLeast"/>
                <w:jc w:val="center"/>
              </w:trPr>
              <w:tc>
                <w:tcPr>
                  <w:tcW w:w="349" w:type="pct"/>
                  <w:vMerge w:val="continue"/>
                  <w:tcBorders>
                    <w:tl2br w:val="nil"/>
                    <w:tr2bl w:val="nil"/>
                  </w:tcBorders>
                  <w:shd w:val="clear" w:color="auto" w:fill="auto"/>
                  <w:vAlign w:val="center"/>
                </w:tcPr>
                <w:p w14:paraId="2AAE9FC9">
                  <w:pPr>
                    <w:keepNext w:val="0"/>
                    <w:keepLines w:val="0"/>
                    <w:pageBreakBefore w:val="0"/>
                    <w:suppressLineNumbers w:val="0"/>
                    <w:kinsoku/>
                    <w:wordWrap/>
                    <w:overflowPunct/>
                    <w:topLinePunct w:val="0"/>
                    <w:bidi w:val="0"/>
                    <w:spacing w:before="0" w:beforeAutospacing="0" w:after="0" w:afterAutospacing="0" w:line="360" w:lineRule="exact"/>
                    <w:ind w:left="0" w:right="0"/>
                    <w:textAlignment w:val="auto"/>
                    <w:rPr>
                      <w:rFonts w:hint="default" w:ascii="Times New Roman" w:hAnsi="Times New Roman" w:eastAsia="Times New Roman" w:cs="Times New Roman"/>
                      <w:b w:val="0"/>
                      <w:bCs w:val="0"/>
                      <w:sz w:val="20"/>
                      <w:szCs w:val="20"/>
                    </w:rPr>
                  </w:pPr>
                </w:p>
              </w:tc>
              <w:tc>
                <w:tcPr>
                  <w:tcW w:w="349" w:type="pct"/>
                  <w:tcBorders>
                    <w:tl2br w:val="nil"/>
                    <w:tr2bl w:val="nil"/>
                  </w:tcBorders>
                  <w:shd w:val="clear" w:color="auto" w:fill="auto"/>
                  <w:vAlign w:val="center"/>
                </w:tcPr>
                <w:p w14:paraId="744BA9B0">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center"/>
                    <w:textAlignment w:val="auto"/>
                    <w:rPr>
                      <w:rFonts w:hint="default"/>
                      <w:b w:val="0"/>
                      <w:bCs w:val="0"/>
                      <w:szCs w:val="21"/>
                      <w:lang w:val="en-US"/>
                    </w:rPr>
                  </w:pPr>
                  <w:r>
                    <w:rPr>
                      <w:rFonts w:hint="eastAsia" w:ascii="Times New Roman" w:hAnsi="Times New Roman" w:eastAsia="宋体" w:cs="宋体"/>
                      <w:b w:val="0"/>
                      <w:bCs w:val="0"/>
                      <w:kern w:val="2"/>
                      <w:sz w:val="21"/>
                      <w:szCs w:val="21"/>
                      <w:lang w:val="en-US" w:eastAsia="zh-CN" w:bidi="ar"/>
                    </w:rPr>
                    <w:t>人员配置</w:t>
                  </w:r>
                </w:p>
              </w:tc>
              <w:tc>
                <w:tcPr>
                  <w:tcW w:w="2332" w:type="pct"/>
                  <w:tcBorders>
                    <w:tl2br w:val="nil"/>
                    <w:tr2bl w:val="nil"/>
                  </w:tcBorders>
                  <w:shd w:val="clear" w:color="auto" w:fill="auto"/>
                  <w:vAlign w:val="center"/>
                </w:tcPr>
                <w:p w14:paraId="14E64B92">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center"/>
                    <w:textAlignment w:val="auto"/>
                    <w:rPr>
                      <w:rFonts w:hint="default" w:hAnsi="宋体"/>
                      <w:b w:val="0"/>
                      <w:bCs w:val="0"/>
                      <w:szCs w:val="21"/>
                      <w:lang w:val="en-US"/>
                    </w:rPr>
                  </w:pPr>
                  <w:r>
                    <w:rPr>
                      <w:rFonts w:hint="eastAsia" w:ascii="宋体" w:hAnsi="宋体" w:eastAsia="宋体" w:cs="宋体"/>
                      <w:b w:val="0"/>
                      <w:bCs w:val="0"/>
                      <w:kern w:val="2"/>
                      <w:sz w:val="21"/>
                      <w:szCs w:val="21"/>
                      <w:lang w:val="en-US" w:eastAsia="zh-CN" w:bidi="ar"/>
                    </w:rPr>
                    <w:t>配备专职环保人员，并具备相应的环境管理能力（包括但不限于学历、培训、从业经验等）。</w:t>
                  </w:r>
                </w:p>
              </w:tc>
              <w:tc>
                <w:tcPr>
                  <w:tcW w:w="1414" w:type="pct"/>
                  <w:tcBorders>
                    <w:tl2br w:val="nil"/>
                    <w:tr2bl w:val="nil"/>
                  </w:tcBorders>
                  <w:shd w:val="clear" w:color="auto" w:fill="auto"/>
                  <w:vAlign w:val="center"/>
                </w:tcPr>
                <w:p w14:paraId="72B9A29F">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center"/>
                    <w:textAlignment w:val="auto"/>
                    <w:rPr>
                      <w:rFonts w:hint="default" w:hAnsi="宋体"/>
                      <w:b w:val="0"/>
                      <w:bCs w:val="0"/>
                      <w:szCs w:val="21"/>
                      <w:lang w:val="en-US"/>
                    </w:rPr>
                  </w:pPr>
                  <w:r>
                    <w:rPr>
                      <w:rFonts w:hint="eastAsia" w:ascii="宋体" w:hAnsi="宋体" w:eastAsia="宋体" w:cs="宋体"/>
                      <w:b w:val="0"/>
                      <w:bCs w:val="0"/>
                      <w:kern w:val="2"/>
                      <w:sz w:val="21"/>
                      <w:szCs w:val="21"/>
                      <w:lang w:val="en-US" w:eastAsia="zh-CN" w:bidi="ar"/>
                    </w:rPr>
                    <w:t>配备专职环保人员，并具备相应的环境管理能力。</w:t>
                  </w:r>
                </w:p>
              </w:tc>
              <w:tc>
                <w:tcPr>
                  <w:tcW w:w="554" w:type="pct"/>
                  <w:tcBorders>
                    <w:tl2br w:val="nil"/>
                    <w:tr2bl w:val="nil"/>
                  </w:tcBorders>
                  <w:shd w:val="clear" w:color="auto" w:fill="auto"/>
                  <w:vAlign w:val="center"/>
                </w:tcPr>
                <w:p w14:paraId="1DF174C8">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center"/>
                    <w:textAlignment w:val="auto"/>
                    <w:rPr>
                      <w:rFonts w:hint="default"/>
                      <w:b w:val="0"/>
                      <w:bCs w:val="0"/>
                      <w:szCs w:val="21"/>
                      <w:lang w:val="en-US"/>
                    </w:rPr>
                  </w:pPr>
                  <w:r>
                    <w:rPr>
                      <w:rFonts w:hint="eastAsia" w:ascii="Times New Roman" w:hAnsi="Times New Roman" w:eastAsia="宋体" w:cs="宋体"/>
                      <w:b w:val="0"/>
                      <w:bCs w:val="0"/>
                      <w:kern w:val="2"/>
                      <w:sz w:val="21"/>
                      <w:szCs w:val="21"/>
                      <w:lang w:val="en-US" w:eastAsia="zh-CN" w:bidi="ar"/>
                    </w:rPr>
                    <w:t>符合</w:t>
                  </w:r>
                </w:p>
              </w:tc>
            </w:tr>
            <w:tr w14:paraId="26AE0B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68" w:hRule="atLeast"/>
                <w:jc w:val="center"/>
              </w:trPr>
              <w:tc>
                <w:tcPr>
                  <w:tcW w:w="699" w:type="pct"/>
                  <w:gridSpan w:val="2"/>
                  <w:tcBorders>
                    <w:tl2br w:val="nil"/>
                    <w:tr2bl w:val="nil"/>
                  </w:tcBorders>
                  <w:shd w:val="clear" w:color="auto" w:fill="auto"/>
                  <w:vAlign w:val="center"/>
                </w:tcPr>
                <w:p w14:paraId="3C900F44">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center"/>
                    <w:textAlignment w:val="auto"/>
                    <w:rPr>
                      <w:rFonts w:hint="default"/>
                      <w:b w:val="0"/>
                      <w:bCs w:val="0"/>
                      <w:szCs w:val="21"/>
                      <w:lang w:val="en-US"/>
                    </w:rPr>
                  </w:pPr>
                  <w:r>
                    <w:rPr>
                      <w:rFonts w:hint="eastAsia" w:ascii="Times New Roman" w:hAnsi="Times New Roman" w:eastAsia="宋体" w:cs="宋体"/>
                      <w:b w:val="0"/>
                      <w:bCs w:val="0"/>
                      <w:kern w:val="2"/>
                      <w:sz w:val="21"/>
                      <w:szCs w:val="21"/>
                      <w:lang w:val="en-US" w:eastAsia="zh-CN" w:bidi="ar"/>
                    </w:rPr>
                    <w:t>运输方式</w:t>
                  </w:r>
                </w:p>
              </w:tc>
              <w:tc>
                <w:tcPr>
                  <w:tcW w:w="2332" w:type="pct"/>
                  <w:tcBorders>
                    <w:tl2br w:val="nil"/>
                    <w:tr2bl w:val="nil"/>
                  </w:tcBorders>
                  <w:shd w:val="clear" w:color="auto" w:fill="auto"/>
                  <w:vAlign w:val="center"/>
                </w:tcPr>
                <w:p w14:paraId="48A99748">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both"/>
                    <w:textAlignment w:val="auto"/>
                    <w:rPr>
                      <w:rFonts w:hint="default"/>
                      <w:b w:val="0"/>
                      <w:bCs w:val="0"/>
                      <w:szCs w:val="21"/>
                      <w:lang w:val="en-US"/>
                    </w:rPr>
                  </w:pPr>
                  <w:r>
                    <w:rPr>
                      <w:rFonts w:hint="default" w:ascii="Times New Roman" w:hAnsi="Times New Roman" w:eastAsia="宋体" w:cs="Times New Roman"/>
                      <w:b w:val="0"/>
                      <w:bCs w:val="0"/>
                      <w:kern w:val="2"/>
                      <w:sz w:val="21"/>
                      <w:szCs w:val="21"/>
                      <w:lang w:val="en-US" w:eastAsia="zh-CN" w:bidi="ar"/>
                    </w:rPr>
                    <w:t>1.</w:t>
                  </w:r>
                  <w:r>
                    <w:rPr>
                      <w:rFonts w:hint="eastAsia" w:ascii="宋体" w:hAnsi="宋体" w:eastAsia="宋体" w:cs="宋体"/>
                      <w:b w:val="0"/>
                      <w:bCs w:val="0"/>
                      <w:kern w:val="2"/>
                      <w:sz w:val="21"/>
                      <w:szCs w:val="21"/>
                      <w:lang w:val="en-US" w:eastAsia="zh-CN" w:bidi="ar"/>
                    </w:rPr>
                    <w:t xml:space="preserve">物料、产品运输全部使用国五及以上排放标准的重型载货车辆 </w:t>
                  </w:r>
                  <w:r>
                    <w:rPr>
                      <w:rFonts w:hint="eastAsia" w:ascii="宋体" w:hAnsi="宋体" w:eastAsia="宋体" w:cs="宋体"/>
                      <w:b w:val="0"/>
                      <w:bCs w:val="0"/>
                      <w:kern w:val="2"/>
                      <w:sz w:val="19"/>
                      <w:szCs w:val="19"/>
                      <w:lang w:val="en-US" w:eastAsia="zh-CN" w:bidi="ar"/>
                    </w:rPr>
                    <w:t>（</w:t>
                  </w:r>
                  <w:r>
                    <w:rPr>
                      <w:rFonts w:hint="eastAsia" w:ascii="宋体" w:hAnsi="宋体" w:eastAsia="宋体" w:cs="宋体"/>
                      <w:b w:val="0"/>
                      <w:bCs w:val="0"/>
                      <w:kern w:val="2"/>
                      <w:sz w:val="21"/>
                      <w:szCs w:val="21"/>
                      <w:lang w:val="en-US" w:eastAsia="zh-CN" w:bidi="ar"/>
                    </w:rPr>
                    <w:t>重型燃气车辆达到国六排放标准</w:t>
                  </w:r>
                  <w:r>
                    <w:rPr>
                      <w:rFonts w:hint="eastAsia" w:ascii="宋体" w:hAnsi="宋体" w:eastAsia="宋体" w:cs="宋体"/>
                      <w:b w:val="0"/>
                      <w:bCs w:val="0"/>
                      <w:kern w:val="2"/>
                      <w:sz w:val="19"/>
                      <w:szCs w:val="19"/>
                      <w:lang w:val="en-US" w:eastAsia="zh-CN" w:bidi="ar"/>
                    </w:rPr>
                    <w:t>）</w:t>
                  </w:r>
                  <w:r>
                    <w:rPr>
                      <w:rFonts w:hint="eastAsia" w:ascii="宋体" w:hAnsi="宋体" w:eastAsia="宋体" w:cs="宋体"/>
                      <w:b w:val="0"/>
                      <w:bCs w:val="0"/>
                      <w:kern w:val="2"/>
                      <w:sz w:val="21"/>
                      <w:szCs w:val="21"/>
                      <w:lang w:val="en-US" w:eastAsia="zh-CN" w:bidi="ar"/>
                    </w:rPr>
                    <w:t>或新能源车辆；</w:t>
                  </w:r>
                </w:p>
                <w:p w14:paraId="24F58442">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both"/>
                    <w:textAlignment w:val="auto"/>
                    <w:rPr>
                      <w:rFonts w:hint="default"/>
                      <w:b w:val="0"/>
                      <w:bCs w:val="0"/>
                      <w:szCs w:val="21"/>
                      <w:lang w:val="en-US"/>
                    </w:rPr>
                  </w:pPr>
                  <w:r>
                    <w:rPr>
                      <w:rFonts w:hint="default" w:ascii="Times New Roman" w:hAnsi="Times New Roman" w:eastAsia="宋体" w:cs="Times New Roman"/>
                      <w:b w:val="0"/>
                      <w:bCs w:val="0"/>
                      <w:kern w:val="2"/>
                      <w:sz w:val="21"/>
                      <w:szCs w:val="21"/>
                      <w:lang w:val="en-US" w:eastAsia="zh-CN" w:bidi="ar"/>
                    </w:rPr>
                    <w:t>2.</w:t>
                  </w:r>
                  <w:r>
                    <w:rPr>
                      <w:rFonts w:hint="eastAsia" w:ascii="宋体" w:hAnsi="宋体" w:eastAsia="宋体" w:cs="宋体"/>
                      <w:b w:val="0"/>
                      <w:bCs w:val="0"/>
                      <w:kern w:val="2"/>
                      <w:sz w:val="21"/>
                      <w:szCs w:val="21"/>
                      <w:lang w:val="en-US" w:eastAsia="zh-CN" w:bidi="ar"/>
                    </w:rPr>
                    <w:t>厂区车辆全部达国五及以上排放标准（重型燃气车辆达到国六排 放标准）或使用新能源车辆；</w:t>
                  </w:r>
                </w:p>
                <w:p w14:paraId="4B9797C6">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both"/>
                    <w:textAlignment w:val="auto"/>
                    <w:rPr>
                      <w:rFonts w:hint="default" w:hAnsi="宋体"/>
                      <w:b w:val="0"/>
                      <w:bCs w:val="0"/>
                      <w:szCs w:val="21"/>
                      <w:lang w:val="en-US"/>
                    </w:rPr>
                  </w:pPr>
                  <w:r>
                    <w:rPr>
                      <w:rFonts w:hint="default" w:ascii="Times New Roman" w:hAnsi="Times New Roman" w:eastAsia="宋体" w:cs="Times New Roman"/>
                      <w:b w:val="0"/>
                      <w:bCs w:val="0"/>
                      <w:kern w:val="2"/>
                      <w:sz w:val="21"/>
                      <w:szCs w:val="21"/>
                      <w:lang w:val="en-US" w:eastAsia="zh-CN" w:bidi="ar"/>
                    </w:rPr>
                    <w:t>3.</w:t>
                  </w:r>
                  <w:r>
                    <w:rPr>
                      <w:rFonts w:hint="eastAsia" w:ascii="宋体" w:hAnsi="宋体" w:eastAsia="宋体" w:cs="宋体"/>
                      <w:b w:val="0"/>
                      <w:bCs w:val="0"/>
                      <w:kern w:val="2"/>
                      <w:sz w:val="21"/>
                      <w:szCs w:val="21"/>
                      <w:lang w:val="en-US" w:eastAsia="zh-CN" w:bidi="ar"/>
                    </w:rPr>
                    <w:t>厂内非道路移动机械达到国三及以上排放标准或使用新能源机械。</w:t>
                  </w:r>
                </w:p>
              </w:tc>
              <w:tc>
                <w:tcPr>
                  <w:tcW w:w="1414" w:type="pct"/>
                  <w:tcBorders>
                    <w:tl2br w:val="nil"/>
                    <w:tr2bl w:val="nil"/>
                  </w:tcBorders>
                  <w:shd w:val="clear" w:color="auto" w:fill="auto"/>
                  <w:vAlign w:val="center"/>
                </w:tcPr>
                <w:p w14:paraId="0942F21C">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center"/>
                    <w:textAlignment w:val="auto"/>
                    <w:rPr>
                      <w:rFonts w:hint="default" w:hAnsi="宋体"/>
                      <w:b w:val="0"/>
                      <w:bCs w:val="0"/>
                      <w:szCs w:val="21"/>
                      <w:lang w:val="en-US"/>
                    </w:rPr>
                  </w:pPr>
                  <w:r>
                    <w:rPr>
                      <w:rFonts w:hint="eastAsia" w:ascii="Times New Roman" w:hAnsi="宋体" w:eastAsia="宋体" w:cs="宋体"/>
                      <w:b w:val="0"/>
                      <w:bCs w:val="0"/>
                      <w:kern w:val="2"/>
                      <w:sz w:val="21"/>
                      <w:szCs w:val="21"/>
                      <w:lang w:val="en-US" w:eastAsia="zh-CN" w:bidi="ar"/>
                    </w:rPr>
                    <w:t>使用符合要求的运输车辆和非道路移动机械。</w:t>
                  </w:r>
                </w:p>
              </w:tc>
              <w:tc>
                <w:tcPr>
                  <w:tcW w:w="554" w:type="pct"/>
                  <w:tcBorders>
                    <w:tl2br w:val="nil"/>
                    <w:tr2bl w:val="nil"/>
                  </w:tcBorders>
                  <w:shd w:val="clear" w:color="auto" w:fill="auto"/>
                  <w:vAlign w:val="center"/>
                </w:tcPr>
                <w:p w14:paraId="29743EA1">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center"/>
                    <w:textAlignment w:val="auto"/>
                    <w:rPr>
                      <w:rFonts w:hint="default"/>
                      <w:b w:val="0"/>
                      <w:bCs w:val="0"/>
                      <w:szCs w:val="21"/>
                      <w:lang w:val="en-US"/>
                    </w:rPr>
                  </w:pPr>
                  <w:r>
                    <w:rPr>
                      <w:rFonts w:hint="eastAsia" w:ascii="Times New Roman" w:hAnsi="Times New Roman" w:eastAsia="宋体" w:cs="宋体"/>
                      <w:b w:val="0"/>
                      <w:bCs w:val="0"/>
                      <w:kern w:val="2"/>
                      <w:sz w:val="21"/>
                      <w:szCs w:val="21"/>
                      <w:lang w:val="en-US" w:eastAsia="zh-CN" w:bidi="ar"/>
                    </w:rPr>
                    <w:t>符合</w:t>
                  </w:r>
                </w:p>
              </w:tc>
            </w:tr>
            <w:tr w14:paraId="0A1857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 w:hRule="atLeast"/>
                <w:jc w:val="center"/>
              </w:trPr>
              <w:tc>
                <w:tcPr>
                  <w:tcW w:w="699" w:type="pct"/>
                  <w:gridSpan w:val="2"/>
                  <w:tcBorders>
                    <w:tl2br w:val="nil"/>
                    <w:tr2bl w:val="nil"/>
                  </w:tcBorders>
                  <w:shd w:val="clear" w:color="auto" w:fill="auto"/>
                  <w:vAlign w:val="center"/>
                </w:tcPr>
                <w:p w14:paraId="705A2365">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center"/>
                    <w:textAlignment w:val="auto"/>
                    <w:rPr>
                      <w:rFonts w:hint="default"/>
                      <w:b w:val="0"/>
                      <w:bCs w:val="0"/>
                      <w:szCs w:val="21"/>
                      <w:lang w:val="en-US"/>
                    </w:rPr>
                  </w:pPr>
                  <w:r>
                    <w:rPr>
                      <w:rFonts w:hint="eastAsia" w:ascii="Times New Roman" w:hAnsi="Times New Roman" w:eastAsia="宋体" w:cs="宋体"/>
                      <w:b w:val="0"/>
                      <w:bCs w:val="0"/>
                      <w:kern w:val="2"/>
                      <w:sz w:val="21"/>
                      <w:szCs w:val="21"/>
                      <w:lang w:val="en-US" w:eastAsia="zh-CN" w:bidi="ar"/>
                    </w:rPr>
                    <w:t>运输监管</w:t>
                  </w:r>
                </w:p>
              </w:tc>
              <w:tc>
                <w:tcPr>
                  <w:tcW w:w="2332" w:type="pct"/>
                  <w:tcBorders>
                    <w:tl2br w:val="nil"/>
                    <w:tr2bl w:val="nil"/>
                  </w:tcBorders>
                  <w:shd w:val="clear" w:color="auto" w:fill="auto"/>
                  <w:vAlign w:val="center"/>
                </w:tcPr>
                <w:p w14:paraId="06E11D47">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both"/>
                    <w:textAlignment w:val="auto"/>
                    <w:rPr>
                      <w:rFonts w:hint="default"/>
                      <w:b w:val="0"/>
                      <w:bCs w:val="0"/>
                      <w:szCs w:val="21"/>
                      <w:lang w:val="en-US"/>
                    </w:rPr>
                  </w:pPr>
                  <w:r>
                    <w:rPr>
                      <w:rFonts w:hint="eastAsia" w:ascii="宋体" w:hAnsi="宋体" w:eastAsia="宋体" w:cs="宋体"/>
                      <w:b w:val="0"/>
                      <w:bCs w:val="0"/>
                      <w:kern w:val="2"/>
                      <w:sz w:val="21"/>
                      <w:szCs w:val="21"/>
                      <w:lang w:val="en-US" w:eastAsia="zh-CN" w:bidi="ar"/>
                    </w:rPr>
                    <w:t>日均进出货物</w:t>
                  </w:r>
                  <w:r>
                    <w:rPr>
                      <w:rFonts w:hint="default" w:ascii="Times New Roman" w:hAnsi="Times New Roman" w:eastAsia="宋体" w:cs="Times New Roman"/>
                      <w:b w:val="0"/>
                      <w:bCs w:val="0"/>
                      <w:kern w:val="2"/>
                      <w:sz w:val="21"/>
                      <w:szCs w:val="21"/>
                      <w:lang w:val="en-US" w:eastAsia="zh-CN" w:bidi="ar"/>
                    </w:rPr>
                    <w:t>150</w:t>
                  </w:r>
                  <w:r>
                    <w:rPr>
                      <w:rFonts w:hint="eastAsia" w:ascii="宋体" w:hAnsi="宋体" w:eastAsia="宋体" w:cs="宋体"/>
                      <w:b w:val="0"/>
                      <w:bCs w:val="0"/>
                      <w:kern w:val="2"/>
                      <w:sz w:val="21"/>
                      <w:szCs w:val="21"/>
                      <w:lang w:val="en-US" w:eastAsia="zh-CN" w:bidi="ar"/>
                    </w:rPr>
                    <w:t>吨（或载货车辆日进出</w:t>
                  </w:r>
                  <w:r>
                    <w:rPr>
                      <w:rFonts w:hint="default" w:ascii="Times New Roman" w:hAnsi="Times New Roman" w:eastAsia="宋体" w:cs="Times New Roman"/>
                      <w:b w:val="0"/>
                      <w:bCs w:val="0"/>
                      <w:kern w:val="2"/>
                      <w:sz w:val="21"/>
                      <w:szCs w:val="21"/>
                      <w:lang w:val="en-US" w:eastAsia="zh-CN" w:bidi="ar"/>
                    </w:rPr>
                    <w:t>10</w:t>
                  </w:r>
                  <w:r>
                    <w:rPr>
                      <w:rFonts w:hint="eastAsia" w:ascii="宋体" w:hAnsi="宋体" w:eastAsia="宋体" w:cs="宋体"/>
                      <w:b w:val="0"/>
                      <w:bCs w:val="0"/>
                      <w:kern w:val="2"/>
                      <w:sz w:val="21"/>
                      <w:szCs w:val="21"/>
                      <w:lang w:val="en-US" w:eastAsia="zh-CN" w:bidi="ar"/>
                    </w:rPr>
                    <w:t>辆次）及以上（货物包括原料、辅料、燃料、产品和其他与生产相关物料）的企业，参照《重污染天气重点行业移动源应急管理技术指南》建立门禁视频监控系统和电子台账；</w:t>
                  </w:r>
                  <w:r>
                    <w:rPr>
                      <w:rFonts w:hint="eastAsia" w:ascii="Times New Roman" w:hAnsi="宋体" w:eastAsia="宋体" w:cs="宋体"/>
                      <w:b w:val="0"/>
                      <w:bCs w:val="0"/>
                      <w:kern w:val="2"/>
                      <w:sz w:val="21"/>
                      <w:szCs w:val="21"/>
                      <w:lang w:val="en-US" w:eastAsia="zh-CN" w:bidi="ar"/>
                    </w:rPr>
                    <w:t>其他企业安装车辆运输视频监控（数据能保存</w:t>
                  </w:r>
                  <w:r>
                    <w:rPr>
                      <w:rFonts w:hint="default" w:ascii="Times New Roman" w:hAnsi="Times New Roman" w:eastAsia="宋体" w:cs="Times New Roman"/>
                      <w:b w:val="0"/>
                      <w:bCs w:val="0"/>
                      <w:kern w:val="2"/>
                      <w:sz w:val="21"/>
                      <w:szCs w:val="21"/>
                      <w:lang w:val="en-US" w:eastAsia="zh-CN" w:bidi="ar"/>
                    </w:rPr>
                    <w:t>6</w:t>
                  </w:r>
                  <w:r>
                    <w:rPr>
                      <w:rFonts w:hint="eastAsia" w:ascii="Times New Roman" w:hAnsi="宋体" w:eastAsia="宋体" w:cs="宋体"/>
                      <w:b w:val="0"/>
                      <w:bCs w:val="0"/>
                      <w:kern w:val="2"/>
                      <w:sz w:val="21"/>
                      <w:szCs w:val="21"/>
                      <w:lang w:val="en-US" w:eastAsia="zh-CN" w:bidi="ar"/>
                    </w:rPr>
                    <w:t>个月），并建立车辆运输手工台账。</w:t>
                  </w:r>
                </w:p>
              </w:tc>
              <w:tc>
                <w:tcPr>
                  <w:tcW w:w="1414" w:type="pct"/>
                  <w:tcBorders>
                    <w:tl2br w:val="nil"/>
                    <w:tr2bl w:val="nil"/>
                  </w:tcBorders>
                  <w:shd w:val="clear" w:color="auto" w:fill="auto"/>
                  <w:vAlign w:val="center"/>
                </w:tcPr>
                <w:p w14:paraId="32F2BA29">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center"/>
                    <w:textAlignment w:val="auto"/>
                    <w:rPr>
                      <w:rFonts w:hint="default" w:hAnsi="宋体"/>
                      <w:b w:val="0"/>
                      <w:bCs w:val="0"/>
                      <w:szCs w:val="21"/>
                      <w:lang w:val="en-US"/>
                    </w:rPr>
                  </w:pPr>
                  <w:r>
                    <w:rPr>
                      <w:rFonts w:hint="eastAsia" w:ascii="Times New Roman" w:hAnsi="宋体" w:eastAsia="宋体" w:cs="宋体"/>
                      <w:b w:val="0"/>
                      <w:bCs w:val="0"/>
                      <w:kern w:val="2"/>
                      <w:sz w:val="21"/>
                      <w:szCs w:val="21"/>
                      <w:lang w:val="en-US" w:eastAsia="zh-CN" w:bidi="ar"/>
                    </w:rPr>
                    <w:t>根据环保部门要求建立门禁视频监控系统和电子台账。</w:t>
                  </w:r>
                </w:p>
              </w:tc>
              <w:tc>
                <w:tcPr>
                  <w:tcW w:w="554" w:type="pct"/>
                  <w:tcBorders>
                    <w:tl2br w:val="nil"/>
                    <w:tr2bl w:val="nil"/>
                  </w:tcBorders>
                  <w:shd w:val="clear" w:color="auto" w:fill="auto"/>
                  <w:vAlign w:val="center"/>
                </w:tcPr>
                <w:p w14:paraId="09F0C7E2">
                  <w:pPr>
                    <w:keepNext w:val="0"/>
                    <w:keepLines w:val="0"/>
                    <w:pageBreakBefore w:val="0"/>
                    <w:widowControl w:val="0"/>
                    <w:suppressLineNumbers w:val="0"/>
                    <w:kinsoku/>
                    <w:wordWrap/>
                    <w:overflowPunct/>
                    <w:topLinePunct w:val="0"/>
                    <w:bidi w:val="0"/>
                    <w:spacing w:before="0" w:beforeAutospacing="0" w:after="0" w:afterAutospacing="0" w:line="360" w:lineRule="exact"/>
                    <w:ind w:left="0" w:right="0"/>
                    <w:jc w:val="center"/>
                    <w:textAlignment w:val="auto"/>
                    <w:rPr>
                      <w:rFonts w:hint="default"/>
                      <w:b w:val="0"/>
                      <w:bCs w:val="0"/>
                      <w:szCs w:val="21"/>
                      <w:lang w:val="en-US"/>
                    </w:rPr>
                  </w:pPr>
                  <w:r>
                    <w:rPr>
                      <w:rFonts w:hint="eastAsia" w:ascii="Times New Roman" w:hAnsi="Times New Roman" w:eastAsia="宋体" w:cs="宋体"/>
                      <w:b w:val="0"/>
                      <w:bCs w:val="0"/>
                      <w:kern w:val="2"/>
                      <w:sz w:val="21"/>
                      <w:szCs w:val="21"/>
                      <w:lang w:val="en-US" w:eastAsia="zh-CN" w:bidi="ar"/>
                    </w:rPr>
                    <w:t>符合</w:t>
                  </w:r>
                </w:p>
              </w:tc>
            </w:tr>
          </w:tbl>
          <w:p w14:paraId="05BA1207">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520" w:lineRule="exact"/>
              <w:ind w:left="0" w:right="0" w:firstLine="480" w:firstLineChars="200"/>
              <w:textAlignment w:val="auto"/>
              <w:rPr>
                <w:rFonts w:hint="default"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kern w:val="2"/>
                <w:sz w:val="24"/>
                <w:szCs w:val="24"/>
                <w:lang w:val="en-US" w:eastAsia="zh-CN" w:bidi="ar"/>
              </w:rPr>
              <w:t>项目建设符合</w:t>
            </w:r>
            <w:r>
              <w:rPr>
                <w:rFonts w:hint="eastAsia" w:ascii="Times New Roman" w:hAnsi="Times New Roman" w:eastAsia="宋体" w:cs="Times New Roman"/>
                <w:bCs/>
                <w:kern w:val="2"/>
                <w:sz w:val="24"/>
                <w:szCs w:val="24"/>
                <w:lang w:val="en-US" w:eastAsia="zh-CN" w:bidi="ar"/>
              </w:rPr>
              <w:t>《河南省重污染天气重点行业应急减排措施制定技术指南（</w:t>
            </w:r>
            <w:r>
              <w:rPr>
                <w:rFonts w:hint="default" w:ascii="Times New Roman" w:hAnsi="Times New Roman" w:eastAsia="宋体" w:cs="Times New Roman"/>
                <w:bCs/>
                <w:kern w:val="2"/>
                <w:sz w:val="24"/>
                <w:szCs w:val="24"/>
                <w:lang w:val="en-US" w:eastAsia="zh-CN" w:bidi="ar"/>
              </w:rPr>
              <w:t>2024</w:t>
            </w:r>
            <w:r>
              <w:rPr>
                <w:rFonts w:hint="eastAsia" w:ascii="Times New Roman" w:hAnsi="Times New Roman" w:eastAsia="宋体" w:cs="Times New Roman"/>
                <w:bCs/>
                <w:kern w:val="2"/>
                <w:sz w:val="24"/>
                <w:szCs w:val="24"/>
                <w:lang w:val="en-US" w:eastAsia="zh-CN" w:bidi="ar"/>
              </w:rPr>
              <w:t>年修订版）》中塑料制品企业绩效分级</w:t>
            </w:r>
            <w:r>
              <w:rPr>
                <w:rFonts w:hint="default" w:ascii="Times New Roman" w:hAnsi="Times New Roman" w:eastAsia="宋体" w:cs="Times New Roman"/>
                <w:bCs/>
                <w:kern w:val="2"/>
                <w:sz w:val="24"/>
                <w:szCs w:val="24"/>
                <w:lang w:val="en-US" w:eastAsia="zh-CN" w:bidi="ar"/>
              </w:rPr>
              <w:t>A</w:t>
            </w:r>
            <w:r>
              <w:rPr>
                <w:rFonts w:hint="eastAsia" w:ascii="Times New Roman" w:hAnsi="Times New Roman" w:eastAsia="宋体" w:cs="Times New Roman"/>
                <w:bCs/>
                <w:kern w:val="2"/>
                <w:sz w:val="24"/>
                <w:szCs w:val="24"/>
                <w:lang w:val="en-US" w:eastAsia="zh-CN" w:bidi="ar"/>
              </w:rPr>
              <w:t>级企业相关要求</w:t>
            </w:r>
            <w:r>
              <w:rPr>
                <w:rFonts w:hint="default"/>
                <w:sz w:val="24"/>
                <w:szCs w:val="24"/>
                <w:lang w:val="en-US" w:eastAsia="zh-CN"/>
              </w:rPr>
              <w:t>。</w:t>
            </w:r>
          </w:p>
          <w:p w14:paraId="1B009620">
            <w:pPr>
              <w:keepNext w:val="0"/>
              <w:keepLines w:val="0"/>
              <w:pageBreakBefore w:val="0"/>
              <w:widowControl w:val="0"/>
              <w:suppressLineNumbers w:val="0"/>
              <w:kinsoku/>
              <w:wordWrap/>
              <w:overflowPunct/>
              <w:topLinePunct w:val="0"/>
              <w:autoSpaceDE/>
              <w:autoSpaceDN/>
              <w:bidi w:val="0"/>
              <w:adjustRightInd w:val="0"/>
              <w:spacing w:before="0" w:beforeAutospacing="0" w:after="0" w:afterAutospacing="0" w:line="520" w:lineRule="exact"/>
              <w:ind w:left="0" w:right="0"/>
              <w:jc w:val="both"/>
              <w:textAlignment w:val="auto"/>
              <w:rPr>
                <w:rFonts w:hint="eastAsia" w:ascii="Times New Roman" w:hAnsi="Times New Roman" w:eastAsia="宋体" w:cs="Times New Roman"/>
                <w:color w:val="auto"/>
                <w:sz w:val="24"/>
                <w:szCs w:val="24"/>
                <w:highlight w:val="none"/>
                <w:u w:val="none" w:color="auto"/>
                <w:lang w:val="en-US" w:eastAsia="zh-CN"/>
              </w:rPr>
            </w:pPr>
            <w:r>
              <w:rPr>
                <w:rFonts w:hint="eastAsia" w:cs="宋体"/>
                <w:b w:val="0"/>
                <w:bCs w:val="0"/>
                <w:kern w:val="2"/>
                <w:sz w:val="24"/>
                <w:szCs w:val="24"/>
                <w:highlight w:val="none"/>
                <w:lang w:val="en-US" w:eastAsia="zh-CN" w:bidi="ar"/>
              </w:rPr>
              <w:t>六</w:t>
            </w:r>
            <w:r>
              <w:rPr>
                <w:rFonts w:hint="eastAsia" w:ascii="Times New Roman" w:hAnsi="Times New Roman" w:eastAsia="宋体" w:cs="宋体"/>
                <w:b w:val="0"/>
                <w:bCs w:val="0"/>
                <w:kern w:val="2"/>
                <w:sz w:val="24"/>
                <w:szCs w:val="24"/>
                <w:highlight w:val="none"/>
                <w:lang w:val="en-US" w:eastAsia="zh-CN" w:bidi="ar"/>
              </w:rPr>
              <w:t>、《安阳市2025年大气污染防治攻坚行动方案》</w:t>
            </w:r>
            <w:r>
              <w:rPr>
                <w:rFonts w:hint="eastAsia" w:ascii="Times New Roman" w:hAnsi="Times New Roman" w:eastAsia="宋体" w:cs="Times New Roman"/>
                <w:color w:val="auto"/>
                <w:sz w:val="24"/>
                <w:szCs w:val="24"/>
                <w:highlight w:val="none"/>
                <w:u w:val="none" w:color="auto"/>
                <w:lang w:val="en-US" w:eastAsia="zh-CN"/>
              </w:rPr>
              <w:t>符合性分析</w:t>
            </w:r>
          </w:p>
          <w:p w14:paraId="1958B6F2">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520" w:lineRule="exact"/>
              <w:ind w:left="0" w:right="0" w:firstLine="480" w:firstLineChars="200"/>
              <w:textAlignment w:val="auto"/>
              <w:rPr>
                <w:rFonts w:hint="eastAsia"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根据安阳市生态环境保护委员会关于印发《</w:t>
            </w:r>
            <w:r>
              <w:rPr>
                <w:rFonts w:hint="eastAsia" w:ascii="Times New Roman" w:hAnsi="Times New Roman" w:eastAsia="宋体" w:cs="宋体"/>
                <w:b w:val="0"/>
                <w:bCs w:val="0"/>
                <w:kern w:val="2"/>
                <w:sz w:val="24"/>
                <w:szCs w:val="24"/>
                <w:highlight w:val="none"/>
                <w:lang w:val="en-US" w:eastAsia="zh-CN" w:bidi="ar"/>
              </w:rPr>
              <w:t>安阳市2025年大气污染防治攻坚行动方案</w:t>
            </w:r>
            <w:r>
              <w:rPr>
                <w:rFonts w:hint="eastAsia" w:ascii="Times New Roman" w:hAnsi="Times New Roman" w:eastAsia="宋体" w:cs="Times New Roman"/>
                <w:color w:val="auto"/>
                <w:sz w:val="24"/>
                <w:szCs w:val="24"/>
                <w:highlight w:val="none"/>
                <w:u w:val="none" w:color="auto"/>
                <w:lang w:val="en-US" w:eastAsia="zh-CN"/>
              </w:rPr>
              <w:t>》的通知（安环委〔202</w:t>
            </w:r>
            <w:r>
              <w:rPr>
                <w:rFonts w:hint="eastAsia" w:cs="Times New Roman"/>
                <w:color w:val="auto"/>
                <w:sz w:val="24"/>
                <w:szCs w:val="24"/>
                <w:highlight w:val="none"/>
                <w:u w:val="none" w:color="auto"/>
                <w:lang w:val="en-US" w:eastAsia="zh-CN"/>
              </w:rPr>
              <w:t>5</w:t>
            </w:r>
            <w:r>
              <w:rPr>
                <w:rFonts w:hint="eastAsia" w:ascii="Times New Roman" w:hAnsi="Times New Roman" w:eastAsia="宋体" w:cs="Times New Roman"/>
                <w:color w:val="auto"/>
                <w:sz w:val="24"/>
                <w:szCs w:val="24"/>
                <w:highlight w:val="none"/>
                <w:u w:val="none" w:color="auto"/>
                <w:lang w:val="en-US" w:eastAsia="zh-CN"/>
              </w:rPr>
              <w:t>〕</w:t>
            </w:r>
            <w:r>
              <w:rPr>
                <w:rFonts w:hint="eastAsia" w:cs="Times New Roman"/>
                <w:color w:val="auto"/>
                <w:sz w:val="24"/>
                <w:szCs w:val="24"/>
                <w:highlight w:val="none"/>
                <w:u w:val="none" w:color="auto"/>
                <w:lang w:val="en-US" w:eastAsia="zh-CN"/>
              </w:rPr>
              <w:t>2</w:t>
            </w:r>
            <w:r>
              <w:rPr>
                <w:rFonts w:hint="eastAsia" w:ascii="Times New Roman" w:hAnsi="Times New Roman" w:eastAsia="宋体" w:cs="Times New Roman"/>
                <w:color w:val="auto"/>
                <w:sz w:val="24"/>
                <w:szCs w:val="24"/>
                <w:highlight w:val="none"/>
                <w:u w:val="none" w:color="auto"/>
                <w:lang w:val="en-US" w:eastAsia="zh-CN"/>
              </w:rPr>
              <w:t>号），项目对比方案中相关内容，进行分析如下。</w:t>
            </w:r>
          </w:p>
          <w:p w14:paraId="11192657">
            <w:pPr>
              <w:pStyle w:val="8"/>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20" w:lineRule="exact"/>
              <w:ind w:left="0" w:right="0"/>
              <w:jc w:val="center"/>
              <w:textAlignment w:val="auto"/>
              <w:rPr>
                <w:rFonts w:hint="default"/>
                <w:color w:val="auto"/>
                <w:highlight w:val="none"/>
                <w:u w:val="none" w:color="auto"/>
                <w:lang w:val="en-US" w:eastAsia="zh-CN"/>
              </w:rPr>
            </w:pPr>
            <w:r>
              <w:rPr>
                <w:rFonts w:hint="default" w:eastAsia="黑体"/>
                <w:b w:val="0"/>
                <w:bCs/>
                <w:color w:val="auto"/>
                <w:spacing w:val="9"/>
                <w:sz w:val="24"/>
                <w:szCs w:val="24"/>
                <w:highlight w:val="none"/>
                <w:u w:val="none" w:color="auto"/>
              </w:rPr>
              <w:t>表</w:t>
            </w:r>
            <w:r>
              <w:rPr>
                <w:rFonts w:hint="eastAsia"/>
                <w:b w:val="0"/>
                <w:bCs/>
                <w:color w:val="auto"/>
                <w:spacing w:val="9"/>
                <w:sz w:val="24"/>
                <w:szCs w:val="24"/>
                <w:highlight w:val="none"/>
                <w:u w:val="none" w:color="auto"/>
                <w:lang w:val="en-US" w:eastAsia="zh-CN"/>
              </w:rPr>
              <w:t>1-9</w:t>
            </w:r>
            <w:r>
              <w:rPr>
                <w:rFonts w:hint="default" w:eastAsia="黑体"/>
                <w:b w:val="0"/>
                <w:bCs/>
                <w:color w:val="auto"/>
                <w:spacing w:val="9"/>
                <w:sz w:val="24"/>
                <w:szCs w:val="24"/>
                <w:highlight w:val="none"/>
                <w:u w:val="none" w:color="auto"/>
              </w:rPr>
              <w:t xml:space="preserve">  </w:t>
            </w:r>
            <w:r>
              <w:rPr>
                <w:rFonts w:hint="default" w:eastAsia="黑体"/>
                <w:b w:val="0"/>
                <w:bCs/>
                <w:color w:val="auto"/>
                <w:spacing w:val="9"/>
                <w:sz w:val="24"/>
                <w:szCs w:val="24"/>
                <w:highlight w:val="none"/>
                <w:u w:val="none" w:color="auto"/>
                <w:lang w:val="en-US" w:eastAsia="zh-CN"/>
              </w:rPr>
              <w:t>与</w:t>
            </w:r>
            <w:r>
              <w:rPr>
                <w:rFonts w:hint="default" w:eastAsia="黑体"/>
                <w:b w:val="0"/>
                <w:bCs/>
                <w:color w:val="auto"/>
                <w:spacing w:val="9"/>
                <w:sz w:val="24"/>
                <w:szCs w:val="24"/>
                <w:highlight w:val="none"/>
                <w:u w:val="none" w:color="auto"/>
                <w:lang w:val="zh-CN" w:eastAsia="zh-CN"/>
              </w:rPr>
              <w:t>攻坚行动方案</w:t>
            </w:r>
            <w:r>
              <w:rPr>
                <w:rFonts w:hint="default" w:eastAsia="黑体"/>
                <w:b w:val="0"/>
                <w:bCs/>
                <w:color w:val="auto"/>
                <w:spacing w:val="9"/>
                <w:sz w:val="24"/>
                <w:szCs w:val="24"/>
                <w:highlight w:val="none"/>
                <w:u w:val="none" w:color="auto"/>
                <w:lang w:val="en-US" w:eastAsia="zh-CN"/>
              </w:rPr>
              <w:t>对比分析</w:t>
            </w:r>
            <w:r>
              <w:rPr>
                <w:rFonts w:hint="eastAsia" w:eastAsia="黑体"/>
                <w:b w:val="0"/>
                <w:bCs/>
                <w:color w:val="auto"/>
                <w:spacing w:val="9"/>
                <w:sz w:val="24"/>
                <w:szCs w:val="24"/>
                <w:highlight w:val="none"/>
                <w:u w:val="none" w:color="auto"/>
                <w:lang w:val="en-US" w:eastAsia="zh-CN"/>
              </w:rPr>
              <w:t>表</w:t>
            </w:r>
          </w:p>
          <w:tbl>
            <w:tblPr>
              <w:tblStyle w:val="25"/>
              <w:tblW w:w="4999"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563"/>
              <w:gridCol w:w="814"/>
              <w:gridCol w:w="4123"/>
              <w:gridCol w:w="1690"/>
              <w:gridCol w:w="739"/>
            </w:tblGrid>
            <w:tr w14:paraId="6576EC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0" w:hRule="atLeast"/>
              </w:trPr>
              <w:tc>
                <w:tcPr>
                  <w:tcW w:w="355" w:type="pct"/>
                  <w:tcBorders>
                    <w:tl2br w:val="nil"/>
                    <w:tr2bl w:val="nil"/>
                  </w:tcBorders>
                  <w:shd w:val="clear" w:color="auto" w:fill="auto"/>
                  <w:vAlign w:val="center"/>
                </w:tcPr>
                <w:p w14:paraId="32F3AC22">
                  <w:pPr>
                    <w:pStyle w:val="21"/>
                    <w:keepNext w:val="0"/>
                    <w:keepLines w:val="0"/>
                    <w:pageBreakBefore w:val="0"/>
                    <w:widowControl w:val="0"/>
                    <w:suppressLineNumbers w:val="0"/>
                    <w:kinsoku/>
                    <w:wordWrap/>
                    <w:overflowPunct/>
                    <w:topLinePunct w:val="0"/>
                    <w:autoSpaceDE/>
                    <w:autoSpaceDN/>
                    <w:bidi w:val="0"/>
                    <w:adjustRightInd/>
                    <w:snapToGrid/>
                    <w:spacing w:before="2" w:beforeAutospacing="0" w:after="0" w:afterAutospacing="0" w:line="360" w:lineRule="exact"/>
                    <w:ind w:left="0" w:right="0"/>
                    <w:jc w:val="center"/>
                    <w:textAlignment w:val="auto"/>
                    <w:rPr>
                      <w:rFonts w:hint="default" w:ascii="Times New Roman" w:hAnsi="Times New Roman" w:cs="Times New Roman"/>
                      <w:b w:val="0"/>
                      <w:bCs/>
                      <w:szCs w:val="21"/>
                      <w:u w:val="none"/>
                      <w:lang w:val="en-US"/>
                    </w:rPr>
                  </w:pPr>
                  <w:r>
                    <w:rPr>
                      <w:rFonts w:hint="eastAsia" w:ascii="Times New Roman" w:hAnsi="Times New Roman" w:eastAsia="宋体" w:cs="Times New Roman"/>
                      <w:b w:val="0"/>
                      <w:bCs/>
                      <w:kern w:val="2"/>
                      <w:sz w:val="21"/>
                      <w:szCs w:val="21"/>
                      <w:u w:val="none" w:color="000000"/>
                      <w:lang w:val="en-US" w:eastAsia="zh-CN" w:bidi="ar"/>
                    </w:rPr>
                    <w:t>序号</w:t>
                  </w:r>
                </w:p>
              </w:tc>
              <w:tc>
                <w:tcPr>
                  <w:tcW w:w="3111" w:type="pct"/>
                  <w:gridSpan w:val="2"/>
                  <w:tcBorders>
                    <w:tl2br w:val="nil"/>
                    <w:tr2bl w:val="nil"/>
                  </w:tcBorders>
                  <w:shd w:val="clear" w:color="auto" w:fill="auto"/>
                  <w:vAlign w:val="center"/>
                </w:tcPr>
                <w:p w14:paraId="4BFBB584">
                  <w:pPr>
                    <w:pStyle w:val="21"/>
                    <w:keepNext w:val="0"/>
                    <w:keepLines w:val="0"/>
                    <w:pageBreakBefore w:val="0"/>
                    <w:widowControl w:val="0"/>
                    <w:suppressLineNumbers w:val="0"/>
                    <w:kinsoku/>
                    <w:wordWrap/>
                    <w:overflowPunct/>
                    <w:topLinePunct w:val="0"/>
                    <w:autoSpaceDE/>
                    <w:autoSpaceDN/>
                    <w:bidi w:val="0"/>
                    <w:adjustRightInd/>
                    <w:snapToGrid/>
                    <w:spacing w:before="2" w:beforeAutospacing="0" w:after="0" w:afterAutospacing="0" w:line="360" w:lineRule="exact"/>
                    <w:ind w:left="0" w:right="0"/>
                    <w:jc w:val="center"/>
                    <w:textAlignment w:val="auto"/>
                    <w:rPr>
                      <w:rFonts w:hint="default" w:ascii="Times New Roman" w:hAnsi="Times New Roman" w:cs="Times New Roman"/>
                      <w:b w:val="0"/>
                      <w:bCs/>
                      <w:szCs w:val="21"/>
                      <w:u w:val="none"/>
                      <w:lang w:val="en-US"/>
                    </w:rPr>
                  </w:pPr>
                  <w:r>
                    <w:rPr>
                      <w:rFonts w:hint="eastAsia" w:ascii="Times New Roman" w:hAnsi="Times New Roman" w:eastAsia="宋体" w:cs="Times New Roman"/>
                      <w:b w:val="0"/>
                      <w:bCs/>
                      <w:kern w:val="2"/>
                      <w:sz w:val="21"/>
                      <w:szCs w:val="21"/>
                      <w:u w:val="none" w:color="000000"/>
                      <w:lang w:val="en-US" w:eastAsia="zh-CN" w:bidi="ar"/>
                    </w:rPr>
                    <w:t>文件内容</w:t>
                  </w:r>
                </w:p>
              </w:tc>
              <w:tc>
                <w:tcPr>
                  <w:tcW w:w="1065" w:type="pct"/>
                  <w:tcBorders>
                    <w:tl2br w:val="nil"/>
                    <w:tr2bl w:val="nil"/>
                  </w:tcBorders>
                  <w:shd w:val="clear" w:color="auto" w:fill="auto"/>
                  <w:vAlign w:val="center"/>
                </w:tcPr>
                <w:p w14:paraId="796E452D">
                  <w:pPr>
                    <w:pStyle w:val="21"/>
                    <w:keepNext w:val="0"/>
                    <w:keepLines w:val="0"/>
                    <w:pageBreakBefore w:val="0"/>
                    <w:widowControl w:val="0"/>
                    <w:suppressLineNumbers w:val="0"/>
                    <w:kinsoku/>
                    <w:wordWrap/>
                    <w:overflowPunct/>
                    <w:topLinePunct w:val="0"/>
                    <w:autoSpaceDE/>
                    <w:autoSpaceDN/>
                    <w:bidi w:val="0"/>
                    <w:adjustRightInd/>
                    <w:snapToGrid/>
                    <w:spacing w:before="2" w:beforeAutospacing="0" w:after="0" w:afterAutospacing="0" w:line="360" w:lineRule="exact"/>
                    <w:ind w:left="0" w:right="0"/>
                    <w:jc w:val="center"/>
                    <w:textAlignment w:val="auto"/>
                    <w:rPr>
                      <w:rFonts w:hint="default" w:ascii="Times New Roman" w:hAnsi="Times New Roman" w:cs="Times New Roman"/>
                      <w:b w:val="0"/>
                      <w:bCs/>
                      <w:szCs w:val="21"/>
                      <w:u w:val="none"/>
                      <w:lang w:val="en-US"/>
                    </w:rPr>
                  </w:pPr>
                  <w:r>
                    <w:rPr>
                      <w:rFonts w:hint="eastAsia" w:ascii="Times New Roman" w:hAnsi="Times New Roman" w:eastAsia="宋体" w:cs="Times New Roman"/>
                      <w:b w:val="0"/>
                      <w:bCs/>
                      <w:kern w:val="2"/>
                      <w:sz w:val="21"/>
                      <w:szCs w:val="21"/>
                      <w:u w:val="none" w:color="000000"/>
                      <w:lang w:val="en-US" w:eastAsia="zh-CN" w:bidi="ar"/>
                    </w:rPr>
                    <w:t>项目建设情况</w:t>
                  </w:r>
                </w:p>
              </w:tc>
              <w:tc>
                <w:tcPr>
                  <w:tcW w:w="466" w:type="pct"/>
                  <w:tcBorders>
                    <w:tl2br w:val="nil"/>
                    <w:tr2bl w:val="nil"/>
                  </w:tcBorders>
                  <w:shd w:val="clear" w:color="auto" w:fill="auto"/>
                  <w:vAlign w:val="center"/>
                </w:tcPr>
                <w:p w14:paraId="48DC7DA5">
                  <w:pPr>
                    <w:pStyle w:val="21"/>
                    <w:keepNext w:val="0"/>
                    <w:keepLines w:val="0"/>
                    <w:pageBreakBefore w:val="0"/>
                    <w:widowControl w:val="0"/>
                    <w:suppressLineNumbers w:val="0"/>
                    <w:kinsoku/>
                    <w:wordWrap/>
                    <w:overflowPunct/>
                    <w:topLinePunct w:val="0"/>
                    <w:autoSpaceDE/>
                    <w:autoSpaceDN/>
                    <w:bidi w:val="0"/>
                    <w:adjustRightInd/>
                    <w:snapToGrid/>
                    <w:spacing w:before="2" w:beforeAutospacing="0" w:after="0" w:afterAutospacing="0" w:line="360" w:lineRule="exact"/>
                    <w:ind w:left="0" w:right="0"/>
                    <w:jc w:val="center"/>
                    <w:textAlignment w:val="auto"/>
                    <w:rPr>
                      <w:rFonts w:hint="default" w:ascii="Times New Roman" w:hAnsi="Times New Roman" w:cs="Times New Roman"/>
                      <w:b w:val="0"/>
                      <w:bCs/>
                      <w:szCs w:val="21"/>
                      <w:u w:val="none"/>
                      <w:lang w:val="en-US"/>
                    </w:rPr>
                  </w:pPr>
                  <w:r>
                    <w:rPr>
                      <w:rFonts w:hint="eastAsia" w:ascii="Times New Roman" w:hAnsi="Times New Roman" w:eastAsia="宋体" w:cs="Times New Roman"/>
                      <w:b w:val="0"/>
                      <w:bCs/>
                      <w:kern w:val="2"/>
                      <w:sz w:val="21"/>
                      <w:szCs w:val="21"/>
                      <w:u w:val="none" w:color="000000"/>
                      <w:lang w:val="en-US" w:eastAsia="zh-CN" w:bidi="ar"/>
                    </w:rPr>
                    <w:t>符合性</w:t>
                  </w:r>
                </w:p>
              </w:tc>
            </w:tr>
            <w:tr w14:paraId="71561A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0" w:hRule="atLeast"/>
              </w:trPr>
              <w:tc>
                <w:tcPr>
                  <w:tcW w:w="355" w:type="pct"/>
                  <w:tcBorders>
                    <w:tl2br w:val="nil"/>
                    <w:tr2bl w:val="nil"/>
                  </w:tcBorders>
                  <w:shd w:val="clear" w:color="auto" w:fill="auto"/>
                  <w:vAlign w:val="center"/>
                </w:tcPr>
                <w:p w14:paraId="09C8F1F6">
                  <w:pPr>
                    <w:pStyle w:val="21"/>
                    <w:keepNext w:val="0"/>
                    <w:keepLines w:val="0"/>
                    <w:pageBreakBefore w:val="0"/>
                    <w:widowControl w:val="0"/>
                    <w:suppressLineNumbers w:val="0"/>
                    <w:kinsoku/>
                    <w:wordWrap/>
                    <w:overflowPunct/>
                    <w:topLinePunct w:val="0"/>
                    <w:autoSpaceDE/>
                    <w:autoSpaceDN/>
                    <w:bidi w:val="0"/>
                    <w:adjustRightInd/>
                    <w:snapToGrid/>
                    <w:spacing w:before="2" w:beforeAutospacing="0" w:after="0" w:afterAutospacing="0" w:line="360" w:lineRule="exact"/>
                    <w:ind w:left="0" w:right="0"/>
                    <w:jc w:val="center"/>
                    <w:textAlignment w:val="auto"/>
                    <w:rPr>
                      <w:rFonts w:hint="default" w:ascii="Times New Roman" w:hAnsi="Times New Roman" w:cs="Times New Roman"/>
                      <w:bCs/>
                      <w:szCs w:val="21"/>
                      <w:u w:val="none"/>
                      <w:lang w:val="en-US"/>
                    </w:rPr>
                  </w:pPr>
                  <w:r>
                    <w:rPr>
                      <w:rFonts w:hint="default" w:ascii="Times New Roman" w:hAnsi="Times New Roman" w:eastAsia="宋体" w:cs="Times New Roman"/>
                      <w:bCs/>
                      <w:kern w:val="2"/>
                      <w:sz w:val="21"/>
                      <w:szCs w:val="21"/>
                      <w:u w:val="none" w:color="000000"/>
                      <w:lang w:val="en-US" w:eastAsia="zh-CN" w:bidi="ar"/>
                    </w:rPr>
                    <w:t>6</w:t>
                  </w:r>
                </w:p>
              </w:tc>
              <w:tc>
                <w:tcPr>
                  <w:tcW w:w="513" w:type="pct"/>
                  <w:tcBorders>
                    <w:tl2br w:val="nil"/>
                    <w:tr2bl w:val="nil"/>
                  </w:tcBorders>
                  <w:shd w:val="clear" w:color="auto" w:fill="auto"/>
                  <w:vAlign w:val="center"/>
                </w:tcPr>
                <w:p w14:paraId="65A13597">
                  <w:pPr>
                    <w:pStyle w:val="21"/>
                    <w:keepNext w:val="0"/>
                    <w:keepLines w:val="0"/>
                    <w:pageBreakBefore w:val="0"/>
                    <w:widowControl w:val="0"/>
                    <w:suppressLineNumbers w:val="0"/>
                    <w:kinsoku/>
                    <w:wordWrap/>
                    <w:overflowPunct/>
                    <w:topLinePunct w:val="0"/>
                    <w:autoSpaceDE/>
                    <w:autoSpaceDN/>
                    <w:bidi w:val="0"/>
                    <w:adjustRightInd/>
                    <w:snapToGrid/>
                    <w:spacing w:before="2" w:beforeAutospacing="0" w:after="0" w:afterAutospacing="0" w:line="360" w:lineRule="exact"/>
                    <w:ind w:left="0" w:right="0"/>
                    <w:jc w:val="center"/>
                    <w:textAlignment w:val="auto"/>
                    <w:rPr>
                      <w:rFonts w:hint="default" w:ascii="Times New Roman" w:hAnsi="Times New Roman" w:cs="Times New Roman"/>
                      <w:bCs/>
                      <w:szCs w:val="21"/>
                      <w:u w:val="none"/>
                      <w:lang w:val="en-US"/>
                    </w:rPr>
                  </w:pPr>
                  <w:r>
                    <w:rPr>
                      <w:rFonts w:hint="eastAsia" w:ascii="Times New Roman" w:hAnsi="Times New Roman" w:eastAsia="宋体" w:cs="Times New Roman"/>
                      <w:bCs/>
                      <w:kern w:val="2"/>
                      <w:sz w:val="21"/>
                      <w:szCs w:val="21"/>
                      <w:u w:val="none" w:color="000000"/>
                      <w:lang w:val="en-US" w:eastAsia="zh-CN" w:bidi="ar"/>
                    </w:rPr>
                    <w:t>严格项目源头管控</w:t>
                  </w:r>
                </w:p>
              </w:tc>
              <w:tc>
                <w:tcPr>
                  <w:tcW w:w="2598" w:type="pct"/>
                  <w:tcBorders>
                    <w:tl2br w:val="nil"/>
                    <w:tr2bl w:val="nil"/>
                  </w:tcBorders>
                  <w:shd w:val="clear" w:color="auto" w:fill="auto"/>
                  <w:vAlign w:val="center"/>
                </w:tcPr>
                <w:p w14:paraId="4D18C5A2">
                  <w:pPr>
                    <w:pStyle w:val="21"/>
                    <w:keepNext w:val="0"/>
                    <w:keepLines w:val="0"/>
                    <w:pageBreakBefore w:val="0"/>
                    <w:widowControl w:val="0"/>
                    <w:suppressLineNumbers w:val="0"/>
                    <w:kinsoku/>
                    <w:wordWrap/>
                    <w:overflowPunct/>
                    <w:topLinePunct w:val="0"/>
                    <w:autoSpaceDE/>
                    <w:autoSpaceDN/>
                    <w:bidi w:val="0"/>
                    <w:adjustRightInd/>
                    <w:snapToGrid/>
                    <w:spacing w:before="2" w:beforeAutospacing="0" w:after="0" w:afterAutospacing="0" w:line="360" w:lineRule="exact"/>
                    <w:ind w:left="0" w:right="0"/>
                    <w:jc w:val="center"/>
                    <w:textAlignment w:val="auto"/>
                    <w:rPr>
                      <w:rFonts w:hint="default" w:ascii="Times New Roman" w:hAnsi="Times New Roman" w:cs="Times New Roman"/>
                      <w:bCs/>
                      <w:szCs w:val="21"/>
                      <w:u w:val="none"/>
                      <w:lang w:val="en-US"/>
                    </w:rPr>
                  </w:pPr>
                  <w:r>
                    <w:rPr>
                      <w:rFonts w:hint="eastAsia" w:ascii="Times New Roman" w:hAnsi="宋体" w:eastAsia="宋体" w:cs="Times New Roman"/>
                      <w:bCs/>
                      <w:kern w:val="2"/>
                      <w:sz w:val="21"/>
                      <w:szCs w:val="21"/>
                      <w:u w:val="none" w:color="000000"/>
                      <w:lang w:val="en-US" w:eastAsia="zh-CN" w:bidi="ar"/>
                    </w:rPr>
                    <w:t>坚决遏制</w:t>
                  </w:r>
                  <w:r>
                    <w:rPr>
                      <w:rFonts w:hint="default" w:ascii="Times New Roman" w:hAnsi="Times New Roman" w:eastAsia="宋体" w:cs="Times New Roman"/>
                      <w:bCs/>
                      <w:kern w:val="2"/>
                      <w:sz w:val="21"/>
                      <w:szCs w:val="21"/>
                      <w:u w:val="none" w:color="000000"/>
                      <w:lang w:val="en-US" w:eastAsia="zh-CN" w:bidi="ar"/>
                    </w:rPr>
                    <w:t>“</w:t>
                  </w:r>
                  <w:r>
                    <w:rPr>
                      <w:rFonts w:hint="eastAsia" w:ascii="Times New Roman" w:hAnsi="宋体" w:eastAsia="宋体" w:cs="Times New Roman"/>
                      <w:bCs/>
                      <w:kern w:val="2"/>
                      <w:sz w:val="21"/>
                      <w:szCs w:val="21"/>
                      <w:u w:val="none" w:color="000000"/>
                      <w:lang w:val="en-US" w:eastAsia="zh-CN" w:bidi="ar"/>
                    </w:rPr>
                    <w:t>两高</w:t>
                  </w:r>
                  <w:r>
                    <w:rPr>
                      <w:rFonts w:hint="default" w:ascii="Times New Roman" w:hAnsi="Times New Roman" w:eastAsia="宋体" w:cs="Times New Roman"/>
                      <w:bCs/>
                      <w:kern w:val="2"/>
                      <w:sz w:val="21"/>
                      <w:szCs w:val="21"/>
                      <w:u w:val="none" w:color="000000"/>
                      <w:lang w:val="en-US" w:eastAsia="zh-CN" w:bidi="ar"/>
                    </w:rPr>
                    <w:t>”</w:t>
                  </w:r>
                  <w:r>
                    <w:rPr>
                      <w:rFonts w:hint="eastAsia" w:ascii="Times New Roman" w:hAnsi="宋体" w:eastAsia="宋体" w:cs="Times New Roman"/>
                      <w:bCs/>
                      <w:kern w:val="2"/>
                      <w:sz w:val="21"/>
                      <w:szCs w:val="21"/>
                      <w:u w:val="none" w:color="000000"/>
                      <w:lang w:val="en-US" w:eastAsia="zh-CN" w:bidi="ar"/>
                    </w:rPr>
                    <w:t>项目盲目发展，严禁新增钢铁、焦化、铸造用生铁、水泥、平板玻璃、有色、煤化工、炭素、烧结砖瓦、耐火材料（含烧结工序的）、铁合金、独立煤炭洗选、以煤为燃料的石灰窑、非矿山配套的机制砂（石料破碎）等行业产能。平板玻璃产业确需新建、改建的，要严格按照国家、省工信部门有关产能置换政策执行。严格控制新建生产和使用高</w:t>
                  </w:r>
                  <w:r>
                    <w:rPr>
                      <w:rFonts w:hint="default" w:ascii="Times New Roman" w:hAnsi="Times New Roman" w:eastAsia="宋体" w:cs="Times New Roman"/>
                      <w:bCs/>
                      <w:kern w:val="2"/>
                      <w:sz w:val="21"/>
                      <w:szCs w:val="21"/>
                      <w:u w:val="none" w:color="000000"/>
                      <w:lang w:val="en-US" w:eastAsia="zh-CN" w:bidi="ar"/>
                    </w:rPr>
                    <w:t>VOCs</w:t>
                  </w:r>
                  <w:r>
                    <w:rPr>
                      <w:rFonts w:hint="eastAsia" w:ascii="Times New Roman" w:hAnsi="宋体" w:eastAsia="宋体" w:cs="Times New Roman"/>
                      <w:bCs/>
                      <w:kern w:val="2"/>
                      <w:sz w:val="21"/>
                      <w:szCs w:val="21"/>
                      <w:u w:val="none" w:color="000000"/>
                      <w:lang w:val="en-US" w:eastAsia="zh-CN" w:bidi="ar"/>
                    </w:rPr>
                    <w:t>含量的溶剂型涂料、油墨、胶黏剂、清洗剂等建</w:t>
                  </w:r>
                  <w:r>
                    <w:rPr>
                      <w:rFonts w:hint="eastAsia" w:ascii="Times New Roman" w:hAnsi="Times New Roman" w:eastAsia="宋体" w:cs="Times New Roman"/>
                      <w:bCs/>
                      <w:kern w:val="2"/>
                      <w:sz w:val="21"/>
                      <w:szCs w:val="21"/>
                      <w:u w:val="none" w:color="000000"/>
                      <w:lang w:val="en-US" w:eastAsia="zh-CN" w:bidi="ar"/>
                    </w:rPr>
                    <w:t>设项目。禁止新增化工园区。</w:t>
                  </w:r>
                </w:p>
              </w:tc>
              <w:tc>
                <w:tcPr>
                  <w:tcW w:w="1065" w:type="pct"/>
                  <w:tcBorders>
                    <w:tl2br w:val="nil"/>
                    <w:tr2bl w:val="nil"/>
                  </w:tcBorders>
                  <w:shd w:val="clear" w:color="auto" w:fill="auto"/>
                  <w:vAlign w:val="center"/>
                </w:tcPr>
                <w:p w14:paraId="7E47474D">
                  <w:pPr>
                    <w:pStyle w:val="21"/>
                    <w:keepNext w:val="0"/>
                    <w:keepLines w:val="0"/>
                    <w:pageBreakBefore w:val="0"/>
                    <w:widowControl w:val="0"/>
                    <w:suppressLineNumbers w:val="0"/>
                    <w:kinsoku/>
                    <w:wordWrap/>
                    <w:overflowPunct/>
                    <w:topLinePunct w:val="0"/>
                    <w:autoSpaceDE/>
                    <w:autoSpaceDN/>
                    <w:bidi w:val="0"/>
                    <w:adjustRightInd/>
                    <w:snapToGrid/>
                    <w:spacing w:before="2" w:beforeAutospacing="0" w:after="0" w:afterAutospacing="0" w:line="360" w:lineRule="exact"/>
                    <w:ind w:left="0" w:right="0"/>
                    <w:jc w:val="center"/>
                    <w:textAlignment w:val="auto"/>
                    <w:rPr>
                      <w:rFonts w:hint="default" w:ascii="Times New Roman" w:hAnsi="Times New Roman" w:cs="Times New Roman"/>
                      <w:bCs/>
                      <w:szCs w:val="21"/>
                      <w:u w:val="none"/>
                      <w:lang w:val="en-US"/>
                    </w:rPr>
                  </w:pPr>
                  <w:r>
                    <w:rPr>
                      <w:rFonts w:hint="eastAsia" w:ascii="Times New Roman" w:hAnsi="Times New Roman" w:eastAsia="宋体" w:cs="Times New Roman"/>
                      <w:bCs/>
                      <w:kern w:val="2"/>
                      <w:sz w:val="21"/>
                      <w:szCs w:val="21"/>
                      <w:u w:val="none" w:color="000000"/>
                      <w:lang w:val="en-US" w:eastAsia="zh-CN" w:bidi="ar"/>
                    </w:rPr>
                    <w:t>本项目属于C2923塑料丝、绳及编织品制造；不属于</w:t>
                  </w:r>
                  <w:r>
                    <w:rPr>
                      <w:rFonts w:hint="eastAsia" w:ascii="宋体" w:hAnsi="宋体" w:eastAsia="宋体" w:cs="宋体"/>
                      <w:bCs/>
                      <w:kern w:val="2"/>
                      <w:sz w:val="21"/>
                      <w:szCs w:val="21"/>
                      <w:u w:val="none" w:color="000000"/>
                      <w:lang w:val="en-US" w:eastAsia="zh-CN" w:bidi="ar"/>
                    </w:rPr>
                    <w:t>“两高”项目；不涉及</w:t>
                  </w:r>
                  <w:r>
                    <w:rPr>
                      <w:rFonts w:hint="eastAsia" w:ascii="Times New Roman" w:hAnsi="Times New Roman" w:eastAsia="宋体" w:cs="Times New Roman"/>
                      <w:bCs/>
                      <w:kern w:val="2"/>
                      <w:sz w:val="21"/>
                      <w:szCs w:val="21"/>
                      <w:u w:val="none" w:color="000000"/>
                      <w:lang w:val="zh-CN" w:eastAsia="zh-CN" w:bidi="ar"/>
                    </w:rPr>
                    <w:t>使用高</w:t>
                  </w:r>
                  <w:r>
                    <w:rPr>
                      <w:rFonts w:hint="default" w:ascii="Times New Roman" w:hAnsi="Times New Roman" w:eastAsia="宋体" w:cs="Times New Roman"/>
                      <w:bCs/>
                      <w:kern w:val="2"/>
                      <w:sz w:val="21"/>
                      <w:szCs w:val="21"/>
                      <w:u w:val="none" w:color="000000"/>
                      <w:lang w:val="zh-CN" w:eastAsia="zh-CN" w:bidi="ar"/>
                    </w:rPr>
                    <w:t>VOCs</w:t>
                  </w:r>
                  <w:r>
                    <w:rPr>
                      <w:rFonts w:hint="eastAsia" w:ascii="Times New Roman" w:hAnsi="Times New Roman" w:eastAsia="宋体" w:cs="Times New Roman"/>
                      <w:bCs/>
                      <w:kern w:val="2"/>
                      <w:sz w:val="21"/>
                      <w:szCs w:val="21"/>
                      <w:u w:val="none" w:color="000000"/>
                      <w:lang w:val="zh-CN" w:eastAsia="zh-CN" w:bidi="ar"/>
                    </w:rPr>
                    <w:t>含量溶剂型涂料、油墨、</w:t>
                  </w:r>
                  <w:r>
                    <w:rPr>
                      <w:rFonts w:hint="eastAsia" w:ascii="Times New Roman" w:hAnsi="宋体" w:eastAsia="宋体" w:cs="Times New Roman"/>
                      <w:bCs/>
                      <w:kern w:val="2"/>
                      <w:sz w:val="21"/>
                      <w:szCs w:val="21"/>
                      <w:u w:val="none" w:color="000000"/>
                      <w:lang w:val="en-US" w:eastAsia="zh-CN" w:bidi="ar"/>
                    </w:rPr>
                    <w:t>胶黏剂</w:t>
                  </w:r>
                  <w:r>
                    <w:rPr>
                      <w:rFonts w:hint="eastAsia" w:ascii="Times New Roman" w:hAnsi="Times New Roman" w:eastAsia="宋体" w:cs="Times New Roman"/>
                      <w:bCs/>
                      <w:kern w:val="2"/>
                      <w:sz w:val="21"/>
                      <w:szCs w:val="21"/>
                      <w:u w:val="none" w:color="000000"/>
                      <w:lang w:val="zh-CN" w:eastAsia="zh-CN" w:bidi="ar"/>
                    </w:rPr>
                    <w:t>、清洗剂等</w:t>
                  </w:r>
                  <w:r>
                    <w:rPr>
                      <w:rFonts w:hint="eastAsia" w:ascii="Times New Roman" w:hAnsi="Times New Roman" w:eastAsia="宋体" w:cs="Times New Roman"/>
                      <w:bCs/>
                      <w:kern w:val="2"/>
                      <w:sz w:val="21"/>
                      <w:szCs w:val="21"/>
                      <w:u w:val="none" w:color="000000"/>
                      <w:lang w:val="en-US" w:eastAsia="zh-CN" w:bidi="ar"/>
                    </w:rPr>
                    <w:t>。</w:t>
                  </w:r>
                </w:p>
              </w:tc>
              <w:tc>
                <w:tcPr>
                  <w:tcW w:w="466" w:type="pct"/>
                  <w:tcBorders>
                    <w:tl2br w:val="nil"/>
                    <w:tr2bl w:val="nil"/>
                  </w:tcBorders>
                  <w:shd w:val="clear" w:color="auto" w:fill="auto"/>
                  <w:vAlign w:val="center"/>
                </w:tcPr>
                <w:p w14:paraId="2D6DCF28">
                  <w:pPr>
                    <w:pStyle w:val="21"/>
                    <w:keepNext w:val="0"/>
                    <w:keepLines w:val="0"/>
                    <w:pageBreakBefore w:val="0"/>
                    <w:widowControl w:val="0"/>
                    <w:suppressLineNumbers w:val="0"/>
                    <w:kinsoku/>
                    <w:wordWrap/>
                    <w:overflowPunct/>
                    <w:topLinePunct w:val="0"/>
                    <w:autoSpaceDE/>
                    <w:autoSpaceDN/>
                    <w:bidi w:val="0"/>
                    <w:adjustRightInd/>
                    <w:snapToGrid/>
                    <w:spacing w:before="2" w:beforeAutospacing="0" w:after="0" w:afterAutospacing="0" w:line="360" w:lineRule="exact"/>
                    <w:ind w:left="0" w:right="0"/>
                    <w:jc w:val="center"/>
                    <w:textAlignment w:val="auto"/>
                    <w:rPr>
                      <w:rFonts w:hint="default" w:ascii="Times New Roman" w:hAnsi="Times New Roman" w:cs="Times New Roman"/>
                      <w:bCs/>
                      <w:szCs w:val="21"/>
                      <w:u w:val="none"/>
                      <w:lang w:val="en-US"/>
                    </w:rPr>
                  </w:pPr>
                  <w:r>
                    <w:rPr>
                      <w:rFonts w:hint="eastAsia" w:ascii="Times New Roman" w:hAnsi="Times New Roman" w:eastAsia="宋体" w:cs="Times New Roman"/>
                      <w:bCs/>
                      <w:kern w:val="2"/>
                      <w:sz w:val="21"/>
                      <w:szCs w:val="21"/>
                      <w:u w:val="none" w:color="000000"/>
                      <w:lang w:val="en-US" w:eastAsia="zh-CN" w:bidi="ar"/>
                    </w:rPr>
                    <w:t>符合</w:t>
                  </w:r>
                </w:p>
              </w:tc>
            </w:tr>
            <w:tr w14:paraId="6492A9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55" w:type="pct"/>
                  <w:tcBorders>
                    <w:tl2br w:val="nil"/>
                    <w:tr2bl w:val="nil"/>
                  </w:tcBorders>
                  <w:shd w:val="clear" w:color="auto" w:fill="auto"/>
                  <w:vAlign w:val="center"/>
                </w:tcPr>
                <w:p w14:paraId="641F47E2">
                  <w:pPr>
                    <w:pStyle w:val="21"/>
                    <w:keepNext w:val="0"/>
                    <w:keepLines w:val="0"/>
                    <w:pageBreakBefore w:val="0"/>
                    <w:widowControl w:val="0"/>
                    <w:suppressLineNumbers w:val="0"/>
                    <w:kinsoku/>
                    <w:wordWrap/>
                    <w:overflowPunct/>
                    <w:topLinePunct w:val="0"/>
                    <w:autoSpaceDE/>
                    <w:autoSpaceDN/>
                    <w:bidi w:val="0"/>
                    <w:adjustRightInd/>
                    <w:snapToGrid/>
                    <w:spacing w:before="2" w:beforeAutospacing="0" w:after="0" w:afterAutospacing="0" w:line="360" w:lineRule="exact"/>
                    <w:ind w:left="0" w:right="0"/>
                    <w:jc w:val="center"/>
                    <w:textAlignment w:val="auto"/>
                    <w:rPr>
                      <w:rFonts w:hint="default" w:ascii="Times New Roman" w:hAnsi="Times New Roman" w:cs="Times New Roman"/>
                      <w:bCs/>
                      <w:szCs w:val="21"/>
                      <w:u w:val="none"/>
                      <w:lang w:val="en-US"/>
                    </w:rPr>
                  </w:pPr>
                  <w:r>
                    <w:rPr>
                      <w:rFonts w:hint="default" w:ascii="Times New Roman" w:hAnsi="Times New Roman" w:eastAsia="宋体" w:cs="Times New Roman"/>
                      <w:bCs/>
                      <w:kern w:val="2"/>
                      <w:sz w:val="21"/>
                      <w:szCs w:val="21"/>
                      <w:u w:val="none" w:color="000000"/>
                      <w:lang w:val="en-US" w:eastAsia="zh-CN" w:bidi="ar"/>
                    </w:rPr>
                    <w:t>14</w:t>
                  </w:r>
                </w:p>
              </w:tc>
              <w:tc>
                <w:tcPr>
                  <w:tcW w:w="513" w:type="pct"/>
                  <w:tcBorders>
                    <w:tl2br w:val="nil"/>
                    <w:tr2bl w:val="nil"/>
                  </w:tcBorders>
                  <w:shd w:val="clear" w:color="auto" w:fill="auto"/>
                  <w:vAlign w:val="center"/>
                </w:tcPr>
                <w:p w14:paraId="13B89218">
                  <w:pPr>
                    <w:pStyle w:val="21"/>
                    <w:keepNext w:val="0"/>
                    <w:keepLines w:val="0"/>
                    <w:pageBreakBefore w:val="0"/>
                    <w:widowControl w:val="0"/>
                    <w:suppressLineNumbers w:val="0"/>
                    <w:kinsoku/>
                    <w:wordWrap/>
                    <w:overflowPunct/>
                    <w:topLinePunct w:val="0"/>
                    <w:autoSpaceDE/>
                    <w:autoSpaceDN/>
                    <w:bidi w:val="0"/>
                    <w:adjustRightInd/>
                    <w:snapToGrid/>
                    <w:spacing w:before="2" w:beforeAutospacing="0" w:after="0" w:afterAutospacing="0" w:line="360" w:lineRule="exact"/>
                    <w:ind w:left="0" w:right="0"/>
                    <w:jc w:val="center"/>
                    <w:textAlignment w:val="auto"/>
                    <w:rPr>
                      <w:rFonts w:hint="default" w:ascii="Times New Roman" w:hAnsi="Times New Roman" w:cs="Times New Roman"/>
                      <w:bCs/>
                      <w:szCs w:val="21"/>
                      <w:u w:val="none"/>
                      <w:lang w:val="en-US"/>
                    </w:rPr>
                  </w:pPr>
                  <w:r>
                    <w:rPr>
                      <w:rFonts w:hint="eastAsia" w:ascii="Times New Roman" w:hAnsi="Times New Roman" w:eastAsia="宋体" w:cs="Times New Roman"/>
                      <w:bCs/>
                      <w:kern w:val="2"/>
                      <w:sz w:val="21"/>
                      <w:szCs w:val="21"/>
                      <w:u w:val="none" w:color="000000"/>
                      <w:lang w:val="en-US" w:eastAsia="zh-CN" w:bidi="ar"/>
                    </w:rPr>
                    <w:t>深入开展低效失效治理设施排查整治</w:t>
                  </w:r>
                </w:p>
              </w:tc>
              <w:tc>
                <w:tcPr>
                  <w:tcW w:w="2598" w:type="pct"/>
                  <w:tcBorders>
                    <w:tl2br w:val="nil"/>
                    <w:tr2bl w:val="nil"/>
                  </w:tcBorders>
                  <w:shd w:val="clear" w:color="auto" w:fill="auto"/>
                  <w:vAlign w:val="center"/>
                </w:tcPr>
                <w:p w14:paraId="0D746C06">
                  <w:pPr>
                    <w:pStyle w:val="21"/>
                    <w:keepNext w:val="0"/>
                    <w:keepLines w:val="0"/>
                    <w:pageBreakBefore w:val="0"/>
                    <w:widowControl w:val="0"/>
                    <w:suppressLineNumbers w:val="0"/>
                    <w:kinsoku/>
                    <w:wordWrap/>
                    <w:overflowPunct/>
                    <w:topLinePunct w:val="0"/>
                    <w:autoSpaceDE/>
                    <w:autoSpaceDN/>
                    <w:bidi w:val="0"/>
                    <w:adjustRightInd/>
                    <w:snapToGrid/>
                    <w:spacing w:before="2" w:beforeAutospacing="0" w:after="0" w:afterAutospacing="0" w:line="360" w:lineRule="exact"/>
                    <w:ind w:left="0" w:right="0"/>
                    <w:jc w:val="center"/>
                    <w:textAlignment w:val="auto"/>
                    <w:rPr>
                      <w:rFonts w:hint="default" w:ascii="Times New Roman" w:hAnsi="宋体" w:cs="Times New Roman"/>
                      <w:bCs/>
                      <w:szCs w:val="21"/>
                      <w:u w:val="none" w:color="000000"/>
                      <w:lang w:val="en-US"/>
                    </w:rPr>
                  </w:pPr>
                  <w:r>
                    <w:rPr>
                      <w:rFonts w:hint="eastAsia" w:ascii="Times New Roman" w:hAnsi="宋体" w:eastAsia="宋体" w:cs="Times New Roman"/>
                      <w:bCs/>
                      <w:kern w:val="2"/>
                      <w:sz w:val="21"/>
                      <w:szCs w:val="21"/>
                      <w:u w:val="none" w:color="000000"/>
                      <w:lang w:val="en-US" w:eastAsia="zh-CN" w:bidi="ar"/>
                    </w:rPr>
                    <w:t>认真贯彻落实《河南省低效失效大气污染治理设施排查整治实施方案》，聚焦重点区域、重点行业、重点企业、重点设备，按照</w:t>
                  </w:r>
                  <w:r>
                    <w:rPr>
                      <w:rFonts w:hint="default" w:ascii="Times New Roman" w:hAnsi="Times New Roman" w:eastAsia="宋体" w:cs="Times New Roman"/>
                      <w:bCs/>
                      <w:kern w:val="2"/>
                      <w:sz w:val="21"/>
                      <w:szCs w:val="21"/>
                      <w:u w:val="none" w:color="000000"/>
                      <w:lang w:val="en-US" w:eastAsia="zh-CN" w:bidi="ar"/>
                    </w:rPr>
                    <w:t>“</w:t>
                  </w:r>
                  <w:r>
                    <w:rPr>
                      <w:rFonts w:hint="eastAsia" w:ascii="Times New Roman" w:hAnsi="宋体" w:eastAsia="宋体" w:cs="Times New Roman"/>
                      <w:bCs/>
                      <w:kern w:val="2"/>
                      <w:sz w:val="21"/>
                      <w:szCs w:val="21"/>
                      <w:u w:val="none" w:color="000000"/>
                      <w:lang w:val="en-US" w:eastAsia="zh-CN" w:bidi="ar"/>
                    </w:rPr>
                    <w:t>更新一批、整治一批、提升一批</w:t>
                  </w:r>
                  <w:r>
                    <w:rPr>
                      <w:rFonts w:hint="default" w:ascii="Times New Roman" w:hAnsi="Times New Roman" w:eastAsia="宋体" w:cs="Times New Roman"/>
                      <w:bCs/>
                      <w:kern w:val="2"/>
                      <w:sz w:val="21"/>
                      <w:szCs w:val="21"/>
                      <w:u w:val="none" w:color="000000"/>
                      <w:lang w:val="en-US" w:eastAsia="zh-CN" w:bidi="ar"/>
                    </w:rPr>
                    <w:t>”</w:t>
                  </w:r>
                  <w:r>
                    <w:rPr>
                      <w:rFonts w:hint="eastAsia" w:ascii="Times New Roman" w:hAnsi="宋体" w:eastAsia="宋体" w:cs="Times New Roman"/>
                      <w:bCs/>
                      <w:kern w:val="2"/>
                      <w:sz w:val="21"/>
                      <w:szCs w:val="21"/>
                      <w:u w:val="none" w:color="000000"/>
                      <w:lang w:val="en-US" w:eastAsia="zh-CN" w:bidi="ar"/>
                    </w:rPr>
                    <w:t>的原则，淘汰不成熟、不适用、无法稳定达标</w:t>
                  </w:r>
                  <w:r>
                    <w:rPr>
                      <w:rFonts w:hint="eastAsia" w:ascii="Times New Roman" w:hAnsi="Times New Roman" w:eastAsia="宋体" w:cs="Times New Roman"/>
                      <w:bCs/>
                      <w:kern w:val="2"/>
                      <w:sz w:val="21"/>
                      <w:szCs w:val="21"/>
                      <w:u w:val="none" w:color="000000"/>
                      <w:lang w:val="en-US" w:eastAsia="zh-CN" w:bidi="ar"/>
                    </w:rPr>
                    <w:t>排放的治理工艺，整治关键组件缺失、质量低劣、自动化水平低</w:t>
                  </w:r>
                  <w:r>
                    <w:rPr>
                      <w:rFonts w:hint="eastAsia" w:ascii="Times New Roman" w:hAnsi="宋体" w:eastAsia="宋体" w:cs="Times New Roman"/>
                      <w:bCs/>
                      <w:kern w:val="2"/>
                      <w:sz w:val="21"/>
                      <w:szCs w:val="21"/>
                      <w:u w:val="none" w:color="000000"/>
                      <w:lang w:val="en-US" w:eastAsia="zh-CN" w:bidi="ar"/>
                    </w:rPr>
                    <w:t>的治理设施，纳入年度重点治理任务限期完成。</w:t>
                  </w:r>
                  <w:r>
                    <w:rPr>
                      <w:rFonts w:hint="default" w:ascii="Times New Roman" w:hAnsi="Times New Roman" w:eastAsia="宋体" w:cs="Times New Roman"/>
                      <w:bCs/>
                      <w:kern w:val="2"/>
                      <w:sz w:val="21"/>
                      <w:szCs w:val="21"/>
                      <w:u w:val="none" w:color="000000"/>
                      <w:lang w:val="en-US" w:eastAsia="zh-CN" w:bidi="ar"/>
                    </w:rPr>
                    <w:t>2025</w:t>
                  </w:r>
                  <w:r>
                    <w:rPr>
                      <w:rFonts w:hint="eastAsia" w:ascii="Times New Roman" w:hAnsi="宋体" w:eastAsia="宋体" w:cs="Times New Roman"/>
                      <w:bCs/>
                      <w:kern w:val="2"/>
                      <w:sz w:val="21"/>
                      <w:szCs w:val="21"/>
                      <w:u w:val="none" w:color="000000"/>
                      <w:lang w:val="en-US" w:eastAsia="zh-CN" w:bidi="ar"/>
                    </w:rPr>
                    <w:t>年</w:t>
                  </w:r>
                  <w:r>
                    <w:rPr>
                      <w:rFonts w:hint="default" w:ascii="Times New Roman" w:hAnsi="Times New Roman" w:eastAsia="宋体" w:cs="Times New Roman"/>
                      <w:bCs/>
                      <w:kern w:val="2"/>
                      <w:sz w:val="21"/>
                      <w:szCs w:val="21"/>
                      <w:u w:val="none" w:color="000000"/>
                      <w:lang w:val="en-US" w:eastAsia="zh-CN" w:bidi="ar"/>
                    </w:rPr>
                    <w:t>10</w:t>
                  </w:r>
                  <w:r>
                    <w:rPr>
                      <w:rFonts w:hint="eastAsia" w:ascii="Times New Roman" w:hAnsi="宋体" w:eastAsia="宋体" w:cs="Times New Roman"/>
                      <w:bCs/>
                      <w:kern w:val="2"/>
                      <w:sz w:val="21"/>
                      <w:szCs w:val="21"/>
                      <w:u w:val="none" w:color="000000"/>
                      <w:lang w:val="en-US" w:eastAsia="zh-CN" w:bidi="ar"/>
                    </w:rPr>
                    <w:t>月底前，督促指导</w:t>
                  </w:r>
                  <w:r>
                    <w:rPr>
                      <w:rFonts w:hint="default" w:ascii="Times New Roman" w:hAnsi="Times New Roman" w:eastAsia="宋体" w:cs="Times New Roman"/>
                      <w:bCs/>
                      <w:kern w:val="2"/>
                      <w:sz w:val="21"/>
                      <w:szCs w:val="21"/>
                      <w:u w:val="none" w:color="000000"/>
                      <w:lang w:val="en-US" w:eastAsia="zh-CN" w:bidi="ar"/>
                    </w:rPr>
                    <w:t>629</w:t>
                  </w:r>
                  <w:r>
                    <w:rPr>
                      <w:rFonts w:hint="eastAsia" w:ascii="Times New Roman" w:hAnsi="宋体" w:eastAsia="宋体" w:cs="Times New Roman"/>
                      <w:bCs/>
                      <w:kern w:val="2"/>
                      <w:sz w:val="21"/>
                      <w:szCs w:val="21"/>
                      <w:u w:val="none" w:color="000000"/>
                      <w:lang w:val="en-US" w:eastAsia="zh-CN" w:bidi="ar"/>
                    </w:rPr>
                    <w:t>家企业全面完成低效失效治理设施提升改造治理任务，未按时完成的纳入秋冬季生产调控范围。</w:t>
                  </w:r>
                </w:p>
              </w:tc>
              <w:tc>
                <w:tcPr>
                  <w:tcW w:w="1065" w:type="pct"/>
                  <w:tcBorders>
                    <w:tl2br w:val="nil"/>
                    <w:tr2bl w:val="nil"/>
                  </w:tcBorders>
                  <w:shd w:val="clear" w:color="auto" w:fill="auto"/>
                  <w:vAlign w:val="center"/>
                </w:tcPr>
                <w:p w14:paraId="4BEE4A89">
                  <w:pPr>
                    <w:pStyle w:val="21"/>
                    <w:keepNext w:val="0"/>
                    <w:keepLines w:val="0"/>
                    <w:pageBreakBefore w:val="0"/>
                    <w:widowControl w:val="0"/>
                    <w:suppressLineNumbers w:val="0"/>
                    <w:kinsoku/>
                    <w:wordWrap/>
                    <w:overflowPunct/>
                    <w:topLinePunct w:val="0"/>
                    <w:autoSpaceDE/>
                    <w:autoSpaceDN/>
                    <w:bidi w:val="0"/>
                    <w:adjustRightInd/>
                    <w:snapToGrid/>
                    <w:spacing w:before="2" w:beforeAutospacing="0" w:after="0" w:afterAutospacing="0" w:line="360" w:lineRule="exact"/>
                    <w:ind w:left="0" w:right="0"/>
                    <w:jc w:val="center"/>
                    <w:textAlignment w:val="auto"/>
                    <w:rPr>
                      <w:rFonts w:hint="default" w:ascii="Times New Roman" w:hAnsi="Times New Roman" w:cs="Times New Roman"/>
                      <w:bCs/>
                      <w:szCs w:val="21"/>
                      <w:u w:val="none"/>
                      <w:lang w:val="en-US"/>
                    </w:rPr>
                  </w:pPr>
                  <w:r>
                    <w:rPr>
                      <w:rFonts w:hint="eastAsia" w:ascii="Times New Roman" w:hAnsi="Times New Roman" w:eastAsia="宋体" w:cs="Times New Roman"/>
                      <w:bCs/>
                      <w:kern w:val="2"/>
                      <w:sz w:val="21"/>
                      <w:szCs w:val="21"/>
                      <w:u w:val="none" w:color="000000"/>
                      <w:lang w:val="en-US" w:eastAsia="zh-CN" w:bidi="ar"/>
                    </w:rPr>
                    <w:t>本项目所用环保治理设施均不属于河南省低效失效大气污染治理设施。</w:t>
                  </w:r>
                </w:p>
              </w:tc>
              <w:tc>
                <w:tcPr>
                  <w:tcW w:w="466" w:type="pct"/>
                  <w:tcBorders>
                    <w:tl2br w:val="nil"/>
                    <w:tr2bl w:val="nil"/>
                  </w:tcBorders>
                  <w:shd w:val="clear" w:color="auto" w:fill="auto"/>
                  <w:vAlign w:val="center"/>
                </w:tcPr>
                <w:p w14:paraId="20C5BAD0">
                  <w:pPr>
                    <w:pStyle w:val="21"/>
                    <w:keepNext w:val="0"/>
                    <w:keepLines w:val="0"/>
                    <w:pageBreakBefore w:val="0"/>
                    <w:widowControl w:val="0"/>
                    <w:suppressLineNumbers w:val="0"/>
                    <w:kinsoku/>
                    <w:wordWrap/>
                    <w:overflowPunct/>
                    <w:topLinePunct w:val="0"/>
                    <w:autoSpaceDE/>
                    <w:autoSpaceDN/>
                    <w:bidi w:val="0"/>
                    <w:adjustRightInd/>
                    <w:snapToGrid/>
                    <w:spacing w:before="2" w:beforeAutospacing="0" w:after="0" w:afterAutospacing="0" w:line="360" w:lineRule="exact"/>
                    <w:ind w:left="0" w:right="0"/>
                    <w:jc w:val="center"/>
                    <w:textAlignment w:val="auto"/>
                    <w:rPr>
                      <w:rFonts w:hint="default" w:ascii="Times New Roman" w:hAnsi="Times New Roman" w:cs="Times New Roman"/>
                      <w:bCs/>
                      <w:szCs w:val="21"/>
                      <w:u w:val="none"/>
                      <w:lang w:val="en-US"/>
                    </w:rPr>
                  </w:pPr>
                  <w:r>
                    <w:rPr>
                      <w:rFonts w:hint="eastAsia" w:ascii="Times New Roman" w:hAnsi="Times New Roman" w:eastAsia="宋体" w:cs="Times New Roman"/>
                      <w:bCs/>
                      <w:kern w:val="2"/>
                      <w:sz w:val="21"/>
                      <w:szCs w:val="21"/>
                      <w:u w:val="none" w:color="000000"/>
                      <w:lang w:val="en-US" w:eastAsia="zh-CN" w:bidi="ar"/>
                    </w:rPr>
                    <w:t>符合</w:t>
                  </w:r>
                </w:p>
              </w:tc>
            </w:tr>
            <w:tr w14:paraId="5CB02A0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55" w:type="pct"/>
                  <w:tcBorders>
                    <w:tl2br w:val="nil"/>
                    <w:tr2bl w:val="nil"/>
                  </w:tcBorders>
                  <w:shd w:val="clear" w:color="auto" w:fill="auto"/>
                  <w:vAlign w:val="center"/>
                </w:tcPr>
                <w:p w14:paraId="75C016C0">
                  <w:pPr>
                    <w:pStyle w:val="21"/>
                    <w:keepNext w:val="0"/>
                    <w:keepLines w:val="0"/>
                    <w:pageBreakBefore w:val="0"/>
                    <w:widowControl w:val="0"/>
                    <w:suppressLineNumbers w:val="0"/>
                    <w:kinsoku/>
                    <w:wordWrap/>
                    <w:overflowPunct/>
                    <w:topLinePunct w:val="0"/>
                    <w:autoSpaceDE/>
                    <w:autoSpaceDN/>
                    <w:bidi w:val="0"/>
                    <w:adjustRightInd/>
                    <w:snapToGrid/>
                    <w:spacing w:before="2" w:beforeAutospacing="0" w:after="0" w:afterAutospacing="0" w:line="360" w:lineRule="exact"/>
                    <w:ind w:left="0" w:right="0"/>
                    <w:jc w:val="center"/>
                    <w:textAlignment w:val="auto"/>
                    <w:rPr>
                      <w:rFonts w:hint="default" w:ascii="Times New Roman" w:hAnsi="Times New Roman" w:cs="Times New Roman"/>
                      <w:bCs/>
                      <w:szCs w:val="21"/>
                      <w:u w:val="none"/>
                      <w:lang w:val="en-US"/>
                    </w:rPr>
                  </w:pPr>
                  <w:r>
                    <w:rPr>
                      <w:rFonts w:hint="default" w:ascii="Times New Roman" w:hAnsi="Times New Roman" w:eastAsia="宋体" w:cs="Times New Roman"/>
                      <w:bCs/>
                      <w:kern w:val="2"/>
                      <w:sz w:val="21"/>
                      <w:szCs w:val="21"/>
                      <w:u w:val="none" w:color="000000"/>
                      <w:lang w:val="en-US" w:eastAsia="zh-CN" w:bidi="ar"/>
                    </w:rPr>
                    <w:t>20</w:t>
                  </w:r>
                </w:p>
              </w:tc>
              <w:tc>
                <w:tcPr>
                  <w:tcW w:w="513" w:type="pct"/>
                  <w:tcBorders>
                    <w:tl2br w:val="nil"/>
                    <w:tr2bl w:val="nil"/>
                  </w:tcBorders>
                  <w:shd w:val="clear" w:color="auto" w:fill="auto"/>
                  <w:vAlign w:val="center"/>
                </w:tcPr>
                <w:p w14:paraId="1BCA30C4">
                  <w:pPr>
                    <w:pStyle w:val="21"/>
                    <w:keepNext w:val="0"/>
                    <w:keepLines w:val="0"/>
                    <w:pageBreakBefore w:val="0"/>
                    <w:widowControl w:val="0"/>
                    <w:suppressLineNumbers w:val="0"/>
                    <w:kinsoku/>
                    <w:wordWrap/>
                    <w:overflowPunct/>
                    <w:topLinePunct w:val="0"/>
                    <w:autoSpaceDE/>
                    <w:autoSpaceDN/>
                    <w:bidi w:val="0"/>
                    <w:adjustRightInd/>
                    <w:snapToGrid/>
                    <w:spacing w:before="2" w:beforeAutospacing="0" w:after="0" w:afterAutospacing="0" w:line="360" w:lineRule="exact"/>
                    <w:ind w:left="0" w:right="0"/>
                    <w:jc w:val="center"/>
                    <w:textAlignment w:val="auto"/>
                    <w:rPr>
                      <w:rFonts w:hint="default" w:ascii="Times New Roman" w:hAnsi="Times New Roman" w:cs="Times New Roman"/>
                      <w:bCs/>
                      <w:szCs w:val="21"/>
                      <w:u w:val="none"/>
                      <w:lang w:val="en-US"/>
                    </w:rPr>
                  </w:pPr>
                  <w:r>
                    <w:rPr>
                      <w:rFonts w:hint="eastAsia" w:ascii="Times New Roman" w:hAnsi="Times New Roman" w:eastAsia="宋体" w:cs="Times New Roman"/>
                      <w:bCs/>
                      <w:kern w:val="2"/>
                      <w:sz w:val="21"/>
                      <w:szCs w:val="21"/>
                      <w:u w:val="none" w:color="000000"/>
                      <w:lang w:val="en-US" w:eastAsia="zh-CN" w:bidi="ar"/>
                    </w:rPr>
                    <w:t>规范污染治理设施运行</w:t>
                  </w:r>
                </w:p>
              </w:tc>
              <w:tc>
                <w:tcPr>
                  <w:tcW w:w="2598" w:type="pct"/>
                  <w:tcBorders>
                    <w:tl2br w:val="nil"/>
                    <w:tr2bl w:val="nil"/>
                  </w:tcBorders>
                  <w:shd w:val="clear" w:color="auto" w:fill="auto"/>
                  <w:vAlign w:val="center"/>
                </w:tcPr>
                <w:p w14:paraId="124E99E2">
                  <w:pPr>
                    <w:pStyle w:val="21"/>
                    <w:keepNext w:val="0"/>
                    <w:keepLines w:val="0"/>
                    <w:pageBreakBefore w:val="0"/>
                    <w:widowControl w:val="0"/>
                    <w:suppressLineNumbers w:val="0"/>
                    <w:kinsoku/>
                    <w:wordWrap/>
                    <w:overflowPunct/>
                    <w:topLinePunct w:val="0"/>
                    <w:autoSpaceDE/>
                    <w:autoSpaceDN/>
                    <w:bidi w:val="0"/>
                    <w:adjustRightInd/>
                    <w:snapToGrid/>
                    <w:spacing w:before="2" w:beforeAutospacing="0" w:after="0" w:afterAutospacing="0" w:line="360" w:lineRule="exact"/>
                    <w:ind w:left="0" w:right="0"/>
                    <w:jc w:val="center"/>
                    <w:textAlignment w:val="auto"/>
                    <w:rPr>
                      <w:rFonts w:hint="default" w:ascii="Times New Roman" w:hAnsi="宋体" w:cs="Times New Roman"/>
                      <w:bCs/>
                      <w:szCs w:val="21"/>
                      <w:u w:val="none" w:color="000000"/>
                      <w:lang w:val="en-US"/>
                    </w:rPr>
                  </w:pPr>
                  <w:r>
                    <w:rPr>
                      <w:rFonts w:hint="eastAsia" w:ascii="宋体" w:hAnsi="宋体" w:eastAsia="宋体" w:cs="宋体"/>
                      <w:bCs/>
                      <w:kern w:val="2"/>
                      <w:sz w:val="21"/>
                      <w:szCs w:val="21"/>
                      <w:u w:val="none" w:color="000000"/>
                      <w:lang w:val="en-US" w:eastAsia="zh-CN" w:bidi="ar"/>
                    </w:rPr>
                    <w:t>加强污染治理设施运行监管，推动各工业企业完善制定环保设施运行维护操作规程，细化落实岗位环保责任制，确保设施安全稳定运行。提高自动监测设备运维管理水平，全市重点排污单位按要求完成污染源自动监测设备</w:t>
                  </w:r>
                  <w:r>
                    <w:rPr>
                      <w:rFonts w:hint="eastAsia" w:ascii="Times New Roman" w:hAnsi="宋体" w:eastAsia="宋体" w:cs="Times New Roman"/>
                      <w:bCs/>
                      <w:kern w:val="2"/>
                      <w:sz w:val="21"/>
                      <w:szCs w:val="21"/>
                      <w:u w:val="none" w:color="000000"/>
                      <w:lang w:val="en-US" w:eastAsia="zh-CN" w:bidi="ar"/>
                    </w:rPr>
                    <w:t>安装联网工作。</w:t>
                  </w:r>
                </w:p>
              </w:tc>
              <w:tc>
                <w:tcPr>
                  <w:tcW w:w="1065" w:type="pct"/>
                  <w:tcBorders>
                    <w:tl2br w:val="nil"/>
                    <w:tr2bl w:val="nil"/>
                  </w:tcBorders>
                  <w:shd w:val="clear" w:color="auto" w:fill="auto"/>
                  <w:vAlign w:val="center"/>
                </w:tcPr>
                <w:p w14:paraId="3FA445B6">
                  <w:pPr>
                    <w:pStyle w:val="21"/>
                    <w:keepNext w:val="0"/>
                    <w:keepLines w:val="0"/>
                    <w:pageBreakBefore w:val="0"/>
                    <w:widowControl w:val="0"/>
                    <w:suppressLineNumbers w:val="0"/>
                    <w:kinsoku/>
                    <w:wordWrap/>
                    <w:overflowPunct/>
                    <w:topLinePunct w:val="0"/>
                    <w:autoSpaceDE/>
                    <w:autoSpaceDN/>
                    <w:bidi w:val="0"/>
                    <w:adjustRightInd/>
                    <w:snapToGrid/>
                    <w:spacing w:before="2" w:beforeAutospacing="0" w:after="0" w:afterAutospacing="0" w:line="360" w:lineRule="exact"/>
                    <w:ind w:left="0" w:right="0"/>
                    <w:jc w:val="center"/>
                    <w:textAlignment w:val="auto"/>
                    <w:rPr>
                      <w:rFonts w:hint="default" w:ascii="Times New Roman" w:hAnsi="Times New Roman" w:cs="Times New Roman"/>
                      <w:bCs/>
                      <w:szCs w:val="21"/>
                      <w:u w:val="none"/>
                      <w:lang w:val="en-US"/>
                    </w:rPr>
                  </w:pPr>
                  <w:r>
                    <w:rPr>
                      <w:rFonts w:hint="eastAsia" w:ascii="Times New Roman" w:hAnsi="Times New Roman" w:eastAsia="宋体" w:cs="Times New Roman"/>
                      <w:bCs/>
                      <w:kern w:val="2"/>
                      <w:sz w:val="21"/>
                      <w:szCs w:val="21"/>
                      <w:u w:val="none" w:color="000000"/>
                      <w:lang w:val="en-US" w:eastAsia="zh-CN" w:bidi="ar"/>
                    </w:rPr>
                    <w:t>企业</w:t>
                  </w:r>
                  <w:r>
                    <w:rPr>
                      <w:rFonts w:hint="eastAsia" w:ascii="宋体" w:hAnsi="宋体" w:eastAsia="宋体" w:cs="宋体"/>
                      <w:bCs/>
                      <w:kern w:val="2"/>
                      <w:sz w:val="21"/>
                      <w:szCs w:val="21"/>
                      <w:u w:val="none" w:color="000000"/>
                      <w:lang w:val="en-US" w:eastAsia="zh-CN" w:bidi="ar"/>
                    </w:rPr>
                    <w:t>制定环保设施运行维护操作规程，细化落实岗位环保责任制，确保设施安全稳定运行。</w:t>
                  </w:r>
                </w:p>
              </w:tc>
              <w:tc>
                <w:tcPr>
                  <w:tcW w:w="466" w:type="pct"/>
                  <w:tcBorders>
                    <w:tl2br w:val="nil"/>
                    <w:tr2bl w:val="nil"/>
                  </w:tcBorders>
                  <w:shd w:val="clear" w:color="auto" w:fill="auto"/>
                  <w:vAlign w:val="center"/>
                </w:tcPr>
                <w:p w14:paraId="23E96BFA">
                  <w:pPr>
                    <w:pStyle w:val="21"/>
                    <w:keepNext w:val="0"/>
                    <w:keepLines w:val="0"/>
                    <w:pageBreakBefore w:val="0"/>
                    <w:widowControl w:val="0"/>
                    <w:suppressLineNumbers w:val="0"/>
                    <w:kinsoku/>
                    <w:wordWrap/>
                    <w:overflowPunct/>
                    <w:topLinePunct w:val="0"/>
                    <w:autoSpaceDE/>
                    <w:autoSpaceDN/>
                    <w:bidi w:val="0"/>
                    <w:adjustRightInd/>
                    <w:snapToGrid/>
                    <w:spacing w:before="2" w:beforeAutospacing="0" w:after="0" w:afterAutospacing="0" w:line="360" w:lineRule="exact"/>
                    <w:ind w:left="0" w:right="0"/>
                    <w:jc w:val="center"/>
                    <w:textAlignment w:val="auto"/>
                    <w:rPr>
                      <w:rFonts w:hint="default" w:ascii="Times New Roman" w:hAnsi="Times New Roman" w:cs="Times New Roman"/>
                      <w:bCs/>
                      <w:szCs w:val="21"/>
                      <w:u w:val="none"/>
                      <w:lang w:val="en-US"/>
                    </w:rPr>
                  </w:pPr>
                  <w:r>
                    <w:rPr>
                      <w:rFonts w:hint="eastAsia" w:ascii="Times New Roman" w:hAnsi="Times New Roman" w:eastAsia="宋体" w:cs="Times New Roman"/>
                      <w:bCs/>
                      <w:kern w:val="2"/>
                      <w:sz w:val="21"/>
                      <w:szCs w:val="21"/>
                      <w:u w:val="none" w:color="000000"/>
                      <w:lang w:val="en-US" w:eastAsia="zh-CN" w:bidi="ar"/>
                    </w:rPr>
                    <w:t>符合</w:t>
                  </w:r>
                </w:p>
              </w:tc>
            </w:tr>
            <w:tr w14:paraId="40C2F4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0" w:hRule="atLeast"/>
              </w:trPr>
              <w:tc>
                <w:tcPr>
                  <w:tcW w:w="355" w:type="pct"/>
                  <w:tcBorders>
                    <w:tl2br w:val="nil"/>
                    <w:tr2bl w:val="nil"/>
                  </w:tcBorders>
                  <w:shd w:val="clear" w:color="auto" w:fill="auto"/>
                  <w:vAlign w:val="center"/>
                </w:tcPr>
                <w:p w14:paraId="271408AB">
                  <w:pPr>
                    <w:pStyle w:val="21"/>
                    <w:keepNext w:val="0"/>
                    <w:keepLines w:val="0"/>
                    <w:pageBreakBefore w:val="0"/>
                    <w:widowControl w:val="0"/>
                    <w:suppressLineNumbers w:val="0"/>
                    <w:kinsoku/>
                    <w:wordWrap/>
                    <w:overflowPunct/>
                    <w:topLinePunct w:val="0"/>
                    <w:autoSpaceDE/>
                    <w:autoSpaceDN/>
                    <w:bidi w:val="0"/>
                    <w:adjustRightInd/>
                    <w:snapToGrid/>
                    <w:spacing w:before="2" w:beforeAutospacing="0" w:after="0" w:afterAutospacing="0" w:line="360" w:lineRule="exact"/>
                    <w:ind w:left="0" w:right="0"/>
                    <w:jc w:val="center"/>
                    <w:textAlignment w:val="auto"/>
                    <w:rPr>
                      <w:rFonts w:hint="default" w:ascii="Times New Roman" w:hAnsi="Times New Roman" w:cs="Times New Roman"/>
                      <w:bCs/>
                      <w:szCs w:val="21"/>
                      <w:u w:val="none"/>
                      <w:lang w:val="en-US"/>
                    </w:rPr>
                  </w:pPr>
                  <w:r>
                    <w:rPr>
                      <w:rFonts w:hint="default" w:ascii="Times New Roman" w:hAnsi="Times New Roman" w:eastAsia="宋体" w:cs="Times New Roman"/>
                      <w:bCs/>
                      <w:kern w:val="2"/>
                      <w:sz w:val="21"/>
                      <w:szCs w:val="21"/>
                      <w:u w:val="none" w:color="000000"/>
                      <w:lang w:val="en-US" w:eastAsia="zh-CN" w:bidi="ar"/>
                    </w:rPr>
                    <w:t>21</w:t>
                  </w:r>
                </w:p>
              </w:tc>
              <w:tc>
                <w:tcPr>
                  <w:tcW w:w="513" w:type="pct"/>
                  <w:tcBorders>
                    <w:tl2br w:val="nil"/>
                    <w:tr2bl w:val="nil"/>
                  </w:tcBorders>
                  <w:shd w:val="clear" w:color="auto" w:fill="auto"/>
                  <w:vAlign w:val="center"/>
                </w:tcPr>
                <w:p w14:paraId="1C0816F6">
                  <w:pPr>
                    <w:pStyle w:val="21"/>
                    <w:keepNext w:val="0"/>
                    <w:keepLines w:val="0"/>
                    <w:pageBreakBefore w:val="0"/>
                    <w:widowControl w:val="0"/>
                    <w:suppressLineNumbers w:val="0"/>
                    <w:kinsoku/>
                    <w:wordWrap/>
                    <w:overflowPunct/>
                    <w:topLinePunct w:val="0"/>
                    <w:autoSpaceDE/>
                    <w:autoSpaceDN/>
                    <w:bidi w:val="0"/>
                    <w:adjustRightInd/>
                    <w:snapToGrid/>
                    <w:spacing w:before="2" w:beforeAutospacing="0" w:after="0" w:afterAutospacing="0" w:line="360" w:lineRule="exact"/>
                    <w:ind w:left="0" w:right="0"/>
                    <w:jc w:val="center"/>
                    <w:textAlignment w:val="auto"/>
                    <w:rPr>
                      <w:rFonts w:hint="default" w:ascii="Times New Roman" w:hAnsi="Times New Roman" w:cs="Times New Roman"/>
                      <w:bCs/>
                      <w:szCs w:val="21"/>
                      <w:u w:val="none"/>
                      <w:lang w:val="en-US"/>
                    </w:rPr>
                  </w:pPr>
                  <w:r>
                    <w:rPr>
                      <w:rFonts w:hint="eastAsia" w:ascii="Times New Roman" w:hAnsi="Times New Roman" w:eastAsia="宋体" w:cs="Times New Roman"/>
                      <w:bCs/>
                      <w:kern w:val="2"/>
                      <w:sz w:val="21"/>
                      <w:szCs w:val="21"/>
                      <w:u w:val="none" w:color="000000"/>
                      <w:lang w:val="en-US" w:eastAsia="zh-CN" w:bidi="ar"/>
                    </w:rPr>
                    <w:t>开展环保绩效等级提升行动</w:t>
                  </w:r>
                </w:p>
              </w:tc>
              <w:tc>
                <w:tcPr>
                  <w:tcW w:w="2598" w:type="pct"/>
                  <w:tcBorders>
                    <w:tl2br w:val="nil"/>
                    <w:tr2bl w:val="nil"/>
                  </w:tcBorders>
                  <w:shd w:val="clear" w:color="auto" w:fill="auto"/>
                  <w:vAlign w:val="center"/>
                </w:tcPr>
                <w:p w14:paraId="552617B2">
                  <w:pPr>
                    <w:pStyle w:val="21"/>
                    <w:keepNext w:val="0"/>
                    <w:keepLines w:val="0"/>
                    <w:pageBreakBefore w:val="0"/>
                    <w:widowControl w:val="0"/>
                    <w:suppressLineNumbers w:val="0"/>
                    <w:kinsoku/>
                    <w:wordWrap/>
                    <w:overflowPunct/>
                    <w:topLinePunct w:val="0"/>
                    <w:autoSpaceDE/>
                    <w:autoSpaceDN/>
                    <w:bidi w:val="0"/>
                    <w:adjustRightInd/>
                    <w:snapToGrid/>
                    <w:spacing w:before="2" w:beforeAutospacing="0" w:after="0" w:afterAutospacing="0" w:line="360" w:lineRule="exact"/>
                    <w:ind w:left="0" w:right="0"/>
                    <w:jc w:val="center"/>
                    <w:textAlignment w:val="auto"/>
                    <w:rPr>
                      <w:rFonts w:hint="default" w:ascii="Times New Roman" w:hAnsi="Times New Roman" w:cs="Times New Roman"/>
                      <w:bCs/>
                      <w:szCs w:val="21"/>
                      <w:u w:val="none"/>
                      <w:lang w:val="zh-CN"/>
                    </w:rPr>
                  </w:pPr>
                  <w:r>
                    <w:rPr>
                      <w:rFonts w:hint="eastAsia" w:ascii="Times New Roman" w:hAnsi="Times New Roman" w:eastAsia="宋体" w:cs="Times New Roman"/>
                      <w:bCs/>
                      <w:kern w:val="2"/>
                      <w:sz w:val="21"/>
                      <w:szCs w:val="21"/>
                      <w:u w:val="none" w:color="000000"/>
                      <w:lang w:val="zh-CN" w:eastAsia="zh-CN" w:bidi="ar"/>
                    </w:rPr>
                    <w:t>加强企业绩效监管，对已评定</w:t>
                  </w:r>
                  <w:r>
                    <w:rPr>
                      <w:rFonts w:hint="default" w:ascii="Times New Roman" w:hAnsi="Times New Roman" w:eastAsia="宋体" w:cs="Times New Roman"/>
                      <w:bCs/>
                      <w:kern w:val="2"/>
                      <w:sz w:val="21"/>
                      <w:szCs w:val="21"/>
                      <w:u w:val="none" w:color="000000"/>
                      <w:lang w:val="zh-CN" w:eastAsia="zh-CN" w:bidi="ar"/>
                    </w:rPr>
                    <w:t>A</w:t>
                  </w:r>
                  <w:r>
                    <w:rPr>
                      <w:rFonts w:hint="eastAsia" w:ascii="Times New Roman" w:hAnsi="Times New Roman" w:eastAsia="宋体" w:cs="Times New Roman"/>
                      <w:bCs/>
                      <w:kern w:val="2"/>
                      <w:sz w:val="21"/>
                      <w:szCs w:val="21"/>
                      <w:u w:val="none" w:color="000000"/>
                      <w:lang w:val="zh-CN" w:eastAsia="zh-CN" w:bidi="ar"/>
                    </w:rPr>
                    <w:t>级、</w:t>
                  </w:r>
                  <w:r>
                    <w:rPr>
                      <w:rFonts w:hint="default" w:ascii="Times New Roman" w:hAnsi="Times New Roman" w:eastAsia="宋体" w:cs="Times New Roman"/>
                      <w:bCs/>
                      <w:kern w:val="2"/>
                      <w:sz w:val="21"/>
                      <w:szCs w:val="21"/>
                      <w:u w:val="none" w:color="000000"/>
                      <w:lang w:val="zh-CN" w:eastAsia="zh-CN" w:bidi="ar"/>
                    </w:rPr>
                    <w:t>B</w:t>
                  </w:r>
                  <w:r>
                    <w:rPr>
                      <w:rFonts w:hint="eastAsia" w:ascii="Times New Roman" w:hAnsi="Times New Roman" w:eastAsia="宋体" w:cs="Times New Roman"/>
                      <w:bCs/>
                      <w:kern w:val="2"/>
                      <w:sz w:val="21"/>
                      <w:szCs w:val="21"/>
                      <w:u w:val="none" w:color="000000"/>
                      <w:lang w:val="zh-CN" w:eastAsia="zh-CN" w:bidi="ar"/>
                    </w:rPr>
                    <w:t>级和绩效引领性企业开展“回头看”，对实际绩效水平达不到评定等级要求，或存在严重环境违法违规行为的企业，严格实施降级处理。围绕铁合金、氧化锌、铸造用生铁、耐火材料、铁合金破碎、工业涂装、铸造、水泥粉磨站等重点行业，开展重点行业环保绩效创</w:t>
                  </w:r>
                  <w:r>
                    <w:rPr>
                      <w:rFonts w:hint="default" w:ascii="Times New Roman" w:hAnsi="Times New Roman" w:eastAsia="宋体" w:cs="Times New Roman"/>
                      <w:bCs/>
                      <w:kern w:val="2"/>
                      <w:sz w:val="21"/>
                      <w:szCs w:val="21"/>
                      <w:u w:val="none" w:color="000000"/>
                      <w:lang w:val="zh-CN" w:eastAsia="zh-CN" w:bidi="ar"/>
                    </w:rPr>
                    <w:t>A</w:t>
                  </w:r>
                  <w:r>
                    <w:rPr>
                      <w:rFonts w:hint="eastAsia" w:ascii="Times New Roman" w:hAnsi="Times New Roman" w:eastAsia="宋体" w:cs="Times New Roman"/>
                      <w:bCs/>
                      <w:kern w:val="2"/>
                      <w:sz w:val="21"/>
                      <w:szCs w:val="21"/>
                      <w:u w:val="none" w:color="000000"/>
                      <w:lang w:val="zh-CN" w:eastAsia="zh-CN" w:bidi="ar"/>
                    </w:rPr>
                    <w:t>行动，充分发挥标杆示范引领作用，以“先进”带动“后进”，鼓励指导企业通过设备更新、技术改造、治理升级等措施，提升环境绩效等级。</w:t>
                  </w:r>
                  <w:r>
                    <w:rPr>
                      <w:rFonts w:hint="default" w:ascii="Times New Roman" w:hAnsi="Times New Roman" w:eastAsia="宋体" w:cs="Times New Roman"/>
                      <w:bCs/>
                      <w:kern w:val="2"/>
                      <w:sz w:val="21"/>
                      <w:szCs w:val="21"/>
                      <w:u w:val="none" w:color="000000"/>
                      <w:lang w:val="zh-CN" w:eastAsia="zh-CN" w:bidi="ar"/>
                    </w:rPr>
                    <w:t>2025</w:t>
                  </w:r>
                  <w:r>
                    <w:rPr>
                      <w:rFonts w:hint="eastAsia" w:ascii="Times New Roman" w:hAnsi="Times New Roman" w:eastAsia="宋体" w:cs="Times New Roman"/>
                      <w:bCs/>
                      <w:kern w:val="2"/>
                      <w:sz w:val="21"/>
                      <w:szCs w:val="21"/>
                      <w:u w:val="none" w:color="000000"/>
                      <w:lang w:val="zh-CN" w:eastAsia="zh-CN" w:bidi="ar"/>
                    </w:rPr>
                    <w:t>年全市完成新增</w:t>
                  </w:r>
                  <w:r>
                    <w:rPr>
                      <w:rFonts w:hint="default" w:ascii="Times New Roman" w:hAnsi="Times New Roman" w:eastAsia="宋体" w:cs="Times New Roman"/>
                      <w:bCs/>
                      <w:kern w:val="2"/>
                      <w:sz w:val="21"/>
                      <w:szCs w:val="21"/>
                      <w:u w:val="none" w:color="000000"/>
                      <w:lang w:val="zh-CN" w:eastAsia="zh-CN" w:bidi="ar"/>
                    </w:rPr>
                    <w:t>A</w:t>
                  </w:r>
                  <w:r>
                    <w:rPr>
                      <w:rFonts w:hint="eastAsia" w:ascii="Times New Roman" w:hAnsi="Times New Roman" w:eastAsia="宋体" w:cs="Times New Roman"/>
                      <w:bCs/>
                      <w:kern w:val="2"/>
                      <w:sz w:val="21"/>
                      <w:szCs w:val="21"/>
                      <w:u w:val="none" w:color="000000"/>
                      <w:lang w:val="zh-CN" w:eastAsia="zh-CN" w:bidi="ar"/>
                    </w:rPr>
                    <w:t>级、</w:t>
                  </w:r>
                  <w:r>
                    <w:rPr>
                      <w:rFonts w:hint="default" w:ascii="Times New Roman" w:hAnsi="Times New Roman" w:eastAsia="宋体" w:cs="Times New Roman"/>
                      <w:bCs/>
                      <w:kern w:val="2"/>
                      <w:sz w:val="21"/>
                      <w:szCs w:val="21"/>
                      <w:u w:val="none" w:color="000000"/>
                      <w:lang w:val="zh-CN" w:eastAsia="zh-CN" w:bidi="ar"/>
                    </w:rPr>
                    <w:t>B</w:t>
                  </w:r>
                  <w:r>
                    <w:rPr>
                      <w:rFonts w:hint="eastAsia" w:ascii="Times New Roman" w:hAnsi="Times New Roman" w:eastAsia="宋体" w:cs="Times New Roman"/>
                      <w:bCs/>
                      <w:kern w:val="2"/>
                      <w:sz w:val="21"/>
                      <w:szCs w:val="21"/>
                      <w:u w:val="none" w:color="000000"/>
                      <w:lang w:val="zh-CN" w:eastAsia="zh-CN" w:bidi="ar"/>
                    </w:rPr>
                    <w:t>级企业及绩效引领性企业</w:t>
                  </w:r>
                  <w:r>
                    <w:rPr>
                      <w:rFonts w:hint="default" w:ascii="Times New Roman" w:hAnsi="Times New Roman" w:eastAsia="宋体" w:cs="Times New Roman"/>
                      <w:bCs/>
                      <w:kern w:val="2"/>
                      <w:sz w:val="21"/>
                      <w:szCs w:val="21"/>
                      <w:u w:val="none" w:color="000000"/>
                      <w:lang w:val="zh-CN" w:eastAsia="zh-CN" w:bidi="ar"/>
                    </w:rPr>
                    <w:t>100</w:t>
                  </w:r>
                  <w:r>
                    <w:rPr>
                      <w:rFonts w:hint="eastAsia" w:ascii="Times New Roman" w:hAnsi="Times New Roman" w:eastAsia="宋体" w:cs="Times New Roman"/>
                      <w:bCs/>
                      <w:kern w:val="2"/>
                      <w:sz w:val="21"/>
                      <w:szCs w:val="21"/>
                      <w:u w:val="none" w:color="000000"/>
                      <w:lang w:val="zh-CN" w:eastAsia="zh-CN" w:bidi="ar"/>
                    </w:rPr>
                    <w:t>家以上。</w:t>
                  </w:r>
                </w:p>
              </w:tc>
              <w:tc>
                <w:tcPr>
                  <w:tcW w:w="1065" w:type="pct"/>
                  <w:tcBorders>
                    <w:tl2br w:val="nil"/>
                    <w:tr2bl w:val="nil"/>
                  </w:tcBorders>
                  <w:shd w:val="clear" w:color="auto" w:fill="auto"/>
                  <w:vAlign w:val="center"/>
                </w:tcPr>
                <w:p w14:paraId="1C83589F">
                  <w:pPr>
                    <w:pStyle w:val="21"/>
                    <w:keepNext w:val="0"/>
                    <w:keepLines w:val="0"/>
                    <w:pageBreakBefore w:val="0"/>
                    <w:widowControl w:val="0"/>
                    <w:suppressLineNumbers w:val="0"/>
                    <w:kinsoku/>
                    <w:wordWrap/>
                    <w:overflowPunct/>
                    <w:topLinePunct w:val="0"/>
                    <w:autoSpaceDE/>
                    <w:autoSpaceDN/>
                    <w:bidi w:val="0"/>
                    <w:adjustRightInd/>
                    <w:snapToGrid/>
                    <w:spacing w:before="2" w:beforeAutospacing="0" w:after="0" w:afterAutospacing="0" w:line="360" w:lineRule="exact"/>
                    <w:ind w:left="0" w:right="0"/>
                    <w:jc w:val="center"/>
                    <w:textAlignment w:val="auto"/>
                    <w:rPr>
                      <w:rFonts w:hint="default" w:ascii="Times New Roman" w:hAnsi="Times New Roman" w:cs="Times New Roman"/>
                      <w:bCs/>
                      <w:szCs w:val="21"/>
                      <w:u w:val="none"/>
                      <w:lang w:val="en-US"/>
                    </w:rPr>
                  </w:pPr>
                  <w:r>
                    <w:rPr>
                      <w:rFonts w:hint="default" w:ascii="Times New Roman" w:hAnsi="宋体" w:eastAsia="宋体" w:cs="宋体"/>
                      <w:kern w:val="2"/>
                      <w:sz w:val="21"/>
                      <w:szCs w:val="21"/>
                      <w:highlight w:val="none"/>
                      <w:shd w:val="clear"/>
                      <w:lang w:val="en-US" w:eastAsia="zh-CN" w:bidi="ar"/>
                    </w:rPr>
                    <w:t>项目建设符合</w:t>
                  </w:r>
                  <w:r>
                    <w:rPr>
                      <w:rFonts w:hint="eastAsia" w:ascii="Times New Roman" w:hAnsi="Times New Roman" w:eastAsia="宋体" w:cs="Times New Roman"/>
                      <w:bCs/>
                      <w:kern w:val="2"/>
                      <w:sz w:val="21"/>
                      <w:szCs w:val="21"/>
                      <w:lang w:val="en-US" w:eastAsia="zh-CN" w:bidi="ar"/>
                    </w:rPr>
                    <w:t>塑料制品行业</w:t>
                  </w:r>
                  <w:r>
                    <w:rPr>
                      <w:rFonts w:hint="default" w:ascii="Times New Roman" w:hAnsi="Times New Roman" w:eastAsia="宋体" w:cs="Times New Roman"/>
                      <w:bCs/>
                      <w:kern w:val="2"/>
                      <w:sz w:val="21"/>
                      <w:szCs w:val="21"/>
                      <w:lang w:val="en-US" w:eastAsia="zh-CN" w:bidi="ar"/>
                    </w:rPr>
                    <w:t>A</w:t>
                  </w:r>
                  <w:r>
                    <w:rPr>
                      <w:rFonts w:hint="eastAsia" w:ascii="Times New Roman" w:hAnsi="Times New Roman" w:eastAsia="宋体" w:cs="Times New Roman"/>
                      <w:bCs/>
                      <w:kern w:val="2"/>
                      <w:sz w:val="21"/>
                      <w:szCs w:val="21"/>
                      <w:lang w:val="en-US" w:eastAsia="zh-CN" w:bidi="ar"/>
                    </w:rPr>
                    <w:t>级</w:t>
                  </w:r>
                  <w:r>
                    <w:rPr>
                      <w:rFonts w:hint="default" w:ascii="Times New Roman" w:hAnsi="宋体" w:eastAsia="宋体" w:cs="宋体"/>
                      <w:kern w:val="2"/>
                      <w:sz w:val="21"/>
                      <w:szCs w:val="21"/>
                      <w:highlight w:val="none"/>
                      <w:shd w:val="clear"/>
                      <w:lang w:val="en-US" w:eastAsia="zh-CN" w:bidi="ar"/>
                    </w:rPr>
                    <w:t>绩效指标要求</w:t>
                  </w:r>
                  <w:r>
                    <w:rPr>
                      <w:rFonts w:hint="eastAsia" w:ascii="Times New Roman" w:hAnsi="Times New Roman" w:eastAsia="宋体" w:cs="Times New Roman"/>
                      <w:bCs/>
                      <w:kern w:val="2"/>
                      <w:sz w:val="21"/>
                      <w:szCs w:val="21"/>
                      <w:u w:val="none" w:color="000000"/>
                      <w:lang w:val="en-US" w:eastAsia="zh-CN" w:bidi="ar"/>
                    </w:rPr>
                    <w:t>。</w:t>
                  </w:r>
                </w:p>
              </w:tc>
              <w:tc>
                <w:tcPr>
                  <w:tcW w:w="466" w:type="pct"/>
                  <w:tcBorders>
                    <w:tl2br w:val="nil"/>
                    <w:tr2bl w:val="nil"/>
                  </w:tcBorders>
                  <w:shd w:val="clear" w:color="auto" w:fill="auto"/>
                  <w:vAlign w:val="center"/>
                </w:tcPr>
                <w:p w14:paraId="53C712BC">
                  <w:pPr>
                    <w:pStyle w:val="21"/>
                    <w:keepNext w:val="0"/>
                    <w:keepLines w:val="0"/>
                    <w:pageBreakBefore w:val="0"/>
                    <w:widowControl w:val="0"/>
                    <w:suppressLineNumbers w:val="0"/>
                    <w:kinsoku/>
                    <w:wordWrap/>
                    <w:overflowPunct/>
                    <w:topLinePunct w:val="0"/>
                    <w:autoSpaceDE/>
                    <w:autoSpaceDN/>
                    <w:bidi w:val="0"/>
                    <w:adjustRightInd/>
                    <w:snapToGrid/>
                    <w:spacing w:before="2" w:beforeAutospacing="0" w:after="0" w:afterAutospacing="0" w:line="360" w:lineRule="exact"/>
                    <w:ind w:left="0" w:right="0"/>
                    <w:jc w:val="center"/>
                    <w:textAlignment w:val="auto"/>
                    <w:rPr>
                      <w:rFonts w:hint="default" w:ascii="Times New Roman" w:hAnsi="Times New Roman" w:cs="Times New Roman"/>
                      <w:bCs/>
                      <w:szCs w:val="21"/>
                      <w:u w:val="none"/>
                      <w:lang w:val="en-US"/>
                    </w:rPr>
                  </w:pPr>
                  <w:r>
                    <w:rPr>
                      <w:rFonts w:hint="eastAsia" w:ascii="Times New Roman" w:hAnsi="Times New Roman" w:eastAsia="宋体" w:cs="Times New Roman"/>
                      <w:bCs/>
                      <w:kern w:val="2"/>
                      <w:sz w:val="21"/>
                      <w:szCs w:val="21"/>
                      <w:u w:val="none" w:color="000000"/>
                      <w:lang w:val="en-US" w:eastAsia="zh-CN" w:bidi="ar"/>
                    </w:rPr>
                    <w:t>符合</w:t>
                  </w:r>
                </w:p>
              </w:tc>
            </w:tr>
          </w:tbl>
          <w:p w14:paraId="7F078015">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520" w:lineRule="exact"/>
              <w:ind w:left="0" w:right="0" w:firstLine="480" w:firstLineChars="200"/>
              <w:textAlignment w:val="auto"/>
              <w:rPr>
                <w:rFonts w:hint="default"/>
                <w:color w:val="auto"/>
                <w:sz w:val="24"/>
                <w:szCs w:val="24"/>
                <w:highlight w:val="none"/>
                <w:u w:val="none" w:color="auto"/>
                <w:lang w:val="en-US" w:eastAsia="zh-CN"/>
              </w:rPr>
            </w:pPr>
            <w:r>
              <w:rPr>
                <w:rFonts w:hint="default"/>
                <w:color w:val="auto"/>
                <w:sz w:val="24"/>
                <w:szCs w:val="24"/>
                <w:highlight w:val="none"/>
                <w:u w:val="none" w:color="auto"/>
                <w:lang w:val="en-US" w:eastAsia="zh-CN"/>
              </w:rPr>
              <w:t>项目建设符合《安阳市2025年大气污染防治攻坚行动方案》中相关要求。</w:t>
            </w:r>
          </w:p>
          <w:p w14:paraId="2C16154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default"/>
                <w:lang w:val="en-US" w:eastAsia="zh-CN"/>
              </w:rPr>
            </w:pPr>
          </w:p>
          <w:p w14:paraId="61E42DE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default"/>
                <w:lang w:val="en-US" w:eastAsia="zh-CN"/>
              </w:rPr>
            </w:pPr>
          </w:p>
          <w:p w14:paraId="45D9C8A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default"/>
                <w:lang w:val="en-US" w:eastAsia="zh-CN"/>
              </w:rPr>
            </w:pPr>
          </w:p>
          <w:p w14:paraId="61B826B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default"/>
                <w:lang w:val="en-US" w:eastAsia="zh-CN"/>
              </w:rPr>
            </w:pPr>
          </w:p>
          <w:p w14:paraId="302661D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default"/>
                <w:lang w:val="en-US" w:eastAsia="zh-CN"/>
              </w:rPr>
            </w:pPr>
          </w:p>
          <w:p w14:paraId="2E1B545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default"/>
                <w:lang w:val="en-US" w:eastAsia="zh-CN"/>
              </w:rPr>
            </w:pPr>
          </w:p>
          <w:p w14:paraId="7831536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default"/>
                <w:lang w:val="en-US" w:eastAsia="zh-CN"/>
              </w:rPr>
            </w:pPr>
          </w:p>
          <w:p w14:paraId="60660FA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default"/>
                <w:lang w:val="en-US" w:eastAsia="zh-CN"/>
              </w:rPr>
            </w:pPr>
          </w:p>
          <w:p w14:paraId="7388035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default"/>
                <w:lang w:val="en-US" w:eastAsia="zh-CN"/>
              </w:rPr>
            </w:pPr>
          </w:p>
          <w:p w14:paraId="1F479B7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default"/>
                <w:lang w:val="en-US" w:eastAsia="zh-CN"/>
              </w:rPr>
            </w:pPr>
          </w:p>
          <w:p w14:paraId="7DE1AE9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default"/>
                <w:lang w:val="en-US" w:eastAsia="zh-CN"/>
              </w:rPr>
            </w:pPr>
          </w:p>
          <w:p w14:paraId="143E8EF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default"/>
                <w:lang w:val="en-US" w:eastAsia="zh-CN"/>
              </w:rPr>
            </w:pPr>
          </w:p>
          <w:p w14:paraId="65A6670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default"/>
                <w:lang w:val="en-US" w:eastAsia="zh-CN"/>
              </w:rPr>
            </w:pPr>
          </w:p>
          <w:p w14:paraId="303929D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default"/>
                <w:lang w:val="en-US" w:eastAsia="zh-CN"/>
              </w:rPr>
            </w:pPr>
          </w:p>
          <w:p w14:paraId="5943A24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default"/>
                <w:lang w:val="en-US" w:eastAsia="zh-CN"/>
              </w:rPr>
            </w:pPr>
          </w:p>
          <w:p w14:paraId="41131ED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right="0"/>
              <w:textAlignment w:val="auto"/>
              <w:rPr>
                <w:rFonts w:hint="default"/>
                <w:lang w:val="en-US" w:eastAsia="zh-CN"/>
              </w:rPr>
            </w:pPr>
          </w:p>
          <w:p w14:paraId="5935940D">
            <w:pPr>
              <w:keepNext w:val="0"/>
              <w:keepLines w:val="0"/>
              <w:suppressLineNumbers w:val="0"/>
              <w:spacing w:before="0" w:beforeAutospacing="0" w:after="0" w:afterAutospacing="0"/>
              <w:ind w:left="0" w:right="0"/>
              <w:rPr>
                <w:rFonts w:hint="default"/>
                <w:lang w:val="en-US" w:eastAsia="zh-CN"/>
              </w:rPr>
            </w:pPr>
          </w:p>
        </w:tc>
      </w:tr>
    </w:tbl>
    <w:p w14:paraId="49C98A8B">
      <w:pPr>
        <w:spacing w:line="360" w:lineRule="auto"/>
        <w:outlineLvl w:val="0"/>
        <w:rPr>
          <w:rFonts w:hint="eastAsia" w:eastAsia="黑体"/>
          <w:color w:val="000000" w:themeColor="text1"/>
          <w:sz w:val="21"/>
          <w:szCs w:val="21"/>
          <w:lang w:val="en-US" w:eastAsia="zh-CN"/>
          <w14:textFill>
            <w14:solidFill>
              <w14:schemeClr w14:val="tx1"/>
            </w14:solidFill>
          </w14:textFill>
        </w:rPr>
        <w:sectPr>
          <w:footerReference r:id="rId4" w:type="default"/>
          <w:pgSz w:w="11906" w:h="16838"/>
          <w:pgMar w:top="1701" w:right="1587" w:bottom="1984" w:left="1587" w:header="850" w:footer="1134" w:gutter="0"/>
          <w:pgBorders>
            <w:top w:val="none" w:sz="0" w:space="0"/>
            <w:left w:val="none" w:sz="0" w:space="0"/>
            <w:bottom w:val="none" w:sz="0" w:space="0"/>
            <w:right w:val="none" w:sz="0" w:space="0"/>
          </w:pgBorders>
          <w:pgNumType w:fmt="decimal" w:start="1"/>
          <w:cols w:space="0" w:num="1"/>
          <w:rtlGutter w:val="0"/>
          <w:docGrid w:linePitch="312" w:charSpace="0"/>
        </w:sectPr>
      </w:pPr>
    </w:p>
    <w:p w14:paraId="2DE90ACF">
      <w:pPr>
        <w:pStyle w:val="21"/>
        <w:jc w:val="center"/>
        <w:outlineLvl w:val="0"/>
        <w:rPr>
          <w:rFonts w:ascii="黑体" w:hAnsi="黑体" w:eastAsia="黑体"/>
          <w:snapToGrid w:val="0"/>
          <w:color w:val="000000" w:themeColor="text1"/>
          <w:sz w:val="30"/>
          <w:szCs w:val="30"/>
          <w14:textFill>
            <w14:solidFill>
              <w14:schemeClr w14:val="tx1"/>
            </w14:solidFill>
          </w14:textFill>
        </w:rPr>
      </w:pPr>
      <w:bookmarkStart w:id="24" w:name="_Toc10810"/>
      <w:bookmarkStart w:id="25" w:name="_Toc25833"/>
      <w:r>
        <w:rPr>
          <w:rFonts w:hint="eastAsia" w:ascii="黑体" w:hAnsi="黑体" w:eastAsia="黑体"/>
          <w:snapToGrid w:val="0"/>
          <w:color w:val="000000" w:themeColor="text1"/>
          <w:sz w:val="30"/>
          <w:szCs w:val="30"/>
          <w14:textFill>
            <w14:solidFill>
              <w14:schemeClr w14:val="tx1"/>
            </w14:solidFill>
          </w14:textFill>
        </w:rPr>
        <w:t>二、建设项目工程分析</w:t>
      </w:r>
      <w:bookmarkEnd w:id="24"/>
      <w:bookmarkEnd w:id="25"/>
    </w:p>
    <w:tbl>
      <w:tblPr>
        <w:tblStyle w:val="25"/>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725"/>
        <w:gridCol w:w="8334"/>
      </w:tblGrid>
      <w:tr w14:paraId="42AB66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00" w:type="pct"/>
            <w:noWrap w:val="0"/>
            <w:vAlign w:val="center"/>
          </w:tcPr>
          <w:p w14:paraId="436B5D5B">
            <w:pPr>
              <w:pStyle w:val="21"/>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建设内容</w:t>
            </w:r>
          </w:p>
        </w:tc>
        <w:tc>
          <w:tcPr>
            <w:tcW w:w="4599" w:type="pct"/>
            <w:noWrap w:val="0"/>
            <w:vAlign w:val="top"/>
          </w:tcPr>
          <w:p w14:paraId="688C385E">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Lines="0" w:afterAutospacing="0" w:line="520" w:lineRule="exact"/>
              <w:ind w:left="0" w:right="0" w:firstLine="0" w:firstLineChars="0"/>
              <w:textAlignment w:val="auto"/>
              <w:rPr>
                <w:rFonts w:hint="default"/>
                <w:b/>
                <w:bCs/>
                <w:color w:val="000000" w:themeColor="text1"/>
                <w:sz w:val="24"/>
                <w:szCs w:val="24"/>
                <w:highlight w:val="none"/>
                <w:lang w:val="en-US" w:eastAsia="zh-CN"/>
                <w14:textFill>
                  <w14:solidFill>
                    <w14:schemeClr w14:val="tx1"/>
                  </w14:solidFill>
                </w14:textFill>
              </w:rPr>
            </w:pPr>
            <w:r>
              <w:rPr>
                <w:rFonts w:hint="eastAsia"/>
                <w:b/>
                <w:bCs/>
                <w:color w:val="000000" w:themeColor="text1"/>
                <w:sz w:val="24"/>
                <w:szCs w:val="24"/>
                <w:highlight w:val="none"/>
                <w:lang w:val="en-US" w:eastAsia="zh-CN"/>
                <w14:textFill>
                  <w14:solidFill>
                    <w14:schemeClr w14:val="tx1"/>
                  </w14:solidFill>
                </w14:textFill>
              </w:rPr>
              <w:t>一、项目由来</w:t>
            </w:r>
          </w:p>
          <w:p w14:paraId="2A1E792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textAlignment w:val="auto"/>
              <w:rPr>
                <w:rFonts w:hint="eastAsia" w:cs="宋体"/>
                <w:kern w:val="2"/>
                <w:sz w:val="24"/>
                <w:szCs w:val="24"/>
                <w:lang w:val="en-US" w:eastAsia="zh-CN" w:bidi="ar"/>
              </w:rPr>
            </w:pPr>
            <w:r>
              <w:rPr>
                <w:rFonts w:hint="eastAsia" w:cs="Times New Roman"/>
                <w:color w:val="000000" w:themeColor="text1"/>
                <w:sz w:val="24"/>
                <w:szCs w:val="24"/>
                <w:lang w:val="en-US" w:eastAsia="zh-CN"/>
                <w14:textFill>
                  <w14:solidFill>
                    <w14:schemeClr w14:val="tx1"/>
                  </w14:solidFill>
                </w14:textFill>
              </w:rPr>
              <w:t>安阳秦老吉灌溉设备有限公司成立于2024年10月，法定代表人：桑立兴，位于安阳市汤阴县韩庄镇工兴大道与岳庙街交叉口东南角</w:t>
            </w:r>
            <w:r>
              <w:rPr>
                <w:rFonts w:hint="eastAsia" w:cs="宋体"/>
                <w:kern w:val="2"/>
                <w:sz w:val="24"/>
                <w:szCs w:val="24"/>
                <w:lang w:val="en-US" w:eastAsia="zh-CN" w:bidi="ar"/>
              </w:rPr>
              <w:t>。企业计划投资6000万元，租赁安阳睿恒数控机床股份有限公司现有厂房，建设聚乙烯复合材料华北生产基地项目。</w:t>
            </w:r>
          </w:p>
          <w:p w14:paraId="13A3D00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textAlignment w:val="auto"/>
              <w:rPr>
                <w:rFonts w:hint="default"/>
                <w:bCs/>
                <w:color w:val="auto"/>
                <w:sz w:val="24"/>
                <w:lang w:val="en-US" w:eastAsia="zh-CN"/>
              </w:rPr>
            </w:pPr>
            <w:r>
              <w:rPr>
                <w:rFonts w:hint="eastAsia" w:cs="宋体"/>
                <w:kern w:val="2"/>
                <w:sz w:val="24"/>
                <w:szCs w:val="24"/>
                <w:lang w:val="en-US" w:eastAsia="zh-CN" w:bidi="ar"/>
              </w:rPr>
              <w:t>该项目建设聚乙烯高性能复合材料（PE布）生产线，依据《建设项目环境影响评价分类管理名录（2021年版）》，</w:t>
            </w:r>
            <w:r>
              <w:rPr>
                <w:rFonts w:hint="eastAsia"/>
                <w:bCs/>
                <w:color w:val="auto"/>
                <w:sz w:val="24"/>
                <w:lang w:val="en-US" w:eastAsia="zh-CN"/>
              </w:rPr>
              <w:t>项目类别为第二十六（橡胶和塑料制品业29）类，第53条塑料制品业292中“其他（年用非溶剂型低VOCs含量涂料10吨以下的除外）”，应编制环境影响报告表</w:t>
            </w:r>
            <w:r>
              <w:rPr>
                <w:rFonts w:hint="eastAsia" w:cs="宋体"/>
                <w:kern w:val="2"/>
                <w:sz w:val="24"/>
                <w:szCs w:val="24"/>
                <w:lang w:val="en-US" w:eastAsia="zh-CN" w:bidi="ar"/>
              </w:rPr>
              <w:t>。</w:t>
            </w:r>
          </w:p>
          <w:p w14:paraId="7C37D00D">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Lines="0" w:afterAutospacing="0" w:line="520" w:lineRule="exact"/>
              <w:ind w:left="0" w:right="0" w:firstLine="0" w:firstLineChars="0"/>
              <w:textAlignment w:val="auto"/>
              <w:rPr>
                <w:rFonts w:hint="default"/>
                <w:b/>
                <w:bCs/>
                <w:color w:val="000000" w:themeColor="text1"/>
                <w:sz w:val="24"/>
                <w:szCs w:val="24"/>
                <w:highlight w:val="none"/>
                <w:lang w:val="en-US" w:eastAsia="zh-CN"/>
                <w14:textFill>
                  <w14:solidFill>
                    <w14:schemeClr w14:val="tx1"/>
                  </w14:solidFill>
                </w14:textFill>
              </w:rPr>
            </w:pPr>
            <w:r>
              <w:rPr>
                <w:rFonts w:hint="eastAsia"/>
                <w:b/>
                <w:bCs/>
                <w:color w:val="000000" w:themeColor="text1"/>
                <w:sz w:val="24"/>
                <w:szCs w:val="24"/>
                <w:highlight w:val="none"/>
                <w:lang w:val="en-US" w:eastAsia="zh-CN"/>
                <w14:textFill>
                  <w14:solidFill>
                    <w14:schemeClr w14:val="tx1"/>
                  </w14:solidFill>
                </w14:textFill>
              </w:rPr>
              <w:t>二、项目组成</w:t>
            </w:r>
          </w:p>
          <w:p w14:paraId="4DB6339A">
            <w:pPr>
              <w:keepNext w:val="0"/>
              <w:keepLines w:val="0"/>
              <w:pageBreakBefore w:val="0"/>
              <w:suppressLineNumbers w:val="0"/>
              <w:kinsoku/>
              <w:wordWrap/>
              <w:overflowPunct/>
              <w:topLinePunct w:val="0"/>
              <w:autoSpaceDE/>
              <w:autoSpaceDN/>
              <w:bidi w:val="0"/>
              <w:adjustRightInd w:val="0"/>
              <w:snapToGrid/>
              <w:spacing w:before="0" w:beforeAutospacing="0" w:after="0" w:afterLines="0" w:afterAutospacing="0" w:line="520" w:lineRule="exact"/>
              <w:ind w:left="0" w:right="0" w:firstLine="480" w:firstLineChars="200"/>
              <w:textAlignment w:val="auto"/>
              <w:rPr>
                <w:rFonts w:hint="default"/>
                <w:color w:val="000000" w:themeColor="text1"/>
                <w:sz w:val="24"/>
                <w:szCs w:val="24"/>
                <w:highlight w:val="none"/>
                <w14:textFill>
                  <w14:solidFill>
                    <w14:schemeClr w14:val="tx1"/>
                  </w14:solidFill>
                </w14:textFill>
              </w:rPr>
            </w:pPr>
            <w:r>
              <w:rPr>
                <w:rFonts w:hint="eastAsia"/>
                <w:b w:val="0"/>
                <w:bCs w:val="0"/>
                <w:color w:val="000000" w:themeColor="text1"/>
                <w:kern w:val="2"/>
                <w:sz w:val="24"/>
                <w:szCs w:val="24"/>
                <w:highlight w:val="none"/>
                <w:lang w:val="en-US" w:eastAsia="zh-CN" w:bidi="ar-SA"/>
                <w14:textFill>
                  <w14:solidFill>
                    <w14:schemeClr w14:val="tx1"/>
                  </w14:solidFill>
                </w14:textFill>
              </w:rPr>
              <w:t>本</w:t>
            </w:r>
            <w:r>
              <w:rPr>
                <w:rFonts w:hint="eastAsia"/>
                <w:color w:val="000000" w:themeColor="text1"/>
                <w:sz w:val="24"/>
                <w:szCs w:val="24"/>
                <w:highlight w:val="none"/>
                <w:lang w:val="en-US" w:eastAsia="zh-CN"/>
                <w14:textFill>
                  <w14:solidFill>
                    <w14:schemeClr w14:val="tx1"/>
                  </w14:solidFill>
                </w14:textFill>
              </w:rPr>
              <w:t>项目主要组成内容</w:t>
            </w:r>
            <w:r>
              <w:rPr>
                <w:rFonts w:hint="default"/>
                <w:color w:val="000000" w:themeColor="text1"/>
                <w:sz w:val="24"/>
                <w:szCs w:val="24"/>
                <w:highlight w:val="none"/>
                <w14:textFill>
                  <w14:solidFill>
                    <w14:schemeClr w14:val="tx1"/>
                  </w14:solidFill>
                </w14:textFill>
              </w:rPr>
              <w:t>见</w:t>
            </w:r>
            <w:r>
              <w:rPr>
                <w:rFonts w:hint="default"/>
                <w:color w:val="000000" w:themeColor="text1"/>
                <w:sz w:val="24"/>
                <w:szCs w:val="24"/>
                <w:highlight w:val="none"/>
                <w:lang w:val="en-US" w:eastAsia="zh-CN"/>
                <w14:textFill>
                  <w14:solidFill>
                    <w14:schemeClr w14:val="tx1"/>
                  </w14:solidFill>
                </w14:textFill>
              </w:rPr>
              <w:t>下</w:t>
            </w:r>
            <w:r>
              <w:rPr>
                <w:rFonts w:hint="default"/>
                <w:color w:val="000000" w:themeColor="text1"/>
                <w:sz w:val="24"/>
                <w:szCs w:val="24"/>
                <w:highlight w:val="none"/>
                <w14:textFill>
                  <w14:solidFill>
                    <w14:schemeClr w14:val="tx1"/>
                  </w14:solidFill>
                </w14:textFill>
              </w:rPr>
              <w:t>表。</w:t>
            </w:r>
          </w:p>
          <w:p w14:paraId="3AA5D3D0">
            <w:pPr>
              <w:keepNext w:val="0"/>
              <w:keepLines w:val="0"/>
              <w:pageBreakBefore w:val="0"/>
              <w:widowControl/>
              <w:numPr>
                <w:ilvl w:val="0"/>
                <w:numId w:val="0"/>
              </w:numPr>
              <w:suppressLineNumbers w:val="0"/>
              <w:kinsoku/>
              <w:wordWrap/>
              <w:overflowPunct/>
              <w:topLinePunct w:val="0"/>
              <w:autoSpaceDE/>
              <w:autoSpaceDN/>
              <w:bidi w:val="0"/>
              <w:adjustRightInd w:val="0"/>
              <w:snapToGrid/>
              <w:spacing w:before="0" w:beforeAutospacing="0" w:after="0" w:afterAutospacing="0" w:line="520" w:lineRule="exact"/>
              <w:ind w:left="0" w:right="0"/>
              <w:jc w:val="center"/>
              <w:textAlignment w:val="auto"/>
              <w:rPr>
                <w:rFonts w:hint="default" w:eastAsia="黑体" w:cs="Times New Roman"/>
                <w:b w:val="0"/>
                <w:bCs w:val="0"/>
                <w:color w:val="000000" w:themeColor="text1"/>
                <w:sz w:val="24"/>
                <w:szCs w:val="24"/>
                <w:highlight w:val="none"/>
                <w:lang w:val="en-US" w:eastAsia="zh-CN"/>
                <w14:textFill>
                  <w14:solidFill>
                    <w14:schemeClr w14:val="tx1"/>
                  </w14:solidFill>
                </w14:textFill>
              </w:rPr>
            </w:pPr>
            <w:r>
              <w:rPr>
                <w:rFonts w:hint="default" w:eastAsia="黑体" w:cs="Times New Roman"/>
                <w:b w:val="0"/>
                <w:bCs w:val="0"/>
                <w:color w:val="000000" w:themeColor="text1"/>
                <w:sz w:val="24"/>
                <w:szCs w:val="24"/>
                <w:highlight w:val="none"/>
                <w:lang w:val="en-US" w:eastAsia="zh-CN"/>
                <w14:textFill>
                  <w14:solidFill>
                    <w14:schemeClr w14:val="tx1"/>
                  </w14:solidFill>
                </w14:textFill>
              </w:rPr>
              <w:t>表</w:t>
            </w:r>
            <w:r>
              <w:rPr>
                <w:rFonts w:hint="eastAsia" w:eastAsia="黑体" w:cs="Times New Roman"/>
                <w:b w:val="0"/>
                <w:bCs w:val="0"/>
                <w:color w:val="000000" w:themeColor="text1"/>
                <w:sz w:val="24"/>
                <w:szCs w:val="24"/>
                <w:highlight w:val="none"/>
                <w:lang w:val="en-US" w:eastAsia="zh-CN"/>
                <w14:textFill>
                  <w14:solidFill>
                    <w14:schemeClr w14:val="tx1"/>
                  </w14:solidFill>
                </w14:textFill>
              </w:rPr>
              <w:t>2-1</w:t>
            </w:r>
            <w:r>
              <w:rPr>
                <w:rFonts w:hint="default" w:eastAsia="黑体" w:cs="Times New Roman"/>
                <w:b w:val="0"/>
                <w:bCs w:val="0"/>
                <w:color w:val="000000" w:themeColor="text1"/>
                <w:sz w:val="24"/>
                <w:szCs w:val="24"/>
                <w:highlight w:val="none"/>
                <w:lang w:val="en-US" w:eastAsia="zh-CN"/>
                <w14:textFill>
                  <w14:solidFill>
                    <w14:schemeClr w14:val="tx1"/>
                  </w14:solidFill>
                </w14:textFill>
              </w:rPr>
              <w:t xml:space="preserve"> </w:t>
            </w:r>
            <w:r>
              <w:rPr>
                <w:rFonts w:hint="eastAsia" w:eastAsia="黑体" w:cs="Times New Roman"/>
                <w:b w:val="0"/>
                <w:bCs w:val="0"/>
                <w:color w:val="000000" w:themeColor="text1"/>
                <w:sz w:val="24"/>
                <w:szCs w:val="24"/>
                <w:highlight w:val="none"/>
                <w:lang w:val="en-US" w:eastAsia="zh-CN"/>
                <w14:textFill>
                  <w14:solidFill>
                    <w14:schemeClr w14:val="tx1"/>
                  </w14:solidFill>
                </w14:textFill>
              </w:rPr>
              <w:t xml:space="preserve"> </w:t>
            </w:r>
            <w:r>
              <w:rPr>
                <w:rFonts w:hint="default" w:eastAsia="黑体" w:cs="Times New Roman"/>
                <w:b w:val="0"/>
                <w:bCs w:val="0"/>
                <w:color w:val="000000" w:themeColor="text1"/>
                <w:sz w:val="24"/>
                <w:szCs w:val="24"/>
                <w:highlight w:val="none"/>
                <w:lang w:val="en-US" w:eastAsia="zh-CN"/>
                <w14:textFill>
                  <w14:solidFill>
                    <w14:schemeClr w14:val="tx1"/>
                  </w14:solidFill>
                </w14:textFill>
              </w:rPr>
              <w:t>本</w:t>
            </w:r>
            <w:r>
              <w:rPr>
                <w:rFonts w:hint="eastAsia" w:eastAsia="黑体" w:cs="Times New Roman"/>
                <w:b w:val="0"/>
                <w:bCs w:val="0"/>
                <w:color w:val="000000" w:themeColor="text1"/>
                <w:sz w:val="24"/>
                <w:szCs w:val="24"/>
                <w:highlight w:val="none"/>
                <w:lang w:val="en-US" w:eastAsia="zh-CN"/>
                <w14:textFill>
                  <w14:solidFill>
                    <w14:schemeClr w14:val="tx1"/>
                  </w14:solidFill>
                </w14:textFill>
              </w:rPr>
              <w:t>项目组成</w:t>
            </w:r>
            <w:r>
              <w:rPr>
                <w:rFonts w:hint="default" w:eastAsia="黑体" w:cs="Times New Roman"/>
                <w:b w:val="0"/>
                <w:bCs w:val="0"/>
                <w:color w:val="000000" w:themeColor="text1"/>
                <w:sz w:val="24"/>
                <w:szCs w:val="24"/>
                <w:highlight w:val="none"/>
                <w:lang w:val="en-US" w:eastAsia="zh-CN"/>
                <w14:textFill>
                  <w14:solidFill>
                    <w14:schemeClr w14:val="tx1"/>
                  </w14:solidFill>
                </w14:textFill>
              </w:rPr>
              <w:t>内容一览表</w:t>
            </w:r>
          </w:p>
          <w:tbl>
            <w:tblPr>
              <w:tblStyle w:val="25"/>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85" w:type="dxa"/>
                <w:bottom w:w="0" w:type="dxa"/>
                <w:right w:w="85" w:type="dxa"/>
              </w:tblCellMar>
            </w:tblPr>
            <w:tblGrid>
              <w:gridCol w:w="1021"/>
              <w:gridCol w:w="1521"/>
              <w:gridCol w:w="3755"/>
              <w:gridCol w:w="1818"/>
            </w:tblGrid>
            <w:tr w14:paraId="206045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85" w:type="dxa"/>
                  <w:bottom w:w="0" w:type="dxa"/>
                  <w:right w:w="85" w:type="dxa"/>
                </w:tblCellMar>
              </w:tblPrEx>
              <w:trPr>
                <w:trHeight w:val="0" w:hRule="atLeast"/>
              </w:trPr>
              <w:tc>
                <w:tcPr>
                  <w:tcW w:w="629" w:type="pct"/>
                  <w:tcBorders>
                    <w:tl2br w:val="nil"/>
                    <w:tr2bl w:val="nil"/>
                  </w:tcBorders>
                  <w:noWrap w:val="0"/>
                  <w:vAlign w:val="center"/>
                </w:tcPr>
                <w:p w14:paraId="2C9011C0">
                  <w:pPr>
                    <w:pStyle w:val="71"/>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firstLine="0" w:firstLineChars="0"/>
                    <w:textAlignment w:val="auto"/>
                    <w:rPr>
                      <w:rFonts w:hint="eastAsia"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项目组成</w:t>
                  </w:r>
                </w:p>
              </w:tc>
              <w:tc>
                <w:tcPr>
                  <w:tcW w:w="937" w:type="pct"/>
                  <w:tcBorders>
                    <w:tl2br w:val="nil"/>
                    <w:tr2bl w:val="nil"/>
                  </w:tcBorders>
                  <w:noWrap w:val="0"/>
                  <w:vAlign w:val="center"/>
                </w:tcPr>
                <w:p w14:paraId="69C82BB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outlineLvl w:val="9"/>
                    <w:rPr>
                      <w:rFonts w:hint="default"/>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名称</w:t>
                  </w:r>
                </w:p>
              </w:tc>
              <w:tc>
                <w:tcPr>
                  <w:tcW w:w="2313" w:type="pct"/>
                  <w:tcBorders>
                    <w:tl2br w:val="nil"/>
                    <w:tr2bl w:val="nil"/>
                  </w:tcBorders>
                  <w:noWrap w:val="0"/>
                  <w:vAlign w:val="center"/>
                </w:tcPr>
                <w:p w14:paraId="60750B09">
                  <w:pPr>
                    <w:pStyle w:val="71"/>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firstLine="0" w:firstLineChars="0"/>
                    <w:jc w:val="center"/>
                    <w:textAlignment w:val="auto"/>
                    <w:rPr>
                      <w:rFonts w:hint="default"/>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建设内容</w:t>
                  </w:r>
                </w:p>
              </w:tc>
              <w:tc>
                <w:tcPr>
                  <w:tcW w:w="1120" w:type="pct"/>
                  <w:tcBorders>
                    <w:tl2br w:val="nil"/>
                    <w:tr2bl w:val="nil"/>
                  </w:tcBorders>
                  <w:noWrap w:val="0"/>
                  <w:vAlign w:val="center"/>
                </w:tcPr>
                <w:p w14:paraId="1AF96F32">
                  <w:pPr>
                    <w:pStyle w:val="71"/>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firstLine="0" w:firstLineChars="0"/>
                    <w:jc w:val="center"/>
                    <w:textAlignment w:val="auto"/>
                    <w:rPr>
                      <w:rFonts w:hint="default"/>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备注</w:t>
                  </w:r>
                </w:p>
              </w:tc>
            </w:tr>
            <w:tr w14:paraId="18BC04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85" w:type="dxa"/>
                  <w:bottom w:w="0" w:type="dxa"/>
                  <w:right w:w="85" w:type="dxa"/>
                </w:tblCellMar>
              </w:tblPrEx>
              <w:trPr>
                <w:trHeight w:val="0" w:hRule="atLeast"/>
              </w:trPr>
              <w:tc>
                <w:tcPr>
                  <w:tcW w:w="629" w:type="pct"/>
                  <w:tcBorders>
                    <w:tl2br w:val="nil"/>
                    <w:tr2bl w:val="nil"/>
                  </w:tcBorders>
                  <w:noWrap w:val="0"/>
                  <w:vAlign w:val="center"/>
                </w:tcPr>
                <w:p w14:paraId="60029B98">
                  <w:pPr>
                    <w:pStyle w:val="71"/>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firstLine="0" w:firstLineChars="0"/>
                    <w:textAlignment w:val="auto"/>
                    <w:rPr>
                      <w:rFonts w:hint="default"/>
                      <w:color w:val="000000" w:themeColor="text1"/>
                      <w:sz w:val="21"/>
                      <w:szCs w:val="21"/>
                      <w:highlight w:val="none"/>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主体工程</w:t>
                  </w:r>
                </w:p>
              </w:tc>
              <w:tc>
                <w:tcPr>
                  <w:tcW w:w="937" w:type="pct"/>
                  <w:tcBorders>
                    <w:tl2br w:val="nil"/>
                    <w:tr2bl w:val="nil"/>
                  </w:tcBorders>
                  <w:noWrap w:val="0"/>
                  <w:vAlign w:val="center"/>
                </w:tcPr>
                <w:p w14:paraId="23BD136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outlineLvl w:val="9"/>
                    <w:rPr>
                      <w:rFonts w:hint="default"/>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kern w:val="2"/>
                      <w:sz w:val="21"/>
                      <w:szCs w:val="21"/>
                      <w:highlight w:val="none"/>
                      <w:lang w:val="en-US" w:eastAsia="zh-CN" w:bidi="ar-SA"/>
                      <w14:textFill>
                        <w14:solidFill>
                          <w14:schemeClr w14:val="tx1"/>
                        </w14:solidFill>
                      </w14:textFill>
                    </w:rPr>
                    <w:t>生产车间</w:t>
                  </w:r>
                </w:p>
              </w:tc>
              <w:tc>
                <w:tcPr>
                  <w:tcW w:w="2313" w:type="pct"/>
                  <w:tcBorders>
                    <w:tl2br w:val="nil"/>
                    <w:tr2bl w:val="nil"/>
                  </w:tcBorders>
                  <w:noWrap w:val="0"/>
                  <w:vAlign w:val="center"/>
                </w:tcPr>
                <w:p w14:paraId="40FA022E">
                  <w:pPr>
                    <w:pStyle w:val="71"/>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firstLine="0" w:firstLineChars="0"/>
                    <w:jc w:val="both"/>
                    <w:textAlignment w:val="auto"/>
                    <w:rPr>
                      <w:rFonts w:hint="default" w:eastAsia="宋体"/>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钢构厂房</w:t>
                  </w:r>
                  <w:r>
                    <w:rPr>
                      <w:rFonts w:hint="default"/>
                      <w:color w:val="000000" w:themeColor="text1"/>
                      <w:sz w:val="21"/>
                      <w:szCs w:val="21"/>
                      <w:highlight w:val="none"/>
                      <w:lang w:val="en-US" w:eastAsia="zh-CN"/>
                      <w14:textFill>
                        <w14:solidFill>
                          <w14:schemeClr w14:val="tx1"/>
                        </w14:solidFill>
                      </w14:textFill>
                    </w:rPr>
                    <w:t>，</w:t>
                  </w:r>
                  <w:r>
                    <w:rPr>
                      <w:rFonts w:hint="eastAsia"/>
                      <w:color w:val="000000" w:themeColor="text1"/>
                      <w:sz w:val="21"/>
                      <w:szCs w:val="21"/>
                      <w:highlight w:val="none"/>
                      <w:lang w:val="en-US" w:eastAsia="zh-CN"/>
                      <w14:textFill>
                        <w14:solidFill>
                          <w14:schemeClr w14:val="tx1"/>
                        </w14:solidFill>
                      </w14:textFill>
                    </w:rPr>
                    <w:t>建筑</w:t>
                  </w:r>
                  <w:r>
                    <w:rPr>
                      <w:rFonts w:hint="default"/>
                      <w:color w:val="000000" w:themeColor="text1"/>
                      <w:sz w:val="21"/>
                      <w:szCs w:val="21"/>
                      <w:highlight w:val="none"/>
                      <w:lang w:val="en-US" w:eastAsia="zh-CN"/>
                      <w14:textFill>
                        <w14:solidFill>
                          <w14:schemeClr w14:val="tx1"/>
                        </w14:solidFill>
                      </w14:textFill>
                    </w:rPr>
                    <w:t>面积</w:t>
                  </w:r>
                  <w:r>
                    <w:rPr>
                      <w:rFonts w:hint="eastAsia"/>
                      <w:color w:val="000000" w:themeColor="text1"/>
                      <w:sz w:val="21"/>
                      <w:szCs w:val="21"/>
                      <w:highlight w:val="none"/>
                      <w:lang w:val="en-US" w:eastAsia="zh-CN"/>
                      <w14:textFill>
                        <w14:solidFill>
                          <w14:schemeClr w14:val="tx1"/>
                        </w14:solidFill>
                      </w14:textFill>
                    </w:rPr>
                    <w:t>6000</w:t>
                  </w:r>
                  <w:r>
                    <w:rPr>
                      <w:rFonts w:hint="default"/>
                      <w:color w:val="000000" w:themeColor="text1"/>
                      <w:sz w:val="21"/>
                      <w:szCs w:val="21"/>
                      <w:highlight w:val="none"/>
                      <w14:textFill>
                        <w14:solidFill>
                          <w14:schemeClr w14:val="tx1"/>
                        </w14:solidFill>
                      </w14:textFill>
                    </w:rPr>
                    <w:t>m</w:t>
                  </w:r>
                  <w:r>
                    <w:rPr>
                      <w:rFonts w:hint="default"/>
                      <w:color w:val="000000" w:themeColor="text1"/>
                      <w:sz w:val="21"/>
                      <w:szCs w:val="21"/>
                      <w:highlight w:val="none"/>
                      <w:vertAlign w:val="superscript"/>
                      <w14:textFill>
                        <w14:solidFill>
                          <w14:schemeClr w14:val="tx1"/>
                        </w14:solidFill>
                      </w14:textFill>
                    </w:rPr>
                    <w:t>2</w:t>
                  </w:r>
                  <w:r>
                    <w:rPr>
                      <w:rFonts w:hint="eastAsia"/>
                      <w:color w:val="000000" w:themeColor="text1"/>
                      <w:sz w:val="21"/>
                      <w:szCs w:val="21"/>
                      <w:highlight w:val="none"/>
                      <w:vertAlign w:val="baseline"/>
                      <w:lang w:val="en-US" w:eastAsia="zh-CN"/>
                      <w14:textFill>
                        <w14:solidFill>
                          <w14:schemeClr w14:val="tx1"/>
                        </w14:solidFill>
                      </w14:textFill>
                    </w:rPr>
                    <w:t>。</w:t>
                  </w:r>
                </w:p>
              </w:tc>
              <w:tc>
                <w:tcPr>
                  <w:tcW w:w="1120" w:type="pct"/>
                  <w:tcBorders>
                    <w:tl2br w:val="nil"/>
                    <w:tr2bl w:val="nil"/>
                  </w:tcBorders>
                  <w:noWrap w:val="0"/>
                  <w:vAlign w:val="center"/>
                </w:tcPr>
                <w:p w14:paraId="48C466DA">
                  <w:pPr>
                    <w:pStyle w:val="71"/>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firstLine="0" w:firstLineChars="0"/>
                    <w:jc w:val="center"/>
                    <w:textAlignment w:val="auto"/>
                    <w:rPr>
                      <w:rFonts w:hint="default"/>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租赁现有</w:t>
                  </w:r>
                </w:p>
              </w:tc>
            </w:tr>
            <w:tr w14:paraId="2D8A15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85" w:type="dxa"/>
                  <w:bottom w:w="0" w:type="dxa"/>
                  <w:right w:w="85" w:type="dxa"/>
                </w:tblCellMar>
              </w:tblPrEx>
              <w:trPr>
                <w:trHeight w:val="0" w:hRule="atLeast"/>
              </w:trPr>
              <w:tc>
                <w:tcPr>
                  <w:tcW w:w="629" w:type="pct"/>
                  <w:tcBorders>
                    <w:tl2br w:val="nil"/>
                    <w:tr2bl w:val="nil"/>
                  </w:tcBorders>
                  <w:noWrap w:val="0"/>
                  <w:vAlign w:val="center"/>
                </w:tcPr>
                <w:p w14:paraId="556D6828">
                  <w:pPr>
                    <w:pStyle w:val="71"/>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firstLine="0" w:firstLineChars="0"/>
                    <w:textAlignment w:val="auto"/>
                    <w:rPr>
                      <w:rFonts w:hint="default"/>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辅助工程</w:t>
                  </w:r>
                </w:p>
              </w:tc>
              <w:tc>
                <w:tcPr>
                  <w:tcW w:w="937" w:type="pct"/>
                  <w:tcBorders>
                    <w:tl2br w:val="nil"/>
                    <w:tr2bl w:val="nil"/>
                  </w:tcBorders>
                  <w:noWrap w:val="0"/>
                  <w:vAlign w:val="center"/>
                </w:tcPr>
                <w:p w14:paraId="6CE3DEC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outlineLvl w:val="9"/>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kern w:val="2"/>
                      <w:sz w:val="21"/>
                      <w:szCs w:val="21"/>
                      <w:highlight w:val="none"/>
                      <w:lang w:val="en-US" w:eastAsia="zh-CN" w:bidi="ar-SA"/>
                      <w14:textFill>
                        <w14:solidFill>
                          <w14:schemeClr w14:val="tx1"/>
                        </w14:solidFill>
                      </w14:textFill>
                    </w:rPr>
                    <w:t>办公室</w:t>
                  </w:r>
                </w:p>
              </w:tc>
              <w:tc>
                <w:tcPr>
                  <w:tcW w:w="2313" w:type="pct"/>
                  <w:tcBorders>
                    <w:tl2br w:val="nil"/>
                    <w:tr2bl w:val="nil"/>
                  </w:tcBorders>
                  <w:noWrap w:val="0"/>
                  <w:vAlign w:val="center"/>
                </w:tcPr>
                <w:p w14:paraId="25925702">
                  <w:pPr>
                    <w:pStyle w:val="71"/>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firstLine="0" w:firstLineChars="0"/>
                    <w:jc w:val="both"/>
                    <w:textAlignment w:val="auto"/>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隔断板房，建筑面积100</w:t>
                  </w:r>
                  <w:r>
                    <w:rPr>
                      <w:rFonts w:hint="default"/>
                      <w:color w:val="000000" w:themeColor="text1"/>
                      <w:sz w:val="21"/>
                      <w:szCs w:val="21"/>
                      <w:highlight w:val="none"/>
                      <w14:textFill>
                        <w14:solidFill>
                          <w14:schemeClr w14:val="tx1"/>
                        </w14:solidFill>
                      </w14:textFill>
                    </w:rPr>
                    <w:t>m</w:t>
                  </w:r>
                  <w:r>
                    <w:rPr>
                      <w:rFonts w:hint="default"/>
                      <w:color w:val="000000" w:themeColor="text1"/>
                      <w:sz w:val="21"/>
                      <w:szCs w:val="21"/>
                      <w:highlight w:val="none"/>
                      <w:vertAlign w:val="superscript"/>
                      <w14:textFill>
                        <w14:solidFill>
                          <w14:schemeClr w14:val="tx1"/>
                        </w14:solidFill>
                      </w14:textFill>
                    </w:rPr>
                    <w:t>2</w:t>
                  </w:r>
                  <w:r>
                    <w:rPr>
                      <w:rFonts w:hint="eastAsia"/>
                      <w:color w:val="000000" w:themeColor="text1"/>
                      <w:sz w:val="21"/>
                      <w:szCs w:val="21"/>
                      <w:highlight w:val="none"/>
                      <w:vertAlign w:val="baseline"/>
                      <w:lang w:eastAsia="zh-CN"/>
                      <w14:textFill>
                        <w14:solidFill>
                          <w14:schemeClr w14:val="tx1"/>
                        </w14:solidFill>
                      </w14:textFill>
                    </w:rPr>
                    <w:t>。</w:t>
                  </w:r>
                </w:p>
              </w:tc>
              <w:tc>
                <w:tcPr>
                  <w:tcW w:w="1120" w:type="pct"/>
                  <w:tcBorders>
                    <w:tl2br w:val="nil"/>
                    <w:tr2bl w:val="nil"/>
                  </w:tcBorders>
                  <w:noWrap w:val="0"/>
                  <w:vAlign w:val="center"/>
                </w:tcPr>
                <w:p w14:paraId="32E558FE">
                  <w:pPr>
                    <w:pStyle w:val="71"/>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firstLine="0" w:firstLineChars="0"/>
                    <w:jc w:val="center"/>
                    <w:textAlignment w:val="auto"/>
                    <w:rPr>
                      <w:rFonts w:hint="default"/>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租赁现有</w:t>
                  </w:r>
                </w:p>
              </w:tc>
            </w:tr>
            <w:tr w14:paraId="7C7DDF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85" w:type="dxa"/>
                  <w:bottom w:w="0" w:type="dxa"/>
                  <w:right w:w="85" w:type="dxa"/>
                </w:tblCellMar>
              </w:tblPrEx>
              <w:trPr>
                <w:trHeight w:val="109" w:hRule="atLeast"/>
              </w:trPr>
              <w:tc>
                <w:tcPr>
                  <w:tcW w:w="629" w:type="pct"/>
                  <w:vMerge w:val="restart"/>
                  <w:tcBorders>
                    <w:tl2br w:val="nil"/>
                    <w:tr2bl w:val="nil"/>
                  </w:tcBorders>
                  <w:noWrap w:val="0"/>
                  <w:vAlign w:val="center"/>
                </w:tcPr>
                <w:p w14:paraId="41EDF7FA">
                  <w:pPr>
                    <w:pStyle w:val="71"/>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firstLine="0" w:firstLineChars="0"/>
                    <w:textAlignment w:val="auto"/>
                    <w:rPr>
                      <w:rFonts w:hint="eastAsia"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公用工程</w:t>
                  </w:r>
                </w:p>
              </w:tc>
              <w:tc>
                <w:tcPr>
                  <w:tcW w:w="937" w:type="pct"/>
                  <w:tcBorders>
                    <w:tl2br w:val="nil"/>
                    <w:tr2bl w:val="nil"/>
                  </w:tcBorders>
                  <w:noWrap w:val="0"/>
                  <w:vAlign w:val="center"/>
                </w:tcPr>
                <w:p w14:paraId="0CFD641E">
                  <w:pPr>
                    <w:pStyle w:val="71"/>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firstLine="0" w:firstLineChars="0"/>
                    <w:jc w:val="center"/>
                    <w:textAlignment w:val="auto"/>
                    <w:rPr>
                      <w:rFonts w:hint="eastAsia"/>
                      <w:color w:val="000000" w:themeColor="text1"/>
                      <w:kern w:val="2"/>
                      <w:sz w:val="21"/>
                      <w:szCs w:val="21"/>
                      <w:highlight w:val="none"/>
                      <w:lang w:val="en-US" w:eastAsia="zh-CN" w:bidi="ar-SA"/>
                      <w14:textFill>
                        <w14:solidFill>
                          <w14:schemeClr w14:val="tx1"/>
                        </w14:solidFill>
                      </w14:textFill>
                    </w:rPr>
                  </w:pPr>
                  <w:r>
                    <w:rPr>
                      <w:rFonts w:hint="default"/>
                      <w:color w:val="000000" w:themeColor="text1"/>
                      <w:sz w:val="21"/>
                      <w:szCs w:val="21"/>
                      <w:highlight w:val="none"/>
                      <w14:textFill>
                        <w14:solidFill>
                          <w14:schemeClr w14:val="tx1"/>
                        </w14:solidFill>
                      </w14:textFill>
                    </w:rPr>
                    <w:t>给水</w:t>
                  </w:r>
                </w:p>
              </w:tc>
              <w:tc>
                <w:tcPr>
                  <w:tcW w:w="2313" w:type="pct"/>
                  <w:tcBorders>
                    <w:tl2br w:val="nil"/>
                    <w:tr2bl w:val="nil"/>
                  </w:tcBorders>
                  <w:noWrap w:val="0"/>
                  <w:vAlign w:val="center"/>
                </w:tcPr>
                <w:p w14:paraId="335D7705">
                  <w:pPr>
                    <w:pStyle w:val="71"/>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firstLine="0" w:firstLineChars="0"/>
                    <w:jc w:val="both"/>
                    <w:textAlignment w:val="auto"/>
                    <w:rPr>
                      <w:rFonts w:hint="default"/>
                      <w:color w:val="000000" w:themeColor="text1"/>
                      <w:kern w:val="2"/>
                      <w:sz w:val="21"/>
                      <w:szCs w:val="21"/>
                      <w:highlight w:val="none"/>
                      <w:lang w:val="en-US" w:eastAsia="zh-CN" w:bidi="ar-SA"/>
                      <w14:textFill>
                        <w14:solidFill>
                          <w14:schemeClr w14:val="tx1"/>
                        </w14:solidFill>
                      </w14:textFill>
                    </w:rPr>
                  </w:pPr>
                  <w:r>
                    <w:rPr>
                      <w:rFonts w:hint="eastAsia" w:hAnsi="宋体" w:cs="Times New Roman"/>
                      <w:kern w:val="2"/>
                      <w:sz w:val="21"/>
                      <w:szCs w:val="24"/>
                      <w:highlight w:val="none"/>
                      <w:lang w:val="en-US" w:eastAsia="zh-CN" w:bidi="ar"/>
                    </w:rPr>
                    <w:t>园区供水管网</w:t>
                  </w:r>
                  <w:r>
                    <w:rPr>
                      <w:rFonts w:hint="eastAsia"/>
                      <w:color w:val="000000" w:themeColor="text1"/>
                      <w:kern w:val="2"/>
                      <w:sz w:val="21"/>
                      <w:szCs w:val="21"/>
                      <w:highlight w:val="none"/>
                      <w:lang w:val="en-US" w:eastAsia="zh-CN" w:bidi="ar-SA"/>
                      <w14:textFill>
                        <w14:solidFill>
                          <w14:schemeClr w14:val="tx1"/>
                        </w14:solidFill>
                      </w14:textFill>
                    </w:rPr>
                    <w:t>。</w:t>
                  </w:r>
                </w:p>
              </w:tc>
              <w:tc>
                <w:tcPr>
                  <w:tcW w:w="1120" w:type="pct"/>
                  <w:tcBorders>
                    <w:tl2br w:val="nil"/>
                    <w:tr2bl w:val="nil"/>
                  </w:tcBorders>
                  <w:noWrap w:val="0"/>
                  <w:vAlign w:val="center"/>
                </w:tcPr>
                <w:p w14:paraId="5CF081F6">
                  <w:pPr>
                    <w:pStyle w:val="71"/>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firstLine="0" w:firstLineChars="0"/>
                    <w:jc w:val="center"/>
                    <w:textAlignment w:val="auto"/>
                    <w:rPr>
                      <w:rFonts w:hint="eastAsia" w:ascii="Times New Roman" w:hAnsi="宋体" w:eastAsia="宋体" w:cs="Times New Roman"/>
                      <w:kern w:val="2"/>
                      <w:sz w:val="21"/>
                      <w:szCs w:val="24"/>
                      <w:lang w:val="en-US" w:eastAsia="zh-CN" w:bidi="ar"/>
                    </w:rPr>
                  </w:pPr>
                  <w:r>
                    <w:rPr>
                      <w:rFonts w:hint="eastAsia" w:ascii="Times New Roman" w:hAnsi="Times New Roman" w:eastAsia="宋体" w:cs="Times New Roman"/>
                      <w:kern w:val="2"/>
                      <w:sz w:val="21"/>
                      <w:szCs w:val="21"/>
                      <w:lang w:val="en-US" w:eastAsia="zh-CN" w:bidi="ar"/>
                    </w:rPr>
                    <w:t>依托集聚区设施</w:t>
                  </w:r>
                </w:p>
              </w:tc>
            </w:tr>
            <w:tr w14:paraId="50A0BA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85" w:type="dxa"/>
                  <w:bottom w:w="0" w:type="dxa"/>
                  <w:right w:w="85" w:type="dxa"/>
                </w:tblCellMar>
              </w:tblPrEx>
              <w:trPr>
                <w:trHeight w:val="0" w:hRule="atLeast"/>
              </w:trPr>
              <w:tc>
                <w:tcPr>
                  <w:tcW w:w="629" w:type="pct"/>
                  <w:vMerge w:val="continue"/>
                  <w:tcBorders>
                    <w:tl2br w:val="nil"/>
                    <w:tr2bl w:val="nil"/>
                  </w:tcBorders>
                  <w:noWrap w:val="0"/>
                  <w:vAlign w:val="center"/>
                </w:tcPr>
                <w:p w14:paraId="3E3E959C">
                  <w:pPr>
                    <w:pStyle w:val="71"/>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firstLine="0" w:firstLineChars="0"/>
                    <w:textAlignment w:val="auto"/>
                    <w:rPr>
                      <w:rFonts w:hint="default"/>
                      <w:color w:val="000000" w:themeColor="text1"/>
                      <w:sz w:val="21"/>
                      <w:szCs w:val="21"/>
                      <w:highlight w:val="none"/>
                      <w14:textFill>
                        <w14:solidFill>
                          <w14:schemeClr w14:val="tx1"/>
                        </w14:solidFill>
                      </w14:textFill>
                    </w:rPr>
                  </w:pPr>
                </w:p>
              </w:tc>
              <w:tc>
                <w:tcPr>
                  <w:tcW w:w="937" w:type="pct"/>
                  <w:tcBorders>
                    <w:tl2br w:val="nil"/>
                    <w:tr2bl w:val="nil"/>
                  </w:tcBorders>
                  <w:noWrap w:val="0"/>
                  <w:vAlign w:val="center"/>
                </w:tcPr>
                <w:p w14:paraId="3EA5F0A6">
                  <w:pPr>
                    <w:pStyle w:val="71"/>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firstLine="0" w:firstLineChars="0"/>
                    <w:jc w:val="center"/>
                    <w:textAlignment w:val="auto"/>
                    <w:rPr>
                      <w:rFonts w:hint="eastAsia"/>
                      <w:color w:val="000000" w:themeColor="text1"/>
                      <w:kern w:val="2"/>
                      <w:sz w:val="21"/>
                      <w:szCs w:val="21"/>
                      <w:highlight w:val="none"/>
                      <w:lang w:val="en-US" w:eastAsia="zh-CN" w:bidi="ar-SA"/>
                      <w14:textFill>
                        <w14:solidFill>
                          <w14:schemeClr w14:val="tx1"/>
                        </w14:solidFill>
                      </w14:textFill>
                    </w:rPr>
                  </w:pPr>
                  <w:r>
                    <w:rPr>
                      <w:rFonts w:hint="default"/>
                      <w:color w:val="000000" w:themeColor="text1"/>
                      <w:sz w:val="21"/>
                      <w:szCs w:val="21"/>
                      <w:highlight w:val="none"/>
                      <w14:textFill>
                        <w14:solidFill>
                          <w14:schemeClr w14:val="tx1"/>
                        </w14:solidFill>
                      </w14:textFill>
                    </w:rPr>
                    <w:t>供电</w:t>
                  </w:r>
                </w:p>
              </w:tc>
              <w:tc>
                <w:tcPr>
                  <w:tcW w:w="2313" w:type="pct"/>
                  <w:tcBorders>
                    <w:tl2br w:val="nil"/>
                    <w:tr2bl w:val="nil"/>
                  </w:tcBorders>
                  <w:noWrap w:val="0"/>
                  <w:vAlign w:val="center"/>
                </w:tcPr>
                <w:p w14:paraId="6158E748">
                  <w:pPr>
                    <w:pStyle w:val="71"/>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firstLine="0" w:firstLineChars="0"/>
                    <w:jc w:val="both"/>
                    <w:textAlignment w:val="auto"/>
                    <w:rPr>
                      <w:rFonts w:hint="default"/>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kern w:val="2"/>
                      <w:sz w:val="21"/>
                      <w:szCs w:val="21"/>
                      <w:highlight w:val="none"/>
                      <w:lang w:val="en-US" w:eastAsia="zh-CN" w:bidi="ar-SA"/>
                      <w14:textFill>
                        <w14:solidFill>
                          <w14:schemeClr w14:val="tx1"/>
                        </w14:solidFill>
                      </w14:textFill>
                    </w:rPr>
                    <w:t>当地电网提供。</w:t>
                  </w:r>
                </w:p>
              </w:tc>
              <w:tc>
                <w:tcPr>
                  <w:tcW w:w="1120" w:type="pct"/>
                  <w:tcBorders>
                    <w:tl2br w:val="nil"/>
                    <w:tr2bl w:val="nil"/>
                  </w:tcBorders>
                  <w:noWrap w:val="0"/>
                  <w:vAlign w:val="center"/>
                </w:tcPr>
                <w:p w14:paraId="643D0FFA">
                  <w:pPr>
                    <w:pStyle w:val="71"/>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firstLine="0" w:firstLineChars="0"/>
                    <w:jc w:val="center"/>
                    <w:textAlignment w:val="auto"/>
                    <w:rPr>
                      <w:rFonts w:hint="eastAsia"/>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Times New Roman"/>
                      <w:kern w:val="2"/>
                      <w:sz w:val="21"/>
                      <w:szCs w:val="21"/>
                      <w:lang w:val="en-US" w:eastAsia="zh-CN" w:bidi="ar"/>
                    </w:rPr>
                    <w:t>依托集聚区设施</w:t>
                  </w:r>
                </w:p>
              </w:tc>
            </w:tr>
            <w:tr w14:paraId="523E9C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85" w:type="dxa"/>
                  <w:bottom w:w="0" w:type="dxa"/>
                  <w:right w:w="85" w:type="dxa"/>
                </w:tblCellMar>
              </w:tblPrEx>
              <w:trPr>
                <w:trHeight w:val="0" w:hRule="atLeast"/>
              </w:trPr>
              <w:tc>
                <w:tcPr>
                  <w:tcW w:w="629" w:type="pct"/>
                  <w:tcBorders>
                    <w:tl2br w:val="nil"/>
                    <w:tr2bl w:val="nil"/>
                  </w:tcBorders>
                  <w:noWrap w:val="0"/>
                  <w:vAlign w:val="center"/>
                </w:tcPr>
                <w:p w14:paraId="06EAE96C">
                  <w:pPr>
                    <w:pStyle w:val="71"/>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firstLine="0" w:firstLineChars="0"/>
                    <w:textAlignment w:val="auto"/>
                    <w:rPr>
                      <w:rFonts w:hint="eastAsia"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储运工程</w:t>
                  </w:r>
                </w:p>
              </w:tc>
              <w:tc>
                <w:tcPr>
                  <w:tcW w:w="3250" w:type="pct"/>
                  <w:gridSpan w:val="2"/>
                  <w:tcBorders>
                    <w:tl2br w:val="nil"/>
                    <w:tr2bl w:val="nil"/>
                  </w:tcBorders>
                  <w:noWrap w:val="0"/>
                  <w:vAlign w:val="center"/>
                </w:tcPr>
                <w:p w14:paraId="500F45E1">
                  <w:pPr>
                    <w:pStyle w:val="71"/>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jc w:val="center"/>
                    <w:textAlignment w:val="auto"/>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Times New Roman"/>
                      <w:kern w:val="2"/>
                      <w:sz w:val="21"/>
                      <w:szCs w:val="24"/>
                      <w:lang w:val="en-US" w:eastAsia="zh-CN" w:bidi="ar"/>
                    </w:rPr>
                    <w:t>原料及产品均在车间内分区储存。</w:t>
                  </w:r>
                </w:p>
              </w:tc>
              <w:tc>
                <w:tcPr>
                  <w:tcW w:w="1120" w:type="pct"/>
                  <w:tcBorders>
                    <w:tl2br w:val="nil"/>
                    <w:tr2bl w:val="nil"/>
                  </w:tcBorders>
                  <w:noWrap w:val="0"/>
                  <w:vAlign w:val="center"/>
                </w:tcPr>
                <w:p w14:paraId="56E34887">
                  <w:pPr>
                    <w:pStyle w:val="71"/>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jc w:val="center"/>
                    <w:textAlignment w:val="auto"/>
                    <w:rPr>
                      <w:rFonts w:hint="default"/>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租赁现有</w:t>
                  </w:r>
                </w:p>
              </w:tc>
            </w:tr>
            <w:tr w14:paraId="50221D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85" w:type="dxa"/>
                  <w:bottom w:w="0" w:type="dxa"/>
                  <w:right w:w="85" w:type="dxa"/>
                </w:tblCellMar>
              </w:tblPrEx>
              <w:trPr>
                <w:trHeight w:val="0" w:hRule="atLeast"/>
              </w:trPr>
              <w:tc>
                <w:tcPr>
                  <w:tcW w:w="629" w:type="pct"/>
                  <w:vMerge w:val="restart"/>
                  <w:tcBorders>
                    <w:tl2br w:val="nil"/>
                    <w:tr2bl w:val="nil"/>
                  </w:tcBorders>
                  <w:noWrap w:val="0"/>
                  <w:vAlign w:val="center"/>
                </w:tcPr>
                <w:p w14:paraId="4B10D6EB">
                  <w:pPr>
                    <w:pStyle w:val="71"/>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firstLine="0" w:firstLineChars="0"/>
                    <w:textAlignment w:val="auto"/>
                    <w:rPr>
                      <w:rFonts w:hint="eastAsia"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环保工程</w:t>
                  </w:r>
                </w:p>
              </w:tc>
              <w:tc>
                <w:tcPr>
                  <w:tcW w:w="937" w:type="pct"/>
                  <w:tcBorders>
                    <w:tl2br w:val="nil"/>
                    <w:tr2bl w:val="nil"/>
                  </w:tcBorders>
                  <w:noWrap w:val="0"/>
                  <w:vAlign w:val="center"/>
                </w:tcPr>
                <w:p w14:paraId="72DF8F06">
                  <w:pPr>
                    <w:pStyle w:val="71"/>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firstLine="0" w:firstLineChars="0"/>
                    <w:jc w:val="center"/>
                    <w:textAlignment w:val="auto"/>
                    <w:rPr>
                      <w:rFonts w:hint="eastAsia"/>
                      <w:color w:val="000000" w:themeColor="text1"/>
                      <w:kern w:val="2"/>
                      <w:sz w:val="21"/>
                      <w:szCs w:val="21"/>
                      <w:highlight w:val="none"/>
                      <w:lang w:val="en-US" w:eastAsia="zh-CN" w:bidi="ar-SA"/>
                      <w14:textFill>
                        <w14:solidFill>
                          <w14:schemeClr w14:val="tx1"/>
                        </w14:solidFill>
                      </w14:textFill>
                    </w:rPr>
                  </w:pPr>
                  <w:r>
                    <w:rPr>
                      <w:rFonts w:hint="default"/>
                      <w:color w:val="000000" w:themeColor="text1"/>
                      <w:sz w:val="21"/>
                      <w:szCs w:val="21"/>
                      <w:highlight w:val="none"/>
                      <w14:textFill>
                        <w14:solidFill>
                          <w14:schemeClr w14:val="tx1"/>
                        </w14:solidFill>
                      </w14:textFill>
                    </w:rPr>
                    <w:t>废气</w:t>
                  </w:r>
                </w:p>
              </w:tc>
              <w:tc>
                <w:tcPr>
                  <w:tcW w:w="2313" w:type="pct"/>
                  <w:tcBorders>
                    <w:tl2br w:val="nil"/>
                    <w:tr2bl w:val="nil"/>
                  </w:tcBorders>
                  <w:shd w:val="clear" w:color="auto" w:fill="auto"/>
                  <w:noWrap w:val="0"/>
                  <w:vAlign w:val="center"/>
                </w:tcPr>
                <w:p w14:paraId="606AB3F5">
                  <w:pPr>
                    <w:pStyle w:val="71"/>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jc w:val="both"/>
                    <w:textAlignment w:val="auto"/>
                    <w:rPr>
                      <w:rFonts w:hint="default" w:ascii="Times New Roman" w:hAnsi="Times New Roman" w:eastAsia="宋体" w:cs="Times New Roman"/>
                      <w:kern w:val="2"/>
                      <w:sz w:val="21"/>
                      <w:szCs w:val="24"/>
                      <w:lang w:val="en-US" w:eastAsia="zh-CN" w:bidi="ar"/>
                    </w:rPr>
                  </w:pPr>
                  <w:r>
                    <w:rPr>
                      <w:rFonts w:hint="eastAsia" w:cs="Times New Roman"/>
                      <w:kern w:val="2"/>
                      <w:sz w:val="21"/>
                      <w:szCs w:val="24"/>
                      <w:lang w:val="en-US" w:eastAsia="zh-CN" w:bidi="ar"/>
                    </w:rPr>
                    <w:t>挤出拉丝和覆膜</w:t>
                  </w:r>
                  <w:r>
                    <w:rPr>
                      <w:rFonts w:hint="eastAsia" w:ascii="Times New Roman" w:hAnsi="Times New Roman" w:eastAsia="宋体" w:cs="Times New Roman"/>
                      <w:kern w:val="2"/>
                      <w:sz w:val="21"/>
                      <w:szCs w:val="24"/>
                      <w:lang w:val="en-US" w:eastAsia="zh-CN" w:bidi="ar"/>
                    </w:rPr>
                    <w:t>废气</w:t>
                  </w:r>
                  <w:r>
                    <w:rPr>
                      <w:rFonts w:hint="eastAsia" w:cs="Times New Roman"/>
                      <w:kern w:val="2"/>
                      <w:sz w:val="21"/>
                      <w:szCs w:val="24"/>
                      <w:lang w:val="en-US" w:eastAsia="zh-CN" w:bidi="ar"/>
                    </w:rPr>
                    <w:t>共用</w:t>
                  </w:r>
                  <w:r>
                    <w:rPr>
                      <w:rFonts w:hint="default" w:ascii="Times New Roman" w:hAnsi="Times New Roman" w:eastAsia="宋体" w:cs="Times New Roman"/>
                      <w:kern w:val="2"/>
                      <w:sz w:val="21"/>
                      <w:szCs w:val="24"/>
                      <w:lang w:val="en-US" w:eastAsia="zh-CN" w:bidi="ar"/>
                    </w:rPr>
                    <w:t>1</w:t>
                  </w:r>
                  <w:r>
                    <w:rPr>
                      <w:rFonts w:hint="eastAsia" w:ascii="Times New Roman" w:hAnsi="Times New Roman" w:eastAsia="宋体" w:cs="Times New Roman"/>
                      <w:kern w:val="2"/>
                      <w:sz w:val="21"/>
                      <w:szCs w:val="24"/>
                      <w:lang w:val="en-US" w:eastAsia="zh-CN" w:bidi="ar"/>
                    </w:rPr>
                    <w:t>套</w:t>
                  </w:r>
                  <w:r>
                    <w:rPr>
                      <w:rFonts w:hint="eastAsia" w:cs="Times New Roman"/>
                      <w:kern w:val="2"/>
                      <w:sz w:val="21"/>
                      <w:szCs w:val="24"/>
                      <w:lang w:val="en-US" w:eastAsia="zh-CN" w:bidi="ar"/>
                    </w:rPr>
                    <w:t>活性炭吸附浓缩+催化燃烧装置处理后，</w:t>
                  </w:r>
                  <w:r>
                    <w:rPr>
                      <w:rFonts w:hint="eastAsia" w:ascii="Times New Roman" w:hAnsi="Times New Roman" w:eastAsia="宋体" w:cs="Times New Roman"/>
                      <w:kern w:val="2"/>
                      <w:sz w:val="21"/>
                      <w:szCs w:val="24"/>
                      <w:lang w:val="en-US" w:eastAsia="zh-CN" w:bidi="ar"/>
                    </w:rPr>
                    <w:t>通过</w:t>
                  </w:r>
                  <w:r>
                    <w:rPr>
                      <w:rFonts w:hint="default" w:ascii="Times New Roman" w:hAnsi="Times New Roman" w:eastAsia="宋体" w:cs="Times New Roman"/>
                      <w:kern w:val="2"/>
                      <w:sz w:val="21"/>
                      <w:szCs w:val="24"/>
                      <w:lang w:val="en-US" w:eastAsia="zh-CN" w:bidi="ar"/>
                    </w:rPr>
                    <w:t>1</w:t>
                  </w:r>
                  <w:r>
                    <w:rPr>
                      <w:rFonts w:hint="eastAsia" w:ascii="Times New Roman" w:hAnsi="Times New Roman" w:eastAsia="宋体" w:cs="Times New Roman"/>
                      <w:kern w:val="2"/>
                      <w:sz w:val="21"/>
                      <w:szCs w:val="24"/>
                      <w:lang w:val="en-US" w:eastAsia="zh-CN" w:bidi="ar"/>
                    </w:rPr>
                    <w:t>根</w:t>
                  </w:r>
                  <w:r>
                    <w:rPr>
                      <w:rFonts w:hint="default" w:ascii="Times New Roman" w:hAnsi="Times New Roman" w:eastAsia="宋体" w:cs="Times New Roman"/>
                      <w:kern w:val="2"/>
                      <w:sz w:val="21"/>
                      <w:szCs w:val="24"/>
                      <w:lang w:val="en-US" w:eastAsia="zh-CN" w:bidi="ar"/>
                    </w:rPr>
                    <w:t>15m</w:t>
                  </w:r>
                  <w:r>
                    <w:rPr>
                      <w:rFonts w:hint="eastAsia" w:ascii="Times New Roman" w:hAnsi="Times New Roman" w:eastAsia="宋体" w:cs="Times New Roman"/>
                      <w:kern w:val="2"/>
                      <w:sz w:val="21"/>
                      <w:szCs w:val="24"/>
                      <w:lang w:val="en-US" w:eastAsia="zh-CN" w:bidi="ar"/>
                    </w:rPr>
                    <w:t>高排气筒外排</w:t>
                  </w:r>
                  <w:r>
                    <w:rPr>
                      <w:rFonts w:hint="eastAsia" w:cs="Times New Roman"/>
                      <w:kern w:val="2"/>
                      <w:sz w:val="21"/>
                      <w:szCs w:val="24"/>
                      <w:lang w:val="en-US" w:eastAsia="zh-CN" w:bidi="ar"/>
                    </w:rPr>
                    <w:t>。</w:t>
                  </w:r>
                </w:p>
              </w:tc>
              <w:tc>
                <w:tcPr>
                  <w:tcW w:w="1120" w:type="pct"/>
                  <w:tcBorders>
                    <w:tl2br w:val="nil"/>
                    <w:tr2bl w:val="nil"/>
                  </w:tcBorders>
                  <w:shd w:val="clear" w:color="auto" w:fill="auto"/>
                  <w:noWrap w:val="0"/>
                  <w:vAlign w:val="center"/>
                </w:tcPr>
                <w:p w14:paraId="21887E6C">
                  <w:pPr>
                    <w:pStyle w:val="71"/>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jc w:val="center"/>
                    <w:textAlignment w:val="auto"/>
                    <w:rPr>
                      <w:rFonts w:hint="default" w:ascii="Times New Roman" w:hAnsi="Times New Roman" w:eastAsia="宋体" w:cs="Times New Roman"/>
                      <w:kern w:val="2"/>
                      <w:sz w:val="21"/>
                      <w:szCs w:val="24"/>
                      <w:lang w:val="en-US" w:eastAsia="zh-CN" w:bidi="ar"/>
                    </w:rPr>
                  </w:pPr>
                  <w:r>
                    <w:rPr>
                      <w:rFonts w:hint="eastAsia" w:ascii="Times New Roman" w:hAnsi="Times New Roman" w:eastAsia="宋体" w:cs="Times New Roman"/>
                      <w:kern w:val="2"/>
                      <w:sz w:val="21"/>
                      <w:szCs w:val="24"/>
                      <w:lang w:val="en-US" w:eastAsia="zh-CN" w:bidi="ar"/>
                    </w:rPr>
                    <w:t>新建</w:t>
                  </w:r>
                </w:p>
              </w:tc>
            </w:tr>
            <w:tr w14:paraId="3A0FC2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85" w:type="dxa"/>
                  <w:bottom w:w="0" w:type="dxa"/>
                  <w:right w:w="85" w:type="dxa"/>
                </w:tblCellMar>
              </w:tblPrEx>
              <w:trPr>
                <w:trHeight w:val="0" w:hRule="atLeast"/>
              </w:trPr>
              <w:tc>
                <w:tcPr>
                  <w:tcW w:w="629" w:type="pct"/>
                  <w:vMerge w:val="continue"/>
                  <w:tcBorders>
                    <w:tl2br w:val="nil"/>
                    <w:tr2bl w:val="nil"/>
                  </w:tcBorders>
                  <w:noWrap w:val="0"/>
                  <w:vAlign w:val="center"/>
                </w:tcPr>
                <w:p w14:paraId="7141D518">
                  <w:pPr>
                    <w:pStyle w:val="71"/>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firstLine="0" w:firstLineChars="0"/>
                    <w:textAlignment w:val="auto"/>
                    <w:rPr>
                      <w:rFonts w:hint="eastAsia"/>
                      <w:color w:val="000000" w:themeColor="text1"/>
                      <w:sz w:val="21"/>
                      <w:szCs w:val="21"/>
                      <w:highlight w:val="none"/>
                      <w:lang w:val="en-US" w:eastAsia="zh-CN"/>
                      <w14:textFill>
                        <w14:solidFill>
                          <w14:schemeClr w14:val="tx1"/>
                        </w14:solidFill>
                      </w14:textFill>
                    </w:rPr>
                  </w:pPr>
                </w:p>
              </w:tc>
              <w:tc>
                <w:tcPr>
                  <w:tcW w:w="937" w:type="pct"/>
                  <w:vMerge w:val="restart"/>
                  <w:tcBorders>
                    <w:tl2br w:val="nil"/>
                    <w:tr2bl w:val="nil"/>
                  </w:tcBorders>
                  <w:noWrap w:val="0"/>
                  <w:vAlign w:val="center"/>
                </w:tcPr>
                <w:p w14:paraId="299045BA">
                  <w:pPr>
                    <w:pStyle w:val="71"/>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firstLine="0" w:firstLineChars="0"/>
                    <w:jc w:val="center"/>
                    <w:textAlignment w:val="auto"/>
                    <w:rPr>
                      <w:rFonts w:hint="default"/>
                      <w:color w:val="000000" w:themeColor="text1"/>
                      <w:sz w:val="21"/>
                      <w:szCs w:val="21"/>
                      <w:highlight w:val="none"/>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废水</w:t>
                  </w:r>
                </w:p>
              </w:tc>
              <w:tc>
                <w:tcPr>
                  <w:tcW w:w="2313" w:type="pct"/>
                  <w:tcBorders>
                    <w:tl2br w:val="nil"/>
                    <w:tr2bl w:val="nil"/>
                  </w:tcBorders>
                  <w:noWrap w:val="0"/>
                  <w:vAlign w:val="center"/>
                </w:tcPr>
                <w:p w14:paraId="04BAAF83">
                  <w:pPr>
                    <w:pStyle w:val="71"/>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firstLine="0" w:firstLineChars="0"/>
                    <w:jc w:val="both"/>
                    <w:textAlignment w:val="auto"/>
                    <w:rPr>
                      <w:rFonts w:hint="default"/>
                      <w:color w:val="000000" w:themeColor="text1"/>
                      <w:kern w:val="2"/>
                      <w:sz w:val="21"/>
                      <w:szCs w:val="21"/>
                      <w:highlight w:val="none"/>
                      <w:lang w:val="en-US" w:eastAsia="zh-CN" w:bidi="ar-SA"/>
                      <w14:textFill>
                        <w14:solidFill>
                          <w14:schemeClr w14:val="tx1"/>
                        </w14:solidFill>
                      </w14:textFill>
                    </w:rPr>
                  </w:pPr>
                  <w:r>
                    <w:rPr>
                      <w:rFonts w:hint="eastAsia" w:hAnsi="宋体" w:cs="Times New Roman"/>
                      <w:kern w:val="2"/>
                      <w:sz w:val="21"/>
                      <w:szCs w:val="21"/>
                      <w:lang w:val="en-US" w:eastAsia="zh-CN" w:bidi="ar"/>
                    </w:rPr>
                    <w:t>设备冷却水</w:t>
                  </w:r>
                  <w:r>
                    <w:rPr>
                      <w:rFonts w:hint="eastAsia" w:ascii="Times New Roman" w:hAnsi="宋体" w:eastAsia="宋体" w:cs="Times New Roman"/>
                      <w:kern w:val="2"/>
                      <w:sz w:val="21"/>
                      <w:szCs w:val="21"/>
                      <w:lang w:val="en-US" w:eastAsia="zh-CN" w:bidi="ar"/>
                    </w:rPr>
                    <w:t>经</w:t>
                  </w:r>
                  <w:r>
                    <w:rPr>
                      <w:rFonts w:hint="default" w:ascii="Times New Roman" w:hAnsi="Times New Roman" w:eastAsia="宋体" w:cs="Times New Roman"/>
                      <w:kern w:val="2"/>
                      <w:sz w:val="21"/>
                      <w:szCs w:val="21"/>
                      <w:lang w:val="en-US" w:eastAsia="zh-CN" w:bidi="ar"/>
                    </w:rPr>
                    <w:t>1</w:t>
                  </w:r>
                  <w:r>
                    <w:rPr>
                      <w:rFonts w:hint="eastAsia" w:ascii="Times New Roman" w:hAnsi="Times New Roman" w:eastAsia="宋体" w:cs="Times New Roman"/>
                      <w:kern w:val="2"/>
                      <w:sz w:val="21"/>
                      <w:szCs w:val="21"/>
                      <w:lang w:val="en-US" w:eastAsia="zh-CN" w:bidi="ar"/>
                    </w:rPr>
                    <w:t>座</w:t>
                  </w:r>
                  <w:r>
                    <w:rPr>
                      <w:rFonts w:hint="eastAsia" w:cs="Times New Roman"/>
                      <w:kern w:val="2"/>
                      <w:sz w:val="21"/>
                      <w:szCs w:val="21"/>
                      <w:lang w:val="en-US" w:eastAsia="zh-CN" w:bidi="ar"/>
                    </w:rPr>
                    <w:t>冷却塔降温后循环使用，不外排。</w:t>
                  </w:r>
                </w:p>
              </w:tc>
              <w:tc>
                <w:tcPr>
                  <w:tcW w:w="1120" w:type="pct"/>
                  <w:tcBorders>
                    <w:tl2br w:val="nil"/>
                    <w:tr2bl w:val="nil"/>
                  </w:tcBorders>
                  <w:noWrap w:val="0"/>
                  <w:vAlign w:val="center"/>
                </w:tcPr>
                <w:p w14:paraId="79274A78">
                  <w:pPr>
                    <w:pStyle w:val="71"/>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firstLine="0" w:firstLineChars="0"/>
                    <w:jc w:val="center"/>
                    <w:textAlignment w:val="auto"/>
                    <w:rPr>
                      <w:rFonts w:hint="default" w:ascii="Times New Roman" w:hAnsi="Times New Roman"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kern w:val="2"/>
                      <w:sz w:val="21"/>
                      <w:szCs w:val="21"/>
                      <w:highlight w:val="none"/>
                      <w:lang w:val="en-US" w:eastAsia="zh-CN" w:bidi="ar-SA"/>
                      <w14:textFill>
                        <w14:solidFill>
                          <w14:schemeClr w14:val="tx1"/>
                        </w14:solidFill>
                      </w14:textFill>
                    </w:rPr>
                    <w:t>新建</w:t>
                  </w:r>
                </w:p>
              </w:tc>
            </w:tr>
            <w:tr w14:paraId="3C1DAE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85" w:type="dxa"/>
                  <w:bottom w:w="0" w:type="dxa"/>
                  <w:right w:w="85" w:type="dxa"/>
                </w:tblCellMar>
              </w:tblPrEx>
              <w:trPr>
                <w:trHeight w:val="0" w:hRule="atLeast"/>
              </w:trPr>
              <w:tc>
                <w:tcPr>
                  <w:tcW w:w="629" w:type="pct"/>
                  <w:vMerge w:val="continue"/>
                  <w:tcBorders>
                    <w:tl2br w:val="nil"/>
                    <w:tr2bl w:val="nil"/>
                  </w:tcBorders>
                  <w:noWrap w:val="0"/>
                  <w:vAlign w:val="center"/>
                </w:tcPr>
                <w:p w14:paraId="6A99848F">
                  <w:pPr>
                    <w:pStyle w:val="71"/>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firstLine="0" w:firstLineChars="0"/>
                    <w:textAlignment w:val="auto"/>
                    <w:rPr>
                      <w:rFonts w:hint="eastAsia"/>
                      <w:color w:val="000000" w:themeColor="text1"/>
                      <w:sz w:val="21"/>
                      <w:szCs w:val="21"/>
                      <w:highlight w:val="none"/>
                      <w:lang w:val="en-US" w:eastAsia="zh-CN"/>
                      <w14:textFill>
                        <w14:solidFill>
                          <w14:schemeClr w14:val="tx1"/>
                        </w14:solidFill>
                      </w14:textFill>
                    </w:rPr>
                  </w:pPr>
                </w:p>
              </w:tc>
              <w:tc>
                <w:tcPr>
                  <w:tcW w:w="937" w:type="pct"/>
                  <w:vMerge w:val="continue"/>
                  <w:tcBorders>
                    <w:tl2br w:val="nil"/>
                    <w:tr2bl w:val="nil"/>
                  </w:tcBorders>
                  <w:noWrap w:val="0"/>
                  <w:vAlign w:val="center"/>
                </w:tcPr>
                <w:p w14:paraId="56014B36">
                  <w:pPr>
                    <w:pStyle w:val="71"/>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firstLine="0" w:firstLineChars="0"/>
                    <w:jc w:val="center"/>
                    <w:textAlignment w:val="auto"/>
                    <w:rPr>
                      <w:rFonts w:hint="eastAsia"/>
                      <w:color w:val="000000" w:themeColor="text1"/>
                      <w:sz w:val="21"/>
                      <w:szCs w:val="21"/>
                      <w:highlight w:val="none"/>
                      <w:lang w:val="en-US" w:eastAsia="zh-CN"/>
                      <w14:textFill>
                        <w14:solidFill>
                          <w14:schemeClr w14:val="tx1"/>
                        </w14:solidFill>
                      </w14:textFill>
                    </w:rPr>
                  </w:pPr>
                </w:p>
              </w:tc>
              <w:tc>
                <w:tcPr>
                  <w:tcW w:w="2313" w:type="pct"/>
                  <w:tcBorders>
                    <w:tl2br w:val="nil"/>
                    <w:tr2bl w:val="nil"/>
                  </w:tcBorders>
                  <w:noWrap w:val="0"/>
                  <w:vAlign w:val="center"/>
                </w:tcPr>
                <w:p w14:paraId="25D4505B">
                  <w:pPr>
                    <w:pStyle w:val="71"/>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firstLine="0" w:firstLineChars="0"/>
                    <w:jc w:val="both"/>
                    <w:textAlignment w:val="auto"/>
                    <w:rPr>
                      <w:rFonts w:hint="default" w:ascii="Times New Roman" w:hAnsi="Times New Roman"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1"/>
                      <w:highlight w:val="none"/>
                      <w:lang w:val="en-US" w:eastAsia="zh-CN" w:bidi="ar-SA"/>
                      <w14:textFill>
                        <w14:solidFill>
                          <w14:schemeClr w14:val="tx1"/>
                        </w14:solidFill>
                      </w14:textFill>
                    </w:rPr>
                    <w:t>职工生活废水</w:t>
                  </w:r>
                  <w:r>
                    <w:rPr>
                      <w:rFonts w:hint="eastAsia" w:cs="Times New Roman"/>
                      <w:color w:val="000000" w:themeColor="text1"/>
                      <w:kern w:val="2"/>
                      <w:sz w:val="21"/>
                      <w:szCs w:val="21"/>
                      <w:highlight w:val="none"/>
                      <w:lang w:val="en-US" w:eastAsia="zh-CN" w:bidi="ar-SA"/>
                      <w14:textFill>
                        <w14:solidFill>
                          <w14:schemeClr w14:val="tx1"/>
                        </w14:solidFill>
                      </w14:textFill>
                    </w:rPr>
                    <w:t>依托现有化粪池预处理后，外排至汤阴东方环宇污水处理有限公司处理。</w:t>
                  </w:r>
                </w:p>
              </w:tc>
              <w:tc>
                <w:tcPr>
                  <w:tcW w:w="1120" w:type="pct"/>
                  <w:tcBorders>
                    <w:tl2br w:val="nil"/>
                    <w:tr2bl w:val="nil"/>
                  </w:tcBorders>
                  <w:noWrap w:val="0"/>
                  <w:vAlign w:val="center"/>
                </w:tcPr>
                <w:p w14:paraId="15059B5B">
                  <w:pPr>
                    <w:pStyle w:val="71"/>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firstLine="0" w:firstLineChars="0"/>
                    <w:jc w:val="center"/>
                    <w:textAlignment w:val="auto"/>
                    <w:rPr>
                      <w:rFonts w:hint="default" w:ascii="Times New Roman" w:hAnsi="Times New Roman"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kern w:val="2"/>
                      <w:sz w:val="21"/>
                      <w:szCs w:val="21"/>
                      <w:highlight w:val="none"/>
                      <w:lang w:val="en-US" w:eastAsia="zh-CN" w:bidi="ar-SA"/>
                      <w14:textFill>
                        <w14:solidFill>
                          <w14:schemeClr w14:val="tx1"/>
                        </w14:solidFill>
                      </w14:textFill>
                    </w:rPr>
                    <w:t>依托现有</w:t>
                  </w:r>
                </w:p>
              </w:tc>
            </w:tr>
            <w:tr w14:paraId="7B6490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85" w:type="dxa"/>
                  <w:bottom w:w="0" w:type="dxa"/>
                  <w:right w:w="85" w:type="dxa"/>
                </w:tblCellMar>
              </w:tblPrEx>
              <w:trPr>
                <w:cantSplit/>
                <w:trHeight w:val="0" w:hRule="atLeast"/>
              </w:trPr>
              <w:tc>
                <w:tcPr>
                  <w:tcW w:w="629" w:type="pct"/>
                  <w:vMerge w:val="continue"/>
                  <w:tcBorders>
                    <w:tl2br w:val="nil"/>
                    <w:tr2bl w:val="nil"/>
                  </w:tcBorders>
                  <w:noWrap w:val="0"/>
                  <w:vAlign w:val="center"/>
                </w:tcPr>
                <w:p w14:paraId="565285A1">
                  <w:pPr>
                    <w:pStyle w:val="71"/>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firstLine="0" w:firstLineChars="0"/>
                    <w:textAlignment w:val="auto"/>
                    <w:rPr>
                      <w:rFonts w:hint="default"/>
                      <w:color w:val="000000" w:themeColor="text1"/>
                      <w:sz w:val="21"/>
                      <w:szCs w:val="21"/>
                      <w:highlight w:val="none"/>
                      <w14:textFill>
                        <w14:solidFill>
                          <w14:schemeClr w14:val="tx1"/>
                        </w14:solidFill>
                      </w14:textFill>
                    </w:rPr>
                  </w:pPr>
                </w:p>
              </w:tc>
              <w:tc>
                <w:tcPr>
                  <w:tcW w:w="937" w:type="pct"/>
                  <w:tcBorders>
                    <w:tl2br w:val="nil"/>
                    <w:tr2bl w:val="nil"/>
                  </w:tcBorders>
                  <w:noWrap w:val="0"/>
                  <w:vAlign w:val="center"/>
                </w:tcPr>
                <w:p w14:paraId="373A13B4">
                  <w:pPr>
                    <w:pStyle w:val="71"/>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firstLine="0" w:firstLineChars="0"/>
                    <w:jc w:val="center"/>
                    <w:textAlignment w:val="auto"/>
                    <w:rPr>
                      <w:rFonts w:hint="eastAsia"/>
                      <w:color w:val="000000" w:themeColor="text1"/>
                      <w:kern w:val="2"/>
                      <w:sz w:val="21"/>
                      <w:szCs w:val="21"/>
                      <w:highlight w:val="none"/>
                      <w:lang w:val="en-US" w:eastAsia="zh-CN" w:bidi="ar-SA"/>
                      <w14:textFill>
                        <w14:solidFill>
                          <w14:schemeClr w14:val="tx1"/>
                        </w14:solidFill>
                      </w14:textFill>
                    </w:rPr>
                  </w:pPr>
                  <w:r>
                    <w:rPr>
                      <w:rFonts w:hint="default"/>
                      <w:color w:val="000000" w:themeColor="text1"/>
                      <w:sz w:val="21"/>
                      <w:szCs w:val="21"/>
                      <w:highlight w:val="none"/>
                      <w14:textFill>
                        <w14:solidFill>
                          <w14:schemeClr w14:val="tx1"/>
                        </w14:solidFill>
                      </w14:textFill>
                    </w:rPr>
                    <w:t>固废</w:t>
                  </w:r>
                </w:p>
              </w:tc>
              <w:tc>
                <w:tcPr>
                  <w:tcW w:w="2313" w:type="pct"/>
                  <w:tcBorders>
                    <w:tl2br w:val="nil"/>
                    <w:tr2bl w:val="nil"/>
                  </w:tcBorders>
                  <w:noWrap w:val="0"/>
                  <w:vAlign w:val="center"/>
                </w:tcPr>
                <w:p w14:paraId="1EE97DB6">
                  <w:pPr>
                    <w:pStyle w:val="71"/>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firstLine="0" w:firstLineChars="0"/>
                    <w:jc w:val="both"/>
                    <w:textAlignment w:val="auto"/>
                    <w:rPr>
                      <w:rFonts w:hint="default" w:eastAsia="宋体"/>
                      <w:color w:val="000000" w:themeColor="text1"/>
                      <w:kern w:val="2"/>
                      <w:sz w:val="21"/>
                      <w:szCs w:val="21"/>
                      <w:highlight w:val="none"/>
                      <w:lang w:val="en-US" w:eastAsia="zh-CN" w:bidi="ar-SA"/>
                      <w14:textFill>
                        <w14:solidFill>
                          <w14:schemeClr w14:val="tx1"/>
                        </w14:solidFill>
                      </w14:textFill>
                    </w:rPr>
                  </w:pPr>
                  <w:r>
                    <w:rPr>
                      <w:rFonts w:hint="eastAsia" w:hAnsi="宋体" w:cs="Times New Roman"/>
                      <w:kern w:val="2"/>
                      <w:sz w:val="21"/>
                      <w:szCs w:val="24"/>
                      <w:lang w:val="en-US" w:eastAsia="zh-CN" w:bidi="ar"/>
                    </w:rPr>
                    <w:t>废弃包装</w:t>
                  </w:r>
                  <w:r>
                    <w:rPr>
                      <w:rFonts w:hint="eastAsia" w:ascii="Times New Roman" w:hAnsi="宋体" w:eastAsia="宋体" w:cs="Times New Roman"/>
                      <w:kern w:val="2"/>
                      <w:sz w:val="21"/>
                      <w:szCs w:val="24"/>
                      <w:lang w:val="en-US" w:eastAsia="zh-CN" w:bidi="ar"/>
                    </w:rPr>
                    <w:t>在车间内10m</w:t>
                  </w:r>
                  <w:r>
                    <w:rPr>
                      <w:rFonts w:hint="eastAsia" w:ascii="Times New Roman" w:hAnsi="宋体" w:eastAsia="宋体" w:cs="Times New Roman"/>
                      <w:kern w:val="2"/>
                      <w:sz w:val="21"/>
                      <w:szCs w:val="24"/>
                      <w:vertAlign w:val="superscript"/>
                      <w:lang w:val="en-US" w:eastAsia="zh-CN" w:bidi="ar"/>
                    </w:rPr>
                    <w:t>2</w:t>
                  </w:r>
                  <w:r>
                    <w:rPr>
                      <w:rFonts w:hint="eastAsia" w:ascii="Times New Roman" w:hAnsi="宋体" w:eastAsia="宋体" w:cs="Times New Roman"/>
                      <w:kern w:val="2"/>
                      <w:sz w:val="21"/>
                      <w:szCs w:val="24"/>
                      <w:lang w:val="en-US" w:eastAsia="zh-CN" w:bidi="ar"/>
                    </w:rPr>
                    <w:t>一般工业固体废物暂存区域暂存，合理处置</w:t>
                  </w:r>
                  <w:r>
                    <w:rPr>
                      <w:rFonts w:hint="eastAsia" w:hAnsi="宋体" w:cs="Times New Roman"/>
                      <w:kern w:val="2"/>
                      <w:sz w:val="21"/>
                      <w:szCs w:val="24"/>
                      <w:lang w:val="en-US" w:eastAsia="zh-CN" w:bidi="ar"/>
                    </w:rPr>
                    <w:t>；</w:t>
                  </w:r>
                  <w:r>
                    <w:rPr>
                      <w:rFonts w:hint="eastAsia" w:ascii="Times New Roman" w:hAnsi="宋体" w:eastAsia="宋体" w:cs="Times New Roman"/>
                      <w:kern w:val="2"/>
                      <w:sz w:val="21"/>
                      <w:szCs w:val="21"/>
                      <w:lang w:val="en-US" w:eastAsia="zh-CN" w:bidi="ar"/>
                    </w:rPr>
                    <w:t>废活性炭、废催化剂在车间内</w:t>
                  </w:r>
                  <w:r>
                    <w:rPr>
                      <w:rFonts w:hint="default" w:ascii="Times New Roman" w:hAnsi="宋体" w:eastAsia="宋体" w:cs="Times New Roman"/>
                      <w:kern w:val="2"/>
                      <w:sz w:val="21"/>
                      <w:szCs w:val="21"/>
                      <w:lang w:val="en-US" w:eastAsia="zh-CN" w:bidi="ar"/>
                    </w:rPr>
                    <w:t>5m</w:t>
                  </w:r>
                  <w:r>
                    <w:rPr>
                      <w:rFonts w:hint="default" w:ascii="Times New Roman" w:hAnsi="宋体" w:eastAsia="宋体" w:cs="Times New Roman"/>
                      <w:kern w:val="2"/>
                      <w:sz w:val="21"/>
                      <w:szCs w:val="21"/>
                      <w:vertAlign w:val="superscript"/>
                      <w:lang w:val="en-US" w:eastAsia="zh-CN" w:bidi="ar"/>
                    </w:rPr>
                    <w:t>2</w:t>
                  </w:r>
                  <w:r>
                    <w:rPr>
                      <w:rFonts w:hint="eastAsia" w:ascii="Times New Roman" w:hAnsi="宋体" w:eastAsia="宋体" w:cs="Times New Roman"/>
                      <w:kern w:val="2"/>
                      <w:sz w:val="21"/>
                      <w:szCs w:val="21"/>
                      <w:lang w:val="en-US" w:eastAsia="zh-CN" w:bidi="ar"/>
                    </w:rPr>
                    <w:t>危险废物暂存间暂存，定期交有资质单位处置；</w:t>
                  </w:r>
                  <w:r>
                    <w:rPr>
                      <w:rFonts w:hint="eastAsia" w:ascii="Times New Roman" w:hAnsi="宋体" w:eastAsia="宋体" w:cs="Times New Roman"/>
                      <w:kern w:val="2"/>
                      <w:sz w:val="21"/>
                      <w:szCs w:val="24"/>
                      <w:lang w:val="en-US" w:eastAsia="zh-CN" w:bidi="ar"/>
                    </w:rPr>
                    <w:t>职工生活垃圾由环卫部门定期清运</w:t>
                  </w:r>
                  <w:r>
                    <w:rPr>
                      <w:rFonts w:hint="eastAsia"/>
                      <w:color w:val="000000" w:themeColor="text1"/>
                      <w:sz w:val="21"/>
                      <w:szCs w:val="21"/>
                      <w:highlight w:val="none"/>
                      <w:vertAlign w:val="baseline"/>
                      <w:lang w:val="en-US" w:eastAsia="zh-CN"/>
                      <w14:textFill>
                        <w14:solidFill>
                          <w14:schemeClr w14:val="tx1"/>
                        </w14:solidFill>
                      </w14:textFill>
                    </w:rPr>
                    <w:t>。</w:t>
                  </w:r>
                </w:p>
              </w:tc>
              <w:tc>
                <w:tcPr>
                  <w:tcW w:w="1120" w:type="pct"/>
                  <w:tcBorders>
                    <w:tl2br w:val="nil"/>
                    <w:tr2bl w:val="nil"/>
                  </w:tcBorders>
                  <w:noWrap w:val="0"/>
                  <w:vAlign w:val="center"/>
                </w:tcPr>
                <w:p w14:paraId="7509819D">
                  <w:pPr>
                    <w:pStyle w:val="71"/>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firstLine="0" w:firstLineChars="0"/>
                    <w:jc w:val="center"/>
                    <w:textAlignment w:val="auto"/>
                    <w:rPr>
                      <w:rFonts w:hint="default"/>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新建</w:t>
                  </w:r>
                </w:p>
              </w:tc>
            </w:tr>
            <w:tr w14:paraId="269784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85" w:type="dxa"/>
                  <w:bottom w:w="0" w:type="dxa"/>
                  <w:right w:w="85" w:type="dxa"/>
                </w:tblCellMar>
              </w:tblPrEx>
              <w:trPr>
                <w:trHeight w:val="0" w:hRule="atLeast"/>
              </w:trPr>
              <w:tc>
                <w:tcPr>
                  <w:tcW w:w="629" w:type="pct"/>
                  <w:vMerge w:val="continue"/>
                  <w:tcBorders>
                    <w:tl2br w:val="nil"/>
                    <w:tr2bl w:val="nil"/>
                  </w:tcBorders>
                  <w:noWrap w:val="0"/>
                  <w:vAlign w:val="center"/>
                </w:tcPr>
                <w:p w14:paraId="229843FD">
                  <w:pPr>
                    <w:pStyle w:val="71"/>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firstLine="0" w:firstLineChars="0"/>
                    <w:textAlignment w:val="auto"/>
                    <w:rPr>
                      <w:rFonts w:hint="default"/>
                      <w:color w:val="000000" w:themeColor="text1"/>
                      <w:sz w:val="21"/>
                      <w:szCs w:val="21"/>
                      <w:highlight w:val="none"/>
                      <w14:textFill>
                        <w14:solidFill>
                          <w14:schemeClr w14:val="tx1"/>
                        </w14:solidFill>
                      </w14:textFill>
                    </w:rPr>
                  </w:pPr>
                </w:p>
              </w:tc>
              <w:tc>
                <w:tcPr>
                  <w:tcW w:w="937" w:type="pct"/>
                  <w:tcBorders>
                    <w:tl2br w:val="nil"/>
                    <w:tr2bl w:val="nil"/>
                  </w:tcBorders>
                  <w:noWrap w:val="0"/>
                  <w:vAlign w:val="center"/>
                </w:tcPr>
                <w:p w14:paraId="35EC9C9C">
                  <w:pPr>
                    <w:pStyle w:val="71"/>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firstLine="0" w:firstLineChars="0"/>
                    <w:jc w:val="center"/>
                    <w:textAlignment w:val="auto"/>
                    <w:rPr>
                      <w:rFonts w:hint="eastAsia"/>
                      <w:color w:val="000000" w:themeColor="text1"/>
                      <w:kern w:val="2"/>
                      <w:sz w:val="21"/>
                      <w:szCs w:val="21"/>
                      <w:highlight w:val="none"/>
                      <w:lang w:val="en-US" w:eastAsia="zh-CN" w:bidi="ar-SA"/>
                      <w14:textFill>
                        <w14:solidFill>
                          <w14:schemeClr w14:val="tx1"/>
                        </w14:solidFill>
                      </w14:textFill>
                    </w:rPr>
                  </w:pPr>
                  <w:r>
                    <w:rPr>
                      <w:rFonts w:hint="default"/>
                      <w:color w:val="000000" w:themeColor="text1"/>
                      <w:sz w:val="21"/>
                      <w:szCs w:val="21"/>
                      <w:highlight w:val="none"/>
                      <w14:textFill>
                        <w14:solidFill>
                          <w14:schemeClr w14:val="tx1"/>
                        </w14:solidFill>
                      </w14:textFill>
                    </w:rPr>
                    <w:t>噪声</w:t>
                  </w:r>
                </w:p>
              </w:tc>
              <w:tc>
                <w:tcPr>
                  <w:tcW w:w="2313" w:type="pct"/>
                  <w:tcBorders>
                    <w:tl2br w:val="nil"/>
                    <w:tr2bl w:val="nil"/>
                  </w:tcBorders>
                  <w:noWrap w:val="0"/>
                  <w:vAlign w:val="center"/>
                </w:tcPr>
                <w:p w14:paraId="387DFC1E">
                  <w:pPr>
                    <w:pStyle w:val="71"/>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firstLine="0" w:firstLineChars="0"/>
                    <w:jc w:val="both"/>
                    <w:textAlignment w:val="auto"/>
                    <w:rPr>
                      <w:rFonts w:hint="default"/>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选用低噪声设备，并采取</w:t>
                  </w:r>
                  <w:r>
                    <w:rPr>
                      <w:rFonts w:hint="default"/>
                      <w:color w:val="000000" w:themeColor="text1"/>
                      <w:sz w:val="21"/>
                      <w:szCs w:val="21"/>
                      <w:highlight w:val="none"/>
                      <w:lang w:val="en-US" w:eastAsia="zh-CN"/>
                      <w14:textFill>
                        <w14:solidFill>
                          <w14:schemeClr w14:val="tx1"/>
                        </w14:solidFill>
                      </w14:textFill>
                    </w:rPr>
                    <w:t>基础减振、隔声、距离衰减</w:t>
                  </w:r>
                  <w:r>
                    <w:rPr>
                      <w:rFonts w:hint="eastAsia"/>
                      <w:color w:val="000000" w:themeColor="text1"/>
                      <w:sz w:val="21"/>
                      <w:szCs w:val="21"/>
                      <w:highlight w:val="none"/>
                      <w:lang w:val="en-US" w:eastAsia="zh-CN"/>
                      <w14:textFill>
                        <w14:solidFill>
                          <w14:schemeClr w14:val="tx1"/>
                        </w14:solidFill>
                      </w14:textFill>
                    </w:rPr>
                    <w:t>等降噪措施。</w:t>
                  </w:r>
                </w:p>
              </w:tc>
              <w:tc>
                <w:tcPr>
                  <w:tcW w:w="1120" w:type="pct"/>
                  <w:tcBorders>
                    <w:tl2br w:val="nil"/>
                    <w:tr2bl w:val="nil"/>
                  </w:tcBorders>
                  <w:noWrap w:val="0"/>
                  <w:vAlign w:val="center"/>
                </w:tcPr>
                <w:p w14:paraId="0AE2C432">
                  <w:pPr>
                    <w:pStyle w:val="71"/>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firstLine="0" w:firstLineChars="0"/>
                    <w:jc w:val="center"/>
                    <w:textAlignment w:val="auto"/>
                    <w:rPr>
                      <w:rFonts w:hint="default"/>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新建</w:t>
                  </w:r>
                </w:p>
              </w:tc>
            </w:tr>
          </w:tbl>
          <w:p w14:paraId="1634C467">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520" w:lineRule="exact"/>
              <w:ind w:left="0" w:right="0" w:firstLine="0" w:firstLineChars="0"/>
              <w:textAlignment w:val="auto"/>
              <w:rPr>
                <w:rFonts w:hint="default"/>
                <w:b/>
                <w:bCs/>
                <w:color w:val="000000" w:themeColor="text1"/>
                <w:sz w:val="24"/>
                <w:szCs w:val="24"/>
                <w:highlight w:val="none"/>
                <w:lang w:val="en-US"/>
                <w14:textFill>
                  <w14:solidFill>
                    <w14:schemeClr w14:val="tx1"/>
                  </w14:solidFill>
                </w14:textFill>
              </w:rPr>
            </w:pPr>
            <w:r>
              <w:rPr>
                <w:rFonts w:hint="eastAsia" w:cs="Times New Roman"/>
                <w:b/>
                <w:bCs/>
                <w:color w:val="000000" w:themeColor="text1"/>
                <w:sz w:val="24"/>
                <w:szCs w:val="24"/>
                <w:highlight w:val="none"/>
                <w:lang w:val="en-US" w:eastAsia="zh-CN"/>
                <w14:textFill>
                  <w14:solidFill>
                    <w14:schemeClr w14:val="tx1"/>
                  </w14:solidFill>
                </w14:textFill>
              </w:rPr>
              <w:t>三</w:t>
            </w:r>
            <w:r>
              <w:rPr>
                <w:rFonts w:hint="eastAsia" w:ascii="Times New Roman" w:hAnsi="Times New Roman" w:eastAsia="宋体" w:cs="Times New Roman"/>
                <w:b/>
                <w:bCs/>
                <w:color w:val="000000" w:themeColor="text1"/>
                <w:sz w:val="24"/>
                <w:szCs w:val="24"/>
                <w:highlight w:val="none"/>
                <w:lang w:val="en-US" w:eastAsia="zh-CN"/>
                <w14:textFill>
                  <w14:solidFill>
                    <w14:schemeClr w14:val="tx1"/>
                  </w14:solidFill>
                </w14:textFill>
              </w:rPr>
              <w:t>、</w:t>
            </w:r>
            <w:r>
              <w:rPr>
                <w:rFonts w:hint="eastAsia" w:cs="Times New Roman"/>
                <w:b/>
                <w:bCs/>
                <w:color w:val="000000" w:themeColor="text1"/>
                <w:sz w:val="24"/>
                <w:szCs w:val="24"/>
                <w:highlight w:val="none"/>
                <w:lang w:val="en-US" w:eastAsia="zh-CN"/>
                <w14:textFill>
                  <w14:solidFill>
                    <w14:schemeClr w14:val="tx1"/>
                  </w14:solidFill>
                </w14:textFill>
              </w:rPr>
              <w:t>产品方案</w:t>
            </w:r>
          </w:p>
          <w:p w14:paraId="15FA7F1E">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520" w:lineRule="exact"/>
              <w:ind w:left="0" w:right="0" w:firstLine="480" w:firstLineChars="200"/>
              <w:textAlignment w:val="auto"/>
              <w:rPr>
                <w:rFonts w:hint="default"/>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本项目</w:t>
            </w:r>
            <w:r>
              <w:rPr>
                <w:rFonts w:hint="eastAsia" w:cs="Times New Roman"/>
                <w:color w:val="000000" w:themeColor="text1"/>
                <w:sz w:val="24"/>
                <w:szCs w:val="24"/>
                <w:lang w:val="en-US" w:eastAsia="zh-CN"/>
                <w14:textFill>
                  <w14:solidFill>
                    <w14:schemeClr w14:val="tx1"/>
                  </w14:solidFill>
                </w14:textFill>
              </w:rPr>
              <w:t>产品方案如下：</w:t>
            </w:r>
          </w:p>
          <w:p w14:paraId="0D70CCA8">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520" w:lineRule="exact"/>
              <w:ind w:left="0" w:right="0"/>
              <w:jc w:val="center"/>
              <w:textAlignment w:val="auto"/>
              <w:rPr>
                <w:rFonts w:hint="default" w:eastAsia="黑体" w:cs="Times New Roman"/>
                <w:b w:val="0"/>
                <w:bCs w:val="0"/>
                <w:color w:val="000000" w:themeColor="text1"/>
                <w:sz w:val="24"/>
                <w:szCs w:val="24"/>
                <w:highlight w:val="none"/>
                <w:lang w:val="en-US" w:eastAsia="zh-CN"/>
                <w14:textFill>
                  <w14:solidFill>
                    <w14:schemeClr w14:val="tx1"/>
                  </w14:solidFill>
                </w14:textFill>
              </w:rPr>
            </w:pPr>
            <w:r>
              <w:rPr>
                <w:rFonts w:hint="default" w:eastAsia="黑体" w:cs="Times New Roman"/>
                <w:b w:val="0"/>
                <w:bCs w:val="0"/>
                <w:color w:val="000000" w:themeColor="text1"/>
                <w:sz w:val="24"/>
                <w:szCs w:val="24"/>
                <w:highlight w:val="none"/>
                <w:lang w:val="en-US" w:eastAsia="zh-CN"/>
                <w14:textFill>
                  <w14:solidFill>
                    <w14:schemeClr w14:val="tx1"/>
                  </w14:solidFill>
                </w14:textFill>
              </w:rPr>
              <w:t>表</w:t>
            </w:r>
            <w:r>
              <w:rPr>
                <w:rFonts w:hint="eastAsia" w:eastAsia="黑体" w:cs="Times New Roman"/>
                <w:b w:val="0"/>
                <w:bCs w:val="0"/>
                <w:color w:val="000000" w:themeColor="text1"/>
                <w:sz w:val="24"/>
                <w:szCs w:val="24"/>
                <w:highlight w:val="none"/>
                <w:lang w:val="en-US" w:eastAsia="zh-CN"/>
                <w14:textFill>
                  <w14:solidFill>
                    <w14:schemeClr w14:val="tx1"/>
                  </w14:solidFill>
                </w14:textFill>
              </w:rPr>
              <w:t>2-2  本</w:t>
            </w:r>
            <w:r>
              <w:rPr>
                <w:rFonts w:hint="default" w:eastAsia="黑体" w:cs="Times New Roman"/>
                <w:b w:val="0"/>
                <w:bCs w:val="0"/>
                <w:color w:val="000000" w:themeColor="text1"/>
                <w:sz w:val="24"/>
                <w:szCs w:val="24"/>
                <w:highlight w:val="none"/>
                <w:lang w:val="en-US" w:eastAsia="zh-CN"/>
                <w14:textFill>
                  <w14:solidFill>
                    <w14:schemeClr w14:val="tx1"/>
                  </w14:solidFill>
                </w14:textFill>
              </w:rPr>
              <w:t>项目</w:t>
            </w:r>
            <w:r>
              <w:rPr>
                <w:rFonts w:hint="eastAsia" w:eastAsia="黑体" w:cs="Times New Roman"/>
                <w:b w:val="0"/>
                <w:bCs w:val="0"/>
                <w:color w:val="000000" w:themeColor="text1"/>
                <w:sz w:val="24"/>
                <w:szCs w:val="24"/>
                <w:highlight w:val="none"/>
                <w:lang w:val="en-US" w:eastAsia="zh-CN"/>
                <w14:textFill>
                  <w14:solidFill>
                    <w14:schemeClr w14:val="tx1"/>
                  </w14:solidFill>
                </w14:textFill>
              </w:rPr>
              <w:t>产品方案一览表</w:t>
            </w:r>
          </w:p>
          <w:tbl>
            <w:tblPr>
              <w:tblStyle w:val="25"/>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85" w:type="dxa"/>
                <w:bottom w:w="0" w:type="dxa"/>
                <w:right w:w="85" w:type="dxa"/>
              </w:tblCellMar>
            </w:tblPr>
            <w:tblGrid>
              <w:gridCol w:w="822"/>
              <w:gridCol w:w="4062"/>
              <w:gridCol w:w="1711"/>
              <w:gridCol w:w="1520"/>
            </w:tblGrid>
            <w:tr w14:paraId="386BB2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85" w:type="dxa"/>
                  <w:bottom w:w="0" w:type="dxa"/>
                  <w:right w:w="85" w:type="dxa"/>
                </w:tblCellMar>
              </w:tblPrEx>
              <w:trPr>
                <w:trHeight w:val="0" w:hRule="atLeast"/>
                <w:jc w:val="center"/>
              </w:trPr>
              <w:tc>
                <w:tcPr>
                  <w:tcW w:w="507" w:type="pct"/>
                  <w:tcBorders>
                    <w:tl2br w:val="nil"/>
                    <w:tr2bl w:val="nil"/>
                  </w:tcBorders>
                  <w:noWrap w:val="0"/>
                  <w:vAlign w:val="center"/>
                </w:tcPr>
                <w:p w14:paraId="18700A2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序号</w:t>
                  </w:r>
                </w:p>
              </w:tc>
              <w:tc>
                <w:tcPr>
                  <w:tcW w:w="2502" w:type="pct"/>
                  <w:tcBorders>
                    <w:tl2br w:val="nil"/>
                    <w:tr2bl w:val="nil"/>
                  </w:tcBorders>
                  <w:noWrap w:val="0"/>
                  <w:vAlign w:val="center"/>
                </w:tcPr>
                <w:p w14:paraId="6E39D38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产品名称</w:t>
                  </w:r>
                </w:p>
              </w:tc>
              <w:tc>
                <w:tcPr>
                  <w:tcW w:w="1054" w:type="pct"/>
                  <w:tcBorders>
                    <w:tl2br w:val="nil"/>
                    <w:tr2bl w:val="nil"/>
                  </w:tcBorders>
                  <w:noWrap w:val="0"/>
                  <w:vAlign w:val="center"/>
                </w:tcPr>
                <w:p w14:paraId="6F5D5F1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产品产量</w:t>
                  </w:r>
                </w:p>
              </w:tc>
              <w:tc>
                <w:tcPr>
                  <w:tcW w:w="936" w:type="pct"/>
                  <w:tcBorders>
                    <w:tl2br w:val="nil"/>
                    <w:tr2bl w:val="nil"/>
                  </w:tcBorders>
                  <w:noWrap w:val="0"/>
                  <w:vAlign w:val="center"/>
                </w:tcPr>
                <w:p w14:paraId="5E2EDDB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备注</w:t>
                  </w:r>
                </w:p>
              </w:tc>
            </w:tr>
            <w:tr w14:paraId="67C89F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85" w:type="dxa"/>
                  <w:bottom w:w="0" w:type="dxa"/>
                  <w:right w:w="85" w:type="dxa"/>
                </w:tblCellMar>
              </w:tblPrEx>
              <w:trPr>
                <w:trHeight w:val="0" w:hRule="atLeast"/>
                <w:jc w:val="center"/>
              </w:trPr>
              <w:tc>
                <w:tcPr>
                  <w:tcW w:w="507" w:type="pct"/>
                  <w:tcBorders>
                    <w:tl2br w:val="nil"/>
                    <w:tr2bl w:val="nil"/>
                  </w:tcBorders>
                  <w:noWrap w:val="0"/>
                  <w:vAlign w:val="center"/>
                </w:tcPr>
                <w:p w14:paraId="086E19E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1</w:t>
                  </w:r>
                </w:p>
              </w:tc>
              <w:tc>
                <w:tcPr>
                  <w:tcW w:w="2502" w:type="pct"/>
                  <w:tcBorders>
                    <w:tl2br w:val="nil"/>
                    <w:tr2bl w:val="nil"/>
                  </w:tcBorders>
                  <w:noWrap w:val="0"/>
                  <w:vAlign w:val="center"/>
                </w:tcPr>
                <w:p w14:paraId="70EDF26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聚乙烯高性能复合材料（PE布）</w:t>
                  </w:r>
                </w:p>
              </w:tc>
              <w:tc>
                <w:tcPr>
                  <w:tcW w:w="1054" w:type="pct"/>
                  <w:tcBorders>
                    <w:tl2br w:val="nil"/>
                    <w:tr2bl w:val="nil"/>
                  </w:tcBorders>
                  <w:noWrap w:val="0"/>
                  <w:vAlign w:val="center"/>
                </w:tcPr>
                <w:p w14:paraId="063E913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1万吨/年</w:t>
                  </w:r>
                </w:p>
              </w:tc>
              <w:tc>
                <w:tcPr>
                  <w:tcW w:w="936" w:type="pct"/>
                  <w:tcBorders>
                    <w:tl2br w:val="nil"/>
                    <w:tr2bl w:val="nil"/>
                  </w:tcBorders>
                  <w:noWrap w:val="0"/>
                  <w:vAlign w:val="center"/>
                </w:tcPr>
                <w:p w14:paraId="6535A97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产品成卷</w:t>
                  </w:r>
                </w:p>
              </w:tc>
            </w:tr>
          </w:tbl>
          <w:p w14:paraId="2478BF52">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520" w:lineRule="exact"/>
              <w:ind w:left="0" w:right="0"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PE布具有防水、防潮、轻便、耐腐蚀等特性，用途广泛，主要用于仓储防护与运输遮盖、包装领域、农业灌溉等方面。</w:t>
            </w:r>
          </w:p>
          <w:p w14:paraId="29E5A45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textAlignment w:val="baseline"/>
              <w:rPr>
                <w:rFonts w:hint="eastAsia"/>
                <w:color w:val="000000" w:themeColor="text1"/>
                <w:sz w:val="24"/>
                <w:szCs w:val="24"/>
                <w:highlight w:val="none"/>
                <w:lang w:val="en-US" w:eastAsia="zh-CN"/>
                <w14:textFill>
                  <w14:solidFill>
                    <w14:schemeClr w14:val="tx1"/>
                  </w14:solidFill>
                </w14:textFill>
              </w:rPr>
            </w:pPr>
            <w:r>
              <w:rPr>
                <w:rFonts w:hint="eastAsia" w:cs="Times New Roman"/>
                <w:kern w:val="2"/>
                <w:sz w:val="24"/>
                <w:szCs w:val="24"/>
                <w:lang w:val="en-US" w:eastAsia="zh-CN" w:bidi="ar"/>
              </w:rPr>
              <w:t>PE布由“基布”和“塑料薄膜”两部分复合而成，其中基布由聚乙烯颗粒挤出拉丝织布形成，重量占比约60%；薄膜由聚乙烯颗粒挤出吹膜形成，重量占比约40%。随后进行</w:t>
            </w:r>
            <w:r>
              <w:rPr>
                <w:rFonts w:hint="default" w:ascii="Segoe UI" w:hAnsi="Segoe UI" w:eastAsia="Segoe UI" w:cs="Segoe UI"/>
                <w:i w:val="0"/>
                <w:iCs w:val="0"/>
                <w:caps w:val="0"/>
                <w:spacing w:val="0"/>
                <w:sz w:val="24"/>
                <w:szCs w:val="24"/>
                <w:shd w:val="clear" w:fill="FFFFFF"/>
              </w:rPr>
              <w:t>紧密压合后</w:t>
            </w:r>
            <w:r>
              <w:rPr>
                <w:rFonts w:hint="eastAsia" w:ascii="Segoe UI" w:hAnsi="Segoe UI" w:eastAsia="宋体" w:cs="Segoe UI"/>
                <w:i w:val="0"/>
                <w:iCs w:val="0"/>
                <w:caps w:val="0"/>
                <w:spacing w:val="0"/>
                <w:sz w:val="24"/>
                <w:szCs w:val="24"/>
                <w:shd w:val="clear" w:fill="FFFFFF"/>
                <w:lang w:val="en-US" w:eastAsia="zh-CN"/>
              </w:rPr>
              <w:t>即为成品。</w:t>
            </w:r>
          </w:p>
          <w:p w14:paraId="7BC03CFD">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520" w:lineRule="exact"/>
              <w:ind w:left="0" w:right="0" w:firstLine="0" w:firstLineChars="0"/>
              <w:textAlignment w:val="auto"/>
              <w:rPr>
                <w:rFonts w:hint="default"/>
                <w:b/>
                <w:bCs/>
                <w:color w:val="000000" w:themeColor="text1"/>
                <w:sz w:val="24"/>
                <w:szCs w:val="24"/>
                <w:highlight w:val="none"/>
                <w:lang w:val="en-US"/>
                <w14:textFill>
                  <w14:solidFill>
                    <w14:schemeClr w14:val="tx1"/>
                  </w14:solidFill>
                </w14:textFill>
              </w:rPr>
            </w:pPr>
            <w:r>
              <w:rPr>
                <w:rFonts w:hint="eastAsia" w:cs="Times New Roman"/>
                <w:b/>
                <w:bCs/>
                <w:color w:val="000000" w:themeColor="text1"/>
                <w:sz w:val="24"/>
                <w:szCs w:val="24"/>
                <w:highlight w:val="none"/>
                <w:lang w:val="en-US" w:eastAsia="zh-CN"/>
                <w14:textFill>
                  <w14:solidFill>
                    <w14:schemeClr w14:val="tx1"/>
                  </w14:solidFill>
                </w14:textFill>
              </w:rPr>
              <w:t>四</w:t>
            </w:r>
            <w:r>
              <w:rPr>
                <w:rFonts w:hint="eastAsia" w:ascii="Times New Roman" w:hAnsi="Times New Roman" w:eastAsia="宋体" w:cs="Times New Roman"/>
                <w:b/>
                <w:bCs/>
                <w:color w:val="000000" w:themeColor="text1"/>
                <w:sz w:val="24"/>
                <w:szCs w:val="24"/>
                <w:highlight w:val="none"/>
                <w:lang w:val="en-US" w:eastAsia="zh-CN"/>
                <w14:textFill>
                  <w14:solidFill>
                    <w14:schemeClr w14:val="tx1"/>
                  </w14:solidFill>
                </w14:textFill>
              </w:rPr>
              <w:t>、</w:t>
            </w:r>
            <w:r>
              <w:rPr>
                <w:rFonts w:hint="eastAsia" w:cs="Times New Roman"/>
                <w:b/>
                <w:bCs/>
                <w:color w:val="000000" w:themeColor="text1"/>
                <w:sz w:val="24"/>
                <w:szCs w:val="24"/>
                <w:highlight w:val="none"/>
                <w:lang w:val="en-US" w:eastAsia="zh-CN"/>
                <w14:textFill>
                  <w14:solidFill>
                    <w14:schemeClr w14:val="tx1"/>
                  </w14:solidFill>
                </w14:textFill>
              </w:rPr>
              <w:t>主要生产设备</w:t>
            </w:r>
          </w:p>
          <w:p w14:paraId="4B8AF512">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520" w:lineRule="exact"/>
              <w:ind w:left="0" w:right="0" w:firstLine="480" w:firstLineChars="200"/>
              <w:textAlignment w:val="auto"/>
              <w:rPr>
                <w:rFonts w:hint="default"/>
                <w:color w:val="000000" w:themeColor="text1"/>
                <w:sz w:val="24"/>
                <w:szCs w:val="24"/>
                <w:highlight w:val="none"/>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本项目</w:t>
            </w:r>
            <w:r>
              <w:rPr>
                <w:rFonts w:hint="default"/>
                <w:color w:val="000000" w:themeColor="text1"/>
                <w:sz w:val="24"/>
                <w:szCs w:val="24"/>
                <w:highlight w:val="none"/>
                <w14:textFill>
                  <w14:solidFill>
                    <w14:schemeClr w14:val="tx1"/>
                  </w14:solidFill>
                </w14:textFill>
              </w:rPr>
              <w:t>主要设备</w:t>
            </w:r>
            <w:r>
              <w:rPr>
                <w:rFonts w:hint="eastAsia"/>
                <w:color w:val="000000" w:themeColor="text1"/>
                <w:sz w:val="24"/>
                <w:szCs w:val="24"/>
                <w:highlight w:val="none"/>
                <w:lang w:val="en-US" w:eastAsia="zh-CN"/>
                <w14:textFill>
                  <w14:solidFill>
                    <w14:schemeClr w14:val="tx1"/>
                  </w14:solidFill>
                </w14:textFill>
              </w:rPr>
              <w:t>及参数</w:t>
            </w:r>
            <w:r>
              <w:rPr>
                <w:rFonts w:hint="default"/>
                <w:color w:val="000000" w:themeColor="text1"/>
                <w:sz w:val="24"/>
                <w:szCs w:val="24"/>
                <w:highlight w:val="none"/>
                <w14:textFill>
                  <w14:solidFill>
                    <w14:schemeClr w14:val="tx1"/>
                  </w14:solidFill>
                </w14:textFill>
              </w:rPr>
              <w:t>情况见</w:t>
            </w:r>
            <w:r>
              <w:rPr>
                <w:rFonts w:hint="default"/>
                <w:color w:val="000000" w:themeColor="text1"/>
                <w:sz w:val="24"/>
                <w:szCs w:val="24"/>
                <w:highlight w:val="none"/>
                <w:lang w:val="en-US" w:eastAsia="zh-CN"/>
                <w14:textFill>
                  <w14:solidFill>
                    <w14:schemeClr w14:val="tx1"/>
                  </w14:solidFill>
                </w14:textFill>
              </w:rPr>
              <w:t>下表</w:t>
            </w:r>
            <w:r>
              <w:rPr>
                <w:rFonts w:hint="default"/>
                <w:color w:val="000000" w:themeColor="text1"/>
                <w:sz w:val="24"/>
                <w:szCs w:val="24"/>
                <w:highlight w:val="none"/>
                <w14:textFill>
                  <w14:solidFill>
                    <w14:schemeClr w14:val="tx1"/>
                  </w14:solidFill>
                </w14:textFill>
              </w:rPr>
              <w:t>。</w:t>
            </w:r>
          </w:p>
          <w:p w14:paraId="479A2C4B">
            <w:pPr>
              <w:keepNext w:val="0"/>
              <w:keepLines w:val="0"/>
              <w:pageBreakBefore w:val="0"/>
              <w:widowControl/>
              <w:numPr>
                <w:ilvl w:val="0"/>
                <w:numId w:val="0"/>
              </w:numPr>
              <w:suppressLineNumbers w:val="0"/>
              <w:kinsoku/>
              <w:wordWrap/>
              <w:overflowPunct/>
              <w:topLinePunct w:val="0"/>
              <w:autoSpaceDE/>
              <w:autoSpaceDN/>
              <w:bidi w:val="0"/>
              <w:adjustRightInd w:val="0"/>
              <w:snapToGrid/>
              <w:spacing w:before="0" w:beforeAutospacing="0" w:after="0" w:afterAutospacing="0" w:line="520" w:lineRule="exact"/>
              <w:ind w:left="0" w:right="0"/>
              <w:jc w:val="center"/>
              <w:textAlignment w:val="auto"/>
              <w:rPr>
                <w:rFonts w:hint="default" w:eastAsia="黑体" w:cs="Times New Roman"/>
                <w:b w:val="0"/>
                <w:bCs w:val="0"/>
                <w:color w:val="000000" w:themeColor="text1"/>
                <w:sz w:val="24"/>
                <w:szCs w:val="24"/>
                <w:highlight w:val="none"/>
                <w:lang w:val="en-US" w:eastAsia="zh-CN"/>
                <w14:textFill>
                  <w14:solidFill>
                    <w14:schemeClr w14:val="tx1"/>
                  </w14:solidFill>
                </w14:textFill>
              </w:rPr>
            </w:pPr>
            <w:r>
              <w:rPr>
                <w:rFonts w:hint="default" w:eastAsia="黑体" w:cs="Times New Roman"/>
                <w:b w:val="0"/>
                <w:bCs w:val="0"/>
                <w:color w:val="000000" w:themeColor="text1"/>
                <w:sz w:val="24"/>
                <w:szCs w:val="24"/>
                <w:highlight w:val="none"/>
                <w:lang w:val="en-US" w:eastAsia="zh-CN"/>
                <w14:textFill>
                  <w14:solidFill>
                    <w14:schemeClr w14:val="tx1"/>
                  </w14:solidFill>
                </w14:textFill>
              </w:rPr>
              <w:t>表</w:t>
            </w:r>
            <w:r>
              <w:rPr>
                <w:rFonts w:hint="eastAsia" w:eastAsia="黑体" w:cs="Times New Roman"/>
                <w:b w:val="0"/>
                <w:bCs w:val="0"/>
                <w:color w:val="000000" w:themeColor="text1"/>
                <w:sz w:val="24"/>
                <w:szCs w:val="24"/>
                <w:highlight w:val="none"/>
                <w:lang w:val="en-US" w:eastAsia="zh-CN"/>
                <w14:textFill>
                  <w14:solidFill>
                    <w14:schemeClr w14:val="tx1"/>
                  </w14:solidFill>
                </w14:textFill>
              </w:rPr>
              <w:t>2-3  本</w:t>
            </w:r>
            <w:r>
              <w:rPr>
                <w:rFonts w:hint="default" w:eastAsia="黑体" w:cs="Times New Roman"/>
                <w:b w:val="0"/>
                <w:bCs w:val="0"/>
                <w:color w:val="000000" w:themeColor="text1"/>
                <w:sz w:val="24"/>
                <w:szCs w:val="24"/>
                <w:highlight w:val="none"/>
                <w:lang w:val="en-US" w:eastAsia="zh-CN"/>
                <w14:textFill>
                  <w14:solidFill>
                    <w14:schemeClr w14:val="tx1"/>
                  </w14:solidFill>
                </w14:textFill>
              </w:rPr>
              <w:t>项目主要设备一览表</w:t>
            </w:r>
          </w:p>
          <w:tbl>
            <w:tblPr>
              <w:tblStyle w:val="25"/>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85" w:type="dxa"/>
                <w:bottom w:w="0" w:type="dxa"/>
                <w:right w:w="85" w:type="dxa"/>
              </w:tblCellMar>
            </w:tblPr>
            <w:tblGrid>
              <w:gridCol w:w="924"/>
              <w:gridCol w:w="1588"/>
              <w:gridCol w:w="2913"/>
              <w:gridCol w:w="1682"/>
              <w:gridCol w:w="1008"/>
            </w:tblGrid>
            <w:tr w14:paraId="28A2B53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85" w:type="dxa"/>
                  <w:bottom w:w="0" w:type="dxa"/>
                  <w:right w:w="85" w:type="dxa"/>
                </w:tblCellMar>
              </w:tblPrEx>
              <w:trPr>
                <w:trHeight w:val="0" w:hRule="atLeast"/>
                <w:tblHeader/>
                <w:jc w:val="center"/>
              </w:trPr>
              <w:tc>
                <w:tcPr>
                  <w:tcW w:w="569" w:type="pct"/>
                  <w:tcBorders>
                    <w:tl2br w:val="nil"/>
                    <w:tr2bl w:val="nil"/>
                  </w:tcBorders>
                  <w:noWrap w:val="0"/>
                  <w:vAlign w:val="center"/>
                </w:tcPr>
                <w:p w14:paraId="17B6C48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cs="Times New Roman"/>
                      <w:b w:val="0"/>
                      <w:bCs w:val="0"/>
                      <w:color w:val="000000" w:themeColor="text1"/>
                      <w:sz w:val="21"/>
                      <w:szCs w:val="21"/>
                      <w:highlight w:val="none"/>
                      <w14:textFill>
                        <w14:solidFill>
                          <w14:schemeClr w14:val="tx1"/>
                        </w14:solidFill>
                      </w14:textFill>
                    </w:rPr>
                  </w:pPr>
                  <w:r>
                    <w:rPr>
                      <w:rFonts w:hint="default" w:ascii="Times New Roman" w:hAnsi="Times New Roman" w:cs="Times New Roman"/>
                      <w:b w:val="0"/>
                      <w:bCs w:val="0"/>
                      <w:color w:val="000000" w:themeColor="text1"/>
                      <w:sz w:val="21"/>
                      <w:szCs w:val="21"/>
                      <w:highlight w:val="none"/>
                      <w14:textFill>
                        <w14:solidFill>
                          <w14:schemeClr w14:val="tx1"/>
                        </w14:solidFill>
                      </w14:textFill>
                    </w:rPr>
                    <w:t>序号</w:t>
                  </w:r>
                </w:p>
              </w:tc>
              <w:tc>
                <w:tcPr>
                  <w:tcW w:w="978" w:type="pct"/>
                  <w:tcBorders>
                    <w:tl2br w:val="nil"/>
                    <w:tr2bl w:val="nil"/>
                  </w:tcBorders>
                  <w:noWrap w:val="0"/>
                  <w:vAlign w:val="center"/>
                </w:tcPr>
                <w:p w14:paraId="0BD034C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highlight w:val="none"/>
                      <w:lang w:val="en-US" w:eastAsia="zh-CN"/>
                      <w14:textFill>
                        <w14:solidFill>
                          <w14:schemeClr w14:val="tx1"/>
                        </w14:solidFill>
                      </w14:textFill>
                    </w:rPr>
                    <w:t>类别</w:t>
                  </w:r>
                </w:p>
              </w:tc>
              <w:tc>
                <w:tcPr>
                  <w:tcW w:w="1794" w:type="pct"/>
                  <w:tcBorders>
                    <w:tl2br w:val="nil"/>
                    <w:tr2bl w:val="nil"/>
                  </w:tcBorders>
                  <w:noWrap w:val="0"/>
                  <w:vAlign w:val="center"/>
                </w:tcPr>
                <w:p w14:paraId="3EDEDB0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cs="Times New Roman"/>
                      <w:b w:val="0"/>
                      <w:bCs w:val="0"/>
                      <w:color w:val="000000" w:themeColor="text1"/>
                      <w:sz w:val="21"/>
                      <w:szCs w:val="21"/>
                      <w:highlight w:val="none"/>
                      <w14:textFill>
                        <w14:solidFill>
                          <w14:schemeClr w14:val="tx1"/>
                        </w14:solidFill>
                      </w14:textFill>
                    </w:rPr>
                  </w:pPr>
                  <w:r>
                    <w:rPr>
                      <w:rFonts w:hint="default" w:ascii="Times New Roman" w:hAnsi="Times New Roman" w:cs="Times New Roman"/>
                      <w:b w:val="0"/>
                      <w:bCs w:val="0"/>
                      <w:color w:val="000000" w:themeColor="text1"/>
                      <w:sz w:val="21"/>
                      <w:szCs w:val="21"/>
                      <w:highlight w:val="none"/>
                      <w14:textFill>
                        <w14:solidFill>
                          <w14:schemeClr w14:val="tx1"/>
                        </w14:solidFill>
                      </w14:textFill>
                    </w:rPr>
                    <w:t>设备名称</w:t>
                  </w:r>
                </w:p>
              </w:tc>
              <w:tc>
                <w:tcPr>
                  <w:tcW w:w="1036" w:type="pct"/>
                  <w:tcBorders>
                    <w:tl2br w:val="nil"/>
                    <w:tr2bl w:val="nil"/>
                  </w:tcBorders>
                  <w:noWrap w:val="0"/>
                  <w:vAlign w:val="center"/>
                </w:tcPr>
                <w:p w14:paraId="0A4369B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cs="Times New Roman"/>
                      <w:b w:val="0"/>
                      <w:bCs w:val="0"/>
                      <w:color w:val="000000" w:themeColor="text1"/>
                      <w:sz w:val="21"/>
                      <w:szCs w:val="21"/>
                      <w:highlight w:val="none"/>
                      <w14:textFill>
                        <w14:solidFill>
                          <w14:schemeClr w14:val="tx1"/>
                        </w14:solidFill>
                      </w14:textFill>
                    </w:rPr>
                  </w:pPr>
                  <w:r>
                    <w:rPr>
                      <w:rFonts w:hint="default" w:ascii="Times New Roman" w:hAnsi="Times New Roman" w:cs="Times New Roman"/>
                      <w:b w:val="0"/>
                      <w:bCs w:val="0"/>
                      <w:color w:val="000000" w:themeColor="text1"/>
                      <w:sz w:val="21"/>
                      <w:szCs w:val="21"/>
                      <w:highlight w:val="none"/>
                      <w:lang w:val="en-US" w:eastAsia="zh-CN"/>
                      <w14:textFill>
                        <w14:solidFill>
                          <w14:schemeClr w14:val="tx1"/>
                        </w14:solidFill>
                      </w14:textFill>
                    </w:rPr>
                    <w:t>型号/参数</w:t>
                  </w:r>
                </w:p>
              </w:tc>
              <w:tc>
                <w:tcPr>
                  <w:tcW w:w="621" w:type="pct"/>
                  <w:tcBorders>
                    <w:tl2br w:val="nil"/>
                    <w:tr2bl w:val="nil"/>
                  </w:tcBorders>
                  <w:noWrap w:val="0"/>
                  <w:vAlign w:val="center"/>
                </w:tcPr>
                <w:p w14:paraId="5C3836D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cs="Times New Roman"/>
                      <w:b w:val="0"/>
                      <w:bCs w:val="0"/>
                      <w:color w:val="000000" w:themeColor="text1"/>
                      <w:sz w:val="21"/>
                      <w:szCs w:val="21"/>
                      <w:highlight w:val="none"/>
                      <w14:textFill>
                        <w14:solidFill>
                          <w14:schemeClr w14:val="tx1"/>
                        </w14:solidFill>
                      </w14:textFill>
                    </w:rPr>
                  </w:pPr>
                  <w:r>
                    <w:rPr>
                      <w:rFonts w:hint="default" w:ascii="Times New Roman" w:hAnsi="Times New Roman" w:cs="Times New Roman"/>
                      <w:b w:val="0"/>
                      <w:bCs w:val="0"/>
                      <w:color w:val="000000" w:themeColor="text1"/>
                      <w:sz w:val="21"/>
                      <w:szCs w:val="21"/>
                      <w:highlight w:val="none"/>
                      <w14:textFill>
                        <w14:solidFill>
                          <w14:schemeClr w14:val="tx1"/>
                        </w14:solidFill>
                      </w14:textFill>
                    </w:rPr>
                    <w:t>数量</w:t>
                  </w:r>
                </w:p>
              </w:tc>
            </w:tr>
            <w:tr w14:paraId="5F3873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85" w:type="dxa"/>
                  <w:bottom w:w="0" w:type="dxa"/>
                  <w:right w:w="85" w:type="dxa"/>
                </w:tblCellMar>
              </w:tblPrEx>
              <w:trPr>
                <w:trHeight w:val="0" w:hRule="atLeast"/>
                <w:jc w:val="center"/>
              </w:trPr>
              <w:tc>
                <w:tcPr>
                  <w:tcW w:w="569" w:type="pct"/>
                  <w:tcBorders>
                    <w:tl2br w:val="nil"/>
                    <w:tr2bl w:val="nil"/>
                  </w:tcBorders>
                  <w:noWrap w:val="0"/>
                  <w:vAlign w:val="center"/>
                </w:tcPr>
                <w:p w14:paraId="0E0F40C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1</w:t>
                  </w:r>
                </w:p>
              </w:tc>
              <w:tc>
                <w:tcPr>
                  <w:tcW w:w="978" w:type="pct"/>
                  <w:vMerge w:val="restart"/>
                  <w:tcBorders>
                    <w:tl2br w:val="nil"/>
                    <w:tr2bl w:val="nil"/>
                  </w:tcBorders>
                  <w:noWrap w:val="0"/>
                  <w:vAlign w:val="center"/>
                </w:tcPr>
                <w:p w14:paraId="150DEC5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原料处理</w:t>
                  </w:r>
                </w:p>
              </w:tc>
              <w:tc>
                <w:tcPr>
                  <w:tcW w:w="1794" w:type="pct"/>
                  <w:tcBorders>
                    <w:tl2br w:val="nil"/>
                    <w:tr2bl w:val="nil"/>
                  </w:tcBorders>
                  <w:noWrap w:val="0"/>
                  <w:vAlign w:val="center"/>
                </w:tcPr>
                <w:p w14:paraId="336B8B20">
                  <w:pPr>
                    <w:pStyle w:val="78"/>
                    <w:keepNext w:val="0"/>
                    <w:keepLines w:val="0"/>
                    <w:pageBreakBefore w:val="0"/>
                    <w:widowControl w:val="0"/>
                    <w:suppressLineNumbers w:val="0"/>
                    <w:tabs>
                      <w:tab w:val="left" w:pos="791"/>
                      <w:tab w:val="center" w:pos="1431"/>
                    </w:tabs>
                    <w:kinsoku/>
                    <w:wordWrap/>
                    <w:overflowPunct/>
                    <w:topLinePunct w:val="0"/>
                    <w:autoSpaceDE/>
                    <w:autoSpaceDN/>
                    <w:bidi w:val="0"/>
                    <w:spacing w:before="0" w:beforeAutospacing="0" w:after="0" w:afterAutospacing="0" w:line="360" w:lineRule="exact"/>
                    <w:ind w:left="0" w:right="0"/>
                    <w:jc w:val="center"/>
                    <w:textAlignment w:val="auto"/>
                    <w:outlineLvl w:val="1"/>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检验设备</w:t>
                  </w:r>
                </w:p>
              </w:tc>
              <w:tc>
                <w:tcPr>
                  <w:tcW w:w="1036" w:type="pct"/>
                  <w:tcBorders>
                    <w:tl2br w:val="nil"/>
                    <w:tr2bl w:val="nil"/>
                  </w:tcBorders>
                  <w:noWrap w:val="0"/>
                  <w:vAlign w:val="center"/>
                </w:tcPr>
                <w:p w14:paraId="5C6AB33A">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leftChars="0" w:right="0" w:rightChars="0"/>
                    <w:jc w:val="center"/>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auto"/>
                      <w:kern w:val="2"/>
                      <w:sz w:val="21"/>
                      <w:szCs w:val="21"/>
                      <w:lang w:val="en-US" w:eastAsia="zh-CN" w:bidi="ar"/>
                    </w:rPr>
                    <w:t>/</w:t>
                  </w:r>
                </w:p>
              </w:tc>
              <w:tc>
                <w:tcPr>
                  <w:tcW w:w="621" w:type="pct"/>
                  <w:tcBorders>
                    <w:tl2br w:val="nil"/>
                    <w:tr2bl w:val="nil"/>
                  </w:tcBorders>
                  <w:noWrap w:val="0"/>
                  <w:vAlign w:val="center"/>
                </w:tcPr>
                <w:p w14:paraId="5DD857C9">
                  <w:pPr>
                    <w:pStyle w:val="78"/>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leftChars="0" w:right="0" w:rightChars="0"/>
                    <w:jc w:val="center"/>
                    <w:textAlignment w:val="auto"/>
                    <w:outlineLvl w:val="1"/>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sz w:val="21"/>
                      <w:szCs w:val="21"/>
                      <w:lang w:val="en-US" w:eastAsia="zh-CN"/>
                    </w:rPr>
                    <w:t>1套</w:t>
                  </w:r>
                </w:p>
              </w:tc>
            </w:tr>
            <w:tr w14:paraId="60C5FA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85" w:type="dxa"/>
                  <w:bottom w:w="0" w:type="dxa"/>
                  <w:right w:w="85" w:type="dxa"/>
                </w:tblCellMar>
              </w:tblPrEx>
              <w:trPr>
                <w:trHeight w:val="0" w:hRule="atLeast"/>
                <w:jc w:val="center"/>
              </w:trPr>
              <w:tc>
                <w:tcPr>
                  <w:tcW w:w="569" w:type="pct"/>
                  <w:tcBorders>
                    <w:tl2br w:val="nil"/>
                    <w:tr2bl w:val="nil"/>
                  </w:tcBorders>
                  <w:noWrap w:val="0"/>
                  <w:vAlign w:val="center"/>
                </w:tcPr>
                <w:p w14:paraId="5CDFEBD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2</w:t>
                  </w:r>
                </w:p>
              </w:tc>
              <w:tc>
                <w:tcPr>
                  <w:tcW w:w="978" w:type="pct"/>
                  <w:vMerge w:val="continue"/>
                  <w:tcBorders>
                    <w:tl2br w:val="nil"/>
                    <w:tr2bl w:val="nil"/>
                  </w:tcBorders>
                  <w:noWrap w:val="0"/>
                  <w:vAlign w:val="center"/>
                </w:tcPr>
                <w:p w14:paraId="0AF24FE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eastAsia" w:cs="Times New Roman"/>
                      <w:color w:val="000000" w:themeColor="text1"/>
                      <w:sz w:val="21"/>
                      <w:szCs w:val="21"/>
                      <w:highlight w:val="none"/>
                      <w:lang w:val="en-US" w:eastAsia="zh-CN"/>
                      <w14:textFill>
                        <w14:solidFill>
                          <w14:schemeClr w14:val="tx1"/>
                        </w14:solidFill>
                      </w14:textFill>
                    </w:rPr>
                  </w:pPr>
                </w:p>
              </w:tc>
              <w:tc>
                <w:tcPr>
                  <w:tcW w:w="1794" w:type="pct"/>
                  <w:tcBorders>
                    <w:tl2br w:val="nil"/>
                    <w:tr2bl w:val="nil"/>
                  </w:tcBorders>
                  <w:noWrap w:val="0"/>
                  <w:vAlign w:val="center"/>
                </w:tcPr>
                <w:p w14:paraId="471DE7F2">
                  <w:pPr>
                    <w:pStyle w:val="78"/>
                    <w:keepNext w:val="0"/>
                    <w:keepLines w:val="0"/>
                    <w:pageBreakBefore w:val="0"/>
                    <w:widowControl w:val="0"/>
                    <w:suppressLineNumbers w:val="0"/>
                    <w:tabs>
                      <w:tab w:val="left" w:pos="791"/>
                      <w:tab w:val="center" w:pos="1431"/>
                    </w:tabs>
                    <w:kinsoku/>
                    <w:wordWrap/>
                    <w:overflowPunct/>
                    <w:topLinePunct w:val="0"/>
                    <w:autoSpaceDE/>
                    <w:autoSpaceDN/>
                    <w:bidi w:val="0"/>
                    <w:spacing w:before="0" w:beforeAutospacing="0" w:after="0" w:afterAutospacing="0" w:line="360" w:lineRule="exact"/>
                    <w:ind w:left="0" w:right="0"/>
                    <w:jc w:val="center"/>
                    <w:textAlignment w:val="auto"/>
                    <w:outlineLvl w:val="1"/>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上料设施</w:t>
                  </w:r>
                </w:p>
              </w:tc>
              <w:tc>
                <w:tcPr>
                  <w:tcW w:w="1036" w:type="pct"/>
                  <w:tcBorders>
                    <w:tl2br w:val="nil"/>
                    <w:tr2bl w:val="nil"/>
                  </w:tcBorders>
                  <w:noWrap w:val="0"/>
                  <w:vAlign w:val="center"/>
                </w:tcPr>
                <w:p w14:paraId="07ED55CF">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leftChars="0" w:right="0" w:rightChars="0"/>
                    <w:jc w:val="center"/>
                    <w:textAlignment w:val="auto"/>
                    <w:rPr>
                      <w:rFonts w:hint="default" w:cs="Times New Roman"/>
                      <w:color w:val="auto"/>
                      <w:kern w:val="2"/>
                      <w:sz w:val="21"/>
                      <w:szCs w:val="21"/>
                      <w:lang w:val="en-US" w:eastAsia="zh-CN" w:bidi="ar"/>
                    </w:rPr>
                  </w:pPr>
                  <w:r>
                    <w:rPr>
                      <w:rFonts w:hint="eastAsia" w:cs="Times New Roman"/>
                      <w:color w:val="auto"/>
                      <w:kern w:val="2"/>
                      <w:sz w:val="21"/>
                      <w:szCs w:val="21"/>
                      <w:lang w:val="en-US" w:eastAsia="zh-CN" w:bidi="ar"/>
                    </w:rPr>
                    <w:t>/</w:t>
                  </w:r>
                </w:p>
              </w:tc>
              <w:tc>
                <w:tcPr>
                  <w:tcW w:w="621" w:type="pct"/>
                  <w:tcBorders>
                    <w:tl2br w:val="nil"/>
                    <w:tr2bl w:val="nil"/>
                  </w:tcBorders>
                  <w:noWrap w:val="0"/>
                  <w:vAlign w:val="center"/>
                </w:tcPr>
                <w:p w14:paraId="0A6BC0E8">
                  <w:pPr>
                    <w:pStyle w:val="78"/>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leftChars="0" w:right="0" w:rightChars="0"/>
                    <w:jc w:val="center"/>
                    <w:textAlignment w:val="auto"/>
                    <w:outlineLvl w:val="1"/>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2套</w:t>
                  </w:r>
                </w:p>
              </w:tc>
            </w:tr>
            <w:tr w14:paraId="249ACB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85" w:type="dxa"/>
                  <w:bottom w:w="0" w:type="dxa"/>
                  <w:right w:w="85" w:type="dxa"/>
                </w:tblCellMar>
              </w:tblPrEx>
              <w:trPr>
                <w:trHeight w:val="0" w:hRule="atLeast"/>
                <w:jc w:val="center"/>
              </w:trPr>
              <w:tc>
                <w:tcPr>
                  <w:tcW w:w="569" w:type="pct"/>
                  <w:tcBorders>
                    <w:tl2br w:val="nil"/>
                    <w:tr2bl w:val="nil"/>
                  </w:tcBorders>
                  <w:noWrap w:val="0"/>
                  <w:vAlign w:val="center"/>
                </w:tcPr>
                <w:p w14:paraId="4AC0433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3</w:t>
                  </w:r>
                </w:p>
              </w:tc>
              <w:tc>
                <w:tcPr>
                  <w:tcW w:w="978" w:type="pct"/>
                  <w:vMerge w:val="continue"/>
                  <w:tcBorders>
                    <w:tl2br w:val="nil"/>
                    <w:tr2bl w:val="nil"/>
                  </w:tcBorders>
                  <w:noWrap w:val="0"/>
                  <w:vAlign w:val="center"/>
                </w:tcPr>
                <w:p w14:paraId="2681B01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p>
              </w:tc>
              <w:tc>
                <w:tcPr>
                  <w:tcW w:w="1794" w:type="pct"/>
                  <w:tcBorders>
                    <w:tl2br w:val="nil"/>
                    <w:tr2bl w:val="nil"/>
                  </w:tcBorders>
                  <w:noWrap w:val="0"/>
                  <w:vAlign w:val="center"/>
                </w:tcPr>
                <w:p w14:paraId="3B19E5AA">
                  <w:pPr>
                    <w:pStyle w:val="78"/>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leftChars="0" w:right="0" w:rightChars="0"/>
                    <w:jc w:val="center"/>
                    <w:textAlignment w:val="auto"/>
                    <w:outlineLvl w:val="1"/>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热风循环干燥机</w:t>
                  </w:r>
                </w:p>
              </w:tc>
              <w:tc>
                <w:tcPr>
                  <w:tcW w:w="1036" w:type="pct"/>
                  <w:tcBorders>
                    <w:tl2br w:val="nil"/>
                    <w:tr2bl w:val="nil"/>
                  </w:tcBorders>
                  <w:noWrap w:val="0"/>
                  <w:vAlign w:val="center"/>
                </w:tcPr>
                <w:p w14:paraId="3921992A">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leftChars="0" w:right="0" w:rightChars="0"/>
                    <w:jc w:val="center"/>
                    <w:textAlignment w:val="auto"/>
                    <w:rPr>
                      <w:rFonts w:hint="default" w:ascii="Times New Roman" w:hAnsi="Times New Roman" w:cs="Times New Roman"/>
                      <w:color w:val="auto"/>
                      <w:kern w:val="2"/>
                      <w:sz w:val="21"/>
                      <w:szCs w:val="21"/>
                      <w:lang w:val="en-US" w:eastAsia="zh-CN" w:bidi="ar"/>
                    </w:rPr>
                  </w:pPr>
                  <w:r>
                    <w:rPr>
                      <w:rFonts w:hint="eastAsia" w:cs="Times New Roman"/>
                      <w:color w:val="auto"/>
                      <w:kern w:val="2"/>
                      <w:sz w:val="21"/>
                      <w:szCs w:val="21"/>
                      <w:lang w:val="en-US" w:eastAsia="zh-CN" w:bidi="ar"/>
                    </w:rPr>
                    <w:t>电加热</w:t>
                  </w:r>
                </w:p>
              </w:tc>
              <w:tc>
                <w:tcPr>
                  <w:tcW w:w="621" w:type="pct"/>
                  <w:tcBorders>
                    <w:tl2br w:val="nil"/>
                    <w:tr2bl w:val="nil"/>
                  </w:tcBorders>
                  <w:noWrap w:val="0"/>
                  <w:vAlign w:val="center"/>
                </w:tcPr>
                <w:p w14:paraId="6FC3CBB6">
                  <w:pPr>
                    <w:pStyle w:val="78"/>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leftChars="0" w:right="0" w:rightChars="0"/>
                    <w:jc w:val="center"/>
                    <w:textAlignment w:val="auto"/>
                    <w:outlineLvl w:val="1"/>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2套</w:t>
                  </w:r>
                </w:p>
              </w:tc>
            </w:tr>
            <w:tr w14:paraId="563DB0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85" w:type="dxa"/>
                  <w:bottom w:w="0" w:type="dxa"/>
                  <w:right w:w="85" w:type="dxa"/>
                </w:tblCellMar>
              </w:tblPrEx>
              <w:trPr>
                <w:trHeight w:val="0" w:hRule="atLeast"/>
                <w:jc w:val="center"/>
              </w:trPr>
              <w:tc>
                <w:tcPr>
                  <w:tcW w:w="569" w:type="pct"/>
                  <w:tcBorders>
                    <w:tl2br w:val="nil"/>
                    <w:tr2bl w:val="nil"/>
                  </w:tcBorders>
                  <w:shd w:val="clear" w:color="auto" w:fill="auto"/>
                  <w:noWrap w:val="0"/>
                  <w:vAlign w:val="center"/>
                </w:tcPr>
                <w:p w14:paraId="0F615C7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kern w:val="2"/>
                      <w:sz w:val="21"/>
                      <w:szCs w:val="21"/>
                      <w:highlight w:val="none"/>
                      <w:lang w:val="en-US" w:eastAsia="zh-CN" w:bidi="ar-SA"/>
                      <w14:textFill>
                        <w14:solidFill>
                          <w14:schemeClr w14:val="tx1"/>
                        </w14:solidFill>
                      </w14:textFill>
                    </w:rPr>
                    <w:t>4</w:t>
                  </w:r>
                </w:p>
              </w:tc>
              <w:tc>
                <w:tcPr>
                  <w:tcW w:w="978" w:type="pct"/>
                  <w:tcBorders>
                    <w:tl2br w:val="nil"/>
                    <w:tr2bl w:val="nil"/>
                  </w:tcBorders>
                  <w:noWrap w:val="0"/>
                  <w:vAlign w:val="center"/>
                </w:tcPr>
                <w:p w14:paraId="75F3289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颗粒熔化</w:t>
                  </w:r>
                </w:p>
              </w:tc>
              <w:tc>
                <w:tcPr>
                  <w:tcW w:w="1794" w:type="pct"/>
                  <w:tcBorders>
                    <w:tl2br w:val="nil"/>
                    <w:tr2bl w:val="nil"/>
                  </w:tcBorders>
                  <w:noWrap w:val="0"/>
                  <w:vAlign w:val="center"/>
                </w:tcPr>
                <w:p w14:paraId="56034183">
                  <w:pPr>
                    <w:pStyle w:val="78"/>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leftChars="0" w:right="0" w:rightChars="0"/>
                    <w:jc w:val="center"/>
                    <w:textAlignment w:val="auto"/>
                    <w:outlineLvl w:val="1"/>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双螺杆挤出机</w:t>
                  </w:r>
                </w:p>
              </w:tc>
              <w:tc>
                <w:tcPr>
                  <w:tcW w:w="1036" w:type="pct"/>
                  <w:tcBorders>
                    <w:tl2br w:val="nil"/>
                    <w:tr2bl w:val="nil"/>
                  </w:tcBorders>
                  <w:noWrap w:val="0"/>
                  <w:vAlign w:val="center"/>
                </w:tcPr>
                <w:p w14:paraId="44B4EDB6">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leftChars="0" w:right="0" w:rightChars="0"/>
                    <w:jc w:val="center"/>
                    <w:textAlignment w:val="auto"/>
                    <w:rPr>
                      <w:rFonts w:hint="default" w:ascii="Times New Roman" w:hAnsi="Times New Roman" w:cs="Times New Roman"/>
                      <w:color w:val="auto"/>
                      <w:kern w:val="2"/>
                      <w:sz w:val="21"/>
                      <w:szCs w:val="21"/>
                      <w:lang w:val="en-US" w:eastAsia="zh-CN" w:bidi="ar"/>
                    </w:rPr>
                  </w:pPr>
                  <w:r>
                    <w:rPr>
                      <w:rFonts w:hint="eastAsia" w:cs="Times New Roman"/>
                      <w:color w:val="auto"/>
                      <w:kern w:val="2"/>
                      <w:sz w:val="21"/>
                      <w:szCs w:val="21"/>
                      <w:lang w:val="en-US" w:eastAsia="zh-CN" w:bidi="ar"/>
                    </w:rPr>
                    <w:t>0.6t/h</w:t>
                  </w:r>
                </w:p>
              </w:tc>
              <w:tc>
                <w:tcPr>
                  <w:tcW w:w="621" w:type="pct"/>
                  <w:tcBorders>
                    <w:tl2br w:val="nil"/>
                    <w:tr2bl w:val="nil"/>
                  </w:tcBorders>
                  <w:noWrap w:val="0"/>
                  <w:vAlign w:val="center"/>
                </w:tcPr>
                <w:p w14:paraId="287ECA1F">
                  <w:pPr>
                    <w:pStyle w:val="78"/>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leftChars="0" w:right="0" w:rightChars="0"/>
                    <w:jc w:val="center"/>
                    <w:textAlignment w:val="auto"/>
                    <w:outlineLvl w:val="1"/>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2套</w:t>
                  </w:r>
                </w:p>
              </w:tc>
            </w:tr>
            <w:tr w14:paraId="3C685E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85" w:type="dxa"/>
                  <w:bottom w:w="0" w:type="dxa"/>
                  <w:right w:w="85" w:type="dxa"/>
                </w:tblCellMar>
              </w:tblPrEx>
              <w:trPr>
                <w:trHeight w:val="0" w:hRule="atLeast"/>
                <w:jc w:val="center"/>
              </w:trPr>
              <w:tc>
                <w:tcPr>
                  <w:tcW w:w="569" w:type="pct"/>
                  <w:tcBorders>
                    <w:tl2br w:val="nil"/>
                    <w:tr2bl w:val="nil"/>
                  </w:tcBorders>
                  <w:shd w:val="clear" w:color="auto" w:fill="auto"/>
                  <w:noWrap w:val="0"/>
                  <w:vAlign w:val="center"/>
                </w:tcPr>
                <w:p w14:paraId="15C3B33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default"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kern w:val="2"/>
                      <w:sz w:val="21"/>
                      <w:szCs w:val="21"/>
                      <w:highlight w:val="none"/>
                      <w:lang w:val="en-US" w:eastAsia="zh-CN" w:bidi="ar-SA"/>
                      <w14:textFill>
                        <w14:solidFill>
                          <w14:schemeClr w14:val="tx1"/>
                        </w14:solidFill>
                      </w14:textFill>
                    </w:rPr>
                    <w:t>5</w:t>
                  </w:r>
                </w:p>
              </w:tc>
              <w:tc>
                <w:tcPr>
                  <w:tcW w:w="978" w:type="pct"/>
                  <w:vMerge w:val="restart"/>
                  <w:tcBorders>
                    <w:tl2br w:val="nil"/>
                    <w:tr2bl w:val="nil"/>
                  </w:tcBorders>
                  <w:noWrap w:val="0"/>
                  <w:vAlign w:val="center"/>
                </w:tcPr>
                <w:p w14:paraId="5B68991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拉丝成型</w:t>
                  </w:r>
                </w:p>
              </w:tc>
              <w:tc>
                <w:tcPr>
                  <w:tcW w:w="1794" w:type="pct"/>
                  <w:tcBorders>
                    <w:tl2br w:val="nil"/>
                    <w:tr2bl w:val="nil"/>
                  </w:tcBorders>
                  <w:noWrap w:val="0"/>
                  <w:vAlign w:val="center"/>
                </w:tcPr>
                <w:p w14:paraId="6E931309">
                  <w:pPr>
                    <w:pStyle w:val="78"/>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leftChars="0" w:right="0" w:rightChars="0"/>
                    <w:jc w:val="center"/>
                    <w:textAlignment w:val="auto"/>
                    <w:outlineLvl w:val="1"/>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牵伸装置</w:t>
                  </w: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（拉丝）</w:t>
                  </w:r>
                </w:p>
              </w:tc>
              <w:tc>
                <w:tcPr>
                  <w:tcW w:w="1036" w:type="pct"/>
                  <w:tcBorders>
                    <w:tl2br w:val="nil"/>
                    <w:tr2bl w:val="nil"/>
                  </w:tcBorders>
                  <w:noWrap w:val="0"/>
                  <w:vAlign w:val="center"/>
                </w:tcPr>
                <w:p w14:paraId="2CFC1FC1">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leftChars="0" w:right="0" w:rightChars="0"/>
                    <w:jc w:val="center"/>
                    <w:textAlignment w:val="auto"/>
                    <w:rPr>
                      <w:rFonts w:hint="default" w:ascii="Times New Roman" w:hAnsi="Times New Roman" w:cs="Times New Roman"/>
                      <w:color w:val="auto"/>
                      <w:kern w:val="2"/>
                      <w:sz w:val="21"/>
                      <w:szCs w:val="21"/>
                      <w:lang w:val="en-US" w:eastAsia="zh-CN" w:bidi="ar"/>
                    </w:rPr>
                  </w:pPr>
                  <w:r>
                    <w:rPr>
                      <w:rFonts w:hint="eastAsia" w:cs="Times New Roman"/>
                      <w:color w:val="auto"/>
                      <w:kern w:val="2"/>
                      <w:sz w:val="21"/>
                      <w:szCs w:val="21"/>
                      <w:lang w:val="en-US" w:eastAsia="zh-CN" w:bidi="ar"/>
                    </w:rPr>
                    <w:t>0.6t/h</w:t>
                  </w:r>
                </w:p>
              </w:tc>
              <w:tc>
                <w:tcPr>
                  <w:tcW w:w="621" w:type="pct"/>
                  <w:tcBorders>
                    <w:tl2br w:val="nil"/>
                    <w:tr2bl w:val="nil"/>
                  </w:tcBorders>
                  <w:noWrap w:val="0"/>
                  <w:vAlign w:val="center"/>
                </w:tcPr>
                <w:p w14:paraId="6325D836">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leftChars="0" w:right="0" w:rightChars="0"/>
                    <w:jc w:val="center"/>
                    <w:textAlignment w:val="auto"/>
                    <w:outlineLvl w:val="1"/>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2套</w:t>
                  </w:r>
                </w:p>
              </w:tc>
            </w:tr>
            <w:tr w14:paraId="0D1FC1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85" w:type="dxa"/>
                  <w:bottom w:w="0" w:type="dxa"/>
                  <w:right w:w="85" w:type="dxa"/>
                </w:tblCellMar>
              </w:tblPrEx>
              <w:trPr>
                <w:trHeight w:val="0" w:hRule="atLeast"/>
                <w:jc w:val="center"/>
              </w:trPr>
              <w:tc>
                <w:tcPr>
                  <w:tcW w:w="569" w:type="pct"/>
                  <w:tcBorders>
                    <w:tl2br w:val="nil"/>
                    <w:tr2bl w:val="nil"/>
                  </w:tcBorders>
                  <w:shd w:val="clear" w:color="auto" w:fill="auto"/>
                  <w:noWrap w:val="0"/>
                  <w:vAlign w:val="center"/>
                </w:tcPr>
                <w:p w14:paraId="5080A13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default"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kern w:val="2"/>
                      <w:sz w:val="21"/>
                      <w:szCs w:val="21"/>
                      <w:highlight w:val="none"/>
                      <w:lang w:val="en-US" w:eastAsia="zh-CN" w:bidi="ar-SA"/>
                      <w14:textFill>
                        <w14:solidFill>
                          <w14:schemeClr w14:val="tx1"/>
                        </w14:solidFill>
                      </w14:textFill>
                    </w:rPr>
                    <w:t>6</w:t>
                  </w:r>
                </w:p>
              </w:tc>
              <w:tc>
                <w:tcPr>
                  <w:tcW w:w="978" w:type="pct"/>
                  <w:vMerge w:val="continue"/>
                  <w:tcBorders>
                    <w:tl2br w:val="nil"/>
                    <w:tr2bl w:val="nil"/>
                  </w:tcBorders>
                  <w:noWrap w:val="0"/>
                  <w:vAlign w:val="center"/>
                </w:tcPr>
                <w:p w14:paraId="5C82E00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eastAsia" w:cs="Times New Roman"/>
                      <w:color w:val="000000" w:themeColor="text1"/>
                      <w:sz w:val="21"/>
                      <w:szCs w:val="21"/>
                      <w:highlight w:val="none"/>
                      <w:lang w:val="en-US" w:eastAsia="zh-CN"/>
                      <w14:textFill>
                        <w14:solidFill>
                          <w14:schemeClr w14:val="tx1"/>
                        </w14:solidFill>
                      </w14:textFill>
                    </w:rPr>
                  </w:pPr>
                </w:p>
              </w:tc>
              <w:tc>
                <w:tcPr>
                  <w:tcW w:w="1794" w:type="pct"/>
                  <w:tcBorders>
                    <w:tl2br w:val="nil"/>
                    <w:tr2bl w:val="nil"/>
                  </w:tcBorders>
                  <w:noWrap w:val="0"/>
                  <w:vAlign w:val="center"/>
                </w:tcPr>
                <w:p w14:paraId="1FE7E3E6">
                  <w:pPr>
                    <w:pStyle w:val="78"/>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leftChars="0" w:right="0" w:rightChars="0"/>
                    <w:jc w:val="center"/>
                    <w:textAlignment w:val="auto"/>
                    <w:outlineLvl w:val="1"/>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侧吹风冷却系统</w:t>
                  </w:r>
                </w:p>
              </w:tc>
              <w:tc>
                <w:tcPr>
                  <w:tcW w:w="1036" w:type="pct"/>
                  <w:tcBorders>
                    <w:tl2br w:val="nil"/>
                    <w:tr2bl w:val="nil"/>
                  </w:tcBorders>
                  <w:noWrap w:val="0"/>
                  <w:vAlign w:val="center"/>
                </w:tcPr>
                <w:p w14:paraId="68ECE430">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leftChars="0" w:right="0" w:rightChars="0"/>
                    <w:jc w:val="center"/>
                    <w:textAlignment w:val="auto"/>
                    <w:rPr>
                      <w:rFonts w:hint="default" w:ascii="Times New Roman" w:hAnsi="Times New Roman" w:cs="Times New Roman"/>
                      <w:color w:val="auto"/>
                      <w:kern w:val="2"/>
                      <w:sz w:val="21"/>
                      <w:szCs w:val="21"/>
                      <w:lang w:val="en-US" w:eastAsia="zh-CN" w:bidi="ar"/>
                    </w:rPr>
                  </w:pPr>
                  <w:r>
                    <w:rPr>
                      <w:rFonts w:hint="eastAsia" w:cs="Times New Roman"/>
                      <w:color w:val="auto"/>
                      <w:kern w:val="2"/>
                      <w:sz w:val="21"/>
                      <w:szCs w:val="21"/>
                      <w:lang w:val="en-US" w:eastAsia="zh-CN" w:bidi="ar"/>
                    </w:rPr>
                    <w:t>/</w:t>
                  </w:r>
                </w:p>
              </w:tc>
              <w:tc>
                <w:tcPr>
                  <w:tcW w:w="621" w:type="pct"/>
                  <w:tcBorders>
                    <w:tl2br w:val="nil"/>
                    <w:tr2bl w:val="nil"/>
                  </w:tcBorders>
                  <w:noWrap w:val="0"/>
                  <w:vAlign w:val="center"/>
                </w:tcPr>
                <w:p w14:paraId="417EBE81">
                  <w:pPr>
                    <w:pStyle w:val="78"/>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leftChars="0" w:right="0" w:rightChars="0"/>
                    <w:jc w:val="center"/>
                    <w:textAlignment w:val="auto"/>
                    <w:outlineLvl w:val="1"/>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2套</w:t>
                  </w:r>
                </w:p>
              </w:tc>
            </w:tr>
            <w:tr w14:paraId="268E8A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85" w:type="dxa"/>
                  <w:bottom w:w="0" w:type="dxa"/>
                  <w:right w:w="85" w:type="dxa"/>
                </w:tblCellMar>
              </w:tblPrEx>
              <w:trPr>
                <w:trHeight w:val="0" w:hRule="atLeast"/>
                <w:jc w:val="center"/>
              </w:trPr>
              <w:tc>
                <w:tcPr>
                  <w:tcW w:w="569" w:type="pct"/>
                  <w:tcBorders>
                    <w:tl2br w:val="nil"/>
                    <w:tr2bl w:val="nil"/>
                  </w:tcBorders>
                  <w:shd w:val="clear" w:color="auto" w:fill="auto"/>
                  <w:noWrap w:val="0"/>
                  <w:vAlign w:val="center"/>
                </w:tcPr>
                <w:p w14:paraId="3A4D808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default"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kern w:val="2"/>
                      <w:sz w:val="21"/>
                      <w:szCs w:val="21"/>
                      <w:highlight w:val="none"/>
                      <w:lang w:val="en-US" w:eastAsia="zh-CN" w:bidi="ar-SA"/>
                      <w14:textFill>
                        <w14:solidFill>
                          <w14:schemeClr w14:val="tx1"/>
                        </w14:solidFill>
                      </w14:textFill>
                    </w:rPr>
                    <w:t>7</w:t>
                  </w:r>
                </w:p>
              </w:tc>
              <w:tc>
                <w:tcPr>
                  <w:tcW w:w="978" w:type="pct"/>
                  <w:tcBorders>
                    <w:tl2br w:val="nil"/>
                    <w:tr2bl w:val="nil"/>
                  </w:tcBorders>
                  <w:noWrap w:val="0"/>
                  <w:vAlign w:val="center"/>
                </w:tcPr>
                <w:p w14:paraId="6657010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织布</w:t>
                  </w:r>
                </w:p>
              </w:tc>
              <w:tc>
                <w:tcPr>
                  <w:tcW w:w="1794" w:type="pct"/>
                  <w:tcBorders>
                    <w:tl2br w:val="nil"/>
                    <w:tr2bl w:val="nil"/>
                  </w:tcBorders>
                  <w:noWrap w:val="0"/>
                  <w:vAlign w:val="center"/>
                </w:tcPr>
                <w:p w14:paraId="12FE33FC">
                  <w:pPr>
                    <w:pStyle w:val="78"/>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leftChars="0" w:right="0" w:rightChars="0"/>
                    <w:jc w:val="center"/>
                    <w:textAlignment w:val="auto"/>
                    <w:outlineLvl w:val="1"/>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平织机</w:t>
                  </w:r>
                </w:p>
              </w:tc>
              <w:tc>
                <w:tcPr>
                  <w:tcW w:w="1036" w:type="pct"/>
                  <w:tcBorders>
                    <w:tl2br w:val="nil"/>
                    <w:tr2bl w:val="nil"/>
                  </w:tcBorders>
                  <w:noWrap w:val="0"/>
                  <w:vAlign w:val="center"/>
                </w:tcPr>
                <w:p w14:paraId="5AE78532">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leftChars="0" w:right="0" w:rightChars="0"/>
                    <w:jc w:val="center"/>
                    <w:textAlignment w:val="auto"/>
                    <w:rPr>
                      <w:rFonts w:hint="default" w:ascii="Times New Roman" w:hAnsi="Times New Roman" w:cs="Times New Roman"/>
                      <w:color w:val="auto"/>
                      <w:kern w:val="2"/>
                      <w:sz w:val="21"/>
                      <w:szCs w:val="21"/>
                      <w:lang w:val="en-US" w:eastAsia="zh-CN" w:bidi="ar"/>
                    </w:rPr>
                  </w:pPr>
                  <w:r>
                    <w:rPr>
                      <w:rFonts w:hint="eastAsia" w:cs="Times New Roman"/>
                      <w:color w:val="auto"/>
                      <w:kern w:val="2"/>
                      <w:sz w:val="21"/>
                      <w:szCs w:val="21"/>
                      <w:lang w:val="en-US" w:eastAsia="zh-CN" w:bidi="ar"/>
                    </w:rPr>
                    <w:t>/</w:t>
                  </w:r>
                </w:p>
              </w:tc>
              <w:tc>
                <w:tcPr>
                  <w:tcW w:w="621" w:type="pct"/>
                  <w:tcBorders>
                    <w:tl2br w:val="nil"/>
                    <w:tr2bl w:val="nil"/>
                  </w:tcBorders>
                  <w:noWrap w:val="0"/>
                  <w:vAlign w:val="center"/>
                </w:tcPr>
                <w:p w14:paraId="799660DF">
                  <w:pPr>
                    <w:pStyle w:val="78"/>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leftChars="0" w:right="0" w:rightChars="0"/>
                    <w:jc w:val="center"/>
                    <w:textAlignment w:val="auto"/>
                    <w:outlineLvl w:val="1"/>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60台</w:t>
                  </w:r>
                </w:p>
              </w:tc>
            </w:tr>
            <w:tr w14:paraId="373A10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85" w:type="dxa"/>
                  <w:bottom w:w="0" w:type="dxa"/>
                  <w:right w:w="85" w:type="dxa"/>
                </w:tblCellMar>
              </w:tblPrEx>
              <w:trPr>
                <w:trHeight w:val="0" w:hRule="atLeast"/>
                <w:jc w:val="center"/>
              </w:trPr>
              <w:tc>
                <w:tcPr>
                  <w:tcW w:w="569" w:type="pct"/>
                  <w:tcBorders>
                    <w:tl2br w:val="nil"/>
                    <w:tr2bl w:val="nil"/>
                  </w:tcBorders>
                  <w:shd w:val="clear" w:color="auto" w:fill="auto"/>
                  <w:noWrap w:val="0"/>
                  <w:vAlign w:val="center"/>
                </w:tcPr>
                <w:p w14:paraId="4189EA2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default"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kern w:val="2"/>
                      <w:sz w:val="21"/>
                      <w:szCs w:val="21"/>
                      <w:highlight w:val="none"/>
                      <w:lang w:val="en-US" w:eastAsia="zh-CN" w:bidi="ar-SA"/>
                      <w14:textFill>
                        <w14:solidFill>
                          <w14:schemeClr w14:val="tx1"/>
                        </w14:solidFill>
                      </w14:textFill>
                    </w:rPr>
                    <w:t>8</w:t>
                  </w:r>
                </w:p>
              </w:tc>
              <w:tc>
                <w:tcPr>
                  <w:tcW w:w="978" w:type="pct"/>
                  <w:tcBorders>
                    <w:tl2br w:val="nil"/>
                    <w:tr2bl w:val="nil"/>
                  </w:tcBorders>
                  <w:noWrap w:val="0"/>
                  <w:vAlign w:val="center"/>
                </w:tcPr>
                <w:p w14:paraId="226CD5D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覆膜处理</w:t>
                  </w:r>
                </w:p>
              </w:tc>
              <w:tc>
                <w:tcPr>
                  <w:tcW w:w="1794" w:type="pct"/>
                  <w:tcBorders>
                    <w:tl2br w:val="nil"/>
                    <w:tr2bl w:val="nil"/>
                  </w:tcBorders>
                  <w:noWrap w:val="0"/>
                  <w:vAlign w:val="center"/>
                </w:tcPr>
                <w:p w14:paraId="30A3653B">
                  <w:pPr>
                    <w:pStyle w:val="78"/>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leftChars="0" w:right="0" w:rightChars="0"/>
                    <w:jc w:val="center"/>
                    <w:textAlignment w:val="auto"/>
                    <w:outlineLvl w:val="1"/>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热熔覆膜机</w:t>
                  </w:r>
                </w:p>
              </w:tc>
              <w:tc>
                <w:tcPr>
                  <w:tcW w:w="1036" w:type="pct"/>
                  <w:tcBorders>
                    <w:tl2br w:val="nil"/>
                    <w:tr2bl w:val="nil"/>
                  </w:tcBorders>
                  <w:noWrap w:val="0"/>
                  <w:vAlign w:val="center"/>
                </w:tcPr>
                <w:p w14:paraId="27DF30E3">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leftChars="0" w:right="0" w:rightChars="0"/>
                    <w:jc w:val="center"/>
                    <w:textAlignment w:val="auto"/>
                    <w:rPr>
                      <w:rFonts w:hint="default" w:ascii="Times New Roman" w:hAnsi="Times New Roman" w:cs="Times New Roman"/>
                      <w:color w:val="auto"/>
                      <w:kern w:val="2"/>
                      <w:sz w:val="21"/>
                      <w:szCs w:val="21"/>
                      <w:lang w:val="en-US" w:eastAsia="zh-CN" w:bidi="ar"/>
                    </w:rPr>
                  </w:pPr>
                  <w:r>
                    <w:rPr>
                      <w:rFonts w:hint="eastAsia" w:cs="Times New Roman"/>
                      <w:color w:val="auto"/>
                      <w:kern w:val="2"/>
                      <w:sz w:val="21"/>
                      <w:szCs w:val="21"/>
                      <w:lang w:val="en-US" w:eastAsia="zh-CN" w:bidi="ar"/>
                    </w:rPr>
                    <w:t>0.4t/h</w:t>
                  </w:r>
                </w:p>
              </w:tc>
              <w:tc>
                <w:tcPr>
                  <w:tcW w:w="621" w:type="pct"/>
                  <w:tcBorders>
                    <w:tl2br w:val="nil"/>
                    <w:tr2bl w:val="nil"/>
                  </w:tcBorders>
                  <w:noWrap w:val="0"/>
                  <w:vAlign w:val="center"/>
                </w:tcPr>
                <w:p w14:paraId="4B8DE6C8">
                  <w:pPr>
                    <w:pStyle w:val="78"/>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leftChars="0" w:right="0" w:rightChars="0"/>
                    <w:jc w:val="center"/>
                    <w:textAlignment w:val="auto"/>
                    <w:outlineLvl w:val="1"/>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2套</w:t>
                  </w:r>
                </w:p>
              </w:tc>
            </w:tr>
          </w:tbl>
          <w:p w14:paraId="37D0C0FE">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520" w:lineRule="exact"/>
              <w:ind w:left="0" w:right="0" w:firstLine="480" w:firstLineChars="200"/>
              <w:textAlignment w:val="auto"/>
              <w:rPr>
                <w:rFonts w:hint="default" w:eastAsia="宋体"/>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本</w:t>
            </w:r>
            <w:r>
              <w:rPr>
                <w:rFonts w:hint="default"/>
                <w:color w:val="000000" w:themeColor="text1"/>
                <w:sz w:val="24"/>
                <w:szCs w:val="24"/>
                <w:highlight w:val="none"/>
                <w14:textFill>
                  <w14:solidFill>
                    <w14:schemeClr w14:val="tx1"/>
                  </w14:solidFill>
                </w14:textFill>
              </w:rPr>
              <w:t>项目</w:t>
            </w:r>
            <w:r>
              <w:rPr>
                <w:rFonts w:hint="eastAsia"/>
                <w:color w:val="000000" w:themeColor="text1"/>
                <w:sz w:val="24"/>
                <w:szCs w:val="24"/>
                <w:highlight w:val="none"/>
                <w:lang w:val="en-US" w:eastAsia="zh-CN"/>
                <w14:textFill>
                  <w14:solidFill>
                    <w14:schemeClr w14:val="tx1"/>
                  </w14:solidFill>
                </w14:textFill>
              </w:rPr>
              <w:t>主要设备均未列入</w:t>
            </w:r>
            <w:r>
              <w:rPr>
                <w:rFonts w:hint="eastAsia"/>
                <w:color w:val="000000" w:themeColor="text1"/>
                <w:sz w:val="24"/>
                <w:szCs w:val="24"/>
                <w:highlight w:val="none"/>
                <w14:textFill>
                  <w14:solidFill>
                    <w14:schemeClr w14:val="tx1"/>
                  </w14:solidFill>
                </w14:textFill>
              </w:rPr>
              <w:t>《高耗能落后机电设备（产品）淘汰目录（全四批）》规定需淘汰的落后生产设备之列</w:t>
            </w:r>
            <w:r>
              <w:rPr>
                <w:rFonts w:hint="eastAsia"/>
                <w:color w:val="000000" w:themeColor="text1"/>
                <w:sz w:val="24"/>
                <w:szCs w:val="24"/>
                <w:highlight w:val="none"/>
                <w:lang w:eastAsia="zh-CN"/>
                <w14:textFill>
                  <w14:solidFill>
                    <w14:schemeClr w14:val="tx1"/>
                  </w14:solidFill>
                </w14:textFill>
              </w:rPr>
              <w:t>；</w:t>
            </w:r>
            <w:r>
              <w:rPr>
                <w:rFonts w:hint="eastAsia"/>
                <w:color w:val="000000" w:themeColor="text1"/>
                <w:sz w:val="24"/>
                <w:szCs w:val="24"/>
                <w:highlight w:val="none"/>
                <w:lang w:val="en-US" w:eastAsia="zh-CN"/>
                <w14:textFill>
                  <w14:solidFill>
                    <w14:schemeClr w14:val="tx1"/>
                  </w14:solidFill>
                </w14:textFill>
              </w:rPr>
              <w:t>经查阅</w:t>
            </w:r>
            <w:r>
              <w:rPr>
                <w:rFonts w:hint="eastAsia" w:ascii="Times New Roman" w:hAnsi="Times New Roman" w:eastAsia="宋体" w:cs="Times New Roman"/>
                <w:kern w:val="2"/>
                <w:sz w:val="24"/>
                <w:szCs w:val="24"/>
                <w:lang w:val="en-US" w:eastAsia="zh-CN" w:bidi="ar"/>
              </w:rPr>
              <w:t>《产业结构调整指导目录（</w:t>
            </w:r>
            <w:r>
              <w:rPr>
                <w:rFonts w:hint="default" w:ascii="Times New Roman" w:hAnsi="Times New Roman" w:eastAsia="宋体" w:cs="Times New Roman"/>
                <w:kern w:val="2"/>
                <w:sz w:val="24"/>
                <w:szCs w:val="24"/>
                <w:lang w:val="en-US" w:eastAsia="zh-CN" w:bidi="ar"/>
              </w:rPr>
              <w:t>20</w:t>
            </w:r>
            <w:r>
              <w:rPr>
                <w:rFonts w:hint="eastAsia" w:ascii="Times New Roman" w:hAnsi="Times New Roman" w:eastAsia="宋体" w:cs="Times New Roman"/>
                <w:kern w:val="2"/>
                <w:sz w:val="24"/>
                <w:szCs w:val="24"/>
                <w:lang w:val="en-US" w:eastAsia="zh-CN" w:bidi="ar"/>
              </w:rPr>
              <w:t>2</w:t>
            </w:r>
            <w:r>
              <w:rPr>
                <w:rFonts w:hint="eastAsia" w:cs="Times New Roman"/>
                <w:kern w:val="2"/>
                <w:sz w:val="24"/>
                <w:szCs w:val="24"/>
                <w:lang w:val="en-US" w:eastAsia="zh-CN" w:bidi="ar"/>
              </w:rPr>
              <w:t>4</w:t>
            </w:r>
            <w:r>
              <w:rPr>
                <w:rFonts w:hint="eastAsia" w:ascii="Times New Roman" w:hAnsi="Times New Roman" w:eastAsia="宋体" w:cs="Times New Roman"/>
                <w:kern w:val="2"/>
                <w:sz w:val="24"/>
                <w:szCs w:val="24"/>
                <w:lang w:val="en-US" w:eastAsia="zh-CN" w:bidi="ar"/>
              </w:rPr>
              <w:t>年本）》，项目所用设备均符合要求。</w:t>
            </w:r>
          </w:p>
          <w:p w14:paraId="57775D50">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520" w:lineRule="exact"/>
              <w:ind w:left="0" w:right="0"/>
              <w:textAlignment w:val="auto"/>
              <w:rPr>
                <w:rFonts w:hint="default"/>
                <w:b/>
                <w:bCs/>
                <w:color w:val="000000" w:themeColor="text1"/>
                <w:sz w:val="24"/>
                <w:szCs w:val="24"/>
                <w:highlight w:val="none"/>
                <w:lang w:val="en-US" w:eastAsia="zh-CN"/>
                <w14:textFill>
                  <w14:solidFill>
                    <w14:schemeClr w14:val="tx1"/>
                  </w14:solidFill>
                </w14:textFill>
              </w:rPr>
            </w:pPr>
            <w:r>
              <w:rPr>
                <w:rFonts w:hint="eastAsia"/>
                <w:b/>
                <w:bCs/>
                <w:color w:val="000000" w:themeColor="text1"/>
                <w:sz w:val="24"/>
                <w:szCs w:val="24"/>
                <w:highlight w:val="none"/>
                <w:lang w:val="en-US" w:eastAsia="zh-CN"/>
                <w14:textFill>
                  <w14:solidFill>
                    <w14:schemeClr w14:val="tx1"/>
                  </w14:solidFill>
                </w14:textFill>
              </w:rPr>
              <w:t>五、主要原辅材料及资能源使用情况</w:t>
            </w:r>
          </w:p>
          <w:p w14:paraId="11A16C11">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520" w:lineRule="exact"/>
              <w:ind w:left="0" w:right="0" w:firstLine="480" w:firstLineChars="200"/>
              <w:textAlignment w:val="baseline"/>
              <w:rPr>
                <w:rFonts w:hint="default"/>
                <w:color w:val="000000" w:themeColor="text1"/>
                <w:sz w:val="24"/>
                <w:szCs w:val="24"/>
                <w:highlight w:val="none"/>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本项目原辅料及资能源使用情况</w:t>
            </w:r>
            <w:r>
              <w:rPr>
                <w:rFonts w:hint="default"/>
                <w:color w:val="000000" w:themeColor="text1"/>
                <w:sz w:val="24"/>
                <w:szCs w:val="24"/>
                <w:highlight w:val="none"/>
                <w14:textFill>
                  <w14:solidFill>
                    <w14:schemeClr w14:val="tx1"/>
                  </w14:solidFill>
                </w14:textFill>
              </w:rPr>
              <w:t>见</w:t>
            </w:r>
            <w:r>
              <w:rPr>
                <w:rFonts w:hint="default"/>
                <w:color w:val="000000" w:themeColor="text1"/>
                <w:sz w:val="24"/>
                <w:szCs w:val="24"/>
                <w:highlight w:val="none"/>
                <w:lang w:val="en-US" w:eastAsia="zh-CN"/>
                <w14:textFill>
                  <w14:solidFill>
                    <w14:schemeClr w14:val="tx1"/>
                  </w14:solidFill>
                </w14:textFill>
              </w:rPr>
              <w:t>下表</w:t>
            </w:r>
            <w:r>
              <w:rPr>
                <w:rFonts w:hint="default"/>
                <w:color w:val="000000" w:themeColor="text1"/>
                <w:sz w:val="24"/>
                <w:szCs w:val="24"/>
                <w:highlight w:val="none"/>
                <w14:textFill>
                  <w14:solidFill>
                    <w14:schemeClr w14:val="tx1"/>
                  </w14:solidFill>
                </w14:textFill>
              </w:rPr>
              <w:t>。</w:t>
            </w:r>
          </w:p>
          <w:p w14:paraId="408D5438">
            <w:pPr>
              <w:keepNext w:val="0"/>
              <w:keepLines w:val="0"/>
              <w:pageBreakBefore w:val="0"/>
              <w:widowControl/>
              <w:numPr>
                <w:ilvl w:val="0"/>
                <w:numId w:val="0"/>
              </w:numPr>
              <w:suppressLineNumbers w:val="0"/>
              <w:kinsoku/>
              <w:wordWrap/>
              <w:overflowPunct/>
              <w:topLinePunct w:val="0"/>
              <w:autoSpaceDE/>
              <w:autoSpaceDN/>
              <w:bidi w:val="0"/>
              <w:adjustRightInd w:val="0"/>
              <w:snapToGrid/>
              <w:spacing w:before="0" w:beforeAutospacing="0" w:after="0" w:afterAutospacing="0" w:line="520" w:lineRule="exact"/>
              <w:ind w:left="0" w:right="0"/>
              <w:jc w:val="center"/>
              <w:textAlignment w:val="auto"/>
              <w:rPr>
                <w:rFonts w:hint="default" w:eastAsia="黑体" w:cs="Times New Roman"/>
                <w:b w:val="0"/>
                <w:bCs w:val="0"/>
                <w:color w:val="000000" w:themeColor="text1"/>
                <w:sz w:val="24"/>
                <w:szCs w:val="24"/>
                <w:highlight w:val="none"/>
                <w:lang w:val="en-US" w:eastAsia="zh-CN"/>
                <w14:textFill>
                  <w14:solidFill>
                    <w14:schemeClr w14:val="tx1"/>
                  </w14:solidFill>
                </w14:textFill>
              </w:rPr>
            </w:pPr>
            <w:r>
              <w:rPr>
                <w:rFonts w:hint="default" w:eastAsia="黑体" w:cs="Times New Roman"/>
                <w:b w:val="0"/>
                <w:bCs w:val="0"/>
                <w:color w:val="000000" w:themeColor="text1"/>
                <w:sz w:val="24"/>
                <w:szCs w:val="24"/>
                <w:highlight w:val="none"/>
                <w:lang w:val="en-US" w:eastAsia="zh-CN"/>
                <w14:textFill>
                  <w14:solidFill>
                    <w14:schemeClr w14:val="tx1"/>
                  </w14:solidFill>
                </w14:textFill>
              </w:rPr>
              <w:t>表</w:t>
            </w:r>
            <w:r>
              <w:rPr>
                <w:rFonts w:hint="eastAsia" w:eastAsia="黑体" w:cs="Times New Roman"/>
                <w:b w:val="0"/>
                <w:bCs w:val="0"/>
                <w:color w:val="000000" w:themeColor="text1"/>
                <w:sz w:val="24"/>
                <w:szCs w:val="24"/>
                <w:highlight w:val="none"/>
                <w:lang w:val="en-US" w:eastAsia="zh-CN"/>
                <w14:textFill>
                  <w14:solidFill>
                    <w14:schemeClr w14:val="tx1"/>
                  </w14:solidFill>
                </w14:textFill>
              </w:rPr>
              <w:t xml:space="preserve">2-4  </w:t>
            </w:r>
            <w:r>
              <w:rPr>
                <w:rFonts w:hint="default" w:eastAsia="黑体" w:cs="Times New Roman"/>
                <w:b w:val="0"/>
                <w:bCs w:val="0"/>
                <w:color w:val="000000" w:themeColor="text1"/>
                <w:sz w:val="24"/>
                <w:szCs w:val="24"/>
                <w:highlight w:val="none"/>
                <w:lang w:val="en-US" w:eastAsia="zh-CN"/>
                <w14:textFill>
                  <w14:solidFill>
                    <w14:schemeClr w14:val="tx1"/>
                  </w14:solidFill>
                </w14:textFill>
              </w:rPr>
              <w:t>本项目主要</w:t>
            </w:r>
            <w:r>
              <w:rPr>
                <w:rFonts w:hint="eastAsia" w:eastAsia="黑体" w:cs="Times New Roman"/>
                <w:b w:val="0"/>
                <w:bCs w:val="0"/>
                <w:color w:val="000000" w:themeColor="text1"/>
                <w:sz w:val="24"/>
                <w:szCs w:val="24"/>
                <w:highlight w:val="none"/>
                <w:lang w:val="en-US" w:eastAsia="zh-CN"/>
                <w14:textFill>
                  <w14:solidFill>
                    <w14:schemeClr w14:val="tx1"/>
                  </w14:solidFill>
                </w14:textFill>
              </w:rPr>
              <w:t>原材料及资能源</w:t>
            </w:r>
            <w:r>
              <w:rPr>
                <w:rFonts w:hint="default" w:eastAsia="黑体" w:cs="Times New Roman"/>
                <w:b w:val="0"/>
                <w:bCs w:val="0"/>
                <w:color w:val="000000" w:themeColor="text1"/>
                <w:sz w:val="24"/>
                <w:szCs w:val="24"/>
                <w:highlight w:val="none"/>
                <w:lang w:val="en-US" w:eastAsia="zh-CN"/>
                <w14:textFill>
                  <w14:solidFill>
                    <w14:schemeClr w14:val="tx1"/>
                  </w14:solidFill>
                </w14:textFill>
              </w:rPr>
              <w:t>消耗量</w:t>
            </w:r>
          </w:p>
          <w:tbl>
            <w:tblPr>
              <w:tblStyle w:val="25"/>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258"/>
              <w:gridCol w:w="2366"/>
              <w:gridCol w:w="1570"/>
              <w:gridCol w:w="2921"/>
            </w:tblGrid>
            <w:tr w14:paraId="1F7398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20" w:hRule="atLeast"/>
                <w:jc w:val="center"/>
              </w:trPr>
              <w:tc>
                <w:tcPr>
                  <w:tcW w:w="775" w:type="pct"/>
                  <w:tcBorders>
                    <w:tl2br w:val="nil"/>
                    <w:tr2bl w:val="nil"/>
                  </w:tcBorders>
                  <w:shd w:val="clear" w:color="auto" w:fill="auto"/>
                  <w:vAlign w:val="center"/>
                </w:tcPr>
                <w:p w14:paraId="2FE87F6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lang w:val="en-US"/>
                    </w:rPr>
                  </w:pPr>
                  <w:r>
                    <w:rPr>
                      <w:rFonts w:hint="eastAsia" w:ascii="Times New Roman" w:hAnsi="Times New Roman" w:eastAsia="宋体" w:cs="宋体"/>
                      <w:b w:val="0"/>
                      <w:bCs/>
                      <w:kern w:val="2"/>
                      <w:sz w:val="21"/>
                      <w:szCs w:val="24"/>
                      <w:lang w:val="en-US" w:eastAsia="zh-CN" w:bidi="ar"/>
                    </w:rPr>
                    <w:t>序号</w:t>
                  </w:r>
                </w:p>
              </w:tc>
              <w:tc>
                <w:tcPr>
                  <w:tcW w:w="1457" w:type="pct"/>
                  <w:tcBorders>
                    <w:tl2br w:val="nil"/>
                    <w:tr2bl w:val="nil"/>
                  </w:tcBorders>
                  <w:shd w:val="clear" w:color="auto" w:fill="auto"/>
                  <w:vAlign w:val="center"/>
                </w:tcPr>
                <w:p w14:paraId="172EDF5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lang w:val="en-US"/>
                    </w:rPr>
                  </w:pPr>
                  <w:r>
                    <w:rPr>
                      <w:rFonts w:hint="eastAsia" w:ascii="Times New Roman" w:hAnsi="Times New Roman" w:eastAsia="宋体" w:cs="宋体"/>
                      <w:b w:val="0"/>
                      <w:bCs/>
                      <w:kern w:val="2"/>
                      <w:sz w:val="21"/>
                      <w:szCs w:val="24"/>
                      <w:lang w:val="en-US" w:eastAsia="zh-CN" w:bidi="ar"/>
                    </w:rPr>
                    <w:t>原料名称</w:t>
                  </w:r>
                </w:p>
              </w:tc>
              <w:tc>
                <w:tcPr>
                  <w:tcW w:w="967" w:type="pct"/>
                  <w:tcBorders>
                    <w:tl2br w:val="nil"/>
                    <w:tr2bl w:val="nil"/>
                  </w:tcBorders>
                  <w:shd w:val="clear" w:color="auto" w:fill="auto"/>
                  <w:vAlign w:val="center"/>
                </w:tcPr>
                <w:p w14:paraId="788AF82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eastAsia" w:ascii="Times New Roman" w:hAnsi="Times New Roman" w:eastAsia="宋体" w:cs="宋体"/>
                      <w:b w:val="0"/>
                      <w:bCs/>
                      <w:kern w:val="2"/>
                      <w:sz w:val="21"/>
                      <w:szCs w:val="24"/>
                      <w:lang w:val="en-US" w:eastAsia="zh-CN" w:bidi="ar"/>
                    </w:rPr>
                  </w:pPr>
                  <w:r>
                    <w:rPr>
                      <w:rFonts w:hint="eastAsia" w:ascii="Times New Roman" w:hAnsi="Times New Roman" w:eastAsia="宋体" w:cs="宋体"/>
                      <w:b w:val="0"/>
                      <w:bCs/>
                      <w:kern w:val="2"/>
                      <w:sz w:val="21"/>
                      <w:szCs w:val="24"/>
                      <w:lang w:val="en-US" w:eastAsia="zh-CN" w:bidi="ar"/>
                    </w:rPr>
                    <w:t>用量</w:t>
                  </w:r>
                </w:p>
              </w:tc>
              <w:tc>
                <w:tcPr>
                  <w:tcW w:w="1799" w:type="pct"/>
                  <w:tcBorders>
                    <w:tl2br w:val="nil"/>
                    <w:tr2bl w:val="nil"/>
                  </w:tcBorders>
                  <w:shd w:val="clear" w:color="auto" w:fill="auto"/>
                  <w:vAlign w:val="center"/>
                </w:tcPr>
                <w:p w14:paraId="2DC3BA2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宋体" w:cs="宋体"/>
                      <w:b w:val="0"/>
                      <w:bCs/>
                      <w:kern w:val="2"/>
                      <w:sz w:val="21"/>
                      <w:szCs w:val="24"/>
                      <w:lang w:val="en-US" w:eastAsia="zh-CN" w:bidi="ar"/>
                    </w:rPr>
                  </w:pPr>
                  <w:r>
                    <w:rPr>
                      <w:rFonts w:hint="eastAsia" w:cs="宋体"/>
                      <w:b w:val="0"/>
                      <w:bCs/>
                      <w:kern w:val="2"/>
                      <w:sz w:val="21"/>
                      <w:szCs w:val="24"/>
                      <w:lang w:val="en-US" w:eastAsia="zh-CN" w:bidi="ar"/>
                    </w:rPr>
                    <w:t>备注</w:t>
                  </w:r>
                </w:p>
              </w:tc>
            </w:tr>
            <w:tr w14:paraId="007ACB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20" w:hRule="atLeast"/>
                <w:jc w:val="center"/>
              </w:trPr>
              <w:tc>
                <w:tcPr>
                  <w:tcW w:w="775" w:type="pct"/>
                  <w:tcBorders>
                    <w:tl2br w:val="nil"/>
                    <w:tr2bl w:val="nil"/>
                  </w:tcBorders>
                  <w:shd w:val="clear" w:color="auto" w:fill="auto"/>
                  <w:vAlign w:val="center"/>
                </w:tcPr>
                <w:p w14:paraId="29D6351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lang w:val="en-US"/>
                    </w:rPr>
                  </w:pPr>
                  <w:r>
                    <w:rPr>
                      <w:rFonts w:hint="default" w:ascii="Times New Roman" w:hAnsi="Times New Roman" w:eastAsia="宋体" w:cs="Times New Roman"/>
                      <w:kern w:val="2"/>
                      <w:sz w:val="21"/>
                      <w:szCs w:val="24"/>
                      <w:lang w:val="en-US" w:eastAsia="zh-CN" w:bidi="ar"/>
                    </w:rPr>
                    <w:t>1</w:t>
                  </w:r>
                </w:p>
              </w:tc>
              <w:tc>
                <w:tcPr>
                  <w:tcW w:w="1457" w:type="pct"/>
                  <w:tcBorders>
                    <w:tl2br w:val="nil"/>
                    <w:tr2bl w:val="nil"/>
                  </w:tcBorders>
                  <w:shd w:val="clear" w:color="auto" w:fill="auto"/>
                  <w:vAlign w:val="center"/>
                </w:tcPr>
                <w:p w14:paraId="714EBDD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lang w:val="en-US"/>
                    </w:rPr>
                  </w:pPr>
                  <w:r>
                    <w:rPr>
                      <w:rFonts w:hint="eastAsia" w:cs="宋体"/>
                      <w:kern w:val="2"/>
                      <w:sz w:val="21"/>
                      <w:szCs w:val="24"/>
                      <w:lang w:val="en-US" w:eastAsia="zh-CN" w:bidi="ar"/>
                    </w:rPr>
                    <w:t>聚乙烯颗粒</w:t>
                  </w:r>
                  <w:r>
                    <w:rPr>
                      <w:rFonts w:hint="default" w:ascii="Times New Roman" w:hAnsi="Times New Roman" w:eastAsia="宋体" w:cs="Times New Roman"/>
                      <w:b w:val="0"/>
                      <w:bCs/>
                      <w:kern w:val="2"/>
                      <w:sz w:val="21"/>
                      <w:szCs w:val="24"/>
                      <w:lang w:val="en-US" w:eastAsia="zh-CN" w:bidi="ar"/>
                    </w:rPr>
                    <w:t>t/a</w:t>
                  </w:r>
                </w:p>
              </w:tc>
              <w:tc>
                <w:tcPr>
                  <w:tcW w:w="967" w:type="pct"/>
                  <w:tcBorders>
                    <w:tl2br w:val="nil"/>
                    <w:tr2bl w:val="nil"/>
                  </w:tcBorders>
                  <w:shd w:val="clear" w:color="auto" w:fill="auto"/>
                  <w:vAlign w:val="center"/>
                </w:tcPr>
                <w:p w14:paraId="422390C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eastAsia="宋体"/>
                      <w:lang w:val="en-US" w:eastAsia="zh-CN"/>
                    </w:rPr>
                  </w:pPr>
                  <w:r>
                    <w:rPr>
                      <w:rFonts w:hint="eastAsia"/>
                      <w:lang w:val="en-US" w:eastAsia="zh-CN"/>
                    </w:rPr>
                    <w:t>10000</w:t>
                  </w:r>
                </w:p>
              </w:tc>
              <w:tc>
                <w:tcPr>
                  <w:tcW w:w="1799" w:type="pct"/>
                  <w:tcBorders>
                    <w:tl2br w:val="nil"/>
                    <w:tr2bl w:val="nil"/>
                  </w:tcBorders>
                  <w:shd w:val="clear" w:color="auto" w:fill="auto"/>
                  <w:vAlign w:val="center"/>
                </w:tcPr>
                <w:p w14:paraId="389FF3F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default" w:ascii="Times New Roman" w:hAnsi="Times New Roman" w:eastAsia="宋体" w:cs="Times New Roman"/>
                      <w:kern w:val="2"/>
                      <w:sz w:val="21"/>
                      <w:szCs w:val="24"/>
                      <w:lang w:val="en-US" w:eastAsia="zh-CN" w:bidi="ar"/>
                    </w:rPr>
                  </w:pPr>
                  <w:r>
                    <w:rPr>
                      <w:rFonts w:hint="eastAsia" w:cs="Times New Roman"/>
                      <w:kern w:val="2"/>
                      <w:sz w:val="21"/>
                      <w:szCs w:val="24"/>
                      <w:lang w:val="en-US" w:eastAsia="zh-CN" w:bidi="ar"/>
                    </w:rPr>
                    <w:t>袋装，颗粒状</w:t>
                  </w:r>
                </w:p>
              </w:tc>
            </w:tr>
            <w:tr w14:paraId="62697DE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775" w:type="pct"/>
                  <w:tcBorders>
                    <w:tl2br w:val="nil"/>
                    <w:tr2bl w:val="nil"/>
                  </w:tcBorders>
                  <w:shd w:val="clear" w:color="auto" w:fill="auto"/>
                  <w:vAlign w:val="center"/>
                </w:tcPr>
                <w:p w14:paraId="70C315E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default" w:ascii="Times New Roman" w:hAnsi="Times New Roman" w:eastAsia="宋体" w:cs="Times New Roman"/>
                      <w:kern w:val="2"/>
                      <w:sz w:val="21"/>
                      <w:szCs w:val="24"/>
                      <w:lang w:val="en-US" w:eastAsia="zh-CN" w:bidi="ar-SA"/>
                    </w:rPr>
                  </w:pPr>
                  <w:r>
                    <w:rPr>
                      <w:rFonts w:hint="eastAsia" w:cs="Times New Roman"/>
                      <w:kern w:val="2"/>
                      <w:sz w:val="21"/>
                      <w:szCs w:val="24"/>
                      <w:lang w:val="en-US" w:eastAsia="zh-CN" w:bidi="ar-SA"/>
                    </w:rPr>
                    <w:t>2</w:t>
                  </w:r>
                </w:p>
              </w:tc>
              <w:tc>
                <w:tcPr>
                  <w:tcW w:w="1457" w:type="pct"/>
                  <w:tcBorders>
                    <w:tl2br w:val="nil"/>
                    <w:tr2bl w:val="nil"/>
                  </w:tcBorders>
                  <w:shd w:val="clear" w:color="auto" w:fill="auto"/>
                  <w:vAlign w:val="center"/>
                </w:tcPr>
                <w:p w14:paraId="6E2573B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lang w:val="en-US"/>
                    </w:rPr>
                  </w:pPr>
                  <w:r>
                    <w:rPr>
                      <w:rFonts w:hint="eastAsia" w:ascii="Times New Roman" w:hAnsi="Times New Roman" w:eastAsia="宋体" w:cs="宋体"/>
                      <w:kern w:val="2"/>
                      <w:sz w:val="21"/>
                      <w:szCs w:val="24"/>
                      <w:lang w:val="en-US" w:eastAsia="zh-CN" w:bidi="ar"/>
                    </w:rPr>
                    <w:t>水</w:t>
                  </w:r>
                  <w:r>
                    <w:rPr>
                      <w:rFonts w:hint="default" w:ascii="Times New Roman" w:hAnsi="Times New Roman" w:eastAsia="宋体" w:cs="Times New Roman"/>
                      <w:kern w:val="2"/>
                      <w:sz w:val="21"/>
                      <w:szCs w:val="24"/>
                      <w:lang w:val="en-US" w:eastAsia="zh-CN" w:bidi="ar"/>
                    </w:rPr>
                    <w:t>m</w:t>
                  </w:r>
                  <w:r>
                    <w:rPr>
                      <w:rFonts w:hint="default" w:ascii="Times New Roman" w:hAnsi="Times New Roman" w:eastAsia="宋体" w:cs="Times New Roman"/>
                      <w:kern w:val="2"/>
                      <w:sz w:val="21"/>
                      <w:szCs w:val="24"/>
                      <w:vertAlign w:val="superscript"/>
                      <w:lang w:val="en-US" w:eastAsia="zh-CN" w:bidi="ar"/>
                    </w:rPr>
                    <w:t>3</w:t>
                  </w:r>
                  <w:r>
                    <w:rPr>
                      <w:rFonts w:hint="default" w:ascii="Times New Roman" w:hAnsi="Times New Roman" w:eastAsia="宋体" w:cs="Times New Roman"/>
                      <w:kern w:val="2"/>
                      <w:sz w:val="21"/>
                      <w:szCs w:val="24"/>
                      <w:lang w:val="en-US" w:eastAsia="zh-CN" w:bidi="ar"/>
                    </w:rPr>
                    <w:t>/a</w:t>
                  </w:r>
                </w:p>
              </w:tc>
              <w:tc>
                <w:tcPr>
                  <w:tcW w:w="967" w:type="pct"/>
                  <w:tcBorders>
                    <w:tl2br w:val="nil"/>
                    <w:tr2bl w:val="nil"/>
                  </w:tcBorders>
                  <w:shd w:val="clear" w:color="auto" w:fill="auto"/>
                  <w:vAlign w:val="center"/>
                </w:tcPr>
                <w:p w14:paraId="1C21DA4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eastAsia="宋体"/>
                      <w:highlight w:val="red"/>
                      <w:lang w:val="en-US" w:eastAsia="zh-CN"/>
                    </w:rPr>
                  </w:pPr>
                  <w:r>
                    <w:rPr>
                      <w:rFonts w:hint="eastAsia"/>
                      <w:highlight w:val="none"/>
                      <w:lang w:val="en-US" w:eastAsia="zh-CN"/>
                    </w:rPr>
                    <w:t>540</w:t>
                  </w:r>
                </w:p>
              </w:tc>
              <w:tc>
                <w:tcPr>
                  <w:tcW w:w="1799" w:type="pct"/>
                  <w:tcBorders>
                    <w:tl2br w:val="nil"/>
                    <w:tr2bl w:val="nil"/>
                  </w:tcBorders>
                  <w:shd w:val="clear" w:color="auto" w:fill="auto"/>
                  <w:vAlign w:val="center"/>
                </w:tcPr>
                <w:p w14:paraId="1D49B61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宋体" w:cs="Times New Roman"/>
                      <w:kern w:val="2"/>
                      <w:sz w:val="21"/>
                      <w:szCs w:val="24"/>
                      <w:lang w:val="en-US" w:eastAsia="zh-CN" w:bidi="ar"/>
                    </w:rPr>
                  </w:pPr>
                  <w:r>
                    <w:rPr>
                      <w:rFonts w:hint="eastAsia" w:cs="Times New Roman"/>
                      <w:kern w:val="2"/>
                      <w:sz w:val="21"/>
                      <w:szCs w:val="24"/>
                      <w:lang w:val="en-US" w:eastAsia="zh-CN" w:bidi="ar"/>
                    </w:rPr>
                    <w:t>园区管网提供</w:t>
                  </w:r>
                </w:p>
              </w:tc>
            </w:tr>
            <w:tr w14:paraId="7FC7A52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775" w:type="pct"/>
                  <w:tcBorders>
                    <w:tl2br w:val="nil"/>
                    <w:tr2bl w:val="nil"/>
                  </w:tcBorders>
                  <w:shd w:val="clear" w:color="auto" w:fill="auto"/>
                  <w:vAlign w:val="center"/>
                </w:tcPr>
                <w:p w14:paraId="7E4829A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eastAsia="宋体"/>
                      <w:lang w:val="en-US" w:eastAsia="zh-CN"/>
                    </w:rPr>
                  </w:pPr>
                  <w:r>
                    <w:rPr>
                      <w:rFonts w:hint="eastAsia"/>
                      <w:lang w:val="en-US" w:eastAsia="zh-CN"/>
                    </w:rPr>
                    <w:t>3</w:t>
                  </w:r>
                </w:p>
              </w:tc>
              <w:tc>
                <w:tcPr>
                  <w:tcW w:w="1457" w:type="pct"/>
                  <w:tcBorders>
                    <w:tl2br w:val="nil"/>
                    <w:tr2bl w:val="nil"/>
                  </w:tcBorders>
                  <w:shd w:val="clear" w:color="auto" w:fill="auto"/>
                  <w:vAlign w:val="center"/>
                </w:tcPr>
                <w:p w14:paraId="693F0B1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lang w:val="en-US"/>
                    </w:rPr>
                  </w:pPr>
                  <w:r>
                    <w:rPr>
                      <w:rFonts w:hint="eastAsia" w:ascii="Times New Roman" w:hAnsi="Times New Roman" w:eastAsia="宋体" w:cs="宋体"/>
                      <w:kern w:val="2"/>
                      <w:sz w:val="21"/>
                      <w:szCs w:val="24"/>
                      <w:lang w:val="en-US" w:eastAsia="zh-CN" w:bidi="ar"/>
                    </w:rPr>
                    <w:t>电</w:t>
                  </w:r>
                  <w:r>
                    <w:rPr>
                      <w:rFonts w:hint="default" w:ascii="Times New Roman" w:hAnsi="Times New Roman" w:eastAsia="宋体" w:cs="Times New Roman"/>
                      <w:kern w:val="2"/>
                      <w:sz w:val="21"/>
                      <w:szCs w:val="24"/>
                      <w:lang w:val="en-US" w:eastAsia="zh-CN" w:bidi="ar"/>
                    </w:rPr>
                    <w:t>kWh/a</w:t>
                  </w:r>
                </w:p>
              </w:tc>
              <w:tc>
                <w:tcPr>
                  <w:tcW w:w="967" w:type="pct"/>
                  <w:tcBorders>
                    <w:tl2br w:val="nil"/>
                    <w:tr2bl w:val="nil"/>
                  </w:tcBorders>
                  <w:shd w:val="clear" w:color="auto" w:fill="auto"/>
                  <w:vAlign w:val="center"/>
                </w:tcPr>
                <w:p w14:paraId="1C8BE5C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lang w:val="en-US"/>
                    </w:rPr>
                  </w:pPr>
                  <w:r>
                    <w:rPr>
                      <w:rFonts w:hint="eastAsia" w:cs="宋体"/>
                      <w:kern w:val="2"/>
                      <w:sz w:val="21"/>
                      <w:szCs w:val="24"/>
                      <w:lang w:val="en-US" w:eastAsia="zh-CN" w:bidi="ar"/>
                    </w:rPr>
                    <w:t>300</w:t>
                  </w:r>
                  <w:r>
                    <w:rPr>
                      <w:rFonts w:hint="eastAsia" w:ascii="Times New Roman" w:hAnsi="Times New Roman" w:eastAsia="宋体" w:cs="宋体"/>
                      <w:kern w:val="2"/>
                      <w:sz w:val="21"/>
                      <w:szCs w:val="24"/>
                      <w:lang w:val="en-US" w:eastAsia="zh-CN" w:bidi="ar"/>
                    </w:rPr>
                    <w:t>万</w:t>
                  </w:r>
                </w:p>
              </w:tc>
              <w:tc>
                <w:tcPr>
                  <w:tcW w:w="1799" w:type="pct"/>
                  <w:tcBorders>
                    <w:tl2br w:val="nil"/>
                    <w:tr2bl w:val="nil"/>
                  </w:tcBorders>
                  <w:shd w:val="clear" w:color="auto" w:fill="auto"/>
                  <w:vAlign w:val="center"/>
                </w:tcPr>
                <w:p w14:paraId="12F83C4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宋体" w:cs="Times New Roman"/>
                      <w:kern w:val="2"/>
                      <w:sz w:val="21"/>
                      <w:szCs w:val="24"/>
                      <w:lang w:val="en-US" w:eastAsia="zh-CN" w:bidi="ar"/>
                    </w:rPr>
                  </w:pPr>
                  <w:r>
                    <w:rPr>
                      <w:rFonts w:hint="eastAsia" w:cs="Times New Roman"/>
                      <w:kern w:val="2"/>
                      <w:sz w:val="21"/>
                      <w:szCs w:val="24"/>
                      <w:lang w:val="en-US" w:eastAsia="zh-CN" w:bidi="ar"/>
                    </w:rPr>
                    <w:t>当地电网</w:t>
                  </w:r>
                </w:p>
              </w:tc>
            </w:tr>
          </w:tbl>
          <w:p w14:paraId="0B8E243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textAlignment w:val="baseline"/>
              <w:rPr>
                <w:rFonts w:hint="eastAsia" w:cs="Times New Roman"/>
                <w:kern w:val="2"/>
                <w:sz w:val="24"/>
                <w:szCs w:val="24"/>
                <w:lang w:val="en-US" w:eastAsia="zh-CN" w:bidi="ar"/>
              </w:rPr>
            </w:pPr>
            <w:r>
              <w:rPr>
                <w:rFonts w:hint="eastAsia" w:cs="Times New Roman"/>
                <w:kern w:val="2"/>
                <w:sz w:val="24"/>
                <w:szCs w:val="24"/>
                <w:lang w:val="en-US" w:eastAsia="zh-CN" w:bidi="ar"/>
              </w:rPr>
              <w:t>聚乙烯：简称PE，是乙烯经聚合制得的一种热塑性树脂。聚乙烯无臭，无毒，手感似蜡，具有优良的耐低温性能，化学稳定性好，能耐大多数酸碱的侵蚀，分解温度为300</w:t>
            </w:r>
            <w:r>
              <w:rPr>
                <w:rFonts w:hint="default" w:ascii="Times New Roman" w:hAnsi="Times New Roman" w:cs="Times New Roman"/>
                <w:kern w:val="2"/>
                <w:sz w:val="24"/>
                <w:szCs w:val="24"/>
                <w:lang w:val="en-US" w:eastAsia="zh-CN" w:bidi="ar"/>
              </w:rPr>
              <w:t>°C</w:t>
            </w:r>
            <w:r>
              <w:rPr>
                <w:rFonts w:hint="eastAsia" w:cs="Times New Roman"/>
                <w:kern w:val="2"/>
                <w:sz w:val="24"/>
                <w:szCs w:val="24"/>
                <w:lang w:val="en-US" w:eastAsia="zh-CN" w:bidi="ar"/>
              </w:rPr>
              <w:t>以上。常温下不溶于一般溶剂，吸水性小，电绝缘性能优良。本项目使用聚乙烯颗粒进厂为25kg袋装或吨包，粒径在5mm左右。</w:t>
            </w:r>
          </w:p>
          <w:p w14:paraId="6B28AA5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0" w:firstLineChars="0"/>
              <w:textAlignment w:val="auto"/>
              <w:rPr>
                <w:rFonts w:hint="default" w:eastAsia="宋体"/>
                <w:b/>
                <w:bCs/>
                <w:color w:val="000000" w:themeColor="text1"/>
                <w:sz w:val="24"/>
                <w:szCs w:val="24"/>
                <w:highlight w:val="none"/>
                <w:lang w:val="en-US" w:eastAsia="zh-CN"/>
                <w14:textFill>
                  <w14:solidFill>
                    <w14:schemeClr w14:val="tx1"/>
                  </w14:solidFill>
                </w14:textFill>
              </w:rPr>
            </w:pPr>
            <w:r>
              <w:rPr>
                <w:rFonts w:hint="eastAsia"/>
                <w:b/>
                <w:bCs/>
                <w:color w:val="000000" w:themeColor="text1"/>
                <w:sz w:val="24"/>
                <w:szCs w:val="24"/>
                <w:highlight w:val="none"/>
                <w:lang w:val="en-US" w:eastAsia="zh-CN"/>
                <w14:textFill>
                  <w14:solidFill>
                    <w14:schemeClr w14:val="tx1"/>
                  </w14:solidFill>
                </w14:textFill>
              </w:rPr>
              <w:t>六、劳动定员及工作制度</w:t>
            </w:r>
          </w:p>
          <w:p w14:paraId="771597E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70" w:firstLineChars="196"/>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企业职工定员30人，均不在厂区食宿；每天三班制生产，每班8小时工作制，年生产300天。</w:t>
            </w:r>
          </w:p>
          <w:p w14:paraId="1445E923">
            <w:pPr>
              <w:keepNext w:val="0"/>
              <w:keepLines w:val="0"/>
              <w:pageBreakBefore w:val="0"/>
              <w:widowControl w:val="0"/>
              <w:numPr>
                <w:ilvl w:val="0"/>
                <w:numId w:val="0"/>
              </w:numPr>
              <w:suppressLineNumbers w:val="0"/>
              <w:shd w:val="clear"/>
              <w:kinsoku/>
              <w:wordWrap/>
              <w:overflowPunct/>
              <w:topLinePunct w:val="0"/>
              <w:autoSpaceDE/>
              <w:autoSpaceDN/>
              <w:bidi w:val="0"/>
              <w:adjustRightInd w:val="0"/>
              <w:snapToGrid w:val="0"/>
              <w:spacing w:before="0" w:beforeAutospacing="0" w:after="0" w:afterAutospacing="0" w:line="520" w:lineRule="exact"/>
              <w:ind w:left="0" w:right="0" w:rightChars="0"/>
              <w:textAlignment w:val="auto"/>
              <w:rPr>
                <w:rFonts w:hint="eastAsia"/>
                <w:b/>
                <w:bCs/>
                <w:color w:val="000000" w:themeColor="text1"/>
                <w:sz w:val="24"/>
                <w:szCs w:val="24"/>
                <w:highlight w:val="none"/>
                <w:lang w:val="en-US" w:eastAsia="zh-CN"/>
                <w14:textFill>
                  <w14:solidFill>
                    <w14:schemeClr w14:val="tx1"/>
                  </w14:solidFill>
                </w14:textFill>
              </w:rPr>
            </w:pPr>
            <w:r>
              <w:rPr>
                <w:rFonts w:hint="eastAsia"/>
                <w:b/>
                <w:bCs/>
                <w:color w:val="000000" w:themeColor="text1"/>
                <w:sz w:val="24"/>
                <w:szCs w:val="24"/>
                <w:highlight w:val="none"/>
                <w:lang w:val="en-US" w:eastAsia="zh-CN"/>
                <w14:textFill>
                  <w14:solidFill>
                    <w14:schemeClr w14:val="tx1"/>
                  </w14:solidFill>
                </w14:textFill>
              </w:rPr>
              <w:t>七、水平衡分析</w:t>
            </w:r>
          </w:p>
          <w:p w14:paraId="700556A9">
            <w:pPr>
              <w:keepNext w:val="0"/>
              <w:keepLines w:val="0"/>
              <w:widowControl/>
              <w:suppressLineNumbers w:val="0"/>
              <w:spacing w:before="0" w:beforeAutospacing="0" w:after="0" w:afterAutospacing="0"/>
              <w:ind w:left="0" w:right="0"/>
              <w:jc w:val="center"/>
              <w:rPr>
                <w:rFonts w:hint="default"/>
              </w:rPr>
            </w:pPr>
            <w:r>
              <w:rPr>
                <w:rFonts w:hint="default" w:ascii="Times New Roman" w:hAnsi="Times New Roman" w:eastAsia="宋体" w:cs="Times New Roman"/>
                <w:kern w:val="2"/>
                <w:sz w:val="21"/>
                <w:szCs w:val="24"/>
                <w:highlight w:val="none"/>
                <w:lang w:val="en-US" w:eastAsia="zh-CN" w:bidi="ar"/>
              </w:rPr>
              <mc:AlternateContent>
                <mc:Choice Requires="wpc">
                  <w:drawing>
                    <wp:inline distT="0" distB="0" distL="114300" distR="114300">
                      <wp:extent cx="4246880" cy="1513840"/>
                      <wp:effectExtent l="0" t="0" r="0" b="10795"/>
                      <wp:docPr id="35" name="画布 105"/>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36" name="文本框 112"/>
                              <wps:cNvSpPr txBox="1"/>
                              <wps:spPr>
                                <a:xfrm>
                                  <a:off x="5715" y="480060"/>
                                  <a:ext cx="342900" cy="69405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36B1F69">
                                    <w:pPr>
                                      <w:keepNext w:val="0"/>
                                      <w:keepLines w:val="0"/>
                                      <w:widowControl w:val="0"/>
                                      <w:suppressLineNumbers w:val="0"/>
                                      <w:spacing w:before="0" w:beforeAutospacing="0" w:after="0" w:afterAutospacing="0"/>
                                      <w:ind w:left="0" w:right="0"/>
                                      <w:jc w:val="center"/>
                                    </w:pPr>
                                    <w:r>
                                      <w:rPr>
                                        <w:rFonts w:hint="eastAsia" w:ascii="Times New Roman" w:hAnsi="Times New Roman" w:eastAsia="宋体" w:cs="宋体"/>
                                        <w:kern w:val="2"/>
                                        <w:sz w:val="21"/>
                                        <w:szCs w:val="24"/>
                                        <w:lang w:val="en-US" w:eastAsia="zh-CN" w:bidi="ar"/>
                                      </w:rPr>
                                      <w:t>新鲜水</w:t>
                                    </w:r>
                                  </w:p>
                                </w:txbxContent>
                              </wps:txbx>
                              <wps:bodyPr wrap="square" upright="1"/>
                            </wps:wsp>
                            <wps:wsp>
                              <wps:cNvPr id="41" name="文本框 116"/>
                              <wps:cNvSpPr txBox="1"/>
                              <wps:spPr>
                                <a:xfrm>
                                  <a:off x="1120140" y="295275"/>
                                  <a:ext cx="1028700" cy="29718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239FAE5">
                                    <w:pPr>
                                      <w:keepNext w:val="0"/>
                                      <w:keepLines w:val="0"/>
                                      <w:widowControl w:val="0"/>
                                      <w:suppressLineNumbers w:val="0"/>
                                      <w:spacing w:before="0" w:beforeAutospacing="0" w:after="0" w:afterAutospacing="0"/>
                                      <w:ind w:left="0" w:right="0"/>
                                      <w:jc w:val="center"/>
                                      <w:rPr>
                                        <w:rFonts w:hint="default"/>
                                        <w:lang w:val="en-US"/>
                                      </w:rPr>
                                    </w:pPr>
                                    <w:r>
                                      <w:rPr>
                                        <w:rFonts w:hint="eastAsia" w:cs="宋体"/>
                                        <w:kern w:val="2"/>
                                        <w:sz w:val="21"/>
                                        <w:szCs w:val="24"/>
                                        <w:lang w:val="en-US" w:eastAsia="zh-CN" w:bidi="ar"/>
                                      </w:rPr>
                                      <w:t>设备冷却</w:t>
                                    </w:r>
                                  </w:p>
                                </w:txbxContent>
                              </wps:txbx>
                              <wps:bodyPr wrap="square" upright="1"/>
                            </wps:wsp>
                            <wps:wsp>
                              <wps:cNvPr id="42" name="文本框 117"/>
                              <wps:cNvSpPr txBox="1"/>
                              <wps:spPr>
                                <a:xfrm>
                                  <a:off x="2834640" y="295275"/>
                                  <a:ext cx="800100" cy="29718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66CE813">
                                    <w:pPr>
                                      <w:keepNext w:val="0"/>
                                      <w:keepLines w:val="0"/>
                                      <w:widowControl w:val="0"/>
                                      <w:suppressLineNumbers w:val="0"/>
                                      <w:spacing w:before="0" w:beforeAutospacing="0" w:after="0" w:afterAutospacing="0"/>
                                      <w:ind w:left="0" w:right="0"/>
                                      <w:jc w:val="center"/>
                                    </w:pPr>
                                    <w:r>
                                      <w:rPr>
                                        <w:rFonts w:hint="eastAsia" w:cs="宋体"/>
                                        <w:kern w:val="2"/>
                                        <w:sz w:val="21"/>
                                        <w:szCs w:val="24"/>
                                        <w:lang w:val="en-US" w:eastAsia="zh-CN" w:bidi="ar"/>
                                      </w:rPr>
                                      <w:t>冷却塔</w:t>
                                    </w:r>
                                  </w:p>
                                </w:txbxContent>
                              </wps:txbx>
                              <wps:bodyPr wrap="square" upright="1"/>
                            </wps:wsp>
                            <wps:wsp>
                              <wps:cNvPr id="43" name="文本框 118"/>
                              <wps:cNvSpPr txBox="1"/>
                              <wps:spPr>
                                <a:xfrm>
                                  <a:off x="1120140" y="1198880"/>
                                  <a:ext cx="1028700" cy="29718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1AABA1D">
                                    <w:pPr>
                                      <w:keepNext w:val="0"/>
                                      <w:keepLines w:val="0"/>
                                      <w:widowControl w:val="0"/>
                                      <w:suppressLineNumbers w:val="0"/>
                                      <w:spacing w:before="0" w:beforeAutospacing="0" w:after="0" w:afterAutospacing="0"/>
                                      <w:ind w:left="0" w:right="0"/>
                                      <w:jc w:val="center"/>
                                    </w:pPr>
                                    <w:r>
                                      <w:rPr>
                                        <w:rFonts w:hint="eastAsia" w:ascii="Times New Roman" w:hAnsi="Times New Roman" w:eastAsia="宋体" w:cs="宋体"/>
                                        <w:kern w:val="2"/>
                                        <w:sz w:val="21"/>
                                        <w:szCs w:val="24"/>
                                        <w:lang w:val="en-US" w:eastAsia="zh-CN" w:bidi="ar"/>
                                      </w:rPr>
                                      <w:t>职工生活</w:t>
                                    </w:r>
                                  </w:p>
                                </w:txbxContent>
                              </wps:txbx>
                              <wps:bodyPr wrap="square" upright="1"/>
                            </wps:wsp>
                            <wps:wsp>
                              <wps:cNvPr id="44" name="文本框 119"/>
                              <wps:cNvSpPr txBox="1"/>
                              <wps:spPr>
                                <a:xfrm>
                                  <a:off x="2491740" y="1198880"/>
                                  <a:ext cx="600075" cy="29718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BDE9D43">
                                    <w:pPr>
                                      <w:keepNext w:val="0"/>
                                      <w:keepLines w:val="0"/>
                                      <w:widowControl w:val="0"/>
                                      <w:suppressLineNumbers w:val="0"/>
                                      <w:spacing w:before="0" w:beforeAutospacing="0" w:after="0" w:afterAutospacing="0"/>
                                      <w:ind w:left="0" w:right="0"/>
                                      <w:jc w:val="both"/>
                                    </w:pPr>
                                    <w:r>
                                      <w:rPr>
                                        <w:rFonts w:hint="eastAsia" w:ascii="Times New Roman" w:hAnsi="Times New Roman" w:eastAsia="宋体" w:cs="宋体"/>
                                        <w:kern w:val="2"/>
                                        <w:sz w:val="21"/>
                                        <w:szCs w:val="24"/>
                                        <w:lang w:val="en-US" w:eastAsia="zh-CN" w:bidi="ar"/>
                                      </w:rPr>
                                      <w:t>化粪池</w:t>
                                    </w:r>
                                  </w:p>
                                </w:txbxContent>
                              </wps:txbx>
                              <wps:bodyPr upright="1"/>
                            </wps:wsp>
                            <wps:wsp>
                              <wps:cNvPr id="46" name="自选图形 122"/>
                              <wps:cNvCnPr/>
                              <wps:spPr>
                                <a:xfrm>
                                  <a:off x="2148840" y="396875"/>
                                  <a:ext cx="685800" cy="635"/>
                                </a:xfrm>
                                <a:prstGeom prst="straightConnector1">
                                  <a:avLst/>
                                </a:prstGeom>
                                <a:ln w="9525" cap="flat" cmpd="sng">
                                  <a:solidFill>
                                    <a:srgbClr val="000000"/>
                                  </a:solidFill>
                                  <a:prstDash val="solid"/>
                                  <a:headEnd type="none" w="med" len="med"/>
                                  <a:tailEnd type="triangle" w="med" len="med"/>
                                </a:ln>
                              </wps:spPr>
                              <wps:bodyPr/>
                            </wps:wsp>
                            <wps:wsp>
                              <wps:cNvPr id="64" name="自选图形 123"/>
                              <wps:cNvCnPr/>
                              <wps:spPr>
                                <a:xfrm>
                                  <a:off x="2148840" y="1347470"/>
                                  <a:ext cx="342900" cy="635"/>
                                </a:xfrm>
                                <a:prstGeom prst="straightConnector1">
                                  <a:avLst/>
                                </a:prstGeom>
                                <a:ln w="9525" cap="flat" cmpd="sng">
                                  <a:solidFill>
                                    <a:srgbClr val="000000"/>
                                  </a:solidFill>
                                  <a:prstDash val="solid"/>
                                  <a:headEnd type="none" w="med" len="med"/>
                                  <a:tailEnd type="triangle" w="med" len="med"/>
                                </a:ln>
                              </wps:spPr>
                              <wps:bodyPr/>
                            </wps:wsp>
                            <wps:wsp>
                              <wps:cNvPr id="89" name="自选图形 127"/>
                              <wps:cNvCnPr/>
                              <wps:spPr>
                                <a:xfrm>
                                  <a:off x="2148840" y="488315"/>
                                  <a:ext cx="685800" cy="635"/>
                                </a:xfrm>
                                <a:prstGeom prst="straightConnector1">
                                  <a:avLst/>
                                </a:prstGeom>
                                <a:ln w="9525" cap="flat" cmpd="sng">
                                  <a:solidFill>
                                    <a:srgbClr val="000000"/>
                                  </a:solidFill>
                                  <a:prstDash val="solid"/>
                                  <a:headEnd type="triangle" w="med" len="med"/>
                                  <a:tailEnd type="none" w="med" len="med"/>
                                </a:ln>
                              </wps:spPr>
                              <wps:bodyPr/>
                            </wps:wsp>
                            <wps:wsp>
                              <wps:cNvPr id="91" name="文本框 129"/>
                              <wps:cNvSpPr txBox="1"/>
                              <wps:spPr>
                                <a:xfrm>
                                  <a:off x="654685" y="1099820"/>
                                  <a:ext cx="570865" cy="297180"/>
                                </a:xfrm>
                                <a:prstGeom prst="rect">
                                  <a:avLst/>
                                </a:prstGeom>
                                <a:noFill/>
                                <a:ln>
                                  <a:noFill/>
                                </a:ln>
                              </wps:spPr>
                              <wps:txbx>
                                <w:txbxContent>
                                  <w:p w14:paraId="7FCB4FF6">
                                    <w:pPr>
                                      <w:keepNext w:val="0"/>
                                      <w:keepLines w:val="0"/>
                                      <w:widowControl w:val="0"/>
                                      <w:suppressLineNumbers w:val="0"/>
                                      <w:spacing w:before="0" w:beforeAutospacing="0" w:after="0" w:afterAutospacing="0"/>
                                      <w:ind w:left="0" w:right="0"/>
                                      <w:jc w:val="center"/>
                                    </w:pPr>
                                    <w:r>
                                      <w:rPr>
                                        <w:rFonts w:hint="eastAsia" w:cs="Times New Roman"/>
                                        <w:kern w:val="2"/>
                                        <w:sz w:val="21"/>
                                        <w:szCs w:val="24"/>
                                        <w:lang w:val="en-US" w:eastAsia="zh-CN" w:bidi="ar"/>
                                      </w:rPr>
                                      <w:t>24</w:t>
                                    </w:r>
                                    <w:r>
                                      <w:rPr>
                                        <w:rFonts w:hint="default" w:ascii="Times New Roman" w:hAnsi="Times New Roman" w:eastAsia="宋体" w:cs="Times New Roman"/>
                                        <w:kern w:val="2"/>
                                        <w:sz w:val="21"/>
                                        <w:szCs w:val="24"/>
                                        <w:lang w:val="en-US" w:eastAsia="zh-CN" w:bidi="ar"/>
                                      </w:rPr>
                                      <w:t>0</w:t>
                                    </w:r>
                                  </w:p>
                                </w:txbxContent>
                              </wps:txbx>
                              <wps:bodyPr wrap="square" upright="1"/>
                            </wps:wsp>
                            <wps:wsp>
                              <wps:cNvPr id="92" name="文本框 130"/>
                              <wps:cNvSpPr txBox="1"/>
                              <wps:spPr>
                                <a:xfrm>
                                  <a:off x="2023745" y="1130935"/>
                                  <a:ext cx="570865" cy="297180"/>
                                </a:xfrm>
                                <a:prstGeom prst="rect">
                                  <a:avLst/>
                                </a:prstGeom>
                                <a:noFill/>
                                <a:ln>
                                  <a:noFill/>
                                </a:ln>
                              </wps:spPr>
                              <wps:txbx>
                                <w:txbxContent>
                                  <w:p w14:paraId="552343FB">
                                    <w:pPr>
                                      <w:keepNext w:val="0"/>
                                      <w:keepLines w:val="0"/>
                                      <w:widowControl w:val="0"/>
                                      <w:suppressLineNumbers w:val="0"/>
                                      <w:spacing w:before="0" w:beforeAutospacing="0" w:after="0" w:afterAutospacing="0"/>
                                      <w:ind w:left="0" w:right="0"/>
                                      <w:jc w:val="center"/>
                                      <w:rPr>
                                        <w:rFonts w:hint="default" w:eastAsia="宋体"/>
                                        <w:lang w:val="en-US" w:eastAsia="zh-CN"/>
                                      </w:rPr>
                                    </w:pPr>
                                    <w:r>
                                      <w:rPr>
                                        <w:rFonts w:hint="eastAsia"/>
                                        <w:lang w:val="en-US" w:eastAsia="zh-CN"/>
                                      </w:rPr>
                                      <w:t>192</w:t>
                                    </w:r>
                                  </w:p>
                                </w:txbxContent>
                              </wps:txbx>
                              <wps:bodyPr wrap="square" upright="1"/>
                            </wps:wsp>
                            <wps:wsp>
                              <wps:cNvPr id="93" name="自选图形 131"/>
                              <wps:cNvCnPr/>
                              <wps:spPr>
                                <a:xfrm rot="-5400000">
                                  <a:off x="1648460" y="1036320"/>
                                  <a:ext cx="148590" cy="176530"/>
                                </a:xfrm>
                                <a:prstGeom prst="curvedConnector2">
                                  <a:avLst/>
                                </a:prstGeom>
                                <a:ln w="9525" cap="flat" cmpd="sng">
                                  <a:solidFill>
                                    <a:srgbClr val="000000"/>
                                  </a:solidFill>
                                  <a:prstDash val="solid"/>
                                  <a:headEnd type="none" w="med" len="med"/>
                                  <a:tailEnd type="triangle" w="med" len="med"/>
                                </a:ln>
                              </wps:spPr>
                              <wps:bodyPr/>
                            </wps:wsp>
                            <wps:wsp>
                              <wps:cNvPr id="94" name="文本框 132"/>
                              <wps:cNvSpPr txBox="1"/>
                              <wps:spPr>
                                <a:xfrm>
                                  <a:off x="1811020" y="901700"/>
                                  <a:ext cx="570865" cy="297180"/>
                                </a:xfrm>
                                <a:prstGeom prst="rect">
                                  <a:avLst/>
                                </a:prstGeom>
                                <a:noFill/>
                                <a:ln>
                                  <a:noFill/>
                                </a:ln>
                              </wps:spPr>
                              <wps:txbx>
                                <w:txbxContent>
                                  <w:p w14:paraId="78DD8C2D">
                                    <w:pPr>
                                      <w:keepNext w:val="0"/>
                                      <w:keepLines w:val="0"/>
                                      <w:widowControl w:val="0"/>
                                      <w:suppressLineNumbers w:val="0"/>
                                      <w:spacing w:before="0" w:beforeAutospacing="0" w:after="0" w:afterAutospacing="0"/>
                                      <w:ind w:left="0" w:right="0"/>
                                      <w:jc w:val="both"/>
                                      <w:rPr>
                                        <w:rFonts w:hint="default"/>
                                        <w:lang w:val="en-US"/>
                                      </w:rPr>
                                    </w:pPr>
                                    <w:r>
                                      <w:rPr>
                                        <w:rFonts w:hint="eastAsia" w:cs="Times New Roman"/>
                                        <w:kern w:val="2"/>
                                        <w:sz w:val="21"/>
                                        <w:szCs w:val="24"/>
                                        <w:lang w:val="en-US" w:eastAsia="zh-CN" w:bidi="ar"/>
                                      </w:rPr>
                                      <w:t>48</w:t>
                                    </w:r>
                                  </w:p>
                                </w:txbxContent>
                              </wps:txbx>
                              <wps:bodyPr wrap="square" upright="1"/>
                            </wps:wsp>
                            <wps:wsp>
                              <wps:cNvPr id="95" name="文本框 133"/>
                              <wps:cNvSpPr txBox="1"/>
                              <wps:spPr>
                                <a:xfrm>
                                  <a:off x="3309620" y="1198880"/>
                                  <a:ext cx="937260" cy="297180"/>
                                </a:xfrm>
                                <a:prstGeom prst="rect">
                                  <a:avLst/>
                                </a:prstGeom>
                                <a:noFill/>
                                <a:ln>
                                  <a:noFill/>
                                </a:ln>
                              </wps:spPr>
                              <wps:txbx>
                                <w:txbxContent>
                                  <w:p w14:paraId="615CD537">
                                    <w:pPr>
                                      <w:keepNext w:val="0"/>
                                      <w:keepLines w:val="0"/>
                                      <w:widowControl w:val="0"/>
                                      <w:suppressLineNumbers w:val="0"/>
                                      <w:spacing w:before="0" w:beforeAutospacing="0" w:after="0" w:afterAutospacing="0"/>
                                      <w:ind w:left="0" w:right="0"/>
                                      <w:jc w:val="center"/>
                                      <w:rPr>
                                        <w:rFonts w:hint="default" w:eastAsia="宋体"/>
                                        <w:lang w:val="en-US" w:eastAsia="zh-CN"/>
                                      </w:rPr>
                                    </w:pPr>
                                    <w:r>
                                      <w:rPr>
                                        <w:rFonts w:hint="eastAsia"/>
                                        <w:lang w:val="en-US" w:eastAsia="zh-CN"/>
                                      </w:rPr>
                                      <w:t>污水处理厂</w:t>
                                    </w:r>
                                  </w:p>
                                </w:txbxContent>
                              </wps:txbx>
                              <wps:bodyPr wrap="square" upright="1"/>
                            </wps:wsp>
                            <wps:wsp>
                              <wps:cNvPr id="96" name="自选图形 134"/>
                              <wps:cNvCnPr/>
                              <wps:spPr>
                                <a:xfrm>
                                  <a:off x="3092450" y="1347470"/>
                                  <a:ext cx="342900" cy="635"/>
                                </a:xfrm>
                                <a:prstGeom prst="straightConnector1">
                                  <a:avLst/>
                                </a:prstGeom>
                                <a:ln w="9525" cap="flat" cmpd="sng">
                                  <a:solidFill>
                                    <a:srgbClr val="000000"/>
                                  </a:solidFill>
                                  <a:prstDash val="solid"/>
                                  <a:headEnd type="none" w="med" len="med"/>
                                  <a:tailEnd type="triangle" w="med" len="med"/>
                                </a:ln>
                              </wps:spPr>
                              <wps:bodyPr/>
                            </wps:wsp>
                            <wps:wsp>
                              <wps:cNvPr id="97" name="文本框 135"/>
                              <wps:cNvSpPr txBox="1"/>
                              <wps:spPr>
                                <a:xfrm>
                                  <a:off x="2944495" y="1078230"/>
                                  <a:ext cx="570865" cy="297180"/>
                                </a:xfrm>
                                <a:prstGeom prst="rect">
                                  <a:avLst/>
                                </a:prstGeom>
                                <a:noFill/>
                                <a:ln>
                                  <a:noFill/>
                                </a:ln>
                              </wps:spPr>
                              <wps:txbx>
                                <w:txbxContent>
                                  <w:p w14:paraId="4760B25B">
                                    <w:pPr>
                                      <w:keepNext w:val="0"/>
                                      <w:keepLines w:val="0"/>
                                      <w:widowControl w:val="0"/>
                                      <w:suppressLineNumbers w:val="0"/>
                                      <w:spacing w:before="0" w:beforeAutospacing="0" w:after="0" w:afterAutospacing="0"/>
                                      <w:ind w:left="0" w:right="0"/>
                                      <w:jc w:val="center"/>
                                      <w:rPr>
                                        <w:rFonts w:hint="default" w:eastAsia="宋体"/>
                                        <w:lang w:val="en-US" w:eastAsia="zh-CN"/>
                                      </w:rPr>
                                    </w:pPr>
                                    <w:r>
                                      <w:rPr>
                                        <w:rFonts w:hint="eastAsia"/>
                                        <w:lang w:val="en-US" w:eastAsia="zh-CN"/>
                                      </w:rPr>
                                      <w:t>192</w:t>
                                    </w:r>
                                  </w:p>
                                </w:txbxContent>
                              </wps:txbx>
                              <wps:bodyPr wrap="square" upright="1"/>
                            </wps:wsp>
                            <wps:wsp>
                              <wps:cNvPr id="98" name="文本框 136"/>
                              <wps:cNvSpPr txBox="1"/>
                              <wps:spPr>
                                <a:xfrm>
                                  <a:off x="654685" y="221615"/>
                                  <a:ext cx="570865" cy="297180"/>
                                </a:xfrm>
                                <a:prstGeom prst="rect">
                                  <a:avLst/>
                                </a:prstGeom>
                                <a:noFill/>
                                <a:ln>
                                  <a:noFill/>
                                </a:ln>
                              </wps:spPr>
                              <wps:txbx>
                                <w:txbxContent>
                                  <w:p w14:paraId="0295F75C">
                                    <w:pPr>
                                      <w:keepNext w:val="0"/>
                                      <w:keepLines w:val="0"/>
                                      <w:widowControl w:val="0"/>
                                      <w:suppressLineNumbers w:val="0"/>
                                      <w:spacing w:before="0" w:beforeAutospacing="0" w:after="0" w:afterAutospacing="0"/>
                                      <w:ind w:left="0" w:right="0"/>
                                      <w:jc w:val="center"/>
                                    </w:pPr>
                                    <w:r>
                                      <w:rPr>
                                        <w:rFonts w:hint="eastAsia" w:cs="Times New Roman"/>
                                        <w:kern w:val="2"/>
                                        <w:sz w:val="21"/>
                                        <w:szCs w:val="24"/>
                                        <w:lang w:val="en-US" w:eastAsia="zh-CN" w:bidi="ar"/>
                                      </w:rPr>
                                      <w:t>30</w:t>
                                    </w:r>
                                    <w:r>
                                      <w:rPr>
                                        <w:rFonts w:hint="default" w:ascii="Times New Roman" w:hAnsi="Times New Roman" w:eastAsia="宋体" w:cs="Times New Roman"/>
                                        <w:kern w:val="2"/>
                                        <w:sz w:val="21"/>
                                        <w:szCs w:val="24"/>
                                        <w:lang w:val="en-US" w:eastAsia="zh-CN" w:bidi="ar"/>
                                      </w:rPr>
                                      <w:t>0</w:t>
                                    </w:r>
                                  </w:p>
                                </w:txbxContent>
                              </wps:txbx>
                              <wps:bodyPr wrap="square" upright="1"/>
                            </wps:wsp>
                            <wps:wsp>
                              <wps:cNvPr id="99" name="自选图形 137"/>
                              <wps:cNvCnPr/>
                              <wps:spPr>
                                <a:xfrm rot="-5400000">
                                  <a:off x="1663065" y="124460"/>
                                  <a:ext cx="111760" cy="211455"/>
                                </a:xfrm>
                                <a:prstGeom prst="curvedConnector2">
                                  <a:avLst/>
                                </a:prstGeom>
                                <a:ln w="9525" cap="flat" cmpd="sng">
                                  <a:solidFill>
                                    <a:srgbClr val="000000"/>
                                  </a:solidFill>
                                  <a:prstDash val="solid"/>
                                  <a:headEnd type="none" w="med" len="med"/>
                                  <a:tailEnd type="triangle" w="med" len="med"/>
                                </a:ln>
                              </wps:spPr>
                              <wps:bodyPr/>
                            </wps:wsp>
                            <wps:wsp>
                              <wps:cNvPr id="100" name="文本框 138"/>
                              <wps:cNvSpPr txBox="1"/>
                              <wps:spPr>
                                <a:xfrm>
                                  <a:off x="1779905" y="1905"/>
                                  <a:ext cx="570865" cy="297180"/>
                                </a:xfrm>
                                <a:prstGeom prst="rect">
                                  <a:avLst/>
                                </a:prstGeom>
                                <a:noFill/>
                                <a:ln>
                                  <a:noFill/>
                                </a:ln>
                              </wps:spPr>
                              <wps:txbx>
                                <w:txbxContent>
                                  <w:p w14:paraId="36B5C5B1">
                                    <w:pPr>
                                      <w:keepNext w:val="0"/>
                                      <w:keepLines w:val="0"/>
                                      <w:widowControl w:val="0"/>
                                      <w:suppressLineNumbers w:val="0"/>
                                      <w:spacing w:before="0" w:beforeAutospacing="0" w:after="0" w:afterAutospacing="0"/>
                                      <w:ind w:left="0" w:right="0"/>
                                      <w:jc w:val="both"/>
                                    </w:pPr>
                                    <w:r>
                                      <w:rPr>
                                        <w:rFonts w:hint="eastAsia" w:cs="Times New Roman"/>
                                        <w:kern w:val="2"/>
                                        <w:sz w:val="21"/>
                                        <w:szCs w:val="24"/>
                                        <w:lang w:val="en-US" w:eastAsia="zh-CN" w:bidi="ar"/>
                                      </w:rPr>
                                      <w:t>30</w:t>
                                    </w:r>
                                    <w:r>
                                      <w:rPr>
                                        <w:rFonts w:hint="default" w:ascii="Times New Roman" w:hAnsi="Times New Roman" w:eastAsia="宋体" w:cs="Times New Roman"/>
                                        <w:kern w:val="2"/>
                                        <w:sz w:val="21"/>
                                        <w:szCs w:val="24"/>
                                        <w:lang w:val="en-US" w:eastAsia="zh-CN" w:bidi="ar"/>
                                      </w:rPr>
                                      <w:t>0</w:t>
                                    </w:r>
                                  </w:p>
                                </w:txbxContent>
                              </wps:txbx>
                              <wps:bodyPr wrap="square" upright="1"/>
                            </wps:wsp>
                            <wps:wsp>
                              <wps:cNvPr id="107" name="文本框 145"/>
                              <wps:cNvSpPr txBox="1"/>
                              <wps:spPr>
                                <a:xfrm>
                                  <a:off x="240030" y="574675"/>
                                  <a:ext cx="570865" cy="297180"/>
                                </a:xfrm>
                                <a:prstGeom prst="rect">
                                  <a:avLst/>
                                </a:prstGeom>
                                <a:noFill/>
                                <a:ln>
                                  <a:noFill/>
                                </a:ln>
                              </wps:spPr>
                              <wps:txbx>
                                <w:txbxContent>
                                  <w:p w14:paraId="51615D3A">
                                    <w:pPr>
                                      <w:keepNext w:val="0"/>
                                      <w:keepLines w:val="0"/>
                                      <w:widowControl w:val="0"/>
                                      <w:suppressLineNumbers w:val="0"/>
                                      <w:spacing w:before="0" w:beforeAutospacing="0" w:after="0" w:afterAutospacing="0"/>
                                      <w:ind w:left="0" w:right="0"/>
                                      <w:jc w:val="center"/>
                                      <w:rPr>
                                        <w:rFonts w:hint="default"/>
                                        <w:lang w:val="en-US"/>
                                      </w:rPr>
                                    </w:pPr>
                                    <w:r>
                                      <w:rPr>
                                        <w:rFonts w:hint="eastAsia" w:cs="Times New Roman"/>
                                        <w:kern w:val="2"/>
                                        <w:sz w:val="21"/>
                                        <w:szCs w:val="24"/>
                                        <w:lang w:val="en-US" w:eastAsia="zh-CN" w:bidi="ar"/>
                                      </w:rPr>
                                      <w:t>540</w:t>
                                    </w:r>
                                  </w:p>
                                </w:txbxContent>
                              </wps:txbx>
                              <wps:bodyPr wrap="square" upright="1"/>
                            </wps:wsp>
                            <wps:wsp>
                              <wps:cNvPr id="37" name="肘形连接符 16"/>
                              <wps:cNvCnPr>
                                <a:stCxn id="7" idx="3"/>
                              </wps:cNvCnPr>
                              <wps:spPr>
                                <a:xfrm flipV="1">
                                  <a:off x="348615" y="464820"/>
                                  <a:ext cx="780415" cy="362585"/>
                                </a:xfrm>
                                <a:prstGeom prst="bentConnector3">
                                  <a:avLst>
                                    <a:gd name="adj1" fmla="val 50041"/>
                                  </a:avLst>
                                </a:prstGeom>
                                <a:ln w="9525">
                                  <a:solidFill>
                                    <a:schemeClr val="tx1"/>
                                  </a:solidFill>
                                  <a:tailEnd type="triangle"/>
                                </a:ln>
                              </wps:spPr>
                              <wps:style>
                                <a:lnRef idx="2">
                                  <a:schemeClr val="accent1"/>
                                </a:lnRef>
                                <a:fillRef idx="0">
                                  <a:srgbClr val="FFFFFF"/>
                                </a:fillRef>
                                <a:effectRef idx="0">
                                  <a:srgbClr val="FFFFFF"/>
                                </a:effectRef>
                                <a:fontRef idx="minor">
                                  <a:schemeClr val="tx1"/>
                                </a:fontRef>
                              </wps:style>
                              <wps:bodyPr/>
                            </wps:wsp>
                            <wps:wsp>
                              <wps:cNvPr id="38" name="肘形连接符 17"/>
                              <wps:cNvCnPr>
                                <a:stCxn id="7" idx="3"/>
                              </wps:cNvCnPr>
                              <wps:spPr>
                                <a:xfrm>
                                  <a:off x="348615" y="827405"/>
                                  <a:ext cx="786765" cy="512445"/>
                                </a:xfrm>
                                <a:prstGeom prst="bentConnector3">
                                  <a:avLst>
                                    <a:gd name="adj1" fmla="val 50040"/>
                                  </a:avLst>
                                </a:prstGeom>
                                <a:ln w="9525">
                                  <a:solidFill>
                                    <a:schemeClr val="tx1"/>
                                  </a:solidFill>
                                  <a:tailEnd type="triangle"/>
                                </a:ln>
                              </wps:spPr>
                              <wps:style>
                                <a:lnRef idx="2">
                                  <a:schemeClr val="accent1"/>
                                </a:lnRef>
                                <a:fillRef idx="0">
                                  <a:srgbClr val="FFFFFF"/>
                                </a:fillRef>
                                <a:effectRef idx="0">
                                  <a:srgbClr val="FFFFFF"/>
                                </a:effectRef>
                                <a:fontRef idx="minor">
                                  <a:schemeClr val="tx1"/>
                                </a:fontRef>
                              </wps:style>
                              <wps:bodyPr/>
                            </wps:wsp>
                          </wpc:wpc>
                        </a:graphicData>
                      </a:graphic>
                    </wp:inline>
                  </w:drawing>
                </mc:Choice>
                <mc:Fallback>
                  <w:pict>
                    <v:group id="画布 105" o:spid="_x0000_s1026" o:spt="203" style="height:119.2pt;width:334.4pt;" coordsize="4246880,1513840" editas="canvas" o:gfxdata="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">
                      <o:lock v:ext="edit" aspectratio="f"/>
                      <v:shape id="画布 105" o:spid="_x0000_s1026" style="position:absolute;left:0;top:0;height:1513840;width:4246880;" filled="f" stroked="f" coordsize="21600,21600" o:gfxdata="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">
                        <v:fill on="f" focussize="0,0"/>
                        <v:stroke on="f"/>
                        <v:imagedata o:title=""/>
                        <o:lock v:ext="edit" aspectratio="t"/>
                      </v:shape>
                      <v:shape id="文本框 112" o:spid="_x0000_s1026" o:spt="202" type="#_x0000_t202" style="position:absolute;left:5715;top:480060;height:694055;width:342900;" fillcolor="#FFFFFF" filled="t" stroked="t" coordsize="21600,21600" o:gfxdata="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G2zakvWAAAA&#10;BQEAAA8AAAAAAAAAAQAgAAAAIgAAAGRycy9kb3ducmV2LnhtbFBLAQIUABQAAAAIAIdO4kBx4v/a&#10;HwIAAE4EAAAOAAAAAAAAAAEAIAAAACUBAABkcnMvZTJvRG9jLnhtbFBLBQYAAAAABgAGAFkBAAC2&#10;BQAAAAA=&#10;">
                        <v:fill on="t" focussize="0,0"/>
                        <v:stroke color="#000000" joinstyle="miter"/>
                        <v:imagedata o:title=""/>
                        <o:lock v:ext="edit" aspectratio="f"/>
                        <v:textbox>
                          <w:txbxContent>
                            <w:p w14:paraId="036B1F69">
                              <w:pPr>
                                <w:keepNext w:val="0"/>
                                <w:keepLines w:val="0"/>
                                <w:widowControl w:val="0"/>
                                <w:suppressLineNumbers w:val="0"/>
                                <w:spacing w:before="0" w:beforeAutospacing="0" w:after="0" w:afterAutospacing="0"/>
                                <w:ind w:left="0" w:right="0"/>
                                <w:jc w:val="center"/>
                              </w:pPr>
                              <w:r>
                                <w:rPr>
                                  <w:rFonts w:hint="eastAsia" w:ascii="Times New Roman" w:hAnsi="Times New Roman" w:eastAsia="宋体" w:cs="宋体"/>
                                  <w:kern w:val="2"/>
                                  <w:sz w:val="21"/>
                                  <w:szCs w:val="24"/>
                                  <w:lang w:val="en-US" w:eastAsia="zh-CN" w:bidi="ar"/>
                                </w:rPr>
                                <w:t>新鲜水</w:t>
                              </w:r>
                            </w:p>
                          </w:txbxContent>
                        </v:textbox>
                      </v:shape>
                      <v:shape id="文本框 116" o:spid="_x0000_s1026" o:spt="202" type="#_x0000_t202" style="position:absolute;left:1120140;top:295275;height:297180;width:1028700;" fillcolor="#FFFFFF" filled="t" stroked="t" coordsize="21600,21600" o:gfxdata="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Bts2pL1gAA&#10;AAUBAAAPAAAAAAAAAAEAIAAAACIAAABkcnMvZG93bnJldi54bWxQSwECFAAUAAAACACHTuJA1zLc&#10;OiACAABSBAAADgAAAAAAAAABACAAAAAlAQAAZHJzL2Uyb0RvYy54bWxQSwUGAAAAAAYABgBZAQAA&#10;twUAAAAA&#10;">
                        <v:fill on="t" focussize="0,0"/>
                        <v:stroke color="#000000" joinstyle="miter"/>
                        <v:imagedata o:title=""/>
                        <o:lock v:ext="edit" aspectratio="f"/>
                        <v:textbox>
                          <w:txbxContent>
                            <w:p w14:paraId="5239FAE5">
                              <w:pPr>
                                <w:keepNext w:val="0"/>
                                <w:keepLines w:val="0"/>
                                <w:widowControl w:val="0"/>
                                <w:suppressLineNumbers w:val="0"/>
                                <w:spacing w:before="0" w:beforeAutospacing="0" w:after="0" w:afterAutospacing="0"/>
                                <w:ind w:left="0" w:right="0"/>
                                <w:jc w:val="center"/>
                                <w:rPr>
                                  <w:rFonts w:hint="default"/>
                                  <w:lang w:val="en-US"/>
                                </w:rPr>
                              </w:pPr>
                              <w:r>
                                <w:rPr>
                                  <w:rFonts w:hint="eastAsia" w:cs="宋体"/>
                                  <w:kern w:val="2"/>
                                  <w:sz w:val="21"/>
                                  <w:szCs w:val="24"/>
                                  <w:lang w:val="en-US" w:eastAsia="zh-CN" w:bidi="ar"/>
                                </w:rPr>
                                <w:t>设备冷却</w:t>
                              </w:r>
                            </w:p>
                          </w:txbxContent>
                        </v:textbox>
                      </v:shape>
                      <v:shape id="文本框 117" o:spid="_x0000_s1026" o:spt="202" type="#_x0000_t202" style="position:absolute;left:2834640;top:295275;height:297180;width:800100;" fillcolor="#FFFFFF" filled="t" stroked="t" coordsize="21600,21600" o:gfxdata="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G2zakvWAAAA&#10;BQEAAA8AAAAAAAAAAQAgAAAAIgAAAGRycy9kb3ducmV2LnhtbFBLAQIUABQAAAAIAIdO4kCRlVw1&#10;HwIAAFEEAAAOAAAAAAAAAAEAIAAAACUBAABkcnMvZTJvRG9jLnhtbFBLBQYAAAAABgAGAFkBAAC2&#10;BQAAAAA=&#10;">
                        <v:fill on="t" focussize="0,0"/>
                        <v:stroke color="#000000" joinstyle="miter"/>
                        <v:imagedata o:title=""/>
                        <o:lock v:ext="edit" aspectratio="f"/>
                        <v:textbox>
                          <w:txbxContent>
                            <w:p w14:paraId="666CE813">
                              <w:pPr>
                                <w:keepNext w:val="0"/>
                                <w:keepLines w:val="0"/>
                                <w:widowControl w:val="0"/>
                                <w:suppressLineNumbers w:val="0"/>
                                <w:spacing w:before="0" w:beforeAutospacing="0" w:after="0" w:afterAutospacing="0"/>
                                <w:ind w:left="0" w:right="0"/>
                                <w:jc w:val="center"/>
                              </w:pPr>
                              <w:r>
                                <w:rPr>
                                  <w:rFonts w:hint="eastAsia" w:cs="宋体"/>
                                  <w:kern w:val="2"/>
                                  <w:sz w:val="21"/>
                                  <w:szCs w:val="24"/>
                                  <w:lang w:val="en-US" w:eastAsia="zh-CN" w:bidi="ar"/>
                                </w:rPr>
                                <w:t>冷却塔</w:t>
                              </w:r>
                            </w:p>
                          </w:txbxContent>
                        </v:textbox>
                      </v:shape>
                      <v:shape id="文本框 118" o:spid="_x0000_s1026" o:spt="202" type="#_x0000_t202" style="position:absolute;left:1120140;top:1198880;height:297180;width:1028700;" fillcolor="#FFFFFF" filled="t" stroked="t" coordsize="21600,21600" o:gfxdata="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Bts2pL1gAA&#10;AAUBAAAPAAAAAAAAAAEAIAAAACIAAABkcnMvZG93bnJldi54bWxQSwECFAAUAAAACACHTuJAJzIq&#10;1yACAABTBAAADgAAAAAAAAABACAAAAAlAQAAZHJzL2Uyb0RvYy54bWxQSwUGAAAAAAYABgBZAQAA&#10;twUAAAAA&#10;">
                        <v:fill on="t" focussize="0,0"/>
                        <v:stroke color="#000000" joinstyle="miter"/>
                        <v:imagedata o:title=""/>
                        <o:lock v:ext="edit" aspectratio="f"/>
                        <v:textbox>
                          <w:txbxContent>
                            <w:p w14:paraId="41AABA1D">
                              <w:pPr>
                                <w:keepNext w:val="0"/>
                                <w:keepLines w:val="0"/>
                                <w:widowControl w:val="0"/>
                                <w:suppressLineNumbers w:val="0"/>
                                <w:spacing w:before="0" w:beforeAutospacing="0" w:after="0" w:afterAutospacing="0"/>
                                <w:ind w:left="0" w:right="0"/>
                                <w:jc w:val="center"/>
                              </w:pPr>
                              <w:r>
                                <w:rPr>
                                  <w:rFonts w:hint="eastAsia" w:ascii="Times New Roman" w:hAnsi="Times New Roman" w:eastAsia="宋体" w:cs="宋体"/>
                                  <w:kern w:val="2"/>
                                  <w:sz w:val="21"/>
                                  <w:szCs w:val="24"/>
                                  <w:lang w:val="en-US" w:eastAsia="zh-CN" w:bidi="ar"/>
                                </w:rPr>
                                <w:t>职工生活</w:t>
                              </w:r>
                            </w:p>
                          </w:txbxContent>
                        </v:textbox>
                      </v:shape>
                      <v:shape id="文本框 119" o:spid="_x0000_s1026" o:spt="202" type="#_x0000_t202" style="position:absolute;left:2491740;top:1198880;height:297180;width:600075;" fillcolor="#FFFFFF" filled="t" stroked="t" coordsize="21600,21600" o:gfxdata="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G2zakvWAAAABQEAAA8A&#10;AAAAAAAAAQAgAAAAIgAAAGRycy9kb3ducmV2LnhtbFBLAQIUABQAAAAIAIdO4kCBFPgJGQIAAEQE&#10;AAAOAAAAAAAAAAEAIAAAACUBAABkcnMvZTJvRG9jLnhtbFBLBQYAAAAABgAGAFkBAACwBQAAAAA=&#10;">
                        <v:fill on="t" focussize="0,0"/>
                        <v:stroke color="#000000" joinstyle="miter"/>
                        <v:imagedata o:title=""/>
                        <o:lock v:ext="edit" aspectratio="f"/>
                        <v:textbox>
                          <w:txbxContent>
                            <w:p w14:paraId="4BDE9D43">
                              <w:pPr>
                                <w:keepNext w:val="0"/>
                                <w:keepLines w:val="0"/>
                                <w:widowControl w:val="0"/>
                                <w:suppressLineNumbers w:val="0"/>
                                <w:spacing w:before="0" w:beforeAutospacing="0" w:after="0" w:afterAutospacing="0"/>
                                <w:ind w:left="0" w:right="0"/>
                                <w:jc w:val="both"/>
                              </w:pPr>
                              <w:r>
                                <w:rPr>
                                  <w:rFonts w:hint="eastAsia" w:ascii="Times New Roman" w:hAnsi="Times New Roman" w:eastAsia="宋体" w:cs="宋体"/>
                                  <w:kern w:val="2"/>
                                  <w:sz w:val="21"/>
                                  <w:szCs w:val="24"/>
                                  <w:lang w:val="en-US" w:eastAsia="zh-CN" w:bidi="ar"/>
                                </w:rPr>
                                <w:t>化粪池</w:t>
                              </w:r>
                            </w:p>
                          </w:txbxContent>
                        </v:textbox>
                      </v:shape>
                      <v:shape id="自选图形 122" o:spid="_x0000_s1026" o:spt="32" type="#_x0000_t32" style="position:absolute;left:2148840;top:396875;height:635;width:685800;" filled="f" stroked="t" coordsize="21600,21600" o:gfxdata="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RUOoUdcAAAAFAQAADwAAAAAAAAABACAA&#10;AAAiAAAAZHJzL2Rvd25yZXYueG1sUEsBAhQAFAAAAAgAh07iQJhHHEkOAgAA9gMAAA4AAAAAAAAA&#10;AQAgAAAAJgEAAGRycy9lMm9Eb2MueG1sUEsFBgAAAAAGAAYAWQEAAKYFAAAAAA==&#10;">
                        <v:fill on="f" focussize="0,0"/>
                        <v:stroke color="#000000" joinstyle="round" endarrow="block"/>
                        <v:imagedata o:title=""/>
                        <o:lock v:ext="edit" aspectratio="f"/>
                      </v:shape>
                      <v:shape id="自选图形 123" o:spid="_x0000_s1026" o:spt="32" type="#_x0000_t32" style="position:absolute;left:2148840;top:1347470;height:635;width:342900;" filled="f" stroked="t" coordsize="21600,21600" o:gfxdata="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EVDqFHXAAAABQEAAA8AAAAAAAAAAQAgAAAA&#10;IgAAAGRycy9kb3ducmV2LnhtbFBLAQIUABQAAAAIAIdO4kDNEIX5DAIAAPcDAAAOAAAAAAAAAAEA&#10;IAAAACYBAABkcnMvZTJvRG9jLnhtbFBLBQYAAAAABgAGAFkBAACkBQAAAAA=&#10;">
                        <v:fill on="f" focussize="0,0"/>
                        <v:stroke color="#000000" joinstyle="round" endarrow="block"/>
                        <v:imagedata o:title=""/>
                        <o:lock v:ext="edit" aspectratio="f"/>
                      </v:shape>
                      <v:shape id="自选图形 127" o:spid="_x0000_s1026" o:spt="32" type="#_x0000_t32" style="position:absolute;left:2148840;top:488315;height:635;width:685800;" filled="f" stroked="t" coordsize="21600,21600" o:gfxdata="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K/TMcHTAAAABQEAAA8AAAAAAAAAAQAgAAAAIgAA&#10;AGRycy9kb3ducmV2LnhtbFBLAQIUABQAAAAIAIdO4kDfUaPwDQIAAPYDAAAOAAAAAAAAAAEAIAAA&#10;ACIBAABkcnMvZTJvRG9jLnhtbFBLBQYAAAAABgAGAFkBAAChBQAAAAA=&#10;">
                        <v:fill on="f" focussize="0,0"/>
                        <v:stroke color="#000000" joinstyle="round" startarrow="block"/>
                        <v:imagedata o:title=""/>
                        <o:lock v:ext="edit" aspectratio="f"/>
                      </v:shape>
                      <v:shape id="文本框 129" o:spid="_x0000_s1026" o:spt="202" type="#_x0000_t202" style="position:absolute;left:654685;top:1099820;height:297180;width:570865;" filled="f" stroked="f" coordsize="21600,21600" o:gfxdata="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3oA29tMAAAAFAQAADwAAAAAAAAABACAAAAAiAAAAZHJzL2Rvd25yZXYueG1s&#10;UEsBAhQAFAAAAAgAh07iQBmzv8jEAQAAaQMAAA4AAAAAAAAAAQAgAAAAIgEAAGRycy9lMm9Eb2Mu&#10;eG1sUEsFBgAAAAAGAAYAWQEAAFgFAAAAAA==&#10;">
                        <v:fill on="f" focussize="0,0"/>
                        <v:stroke on="f"/>
                        <v:imagedata o:title=""/>
                        <o:lock v:ext="edit" aspectratio="f"/>
                        <v:textbox>
                          <w:txbxContent>
                            <w:p w14:paraId="7FCB4FF6">
                              <w:pPr>
                                <w:keepNext w:val="0"/>
                                <w:keepLines w:val="0"/>
                                <w:widowControl w:val="0"/>
                                <w:suppressLineNumbers w:val="0"/>
                                <w:spacing w:before="0" w:beforeAutospacing="0" w:after="0" w:afterAutospacing="0"/>
                                <w:ind w:left="0" w:right="0"/>
                                <w:jc w:val="center"/>
                              </w:pPr>
                              <w:r>
                                <w:rPr>
                                  <w:rFonts w:hint="eastAsia" w:cs="Times New Roman"/>
                                  <w:kern w:val="2"/>
                                  <w:sz w:val="21"/>
                                  <w:szCs w:val="24"/>
                                  <w:lang w:val="en-US" w:eastAsia="zh-CN" w:bidi="ar"/>
                                </w:rPr>
                                <w:t>24</w:t>
                              </w:r>
                              <w:r>
                                <w:rPr>
                                  <w:rFonts w:hint="default" w:ascii="Times New Roman" w:hAnsi="Times New Roman" w:eastAsia="宋体" w:cs="Times New Roman"/>
                                  <w:kern w:val="2"/>
                                  <w:sz w:val="21"/>
                                  <w:szCs w:val="24"/>
                                  <w:lang w:val="en-US" w:eastAsia="zh-CN" w:bidi="ar"/>
                                </w:rPr>
                                <w:t>0</w:t>
                              </w:r>
                            </w:p>
                          </w:txbxContent>
                        </v:textbox>
                      </v:shape>
                      <v:shape id="文本框 130" o:spid="_x0000_s1026" o:spt="202" type="#_x0000_t202" style="position:absolute;left:2023745;top:1130935;height:297180;width:570865;" filled="f" stroked="f" coordsize="21600,21600" o:gfxdata="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3oA29tMAAAAFAQAADwAAAAAAAAABACAAAAAiAAAAZHJzL2Rvd25yZXYueG1s&#10;UEsBAhQAFAAAAAgAh07iQIZA323EAQAAagMAAA4AAAAAAAAAAQAgAAAAIgEAAGRycy9lMm9Eb2Mu&#10;eG1sUEsFBgAAAAAGAAYAWQEAAFgFAAAAAA==&#10;">
                        <v:fill on="f" focussize="0,0"/>
                        <v:stroke on="f"/>
                        <v:imagedata o:title=""/>
                        <o:lock v:ext="edit" aspectratio="f"/>
                        <v:textbox>
                          <w:txbxContent>
                            <w:p w14:paraId="552343FB">
                              <w:pPr>
                                <w:keepNext w:val="0"/>
                                <w:keepLines w:val="0"/>
                                <w:widowControl w:val="0"/>
                                <w:suppressLineNumbers w:val="0"/>
                                <w:spacing w:before="0" w:beforeAutospacing="0" w:after="0" w:afterAutospacing="0"/>
                                <w:ind w:left="0" w:right="0"/>
                                <w:jc w:val="center"/>
                                <w:rPr>
                                  <w:rFonts w:hint="default" w:eastAsia="宋体"/>
                                  <w:lang w:val="en-US" w:eastAsia="zh-CN"/>
                                </w:rPr>
                              </w:pPr>
                              <w:r>
                                <w:rPr>
                                  <w:rFonts w:hint="eastAsia"/>
                                  <w:lang w:val="en-US" w:eastAsia="zh-CN"/>
                                </w:rPr>
                                <w:t>192</w:t>
                              </w:r>
                            </w:p>
                          </w:txbxContent>
                        </v:textbox>
                      </v:shape>
                      <v:shape id="自选图形 131" o:spid="_x0000_s1026" o:spt="37" type="#_x0000_t37" style="position:absolute;left:1648460;top:1036320;height:176530;width:148590;rotation:-5898240f;" filled="f" stroked="t" coordsize="21600,21600" o:gfxdata="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aBD+FNYAAAAFAQAADwAAAAAA&#10;AAABACAAAAAiAAAAZHJzL2Rvd25yZXYueG1sUEsBAhQAFAAAAAgAh07iQNxs5A8VAgAABwQAAA4A&#10;AAAAAAAAAQAgAAAAJQEAAGRycy9lMm9Eb2MueG1sUEsFBgAAAAAGAAYAWQEAAKwFAAAAAA==&#10;">
                        <v:fill on="f" focussize="0,0"/>
                        <v:stroke color="#000000" joinstyle="round" endarrow="block"/>
                        <v:imagedata o:title=""/>
                        <o:lock v:ext="edit" aspectratio="f"/>
                      </v:shape>
                      <v:shape id="文本框 132" o:spid="_x0000_s1026" o:spt="202" type="#_x0000_t202" style="position:absolute;left:1811020;top:901700;height:297180;width:570865;" filled="f" stroked="f" coordsize="21600,21600" o:gfxdata="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egDb20wAAAAUBAAAPAAAAAAAAAAEAIAAAACIAAABkcnMvZG93bnJldi54bWxQ&#10;SwECFAAUAAAACACHTuJAt2WOBcMBAABpAwAADgAAAAAAAAABACAAAAAiAQAAZHJzL2Uyb0RvYy54&#10;bWxQSwUGAAAAAAYABgBZAQAAVwUAAAAA&#10;">
                        <v:fill on="f" focussize="0,0"/>
                        <v:stroke on="f"/>
                        <v:imagedata o:title=""/>
                        <o:lock v:ext="edit" aspectratio="f"/>
                        <v:textbox>
                          <w:txbxContent>
                            <w:p w14:paraId="78DD8C2D">
                              <w:pPr>
                                <w:keepNext w:val="0"/>
                                <w:keepLines w:val="0"/>
                                <w:widowControl w:val="0"/>
                                <w:suppressLineNumbers w:val="0"/>
                                <w:spacing w:before="0" w:beforeAutospacing="0" w:after="0" w:afterAutospacing="0"/>
                                <w:ind w:left="0" w:right="0"/>
                                <w:jc w:val="both"/>
                                <w:rPr>
                                  <w:rFonts w:hint="default"/>
                                  <w:lang w:val="en-US"/>
                                </w:rPr>
                              </w:pPr>
                              <w:r>
                                <w:rPr>
                                  <w:rFonts w:hint="eastAsia" w:cs="Times New Roman"/>
                                  <w:kern w:val="2"/>
                                  <w:sz w:val="21"/>
                                  <w:szCs w:val="24"/>
                                  <w:lang w:val="en-US" w:eastAsia="zh-CN" w:bidi="ar"/>
                                </w:rPr>
                                <w:t>48</w:t>
                              </w:r>
                            </w:p>
                          </w:txbxContent>
                        </v:textbox>
                      </v:shape>
                      <v:shape id="文本框 133" o:spid="_x0000_s1026" o:spt="202" type="#_x0000_t202" style="position:absolute;left:3309620;top:1198880;height:297180;width:937260;" filled="f" stroked="f" coordsize="21600,21600" o:gfxdata="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egDb20wAAAAUBAAAPAAAAAAAAAAEAIAAAACIAAABkcnMvZG93bnJldi54bWxQ&#10;SwECFAAUAAAACACHTuJArmmzCsMBAABqAwAADgAAAAAAAAABACAAAAAiAQAAZHJzL2Uyb0RvYy54&#10;bWxQSwUGAAAAAAYABgBZAQAAVwUAAAAA&#10;">
                        <v:fill on="f" focussize="0,0"/>
                        <v:stroke on="f"/>
                        <v:imagedata o:title=""/>
                        <o:lock v:ext="edit" aspectratio="f"/>
                        <v:textbox>
                          <w:txbxContent>
                            <w:p w14:paraId="615CD537">
                              <w:pPr>
                                <w:keepNext w:val="0"/>
                                <w:keepLines w:val="0"/>
                                <w:widowControl w:val="0"/>
                                <w:suppressLineNumbers w:val="0"/>
                                <w:spacing w:before="0" w:beforeAutospacing="0" w:after="0" w:afterAutospacing="0"/>
                                <w:ind w:left="0" w:right="0"/>
                                <w:jc w:val="center"/>
                                <w:rPr>
                                  <w:rFonts w:hint="default" w:eastAsia="宋体"/>
                                  <w:lang w:val="en-US" w:eastAsia="zh-CN"/>
                                </w:rPr>
                              </w:pPr>
                              <w:r>
                                <w:rPr>
                                  <w:rFonts w:hint="eastAsia"/>
                                  <w:lang w:val="en-US" w:eastAsia="zh-CN"/>
                                </w:rPr>
                                <w:t>污水处理厂</w:t>
                              </w:r>
                            </w:p>
                          </w:txbxContent>
                        </v:textbox>
                      </v:shape>
                      <v:shape id="自选图形 134" o:spid="_x0000_s1026" o:spt="32" type="#_x0000_t32" style="position:absolute;left:3092450;top:1347470;height:635;width:342900;" filled="f" stroked="t" coordsize="21600,21600" o:gfxdata="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FQ6hR1wAAAAUBAAAPAAAAAAAAAAEAIAAAACIA&#10;AABkcnMvZG93bnJldi54bWxQSwECFAAUAAAACACHTuJAZNvrPwoCAAD3AwAADgAAAAAAAAABACAA&#10;AAAmAQAAZHJzL2Uyb0RvYy54bWxQSwUGAAAAAAYABgBZAQAAogUAAAAA&#10;">
                        <v:fill on="f" focussize="0,0"/>
                        <v:stroke color="#000000" joinstyle="round" endarrow="block"/>
                        <v:imagedata o:title=""/>
                        <o:lock v:ext="edit" aspectratio="f"/>
                      </v:shape>
                      <v:shape id="文本框 135" o:spid="_x0000_s1026" o:spt="202" type="#_x0000_t202" style="position:absolute;left:2944495;top:1078230;height:297180;width:570865;" filled="f" stroked="f" coordsize="21600,21600" o:gfxdata="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N6ANvbTAAAABQEAAA8AAAAAAAAAAQAgAAAAIgAAAGRycy9kb3ducmV2Lnht&#10;bFBLAQIUABQAAAAIAIdO4kDKlUkaxQEAAGoDAAAOAAAAAAAAAAEAIAAAACIBAABkcnMvZTJvRG9j&#10;LnhtbFBLBQYAAAAABgAGAFkBAABZBQAAAAA=&#10;">
                        <v:fill on="f" focussize="0,0"/>
                        <v:stroke on="f"/>
                        <v:imagedata o:title=""/>
                        <o:lock v:ext="edit" aspectratio="f"/>
                        <v:textbox>
                          <w:txbxContent>
                            <w:p w14:paraId="4760B25B">
                              <w:pPr>
                                <w:keepNext w:val="0"/>
                                <w:keepLines w:val="0"/>
                                <w:widowControl w:val="0"/>
                                <w:suppressLineNumbers w:val="0"/>
                                <w:spacing w:before="0" w:beforeAutospacing="0" w:after="0" w:afterAutospacing="0"/>
                                <w:ind w:left="0" w:right="0"/>
                                <w:jc w:val="center"/>
                                <w:rPr>
                                  <w:rFonts w:hint="default" w:eastAsia="宋体"/>
                                  <w:lang w:val="en-US" w:eastAsia="zh-CN"/>
                                </w:rPr>
                              </w:pPr>
                              <w:r>
                                <w:rPr>
                                  <w:rFonts w:hint="eastAsia"/>
                                  <w:lang w:val="en-US" w:eastAsia="zh-CN"/>
                                </w:rPr>
                                <w:t>192</w:t>
                              </w:r>
                            </w:p>
                          </w:txbxContent>
                        </v:textbox>
                      </v:shape>
                      <v:shape id="文本框 136" o:spid="_x0000_s1026" o:spt="202" type="#_x0000_t202" style="position:absolute;left:654685;top:221615;height:297180;width:570865;" filled="f" stroked="f" coordsize="21600,21600" o:gfxdata="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3oA29tMAAAAFAQAADwAAAAAAAAABACAAAAAiAAAAZHJzL2Rvd25yZXYueG1s&#10;UEsBAhQAFAAAAAgAh07iQIzXkgzEAQAAaAMAAA4AAAAAAAAAAQAgAAAAIgEAAGRycy9lMm9Eb2Mu&#10;eG1sUEsFBgAAAAAGAAYAWQEAAFgFAAAAAA==&#10;">
                        <v:fill on="f" focussize="0,0"/>
                        <v:stroke on="f"/>
                        <v:imagedata o:title=""/>
                        <o:lock v:ext="edit" aspectratio="f"/>
                        <v:textbox>
                          <w:txbxContent>
                            <w:p w14:paraId="0295F75C">
                              <w:pPr>
                                <w:keepNext w:val="0"/>
                                <w:keepLines w:val="0"/>
                                <w:widowControl w:val="0"/>
                                <w:suppressLineNumbers w:val="0"/>
                                <w:spacing w:before="0" w:beforeAutospacing="0" w:after="0" w:afterAutospacing="0"/>
                                <w:ind w:left="0" w:right="0"/>
                                <w:jc w:val="center"/>
                              </w:pPr>
                              <w:r>
                                <w:rPr>
                                  <w:rFonts w:hint="eastAsia" w:cs="Times New Roman"/>
                                  <w:kern w:val="2"/>
                                  <w:sz w:val="21"/>
                                  <w:szCs w:val="24"/>
                                  <w:lang w:val="en-US" w:eastAsia="zh-CN" w:bidi="ar"/>
                                </w:rPr>
                                <w:t>30</w:t>
                              </w:r>
                              <w:r>
                                <w:rPr>
                                  <w:rFonts w:hint="default" w:ascii="Times New Roman" w:hAnsi="Times New Roman" w:eastAsia="宋体" w:cs="Times New Roman"/>
                                  <w:kern w:val="2"/>
                                  <w:sz w:val="21"/>
                                  <w:szCs w:val="24"/>
                                  <w:lang w:val="en-US" w:eastAsia="zh-CN" w:bidi="ar"/>
                                </w:rPr>
                                <w:t>0</w:t>
                              </w:r>
                            </w:p>
                          </w:txbxContent>
                        </v:textbox>
                      </v:shape>
                      <v:shape id="自选图形 137" o:spid="_x0000_s1026" o:spt="37" type="#_x0000_t37" style="position:absolute;left:1663065;top:124460;height:211455;width:111760;rotation:-5898240f;" filled="f" stroked="t" coordsize="21600,21600" o:gfxdata="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aBD+FNYAAAAFAQAADwAAAAAA&#10;AAABACAAAAAiAAAAZHJzL2Rvd25yZXYueG1sUEsBAhQAFAAAAAgAh07iQH9qOQEVAgAABgQAAA4A&#10;AAAAAAAAAQAgAAAAJQEAAGRycy9lMm9Eb2MueG1sUEsFBgAAAAAGAAYAWQEAAKwFAAAAAA==&#10;">
                        <v:fill on="f" focussize="0,0"/>
                        <v:stroke color="#000000" joinstyle="round" endarrow="block"/>
                        <v:imagedata o:title=""/>
                        <o:lock v:ext="edit" aspectratio="f"/>
                      </v:shape>
                      <v:shape id="文本框 138" o:spid="_x0000_s1026" o:spt="202" type="#_x0000_t202" style="position:absolute;left:1779905;top:1905;height:297180;width:570865;" filled="f" stroked="f" coordsize="21600,21600" o:gfxdata="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egDb20wAAAAUBAAAPAAAAAAAAAAEAIAAAACIAAABkcnMvZG93bnJldi54bWxQSwEC&#10;FAAUAAAACACHTuJA9B55ssABAABoAwAADgAAAAAAAAABACAAAAAiAQAAZHJzL2Uyb0RvYy54bWxQ&#10;SwUGAAAAAAYABgBZAQAAVAUAAAAA&#10;">
                        <v:fill on="f" focussize="0,0"/>
                        <v:stroke on="f"/>
                        <v:imagedata o:title=""/>
                        <o:lock v:ext="edit" aspectratio="f"/>
                        <v:textbox>
                          <w:txbxContent>
                            <w:p w14:paraId="36B5C5B1">
                              <w:pPr>
                                <w:keepNext w:val="0"/>
                                <w:keepLines w:val="0"/>
                                <w:widowControl w:val="0"/>
                                <w:suppressLineNumbers w:val="0"/>
                                <w:spacing w:before="0" w:beforeAutospacing="0" w:after="0" w:afterAutospacing="0"/>
                                <w:ind w:left="0" w:right="0"/>
                                <w:jc w:val="both"/>
                              </w:pPr>
                              <w:r>
                                <w:rPr>
                                  <w:rFonts w:hint="eastAsia" w:cs="Times New Roman"/>
                                  <w:kern w:val="2"/>
                                  <w:sz w:val="21"/>
                                  <w:szCs w:val="24"/>
                                  <w:lang w:val="en-US" w:eastAsia="zh-CN" w:bidi="ar"/>
                                </w:rPr>
                                <w:t>30</w:t>
                              </w:r>
                              <w:r>
                                <w:rPr>
                                  <w:rFonts w:hint="default" w:ascii="Times New Roman" w:hAnsi="Times New Roman" w:eastAsia="宋体" w:cs="Times New Roman"/>
                                  <w:kern w:val="2"/>
                                  <w:sz w:val="21"/>
                                  <w:szCs w:val="24"/>
                                  <w:lang w:val="en-US" w:eastAsia="zh-CN" w:bidi="ar"/>
                                </w:rPr>
                                <w:t>0</w:t>
                              </w:r>
                            </w:p>
                          </w:txbxContent>
                        </v:textbox>
                      </v:shape>
                      <v:shape id="文本框 145" o:spid="_x0000_s1026" o:spt="202" type="#_x0000_t202" style="position:absolute;left:240030;top:574675;height:297180;width:570865;" filled="f" stroked="f" coordsize="21600,21600" o:gfxdata="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egDb20wAAAAUBAAAPAAAAAAAAAAEAIAAAACIAAABkcnMvZG93bnJldi54&#10;bWxQSwECFAAUAAAACACHTuJAuTG0vcYBAABpAwAADgAAAAAAAAABACAAAAAiAQAAZHJzL2Uyb0Rv&#10;Yy54bWxQSwUGAAAAAAYABgBZAQAAWgUAAAAA&#10;">
                        <v:fill on="f" focussize="0,0"/>
                        <v:stroke on="f"/>
                        <v:imagedata o:title=""/>
                        <o:lock v:ext="edit" aspectratio="f"/>
                        <v:textbox>
                          <w:txbxContent>
                            <w:p w14:paraId="51615D3A">
                              <w:pPr>
                                <w:keepNext w:val="0"/>
                                <w:keepLines w:val="0"/>
                                <w:widowControl w:val="0"/>
                                <w:suppressLineNumbers w:val="0"/>
                                <w:spacing w:before="0" w:beforeAutospacing="0" w:after="0" w:afterAutospacing="0"/>
                                <w:ind w:left="0" w:right="0"/>
                                <w:jc w:val="center"/>
                                <w:rPr>
                                  <w:rFonts w:hint="default"/>
                                  <w:lang w:val="en-US"/>
                                </w:rPr>
                              </w:pPr>
                              <w:r>
                                <w:rPr>
                                  <w:rFonts w:hint="eastAsia" w:cs="Times New Roman"/>
                                  <w:kern w:val="2"/>
                                  <w:sz w:val="21"/>
                                  <w:szCs w:val="24"/>
                                  <w:lang w:val="en-US" w:eastAsia="zh-CN" w:bidi="ar"/>
                                </w:rPr>
                                <w:t>540</w:t>
                              </w:r>
                            </w:p>
                          </w:txbxContent>
                        </v:textbox>
                      </v:shape>
                      <v:shape id="肘形连接符 16" o:spid="_x0000_s1026" o:spt="34" type="#_x0000_t34" style="position:absolute;left:348615;top:464820;flip:y;height:362585;width:780415;" filled="f" stroked="t" coordsize="21600,21600" o:gfxdata="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AHJVLQ1QAAAAUBAAAPAAAAAAAAAAEAIAAAACIAAABkcnMvZG93bnJldi54bWxQSwECFAAU&#10;AAAACACHTuJAaGkObC0CAAAtBAAADgAAAAAAAAABACAAAAAkAQAAZHJzL2Uyb0RvYy54bWxQSwUG&#10;AAAAAAYABgBZAQAAwwUAAAAA&#10;" adj="10809">
                        <v:fill on="f" focussize="0,0"/>
                        <v:stroke color="#000000 [3213]" joinstyle="round" endarrow="block"/>
                        <v:imagedata o:title=""/>
                        <o:lock v:ext="edit" aspectratio="f"/>
                      </v:shape>
                      <v:shape id="肘形连接符 17" o:spid="_x0000_s1026" o:spt="34" type="#_x0000_t34" style="position:absolute;left:348615;top:827405;height:512445;width:786765;" filled="f" stroked="t" coordsize="21600,21600" o:gfxdata="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DLdPWLXAAAABQEAAA8AAAAAAAAAAQAgAAAAIgAAAGRycy9kb3ducmV2LnhtbFBLAQIUABQA&#10;AAAIAIdO4kCZiXXdKgIAACMEAAAOAAAAAAAAAAEAIAAAACYBAABkcnMvZTJvRG9jLnhtbFBLBQYA&#10;AAAABgAGAFkBAADCBQAAAAA=&#10;" adj="10809">
                        <v:fill on="f" focussize="0,0"/>
                        <v:stroke color="#000000 [3213]" joinstyle="round" endarrow="block"/>
                        <v:imagedata o:title=""/>
                        <o:lock v:ext="edit" aspectratio="f"/>
                      </v:shape>
                      <w10:wrap type="none"/>
                      <w10:anchorlock/>
                    </v:group>
                  </w:pict>
                </mc:Fallback>
              </mc:AlternateContent>
            </w:r>
          </w:p>
          <w:p w14:paraId="6A5D7A7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leftChars="0" w:right="0" w:firstLine="0" w:firstLineChars="0"/>
              <w:jc w:val="center"/>
              <w:textAlignment w:val="auto"/>
              <w:rPr>
                <w:rFonts w:hint="default" w:eastAsia="黑体" w:cs="Times New Roman"/>
                <w:b w:val="0"/>
                <w:bCs w:val="0"/>
                <w:color w:val="000000" w:themeColor="text1"/>
                <w:sz w:val="24"/>
                <w:szCs w:val="24"/>
                <w:highlight w:val="none"/>
                <w:lang w:val="en-US" w:eastAsia="zh-CN"/>
                <w14:textFill>
                  <w14:solidFill>
                    <w14:schemeClr w14:val="tx1"/>
                  </w14:solidFill>
                </w14:textFill>
              </w:rPr>
            </w:pPr>
            <w:r>
              <w:rPr>
                <w:rFonts w:hint="eastAsia" w:eastAsia="黑体" w:cs="Times New Roman"/>
                <w:b w:val="0"/>
                <w:bCs w:val="0"/>
                <w:color w:val="000000" w:themeColor="text1"/>
                <w:sz w:val="24"/>
                <w:szCs w:val="24"/>
                <w:highlight w:val="none"/>
                <w:lang w:val="en-US" w:eastAsia="zh-CN"/>
                <w14:textFill>
                  <w14:solidFill>
                    <w14:schemeClr w14:val="tx1"/>
                  </w14:solidFill>
                </w14:textFill>
              </w:rPr>
              <w:t>图2-1   本项目水平衡图（单位：m</w:t>
            </w:r>
            <w:r>
              <w:rPr>
                <w:rFonts w:hint="eastAsia" w:eastAsia="黑体" w:cs="Times New Roman"/>
                <w:b w:val="0"/>
                <w:bCs w:val="0"/>
                <w:color w:val="000000" w:themeColor="text1"/>
                <w:sz w:val="24"/>
                <w:szCs w:val="24"/>
                <w:highlight w:val="none"/>
                <w:vertAlign w:val="superscript"/>
                <w:lang w:val="en-US" w:eastAsia="zh-CN"/>
                <w14:textFill>
                  <w14:solidFill>
                    <w14:schemeClr w14:val="tx1"/>
                  </w14:solidFill>
                </w14:textFill>
              </w:rPr>
              <w:t>3</w:t>
            </w:r>
            <w:r>
              <w:rPr>
                <w:rFonts w:hint="eastAsia" w:eastAsia="黑体" w:cs="Times New Roman"/>
                <w:b w:val="0"/>
                <w:bCs w:val="0"/>
                <w:color w:val="000000" w:themeColor="text1"/>
                <w:sz w:val="24"/>
                <w:szCs w:val="24"/>
                <w:highlight w:val="none"/>
                <w:lang w:val="en-US" w:eastAsia="zh-CN"/>
                <w14:textFill>
                  <w14:solidFill>
                    <w14:schemeClr w14:val="tx1"/>
                  </w14:solidFill>
                </w14:textFill>
              </w:rPr>
              <w:t>/a）</w:t>
            </w:r>
          </w:p>
          <w:p w14:paraId="4F658984">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520" w:lineRule="exact"/>
              <w:ind w:left="0" w:right="0" w:firstLine="0" w:firstLineChars="0"/>
              <w:textAlignment w:val="auto"/>
              <w:rPr>
                <w:rFonts w:hint="eastAsia"/>
                <w:b/>
                <w:bCs/>
                <w:color w:val="000000" w:themeColor="text1"/>
                <w:sz w:val="24"/>
                <w:szCs w:val="24"/>
                <w:highlight w:val="none"/>
                <w:lang w:val="en-US" w:eastAsia="zh-CN"/>
                <w14:textFill>
                  <w14:solidFill>
                    <w14:schemeClr w14:val="tx1"/>
                  </w14:solidFill>
                </w14:textFill>
              </w:rPr>
            </w:pPr>
            <w:r>
              <w:rPr>
                <w:rFonts w:hint="eastAsia"/>
                <w:b/>
                <w:bCs/>
                <w:color w:val="000000" w:themeColor="text1"/>
                <w:sz w:val="24"/>
                <w:szCs w:val="24"/>
                <w:highlight w:val="none"/>
                <w:lang w:val="en-US" w:eastAsia="zh-CN"/>
                <w14:textFill>
                  <w14:solidFill>
                    <w14:schemeClr w14:val="tx1"/>
                  </w14:solidFill>
                </w14:textFill>
              </w:rPr>
              <w:t>九、项目平面布置</w:t>
            </w:r>
          </w:p>
          <w:p w14:paraId="1B90ECA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70" w:firstLineChars="196"/>
              <w:jc w:val="left"/>
              <w:textAlignment w:val="auto"/>
              <w:rPr>
                <w:rFonts w:hint="eastAsia"/>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本项目租赁一座现有厂房，厂房内西部为PE布生产线，东部为</w:t>
            </w:r>
            <w:r>
              <w:rPr>
                <w:rFonts w:hint="eastAsia" w:cs="Times New Roman"/>
                <w:color w:val="000000" w:themeColor="text1"/>
                <w:sz w:val="24"/>
                <w:szCs w:val="24"/>
                <w:highlight w:val="none"/>
                <w:lang w:val="en-US" w:eastAsia="zh-CN"/>
                <w14:textFill>
                  <w14:solidFill>
                    <w14:schemeClr w14:val="tx1"/>
                  </w14:solidFill>
                </w14:textFill>
              </w:rPr>
              <w:t>预留区域</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，PE布生产线</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布置依据</w:t>
            </w:r>
            <w:r>
              <w:rPr>
                <w:rFonts w:hint="eastAsia" w:ascii="Times New Roman" w:hAnsi="Times New Roman" w:eastAsia="宋体" w:cs="Times New Roman"/>
                <w:kern w:val="2"/>
                <w:sz w:val="24"/>
                <w:szCs w:val="24"/>
                <w:lang w:val="en-US" w:eastAsia="zh-CN" w:bidi="ar"/>
              </w:rPr>
              <w:t>工艺</w:t>
            </w:r>
            <w:r>
              <w:rPr>
                <w:rFonts w:hint="eastAsia" w:cs="Times New Roman"/>
                <w:kern w:val="2"/>
                <w:sz w:val="24"/>
                <w:szCs w:val="24"/>
                <w:lang w:val="en-US" w:eastAsia="zh-CN" w:bidi="ar"/>
              </w:rPr>
              <w:t>生产过程，由西向东依次为挤出区、拉丝成型区、织布区和覆膜区，</w:t>
            </w:r>
            <w:r>
              <w:rPr>
                <w:rFonts w:hint="eastAsia" w:ascii="Times New Roman" w:hAnsi="Times New Roman" w:eastAsia="宋体" w:cs="Times New Roman"/>
                <w:kern w:val="2"/>
                <w:sz w:val="24"/>
                <w:szCs w:val="24"/>
                <w:lang w:val="en-US" w:eastAsia="zh-CN" w:bidi="ar"/>
              </w:rPr>
              <w:t>做到了布置紧凑、分区合理、运输方便。</w:t>
            </w:r>
            <w:r>
              <w:rPr>
                <w:rFonts w:hint="eastAsia" w:ascii="宋体" w:hAnsi="宋体" w:cs="宋体"/>
                <w:color w:val="000000" w:themeColor="text1"/>
                <w:sz w:val="24"/>
                <w:szCs w:val="24"/>
                <w:highlight w:val="none"/>
                <w:lang w:val="en-US" w:eastAsia="zh-CN"/>
                <w14:textFill>
                  <w14:solidFill>
                    <w14:schemeClr w14:val="tx1"/>
                  </w14:solidFill>
                </w14:textFill>
              </w:rPr>
              <w:t>整体生产线布置合理，具体平面布置</w:t>
            </w:r>
            <w:r>
              <w:rPr>
                <w:rFonts w:hint="eastAsia"/>
                <w:color w:val="000000" w:themeColor="text1"/>
                <w:sz w:val="24"/>
                <w:szCs w:val="24"/>
                <w:highlight w:val="none"/>
                <w:lang w:val="en-US" w:eastAsia="zh-CN"/>
                <w14:textFill>
                  <w14:solidFill>
                    <w14:schemeClr w14:val="tx1"/>
                  </w14:solidFill>
                </w14:textFill>
              </w:rPr>
              <w:t>见附图。</w:t>
            </w:r>
          </w:p>
          <w:p w14:paraId="0F5F681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70" w:firstLineChars="196"/>
              <w:jc w:val="left"/>
              <w:textAlignment w:val="auto"/>
              <w:rPr>
                <w:rFonts w:hint="default"/>
                <w:color w:val="000000" w:themeColor="text1"/>
                <w:sz w:val="24"/>
                <w:szCs w:val="24"/>
                <w:highlight w:val="none"/>
                <w:lang w:val="en-US" w:eastAsia="zh-CN"/>
                <w14:textFill>
                  <w14:solidFill>
                    <w14:schemeClr w14:val="tx1"/>
                  </w14:solidFill>
                </w14:textFill>
              </w:rPr>
            </w:pPr>
          </w:p>
        </w:tc>
      </w:tr>
      <w:tr w14:paraId="629B89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90" w:hRule="atLeast"/>
          <w:jc w:val="center"/>
        </w:trPr>
        <w:tc>
          <w:tcPr>
            <w:tcW w:w="400" w:type="pct"/>
            <w:noWrap w:val="0"/>
            <w:vAlign w:val="center"/>
          </w:tcPr>
          <w:p w14:paraId="74886A12">
            <w:pPr>
              <w:pStyle w:val="21"/>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kern w:val="2"/>
                <w:sz w:val="21"/>
                <w:szCs w:val="21"/>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工艺流程和产排污环节</w:t>
            </w:r>
          </w:p>
        </w:tc>
        <w:tc>
          <w:tcPr>
            <w:tcW w:w="4599" w:type="pct"/>
            <w:noWrap w:val="0"/>
            <w:vAlign w:val="top"/>
          </w:tcPr>
          <w:p w14:paraId="534B5826">
            <w:pPr>
              <w:keepNext w:val="0"/>
              <w:keepLines w:val="0"/>
              <w:pageBreakBefore w:val="0"/>
              <w:widowControl w:val="0"/>
              <w:numPr>
                <w:ilvl w:val="0"/>
                <w:numId w:val="1"/>
              </w:numPr>
              <w:suppressLineNumbers w:val="0"/>
              <w:tabs>
                <w:tab w:val="left" w:pos="2440"/>
              </w:tabs>
              <w:kinsoku/>
              <w:wordWrap/>
              <w:overflowPunct/>
              <w:topLinePunct w:val="0"/>
              <w:autoSpaceDE/>
              <w:autoSpaceDN/>
              <w:bidi w:val="0"/>
              <w:adjustRightInd w:val="0"/>
              <w:snapToGrid/>
              <w:spacing w:before="0" w:beforeAutospacing="0" w:after="0" w:afterAutospacing="0" w:line="520" w:lineRule="exact"/>
              <w:ind w:left="0" w:right="0" w:firstLine="0" w:firstLineChars="0"/>
              <w:jc w:val="left"/>
              <w:textAlignment w:val="auto"/>
              <w:rPr>
                <w:rFonts w:hint="eastAsia"/>
                <w:b/>
                <w:bCs/>
                <w:color w:val="000000" w:themeColor="text1"/>
                <w:sz w:val="24"/>
                <w:szCs w:val="24"/>
                <w:highlight w:val="none"/>
                <w:lang w:val="en-US" w:eastAsia="zh-CN"/>
                <w14:textFill>
                  <w14:solidFill>
                    <w14:schemeClr w14:val="tx1"/>
                  </w14:solidFill>
                </w14:textFill>
              </w:rPr>
            </w:pPr>
            <w:r>
              <w:rPr>
                <w:rFonts w:hint="eastAsia"/>
                <w:b/>
                <w:bCs/>
                <w:color w:val="000000" w:themeColor="text1"/>
                <w:sz w:val="24"/>
                <w:szCs w:val="24"/>
                <w:highlight w:val="none"/>
                <w:lang w:val="en-US" w:eastAsia="zh-CN"/>
                <w14:textFill>
                  <w14:solidFill>
                    <w14:schemeClr w14:val="tx1"/>
                  </w14:solidFill>
                </w14:textFill>
              </w:rPr>
              <w:t>施工期</w:t>
            </w:r>
          </w:p>
          <w:p w14:paraId="4DE9009F">
            <w:pPr>
              <w:keepNext w:val="0"/>
              <w:keepLines w:val="0"/>
              <w:pageBreakBefore w:val="0"/>
              <w:widowControl w:val="0"/>
              <w:suppressLineNumbers w:val="0"/>
              <w:tabs>
                <w:tab w:val="left" w:pos="2440"/>
              </w:tabs>
              <w:kinsoku/>
              <w:wordWrap/>
              <w:overflowPunct/>
              <w:topLinePunct w:val="0"/>
              <w:autoSpaceDE/>
              <w:autoSpaceDN/>
              <w:bidi w:val="0"/>
              <w:adjustRightInd w:val="0"/>
              <w:snapToGrid/>
              <w:spacing w:before="0" w:beforeAutospacing="0" w:after="0" w:afterAutospacing="0" w:line="520" w:lineRule="exact"/>
              <w:ind w:left="0" w:right="0" w:firstLine="480" w:firstLineChars="200"/>
              <w:jc w:val="both"/>
              <w:textAlignment w:val="auto"/>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kern w:val="2"/>
                <w:sz w:val="24"/>
                <w:szCs w:val="24"/>
                <w:lang w:val="en-US" w:eastAsia="zh-CN" w:bidi="ar"/>
              </w:rPr>
              <w:t>本项目</w:t>
            </w:r>
            <w:r>
              <w:rPr>
                <w:rFonts w:hint="eastAsia" w:cs="Times New Roman"/>
                <w:kern w:val="2"/>
                <w:sz w:val="24"/>
                <w:szCs w:val="24"/>
                <w:lang w:val="en-US" w:eastAsia="zh-CN" w:bidi="ar"/>
              </w:rPr>
              <w:t>租赁</w:t>
            </w:r>
            <w:r>
              <w:rPr>
                <w:rFonts w:hint="eastAsia" w:ascii="Times New Roman" w:hAnsi="Times New Roman" w:eastAsia="宋体" w:cs="Times New Roman"/>
                <w:kern w:val="2"/>
                <w:sz w:val="24"/>
                <w:szCs w:val="24"/>
                <w:lang w:val="en-US" w:eastAsia="zh-CN" w:bidi="ar"/>
              </w:rPr>
              <w:t>现有生产车间，施工期工作内容主要为设备及环保设施安装，工艺简单；主要污染为噪声，对周边环境造成的影响很小。</w:t>
            </w:r>
          </w:p>
          <w:p w14:paraId="75280F13">
            <w:pPr>
              <w:keepNext w:val="0"/>
              <w:keepLines w:val="0"/>
              <w:pageBreakBefore w:val="0"/>
              <w:widowControl w:val="0"/>
              <w:suppressLineNumbers w:val="0"/>
              <w:tabs>
                <w:tab w:val="left" w:pos="2440"/>
              </w:tabs>
              <w:kinsoku/>
              <w:wordWrap/>
              <w:overflowPunct/>
              <w:topLinePunct w:val="0"/>
              <w:autoSpaceDE/>
              <w:autoSpaceDN/>
              <w:bidi w:val="0"/>
              <w:adjustRightInd w:val="0"/>
              <w:snapToGrid/>
              <w:spacing w:before="0" w:beforeAutospacing="0" w:after="0" w:afterAutospacing="0" w:line="520" w:lineRule="exact"/>
              <w:ind w:left="0" w:right="0" w:firstLine="0" w:firstLineChars="0"/>
              <w:jc w:val="left"/>
              <w:textAlignment w:val="auto"/>
              <w:rPr>
                <w:rFonts w:hint="default"/>
                <w:b/>
                <w:bCs/>
                <w:color w:val="000000" w:themeColor="text1"/>
                <w:sz w:val="24"/>
                <w:szCs w:val="24"/>
                <w:highlight w:val="none"/>
                <w:lang w:val="en-US" w:eastAsia="zh-CN"/>
                <w14:textFill>
                  <w14:solidFill>
                    <w14:schemeClr w14:val="tx1"/>
                  </w14:solidFill>
                </w14:textFill>
              </w:rPr>
            </w:pPr>
            <w:r>
              <w:rPr>
                <w:rFonts w:hint="eastAsia"/>
                <w:b/>
                <w:bCs/>
                <w:color w:val="000000" w:themeColor="text1"/>
                <w:sz w:val="24"/>
                <w:szCs w:val="24"/>
                <w:highlight w:val="none"/>
                <w:lang w:val="en-US" w:eastAsia="zh-CN"/>
                <w14:textFill>
                  <w14:solidFill>
                    <w14:schemeClr w14:val="tx1"/>
                  </w14:solidFill>
                </w14:textFill>
              </w:rPr>
              <w:t>二、营运期</w:t>
            </w:r>
          </w:p>
          <w:p w14:paraId="29C3986D">
            <w:pPr>
              <w:keepNext w:val="0"/>
              <w:keepLines w:val="0"/>
              <w:pageBreakBefore w:val="0"/>
              <w:widowControl w:val="0"/>
              <w:suppressLineNumbers w:val="0"/>
              <w:tabs>
                <w:tab w:val="left" w:pos="2440"/>
              </w:tabs>
              <w:kinsoku/>
              <w:wordWrap/>
              <w:overflowPunct/>
              <w:topLinePunct w:val="0"/>
              <w:autoSpaceDE/>
              <w:autoSpaceDN/>
              <w:bidi w:val="0"/>
              <w:adjustRightInd w:val="0"/>
              <w:snapToGrid/>
              <w:spacing w:before="0" w:beforeAutospacing="0" w:after="0" w:afterAutospacing="0" w:line="520" w:lineRule="exact"/>
              <w:ind w:left="0" w:right="0" w:firstLine="0" w:firstLineChars="0"/>
              <w:jc w:val="left"/>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1、运营期生产工艺流程</w:t>
            </w:r>
          </w:p>
          <w:p w14:paraId="31D41B4C">
            <w:pPr>
              <w:keepNext w:val="0"/>
              <w:keepLines w:val="0"/>
              <w:pageBreakBefore w:val="0"/>
              <w:widowControl w:val="0"/>
              <w:suppressLineNumbers w:val="0"/>
              <w:tabs>
                <w:tab w:val="left" w:pos="8841"/>
              </w:tabs>
              <w:kinsoku/>
              <w:wordWrap/>
              <w:overflowPunct/>
              <w:topLinePunct w:val="0"/>
              <w:autoSpaceDE/>
              <w:autoSpaceDN/>
              <w:bidi w:val="0"/>
              <w:adjustRightInd w:val="0"/>
              <w:snapToGrid w:val="0"/>
              <w:spacing w:before="0" w:beforeAutospacing="0" w:after="0" w:afterAutospacing="0" w:line="520" w:lineRule="exact"/>
              <w:ind w:left="0" w:right="0" w:firstLine="480" w:firstLineChars="200"/>
              <w:textAlignment w:val="auto"/>
              <w:rPr>
                <w:rFonts w:hint="eastAsia"/>
                <w:color w:val="auto"/>
                <w:sz w:val="24"/>
                <w:szCs w:val="24"/>
                <w:lang w:val="en-US" w:eastAsia="zh-CN"/>
              </w:rPr>
            </w:pPr>
            <w:r>
              <w:rPr>
                <w:rFonts w:hint="eastAsia"/>
                <w:color w:val="auto"/>
                <w:sz w:val="24"/>
                <w:szCs w:val="24"/>
                <w:lang w:val="en-US" w:eastAsia="zh-CN"/>
              </w:rPr>
              <w:t>本项目工艺流程及产污环节如下：</w:t>
            </w:r>
          </w:p>
          <w:p w14:paraId="7329945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auto"/>
                <w:kern w:val="2"/>
                <w:sz w:val="21"/>
                <w:szCs w:val="24"/>
                <w:lang w:val="en-US" w:eastAsia="zh-CN" w:bidi="ar"/>
              </w:rPr>
            </w:pPr>
            <w:r>
              <w:rPr>
                <w:rFonts w:hint="default" w:ascii="Times New Roman" w:hAnsi="Times New Roman" w:eastAsia="宋体" w:cs="Times New Roman"/>
                <w:kern w:val="2"/>
                <w:sz w:val="21"/>
                <w:szCs w:val="24"/>
                <w:lang w:val="en-US" w:eastAsia="zh-CN" w:bidi="ar"/>
              </w:rPr>
              <mc:AlternateContent>
                <mc:Choice Requires="wpc">
                  <w:drawing>
                    <wp:inline distT="0" distB="0" distL="114300" distR="114300">
                      <wp:extent cx="4862195" cy="1882775"/>
                      <wp:effectExtent l="0" t="0" r="15240" b="22225"/>
                      <wp:docPr id="32" name="画布 3250"/>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 name="文本框 3252"/>
                              <wps:cNvSpPr txBox="1"/>
                              <wps:spPr>
                                <a:xfrm>
                                  <a:off x="0" y="483870"/>
                                  <a:ext cx="586740" cy="304800"/>
                                </a:xfrm>
                                <a:prstGeom prst="rect">
                                  <a:avLst/>
                                </a:prstGeom>
                                <a:noFill/>
                                <a:ln>
                                  <a:noFill/>
                                </a:ln>
                              </wps:spPr>
                              <wps:txbx>
                                <w:txbxContent>
                                  <w:p w14:paraId="279DC1C4">
                                    <w:pPr>
                                      <w:keepNext w:val="0"/>
                                      <w:keepLines w:val="0"/>
                                      <w:widowControl w:val="0"/>
                                      <w:suppressLineNumbers w:val="0"/>
                                      <w:spacing w:before="0" w:beforeAutospacing="0" w:after="0" w:afterAutospacing="0"/>
                                      <w:ind w:left="0" w:right="0"/>
                                      <w:jc w:val="center"/>
                                    </w:pPr>
                                    <w:r>
                                      <w:rPr>
                                        <w:rFonts w:hint="eastAsia" w:ascii="Times New Roman" w:hAnsi="Times New Roman" w:eastAsia="宋体" w:cs="宋体"/>
                                        <w:kern w:val="2"/>
                                        <w:sz w:val="21"/>
                                        <w:szCs w:val="24"/>
                                        <w:lang w:val="en-US" w:eastAsia="zh-CN" w:bidi="ar"/>
                                      </w:rPr>
                                      <w:t>聚乙烯</w:t>
                                    </w:r>
                                  </w:p>
                                </w:txbxContent>
                              </wps:txbx>
                              <wps:bodyPr upright="0"/>
                            </wps:wsp>
                            <wps:wsp>
                              <wps:cNvPr id="2" name="文本框 3253"/>
                              <wps:cNvSpPr txBox="1"/>
                              <wps:spPr>
                                <a:xfrm>
                                  <a:off x="967105" y="492125"/>
                                  <a:ext cx="633095" cy="29273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D41797A">
                                    <w:pPr>
                                      <w:keepNext w:val="0"/>
                                      <w:keepLines w:val="0"/>
                                      <w:widowControl w:val="0"/>
                                      <w:suppressLineNumbers w:val="0"/>
                                      <w:spacing w:before="0" w:beforeAutospacing="0" w:after="0" w:afterAutospacing="0"/>
                                      <w:ind w:left="0" w:right="0"/>
                                      <w:jc w:val="center"/>
                                    </w:pPr>
                                    <w:r>
                                      <w:rPr>
                                        <w:rFonts w:hint="eastAsia" w:ascii="Times New Roman" w:hAnsi="Times New Roman" w:eastAsia="宋体" w:cs="宋体"/>
                                        <w:kern w:val="2"/>
                                        <w:sz w:val="21"/>
                                        <w:szCs w:val="24"/>
                                        <w:lang w:val="en-US" w:eastAsia="zh-CN" w:bidi="ar"/>
                                      </w:rPr>
                                      <w:t>检验</w:t>
                                    </w:r>
                                  </w:p>
                                </w:txbxContent>
                              </wps:txbx>
                              <wps:bodyPr upright="0"/>
                            </wps:wsp>
                            <wps:wsp>
                              <wps:cNvPr id="3" name="自选图形 3254"/>
                              <wps:cNvCnPr/>
                              <wps:spPr>
                                <a:xfrm>
                                  <a:off x="586740" y="636905"/>
                                  <a:ext cx="380365" cy="1905"/>
                                </a:xfrm>
                                <a:prstGeom prst="straightConnector1">
                                  <a:avLst/>
                                </a:prstGeom>
                                <a:ln w="9525" cap="flat" cmpd="sng">
                                  <a:solidFill>
                                    <a:srgbClr val="000000"/>
                                  </a:solidFill>
                                  <a:prstDash val="solid"/>
                                  <a:headEnd type="none" w="med" len="med"/>
                                  <a:tailEnd type="triangle" w="med" len="med"/>
                                </a:ln>
                              </wps:spPr>
                              <wps:bodyPr/>
                            </wps:wsp>
                            <wps:wsp>
                              <wps:cNvPr id="4" name="文本框 3255"/>
                              <wps:cNvSpPr txBox="1"/>
                              <wps:spPr>
                                <a:xfrm>
                                  <a:off x="2941955" y="504190"/>
                                  <a:ext cx="779145" cy="29146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DBD9DC1">
                                    <w:pPr>
                                      <w:keepNext w:val="0"/>
                                      <w:keepLines w:val="0"/>
                                      <w:widowControl w:val="0"/>
                                      <w:suppressLineNumbers w:val="0"/>
                                      <w:spacing w:before="0" w:beforeAutospacing="0" w:after="0" w:afterAutospacing="0"/>
                                      <w:ind w:left="0" w:right="0"/>
                                      <w:jc w:val="center"/>
                                    </w:pPr>
                                    <w:r>
                                      <w:rPr>
                                        <w:rFonts w:hint="eastAsia" w:ascii="Times New Roman" w:hAnsi="Times New Roman" w:eastAsia="宋体" w:cs="宋体"/>
                                        <w:kern w:val="2"/>
                                        <w:sz w:val="21"/>
                                        <w:szCs w:val="24"/>
                                        <w:lang w:val="en-US" w:eastAsia="zh-CN" w:bidi="ar"/>
                                      </w:rPr>
                                      <w:t>干燥处理</w:t>
                                    </w:r>
                                  </w:p>
                                </w:txbxContent>
                              </wps:txbx>
                              <wps:bodyPr upright="0"/>
                            </wps:wsp>
                            <wps:wsp>
                              <wps:cNvPr id="6" name="自选图形 3256"/>
                              <wps:cNvCnPr/>
                              <wps:spPr>
                                <a:xfrm>
                                  <a:off x="1600200" y="638810"/>
                                  <a:ext cx="358140" cy="1270"/>
                                </a:xfrm>
                                <a:prstGeom prst="straightConnector1">
                                  <a:avLst/>
                                </a:prstGeom>
                                <a:ln w="9525" cap="flat" cmpd="sng">
                                  <a:solidFill>
                                    <a:srgbClr val="000000"/>
                                  </a:solidFill>
                                  <a:prstDash val="solid"/>
                                  <a:headEnd type="none" w="med" len="med"/>
                                  <a:tailEnd type="triangle" w="med" len="med"/>
                                </a:ln>
                              </wps:spPr>
                              <wps:bodyPr/>
                            </wps:wsp>
                            <wps:wsp>
                              <wps:cNvPr id="7" name="文本框 3257"/>
                              <wps:cNvSpPr txBox="1"/>
                              <wps:spPr>
                                <a:xfrm>
                                  <a:off x="1968500" y="498475"/>
                                  <a:ext cx="575945" cy="29146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5C31F5D">
                                    <w:pPr>
                                      <w:keepNext w:val="0"/>
                                      <w:keepLines w:val="0"/>
                                      <w:widowControl w:val="0"/>
                                      <w:suppressLineNumbers w:val="0"/>
                                      <w:spacing w:before="0" w:beforeAutospacing="0" w:after="0" w:afterAutospacing="0"/>
                                      <w:ind w:left="0" w:right="0"/>
                                      <w:jc w:val="center"/>
                                    </w:pPr>
                                    <w:r>
                                      <w:rPr>
                                        <w:rFonts w:hint="eastAsia" w:ascii="Times New Roman" w:hAnsi="Times New Roman" w:eastAsia="宋体" w:cs="宋体"/>
                                        <w:kern w:val="2"/>
                                        <w:sz w:val="21"/>
                                        <w:szCs w:val="24"/>
                                        <w:lang w:val="en-US" w:eastAsia="zh-CN" w:bidi="ar"/>
                                      </w:rPr>
                                      <w:t>上料</w:t>
                                    </w:r>
                                  </w:p>
                                </w:txbxContent>
                              </wps:txbx>
                              <wps:bodyPr upright="0"/>
                            </wps:wsp>
                            <wps:wsp>
                              <wps:cNvPr id="8" name="自选图形 3258"/>
                              <wps:cNvCnPr/>
                              <wps:spPr>
                                <a:xfrm>
                                  <a:off x="2548890" y="643890"/>
                                  <a:ext cx="374650" cy="635"/>
                                </a:xfrm>
                                <a:prstGeom prst="straightConnector1">
                                  <a:avLst/>
                                </a:prstGeom>
                                <a:ln w="9525" cap="flat" cmpd="sng">
                                  <a:solidFill>
                                    <a:srgbClr val="000000"/>
                                  </a:solidFill>
                                  <a:prstDash val="solid"/>
                                  <a:headEnd type="none" w="med" len="med"/>
                                  <a:tailEnd type="triangle" w="med" len="med"/>
                                </a:ln>
                              </wps:spPr>
                              <wps:bodyPr/>
                            </wps:wsp>
                            <wps:wsp>
                              <wps:cNvPr id="10" name="直线 3259"/>
                              <wps:cNvCnPr/>
                              <wps:spPr>
                                <a:xfrm>
                                  <a:off x="4381500" y="788670"/>
                                  <a:ext cx="1270" cy="802005"/>
                                </a:xfrm>
                                <a:prstGeom prst="line">
                                  <a:avLst/>
                                </a:prstGeom>
                                <a:ln w="9525" cap="flat" cmpd="sng">
                                  <a:solidFill>
                                    <a:srgbClr val="000000"/>
                                  </a:solidFill>
                                  <a:prstDash val="solid"/>
                                  <a:headEnd type="none" w="med" len="med"/>
                                  <a:tailEnd type="triangle" w="med" len="med"/>
                                </a:ln>
                              </wps:spPr>
                              <wps:bodyPr upright="1"/>
                            </wps:wsp>
                            <wps:wsp>
                              <wps:cNvPr id="11" name="文本框 3261"/>
                              <wps:cNvSpPr txBox="1"/>
                              <wps:spPr>
                                <a:xfrm>
                                  <a:off x="3972560" y="1588770"/>
                                  <a:ext cx="821690" cy="29146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DFF66AC">
                                    <w:pPr>
                                      <w:keepNext w:val="0"/>
                                      <w:keepLines w:val="0"/>
                                      <w:widowControl w:val="0"/>
                                      <w:suppressLineNumbers w:val="0"/>
                                      <w:spacing w:before="0" w:beforeAutospacing="0" w:after="0" w:afterAutospacing="0"/>
                                      <w:ind w:left="0" w:right="0"/>
                                      <w:jc w:val="center"/>
                                    </w:pPr>
                                    <w:r>
                                      <w:rPr>
                                        <w:rFonts w:hint="eastAsia" w:ascii="Times New Roman" w:hAnsi="Times New Roman" w:eastAsia="宋体" w:cs="宋体"/>
                                        <w:kern w:val="2"/>
                                        <w:sz w:val="21"/>
                                        <w:szCs w:val="24"/>
                                        <w:lang w:val="en-US" w:eastAsia="zh-CN" w:bidi="ar"/>
                                      </w:rPr>
                                      <w:t>拉丝成型</w:t>
                                    </w:r>
                                  </w:p>
                                </w:txbxContent>
                              </wps:txbx>
                              <wps:bodyPr upright="0"/>
                            </wps:wsp>
                            <wps:wsp>
                              <wps:cNvPr id="12" name="文本框 3262"/>
                              <wps:cNvSpPr txBox="1"/>
                              <wps:spPr>
                                <a:xfrm>
                                  <a:off x="2957830" y="1590675"/>
                                  <a:ext cx="575945" cy="29146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B5046E2">
                                    <w:pPr>
                                      <w:keepNext w:val="0"/>
                                      <w:keepLines w:val="0"/>
                                      <w:widowControl w:val="0"/>
                                      <w:suppressLineNumbers w:val="0"/>
                                      <w:spacing w:before="0" w:beforeAutospacing="0" w:after="0" w:afterAutospacing="0"/>
                                      <w:ind w:left="0" w:right="0"/>
                                      <w:jc w:val="center"/>
                                    </w:pPr>
                                    <w:r>
                                      <w:rPr>
                                        <w:rFonts w:hint="eastAsia" w:ascii="Times New Roman" w:hAnsi="Times New Roman" w:eastAsia="宋体" w:cs="宋体"/>
                                        <w:kern w:val="2"/>
                                        <w:sz w:val="21"/>
                                        <w:szCs w:val="24"/>
                                        <w:lang w:val="en-US" w:eastAsia="zh-CN" w:bidi="ar"/>
                                      </w:rPr>
                                      <w:t>织布</w:t>
                                    </w:r>
                                  </w:p>
                                </w:txbxContent>
                              </wps:txbx>
                              <wps:bodyPr upright="0"/>
                            </wps:wsp>
                            <wps:wsp>
                              <wps:cNvPr id="13" name="自选图形 3264"/>
                              <wps:cNvCnPr/>
                              <wps:spPr>
                                <a:xfrm flipH="1">
                                  <a:off x="3533775" y="1734820"/>
                                  <a:ext cx="431165" cy="635"/>
                                </a:xfrm>
                                <a:prstGeom prst="straightConnector1">
                                  <a:avLst/>
                                </a:prstGeom>
                                <a:ln w="9525" cap="flat" cmpd="sng">
                                  <a:solidFill>
                                    <a:srgbClr val="000000"/>
                                  </a:solidFill>
                                  <a:prstDash val="solid"/>
                                  <a:headEnd type="none" w="med" len="med"/>
                                  <a:tailEnd type="triangle" w="med" len="med"/>
                                </a:ln>
                              </wps:spPr>
                              <wps:bodyPr/>
                            </wps:wsp>
                            <wps:wsp>
                              <wps:cNvPr id="17" name="直线 3269"/>
                              <wps:cNvCnPr/>
                              <wps:spPr>
                                <a:xfrm rot="10800000">
                                  <a:off x="3315970" y="292735"/>
                                  <a:ext cx="635" cy="198120"/>
                                </a:xfrm>
                                <a:prstGeom prst="line">
                                  <a:avLst/>
                                </a:prstGeom>
                                <a:ln w="9525" cap="flat" cmpd="sng">
                                  <a:solidFill>
                                    <a:srgbClr val="000000"/>
                                  </a:solidFill>
                                  <a:prstDash val="dash"/>
                                  <a:headEnd type="none" w="med" len="med"/>
                                  <a:tailEnd type="triangle" w="med" len="med"/>
                                </a:ln>
                              </wps:spPr>
                              <wps:bodyPr upright="1"/>
                            </wps:wsp>
                            <wps:wsp>
                              <wps:cNvPr id="18" name="文本框 3270"/>
                              <wps:cNvSpPr txBox="1"/>
                              <wps:spPr>
                                <a:xfrm>
                                  <a:off x="2842260" y="8255"/>
                                  <a:ext cx="933450" cy="292735"/>
                                </a:xfrm>
                                <a:prstGeom prst="rect">
                                  <a:avLst/>
                                </a:prstGeom>
                                <a:noFill/>
                                <a:ln>
                                  <a:noFill/>
                                </a:ln>
                              </wps:spPr>
                              <wps:txbx>
                                <w:txbxContent>
                                  <w:p w14:paraId="688C291B">
                                    <w:pPr>
                                      <w:keepNext w:val="0"/>
                                      <w:keepLines w:val="0"/>
                                      <w:widowControl w:val="0"/>
                                      <w:suppressLineNumbers w:val="0"/>
                                      <w:spacing w:before="0" w:beforeAutospacing="0" w:after="0" w:afterAutospacing="0"/>
                                      <w:ind w:left="0" w:right="0"/>
                                      <w:jc w:val="center"/>
                                    </w:pPr>
                                    <w:r>
                                      <w:rPr>
                                        <w:rFonts w:hint="eastAsia" w:ascii="Times New Roman" w:hAnsi="Times New Roman" w:eastAsia="宋体" w:cs="宋体"/>
                                        <w:kern w:val="2"/>
                                        <w:sz w:val="21"/>
                                        <w:szCs w:val="24"/>
                                        <w:lang w:val="en-US" w:eastAsia="zh-CN" w:bidi="ar"/>
                                      </w:rPr>
                                      <w:t>噪声</w:t>
                                    </w:r>
                                  </w:p>
                                </w:txbxContent>
                              </wps:txbx>
                              <wps:bodyPr upright="0"/>
                            </wps:wsp>
                            <wps:wsp>
                              <wps:cNvPr id="19" name="文本框 3273"/>
                              <wps:cNvSpPr txBox="1"/>
                              <wps:spPr>
                                <a:xfrm>
                                  <a:off x="1948180" y="1591310"/>
                                  <a:ext cx="575945" cy="291465"/>
                                </a:xfrm>
                                <a:prstGeom prst="rect">
                                  <a:avLst/>
                                </a:prstGeom>
                                <a:noFill/>
                                <a:ln w="9525" cap="flat" cmpd="sng">
                                  <a:solidFill>
                                    <a:srgbClr val="000000"/>
                                  </a:solidFill>
                                  <a:prstDash val="solid"/>
                                  <a:miter/>
                                  <a:headEnd type="none" w="med" len="med"/>
                                  <a:tailEnd type="none" w="med" len="med"/>
                                </a:ln>
                              </wps:spPr>
                              <wps:txbx>
                                <w:txbxContent>
                                  <w:p w14:paraId="66F2A55B">
                                    <w:pPr>
                                      <w:keepNext w:val="0"/>
                                      <w:keepLines w:val="0"/>
                                      <w:widowControl w:val="0"/>
                                      <w:suppressLineNumbers w:val="0"/>
                                      <w:spacing w:before="0" w:beforeAutospacing="0" w:after="0" w:afterAutospacing="0"/>
                                      <w:ind w:left="0" w:right="0"/>
                                      <w:jc w:val="center"/>
                                    </w:pPr>
                                    <w:r>
                                      <w:rPr>
                                        <w:rFonts w:hint="eastAsia" w:ascii="Times New Roman" w:hAnsi="Times New Roman" w:eastAsia="宋体" w:cs="宋体"/>
                                        <w:kern w:val="2"/>
                                        <w:sz w:val="21"/>
                                        <w:szCs w:val="24"/>
                                        <w:lang w:val="en-US" w:eastAsia="zh-CN" w:bidi="ar"/>
                                      </w:rPr>
                                      <w:t>覆膜</w:t>
                                    </w:r>
                                  </w:p>
                                </w:txbxContent>
                              </wps:txbx>
                              <wps:bodyPr upright="0"/>
                            </wps:wsp>
                            <wps:wsp>
                              <wps:cNvPr id="20" name="自选图形 3274"/>
                              <wps:cNvCnPr/>
                              <wps:spPr>
                                <a:xfrm flipH="1">
                                  <a:off x="2523490" y="1734185"/>
                                  <a:ext cx="431165" cy="635"/>
                                </a:xfrm>
                                <a:prstGeom prst="straightConnector1">
                                  <a:avLst/>
                                </a:prstGeom>
                                <a:ln w="9525" cap="flat" cmpd="sng">
                                  <a:solidFill>
                                    <a:srgbClr val="000000"/>
                                  </a:solidFill>
                                  <a:prstDash val="solid"/>
                                  <a:headEnd type="none" w="med" len="med"/>
                                  <a:tailEnd type="triangle" w="med" len="med"/>
                                </a:ln>
                              </wps:spPr>
                              <wps:bodyPr/>
                            </wps:wsp>
                            <wps:wsp>
                              <wps:cNvPr id="21" name="文本框 3277"/>
                              <wps:cNvSpPr txBox="1"/>
                              <wps:spPr>
                                <a:xfrm>
                                  <a:off x="4105275" y="489585"/>
                                  <a:ext cx="575945" cy="29146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CC627AC">
                                    <w:pPr>
                                      <w:keepNext w:val="0"/>
                                      <w:keepLines w:val="0"/>
                                      <w:widowControl w:val="0"/>
                                      <w:suppressLineNumbers w:val="0"/>
                                      <w:spacing w:before="0" w:beforeAutospacing="0" w:after="0" w:afterAutospacing="0"/>
                                      <w:ind w:left="0" w:right="0"/>
                                      <w:jc w:val="center"/>
                                    </w:pPr>
                                    <w:r>
                                      <w:rPr>
                                        <w:rFonts w:hint="eastAsia" w:ascii="Times New Roman" w:hAnsi="Times New Roman" w:eastAsia="宋体" w:cs="宋体"/>
                                        <w:kern w:val="2"/>
                                        <w:sz w:val="21"/>
                                        <w:szCs w:val="24"/>
                                        <w:lang w:val="en-US" w:eastAsia="zh-CN" w:bidi="ar"/>
                                      </w:rPr>
                                      <w:t>挤出</w:t>
                                    </w:r>
                                  </w:p>
                                </w:txbxContent>
                              </wps:txbx>
                              <wps:bodyPr upright="0"/>
                            </wps:wsp>
                            <wps:wsp>
                              <wps:cNvPr id="22" name="自选图形 3278"/>
                              <wps:cNvCnPr/>
                              <wps:spPr>
                                <a:xfrm>
                                  <a:off x="3722370" y="635000"/>
                                  <a:ext cx="382905" cy="635"/>
                                </a:xfrm>
                                <a:prstGeom prst="straightConnector1">
                                  <a:avLst/>
                                </a:prstGeom>
                                <a:ln w="9525" cap="flat" cmpd="sng">
                                  <a:solidFill>
                                    <a:srgbClr val="000000"/>
                                  </a:solidFill>
                                  <a:prstDash val="solid"/>
                                  <a:headEnd type="none" w="med" len="med"/>
                                  <a:tailEnd type="triangle" w="med" len="med"/>
                                </a:ln>
                              </wps:spPr>
                              <wps:bodyPr/>
                            </wps:wsp>
                            <wps:wsp>
                              <wps:cNvPr id="23" name="直线 3279"/>
                              <wps:cNvCnPr/>
                              <wps:spPr>
                                <a:xfrm rot="10800000">
                                  <a:off x="4393565" y="289560"/>
                                  <a:ext cx="635" cy="198120"/>
                                </a:xfrm>
                                <a:prstGeom prst="line">
                                  <a:avLst/>
                                </a:prstGeom>
                                <a:ln w="9525" cap="flat" cmpd="sng">
                                  <a:solidFill>
                                    <a:srgbClr val="000000"/>
                                  </a:solidFill>
                                  <a:prstDash val="dash"/>
                                  <a:headEnd type="none" w="med" len="med"/>
                                  <a:tailEnd type="triangle" w="med" len="med"/>
                                </a:ln>
                              </wps:spPr>
                              <wps:bodyPr upright="1"/>
                            </wps:wsp>
                            <wps:wsp>
                              <wps:cNvPr id="24" name="文本框 3280"/>
                              <wps:cNvSpPr txBox="1"/>
                              <wps:spPr>
                                <a:xfrm>
                                  <a:off x="3589655" y="0"/>
                                  <a:ext cx="1266190" cy="292735"/>
                                </a:xfrm>
                                <a:prstGeom prst="rect">
                                  <a:avLst/>
                                </a:prstGeom>
                                <a:noFill/>
                                <a:ln>
                                  <a:noFill/>
                                </a:ln>
                              </wps:spPr>
                              <wps:txbx>
                                <w:txbxContent>
                                  <w:p w14:paraId="552EC9AB">
                                    <w:pPr>
                                      <w:keepNext w:val="0"/>
                                      <w:keepLines w:val="0"/>
                                      <w:widowControl w:val="0"/>
                                      <w:suppressLineNumbers w:val="0"/>
                                      <w:spacing w:before="0" w:beforeAutospacing="0" w:after="0" w:afterAutospacing="0"/>
                                      <w:ind w:left="0" w:right="0"/>
                                      <w:jc w:val="center"/>
                                      <w:rPr>
                                        <w:rFonts w:hint="default"/>
                                        <w:lang w:val="en-US"/>
                                      </w:rPr>
                                    </w:pPr>
                                    <w:r>
                                      <w:rPr>
                                        <w:rFonts w:hint="eastAsia" w:cs="宋体"/>
                                        <w:kern w:val="2"/>
                                        <w:sz w:val="21"/>
                                        <w:szCs w:val="24"/>
                                        <w:lang w:val="en-US" w:eastAsia="zh-CN" w:bidi="ar"/>
                                      </w:rPr>
                                      <w:t>废气、</w:t>
                                    </w:r>
                                    <w:r>
                                      <w:rPr>
                                        <w:rFonts w:hint="eastAsia" w:ascii="Times New Roman" w:hAnsi="Times New Roman" w:eastAsia="宋体" w:cs="宋体"/>
                                        <w:kern w:val="2"/>
                                        <w:sz w:val="21"/>
                                        <w:szCs w:val="24"/>
                                        <w:lang w:val="en-US" w:eastAsia="zh-CN" w:bidi="ar"/>
                                      </w:rPr>
                                      <w:t>废水</w:t>
                                    </w:r>
                                    <w:r>
                                      <w:rPr>
                                        <w:rFonts w:hint="eastAsia" w:cs="宋体"/>
                                        <w:kern w:val="2"/>
                                        <w:sz w:val="21"/>
                                        <w:szCs w:val="24"/>
                                        <w:lang w:val="en-US" w:eastAsia="zh-CN" w:bidi="ar"/>
                                      </w:rPr>
                                      <w:t>、噪声</w:t>
                                    </w:r>
                                  </w:p>
                                </w:txbxContent>
                              </wps:txbx>
                              <wps:bodyPr upright="0"/>
                            </wps:wsp>
                            <wps:wsp>
                              <wps:cNvPr id="30" name="文本框 3273_SpCnt_1"/>
                              <wps:cNvSpPr txBox="1"/>
                              <wps:spPr>
                                <a:xfrm>
                                  <a:off x="937260" y="1575435"/>
                                  <a:ext cx="575945" cy="291465"/>
                                </a:xfrm>
                                <a:prstGeom prst="rect">
                                  <a:avLst/>
                                </a:prstGeom>
                                <a:noFill/>
                                <a:ln>
                                  <a:noFill/>
                                </a:ln>
                              </wps:spPr>
                              <wps:txbx>
                                <w:txbxContent>
                                  <w:p w14:paraId="14ED8417">
                                    <w:pPr>
                                      <w:keepNext w:val="0"/>
                                      <w:keepLines w:val="0"/>
                                      <w:widowControl w:val="0"/>
                                      <w:suppressLineNumbers w:val="0"/>
                                      <w:spacing w:before="0" w:beforeAutospacing="0" w:after="0" w:afterAutospacing="0"/>
                                      <w:ind w:left="0" w:right="0"/>
                                      <w:jc w:val="center"/>
                                    </w:pPr>
                                    <w:r>
                                      <w:rPr>
                                        <w:rFonts w:hint="eastAsia" w:ascii="Times New Roman" w:hAnsi="Times New Roman" w:eastAsia="宋体" w:cs="宋体"/>
                                        <w:kern w:val="2"/>
                                        <w:sz w:val="21"/>
                                        <w:szCs w:val="24"/>
                                        <w:lang w:val="en-US" w:eastAsia="zh-CN" w:bidi="ar"/>
                                      </w:rPr>
                                      <w:t>成品</w:t>
                                    </w:r>
                                  </w:p>
                                </w:txbxContent>
                              </wps:txbx>
                              <wps:bodyPr upright="0"/>
                            </wps:wsp>
                            <wps:wsp>
                              <wps:cNvPr id="31" name="自选图形 3274_SpCnt_1"/>
                              <wps:cNvCnPr/>
                              <wps:spPr>
                                <a:xfrm flipH="1">
                                  <a:off x="1512570" y="1728470"/>
                                  <a:ext cx="431165" cy="635"/>
                                </a:xfrm>
                                <a:prstGeom prst="straightConnector1">
                                  <a:avLst/>
                                </a:prstGeom>
                                <a:ln w="9525" cap="flat" cmpd="sng">
                                  <a:solidFill>
                                    <a:srgbClr val="000000"/>
                                  </a:solidFill>
                                  <a:prstDash val="solid"/>
                                  <a:headEnd type="none" w="med" len="med"/>
                                  <a:tailEnd type="triangle" w="med" len="med"/>
                                </a:ln>
                              </wps:spPr>
                              <wps:bodyPr/>
                            </wps:wsp>
                            <wps:wsp>
                              <wps:cNvPr id="33" name="文本框 3252"/>
                              <wps:cNvSpPr txBox="1"/>
                              <wps:spPr>
                                <a:xfrm>
                                  <a:off x="1943735" y="896620"/>
                                  <a:ext cx="586740" cy="304800"/>
                                </a:xfrm>
                                <a:prstGeom prst="rect">
                                  <a:avLst/>
                                </a:prstGeom>
                                <a:noFill/>
                                <a:ln>
                                  <a:noFill/>
                                </a:ln>
                              </wps:spPr>
                              <wps:txbx>
                                <w:txbxContent>
                                  <w:p w14:paraId="2C0E542C">
                                    <w:pPr>
                                      <w:keepNext w:val="0"/>
                                      <w:keepLines w:val="0"/>
                                      <w:widowControl w:val="0"/>
                                      <w:suppressLineNumbers w:val="0"/>
                                      <w:spacing w:before="0" w:beforeAutospacing="0" w:after="0" w:afterAutospacing="0"/>
                                      <w:ind w:left="0" w:right="0"/>
                                      <w:jc w:val="center"/>
                                    </w:pPr>
                                    <w:r>
                                      <w:rPr>
                                        <w:rFonts w:hint="eastAsia" w:ascii="Times New Roman" w:hAnsi="Times New Roman" w:eastAsia="宋体" w:cs="宋体"/>
                                        <w:kern w:val="2"/>
                                        <w:sz w:val="21"/>
                                        <w:szCs w:val="24"/>
                                        <w:lang w:val="en-US" w:eastAsia="zh-CN" w:bidi="ar"/>
                                      </w:rPr>
                                      <w:t>聚乙烯</w:t>
                                    </w:r>
                                  </w:p>
                                </w:txbxContent>
                              </wps:txbx>
                              <wps:bodyPr upright="0"/>
                            </wps:wsp>
                            <wps:wsp>
                              <wps:cNvPr id="34" name="直接箭头连接符 34"/>
                              <wps:cNvCnPr>
                                <a:stCxn id="33" idx="2"/>
                                <a:endCxn id="19" idx="0"/>
                              </wps:cNvCnPr>
                              <wps:spPr>
                                <a:xfrm flipH="1">
                                  <a:off x="2236470" y="1201420"/>
                                  <a:ext cx="635" cy="389890"/>
                                </a:xfrm>
                                <a:prstGeom prst="straightConnector1">
                                  <a:avLst/>
                                </a:prstGeom>
                                <a:ln w="9525">
                                  <a:solidFill>
                                    <a:schemeClr val="tx1"/>
                                  </a:solidFill>
                                  <a:tailEnd type="triangle"/>
                                </a:ln>
                              </wps:spPr>
                              <wps:style>
                                <a:lnRef idx="2">
                                  <a:schemeClr val="accent1"/>
                                </a:lnRef>
                                <a:fillRef idx="0">
                                  <a:srgbClr val="FFFFFF"/>
                                </a:fillRef>
                                <a:effectRef idx="0">
                                  <a:srgbClr val="FFFFFF"/>
                                </a:effectRef>
                                <a:fontRef idx="minor">
                                  <a:schemeClr val="tx1"/>
                                </a:fontRef>
                              </wps:style>
                              <wps:bodyPr/>
                            </wps:wsp>
                            <wps:wsp>
                              <wps:cNvPr id="15" name="直线 3265"/>
                              <wps:cNvCnPr/>
                              <wps:spPr>
                                <a:xfrm rot="10800000">
                                  <a:off x="2449195" y="1402080"/>
                                  <a:ext cx="635" cy="198120"/>
                                </a:xfrm>
                                <a:prstGeom prst="line">
                                  <a:avLst/>
                                </a:prstGeom>
                                <a:ln w="9525" cap="flat" cmpd="sng">
                                  <a:solidFill>
                                    <a:srgbClr val="000000"/>
                                  </a:solidFill>
                                  <a:prstDash val="dash"/>
                                  <a:headEnd type="none" w="med" len="med"/>
                                  <a:tailEnd type="triangle" w="med" len="med"/>
                                </a:ln>
                              </wps:spPr>
                              <wps:bodyPr upright="1"/>
                            </wps:wsp>
                            <wps:wsp>
                              <wps:cNvPr id="25" name="文本框 3268"/>
                              <wps:cNvSpPr txBox="1"/>
                              <wps:spPr>
                                <a:xfrm>
                                  <a:off x="1986915" y="1125855"/>
                                  <a:ext cx="1200785" cy="292735"/>
                                </a:xfrm>
                                <a:prstGeom prst="rect">
                                  <a:avLst/>
                                </a:prstGeom>
                                <a:noFill/>
                                <a:ln>
                                  <a:noFill/>
                                </a:ln>
                              </wps:spPr>
                              <wps:txbx>
                                <w:txbxContent>
                                  <w:p w14:paraId="3FCD00CF">
                                    <w:pPr>
                                      <w:keepNext w:val="0"/>
                                      <w:keepLines w:val="0"/>
                                      <w:widowControl w:val="0"/>
                                      <w:suppressLineNumbers w:val="0"/>
                                      <w:spacing w:before="0" w:beforeAutospacing="0" w:after="0" w:afterAutospacing="0"/>
                                      <w:ind w:left="0" w:right="0"/>
                                      <w:jc w:val="center"/>
                                      <w:rPr>
                                        <w:rFonts w:hint="default"/>
                                        <w:lang w:val="en-US"/>
                                      </w:rPr>
                                    </w:pPr>
                                    <w:r>
                                      <w:rPr>
                                        <w:rFonts w:hint="eastAsia" w:cs="宋体"/>
                                        <w:kern w:val="2"/>
                                        <w:sz w:val="21"/>
                                        <w:szCs w:val="24"/>
                                        <w:lang w:val="en-US" w:eastAsia="zh-CN" w:bidi="ar"/>
                                      </w:rPr>
                                      <w:t>废气、噪声</w:t>
                                    </w:r>
                                  </w:p>
                                </w:txbxContent>
                              </wps:txbx>
                              <wps:bodyPr upright="0"/>
                            </wps:wsp>
                            <wps:wsp>
                              <wps:cNvPr id="26" name="直线 3265"/>
                              <wps:cNvCnPr/>
                              <wps:spPr>
                                <a:xfrm rot="10800000">
                                  <a:off x="3268345" y="1392555"/>
                                  <a:ext cx="635" cy="198120"/>
                                </a:xfrm>
                                <a:prstGeom prst="line">
                                  <a:avLst/>
                                </a:prstGeom>
                                <a:ln w="9525" cap="flat" cmpd="sng">
                                  <a:solidFill>
                                    <a:srgbClr val="000000"/>
                                  </a:solidFill>
                                  <a:prstDash val="dash"/>
                                  <a:headEnd type="none" w="med" len="med"/>
                                  <a:tailEnd type="triangle" w="med" len="med"/>
                                </a:ln>
                              </wps:spPr>
                              <wps:bodyPr upright="1"/>
                            </wps:wsp>
                            <wps:wsp>
                              <wps:cNvPr id="27" name="文本框 3268"/>
                              <wps:cNvSpPr txBox="1"/>
                              <wps:spPr>
                                <a:xfrm>
                                  <a:off x="2663190" y="1116330"/>
                                  <a:ext cx="1200785" cy="292735"/>
                                </a:xfrm>
                                <a:prstGeom prst="rect">
                                  <a:avLst/>
                                </a:prstGeom>
                                <a:noFill/>
                                <a:ln>
                                  <a:noFill/>
                                </a:ln>
                              </wps:spPr>
                              <wps:txbx>
                                <w:txbxContent>
                                  <w:p w14:paraId="54B2EA7F">
                                    <w:pPr>
                                      <w:keepNext w:val="0"/>
                                      <w:keepLines w:val="0"/>
                                      <w:widowControl w:val="0"/>
                                      <w:suppressLineNumbers w:val="0"/>
                                      <w:spacing w:before="0" w:beforeAutospacing="0" w:after="0" w:afterAutospacing="0"/>
                                      <w:ind w:left="0" w:right="0"/>
                                      <w:jc w:val="center"/>
                                    </w:pPr>
                                    <w:r>
                                      <w:rPr>
                                        <w:rFonts w:hint="eastAsia" w:ascii="Times New Roman" w:hAnsi="Times New Roman" w:eastAsia="宋体" w:cs="宋体"/>
                                        <w:kern w:val="2"/>
                                        <w:sz w:val="21"/>
                                        <w:szCs w:val="24"/>
                                        <w:lang w:val="en-US" w:eastAsia="zh-CN" w:bidi="ar"/>
                                      </w:rPr>
                                      <w:t>噪声</w:t>
                                    </w:r>
                                  </w:p>
                                </w:txbxContent>
                              </wps:txbx>
                              <wps:bodyPr upright="0"/>
                            </wps:wsp>
                          </wpc:wpc>
                        </a:graphicData>
                      </a:graphic>
                    </wp:inline>
                  </w:drawing>
                </mc:Choice>
                <mc:Fallback>
                  <w:pict>
                    <v:group id="画布 3250" o:spid="_x0000_s1026" o:spt="203" style="height:148.25pt;width:382.85pt;" coordsize="4862195,1882775" editas="canvas" o:gfxdata="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">
                      <o:lock v:ext="edit" aspectratio="f"/>
                      <v:shape id="画布 3250" o:spid="_x0000_s1026" style="position:absolute;left:0;top:0;height:1882775;width:4862195;" filled="f" stroked="f" coordsize="21600,21600" o:gfxdata="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">
                        <v:fill on="f" focussize="0,0"/>
                        <v:stroke on="f"/>
                        <v:imagedata o:title=""/>
                        <o:lock v:ext="edit" aspectratio="t"/>
                      </v:shape>
                      <v:shape id="文本框 3252" o:spid="_x0000_s1026" o:spt="202" type="#_x0000_t202" style="position:absolute;left:0;top:483870;height:304800;width:586740;" filled="f" stroked="f" coordsize="21600,21600" o:gfxdata="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187u&#10;ZNQAAAAFAQAADwAAAAAAAAABACAAAAAiAAAAZHJzL2Rvd25yZXYueG1sUEsBAhQAFAAAAAgAh07i&#10;QFIEA2C0AQAAVQMAAA4AAAAAAAAAAQAgAAAAIwEAAGRycy9lMm9Eb2MueG1sUEsFBgAAAAAGAAYA&#10;WQEAAEkFAAAAAA==&#10;">
                        <v:fill on="f" focussize="0,0"/>
                        <v:stroke on="f"/>
                        <v:imagedata o:title=""/>
                        <o:lock v:ext="edit" aspectratio="f"/>
                        <v:textbox>
                          <w:txbxContent>
                            <w:p w14:paraId="279DC1C4">
                              <w:pPr>
                                <w:keepNext w:val="0"/>
                                <w:keepLines w:val="0"/>
                                <w:widowControl w:val="0"/>
                                <w:suppressLineNumbers w:val="0"/>
                                <w:spacing w:before="0" w:beforeAutospacing="0" w:after="0" w:afterAutospacing="0"/>
                                <w:ind w:left="0" w:right="0"/>
                                <w:jc w:val="center"/>
                              </w:pPr>
                              <w:r>
                                <w:rPr>
                                  <w:rFonts w:hint="eastAsia" w:ascii="Times New Roman" w:hAnsi="Times New Roman" w:eastAsia="宋体" w:cs="宋体"/>
                                  <w:kern w:val="2"/>
                                  <w:sz w:val="21"/>
                                  <w:szCs w:val="24"/>
                                  <w:lang w:val="en-US" w:eastAsia="zh-CN" w:bidi="ar"/>
                                </w:rPr>
                                <w:t>聚乙烯</w:t>
                              </w:r>
                            </w:p>
                          </w:txbxContent>
                        </v:textbox>
                      </v:shape>
                      <v:shape id="文本框 3253" o:spid="_x0000_s1026" o:spt="202" type="#_x0000_t202" style="position:absolute;left:967105;top:492125;height:292735;width:633095;" fillcolor="#FFFFFF" filled="t" stroked="t" coordsize="21600,21600" o:gfxdata="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k/bLZ1gAAAAUBAAAPAAAA&#10;AAAAAAEAIAAAACIAAABkcnMvZG93bnJldi54bWxQSwECFAAUAAAACACHTuJAge/cSxcCAABCBAAA&#10;DgAAAAAAAAABACAAAAAlAQAAZHJzL2Uyb0RvYy54bWxQSwUGAAAAAAYABgBZAQAArgUAAAAA&#10;">
                        <v:fill on="t" focussize="0,0"/>
                        <v:stroke color="#000000" joinstyle="miter"/>
                        <v:imagedata o:title=""/>
                        <o:lock v:ext="edit" aspectratio="f"/>
                        <v:textbox>
                          <w:txbxContent>
                            <w:p w14:paraId="1D41797A">
                              <w:pPr>
                                <w:keepNext w:val="0"/>
                                <w:keepLines w:val="0"/>
                                <w:widowControl w:val="0"/>
                                <w:suppressLineNumbers w:val="0"/>
                                <w:spacing w:before="0" w:beforeAutospacing="0" w:after="0" w:afterAutospacing="0"/>
                                <w:ind w:left="0" w:right="0"/>
                                <w:jc w:val="center"/>
                              </w:pPr>
                              <w:r>
                                <w:rPr>
                                  <w:rFonts w:hint="eastAsia" w:ascii="Times New Roman" w:hAnsi="Times New Roman" w:eastAsia="宋体" w:cs="宋体"/>
                                  <w:kern w:val="2"/>
                                  <w:sz w:val="21"/>
                                  <w:szCs w:val="24"/>
                                  <w:lang w:val="en-US" w:eastAsia="zh-CN" w:bidi="ar"/>
                                </w:rPr>
                                <w:t>检验</w:t>
                              </w:r>
                            </w:p>
                          </w:txbxContent>
                        </v:textbox>
                      </v:shape>
                      <v:shape id="自选图形 3254" o:spid="_x0000_s1026" o:spt="32" type="#_x0000_t32" style="position:absolute;left:586740;top:636905;height:1905;width:380365;" filled="f" stroked="t" coordsize="21600,21600" o:gfxdata="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MDXDD1wAAAAUBAAAPAAAAAAAAAAEAIAAA&#10;ACIAAABkcnMvZG93bnJldi54bWxQSwECFAAUAAAACACHTuJAOCgiPw0CAAD2AwAADgAAAAAAAAAB&#10;ACAAAAAmAQAAZHJzL2Uyb0RvYy54bWxQSwUGAAAAAAYABgBZAQAApQUAAAAA&#10;">
                        <v:fill on="f" focussize="0,0"/>
                        <v:stroke color="#000000" joinstyle="round" endarrow="block"/>
                        <v:imagedata o:title=""/>
                        <o:lock v:ext="edit" aspectratio="f"/>
                      </v:shape>
                      <v:shape id="文本框 3255" o:spid="_x0000_s1026" o:spt="202" type="#_x0000_t202" style="position:absolute;left:2941955;top:504190;height:291465;width:779145;" fillcolor="#FFFFFF" filled="t" stroked="t" coordsize="21600,21600" o:gfxdata="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ZP2y2dYAAAAFAQAADwAAAAAA&#10;AAABACAAAAAiAAAAZHJzL2Rvd25yZXYueG1sUEsBAhQAFAAAAAgAh07iQMyMyKkVAgAAQwQAAA4A&#10;AAAAAAAAAQAgAAAAJQEAAGRycy9lMm9Eb2MueG1sUEsFBgAAAAAGAAYAWQEAAKwFAAAAAA==&#10;">
                        <v:fill on="t" focussize="0,0"/>
                        <v:stroke color="#000000" joinstyle="miter"/>
                        <v:imagedata o:title=""/>
                        <o:lock v:ext="edit" aspectratio="f"/>
                        <v:textbox>
                          <w:txbxContent>
                            <w:p w14:paraId="5DBD9DC1">
                              <w:pPr>
                                <w:keepNext w:val="0"/>
                                <w:keepLines w:val="0"/>
                                <w:widowControl w:val="0"/>
                                <w:suppressLineNumbers w:val="0"/>
                                <w:spacing w:before="0" w:beforeAutospacing="0" w:after="0" w:afterAutospacing="0"/>
                                <w:ind w:left="0" w:right="0"/>
                                <w:jc w:val="center"/>
                              </w:pPr>
                              <w:r>
                                <w:rPr>
                                  <w:rFonts w:hint="eastAsia" w:ascii="Times New Roman" w:hAnsi="Times New Roman" w:eastAsia="宋体" w:cs="宋体"/>
                                  <w:kern w:val="2"/>
                                  <w:sz w:val="21"/>
                                  <w:szCs w:val="24"/>
                                  <w:lang w:val="en-US" w:eastAsia="zh-CN" w:bidi="ar"/>
                                </w:rPr>
                                <w:t>干燥处理</w:t>
                              </w:r>
                            </w:p>
                          </w:txbxContent>
                        </v:textbox>
                      </v:shape>
                      <v:shape id="自选图形 3256" o:spid="_x0000_s1026" o:spt="32" type="#_x0000_t32" style="position:absolute;left:1600200;top:638810;height:1270;width:358140;" filled="f" stroked="t" coordsize="21600,21600" o:gfxdata="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EwNcMPXAAAABQEAAA8AAAAAAAAAAQAgAAAA&#10;IgAAAGRycy9kb3ducmV2LnhtbFBLAQIUABQAAAAIAIdO4kBYTvmEDAIAAPcDAAAOAAAAAAAAAAEA&#10;IAAAACYBAABkcnMvZTJvRG9jLnhtbFBLBQYAAAAABgAGAFkBAACkBQAAAAA=&#10;">
                        <v:fill on="f" focussize="0,0"/>
                        <v:stroke color="#000000" joinstyle="round" endarrow="block"/>
                        <v:imagedata o:title=""/>
                        <o:lock v:ext="edit" aspectratio="f"/>
                      </v:shape>
                      <v:shape id="文本框 3257" o:spid="_x0000_s1026" o:spt="202" type="#_x0000_t202" style="position:absolute;left:1968500;top:498475;height:291465;width:575945;" fillcolor="#FFFFFF" filled="t" stroked="t" coordsize="21600,21600" o:gfxdata="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ZP2y2dYAAAAFAQAADwAA&#10;AAAAAAABACAAAAAiAAAAZHJzL2Rvd25yZXYueG1sUEsBAhQAFAAAAAgAh07iQNOGNowYAgAAQwQA&#10;AA4AAAAAAAAAAQAgAAAAJQEAAGRycy9lMm9Eb2MueG1sUEsFBgAAAAAGAAYAWQEAAK8FAAAAAA==&#10;">
                        <v:fill on="t" focussize="0,0"/>
                        <v:stroke color="#000000" joinstyle="miter"/>
                        <v:imagedata o:title=""/>
                        <o:lock v:ext="edit" aspectratio="f"/>
                        <v:textbox>
                          <w:txbxContent>
                            <w:p w14:paraId="25C31F5D">
                              <w:pPr>
                                <w:keepNext w:val="0"/>
                                <w:keepLines w:val="0"/>
                                <w:widowControl w:val="0"/>
                                <w:suppressLineNumbers w:val="0"/>
                                <w:spacing w:before="0" w:beforeAutospacing="0" w:after="0" w:afterAutospacing="0"/>
                                <w:ind w:left="0" w:right="0"/>
                                <w:jc w:val="center"/>
                              </w:pPr>
                              <w:r>
                                <w:rPr>
                                  <w:rFonts w:hint="eastAsia" w:ascii="Times New Roman" w:hAnsi="Times New Roman" w:eastAsia="宋体" w:cs="宋体"/>
                                  <w:kern w:val="2"/>
                                  <w:sz w:val="21"/>
                                  <w:szCs w:val="24"/>
                                  <w:lang w:val="en-US" w:eastAsia="zh-CN" w:bidi="ar"/>
                                </w:rPr>
                                <w:t>上料</w:t>
                              </w:r>
                            </w:p>
                          </w:txbxContent>
                        </v:textbox>
                      </v:shape>
                      <v:shape id="自选图形 3258" o:spid="_x0000_s1026" o:spt="32" type="#_x0000_t32" style="position:absolute;left:2548890;top:643890;height:635;width:374650;" filled="f" stroked="t" coordsize="21600,21600" o:gfxdata="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EwNcMPXAAAABQEAAA8AAAAAAAAAAQAgAAAAIgAA&#10;AGRycy9kb3ducmV2LnhtbFBLAQIUABQAAAAIAIdO4kAfZTIOCQIAAPYDAAAOAAAAAAAAAAEAIAAA&#10;ACYBAABkcnMvZTJvRG9jLnhtbFBLBQYAAAAABgAGAFkBAAChBQAAAAA=&#10;">
                        <v:fill on="f" focussize="0,0"/>
                        <v:stroke color="#000000" joinstyle="round" endarrow="block"/>
                        <v:imagedata o:title=""/>
                        <o:lock v:ext="edit" aspectratio="f"/>
                      </v:shape>
                      <v:line id="直线 3259" o:spid="_x0000_s1026" o:spt="20" style="position:absolute;left:4381500;top:788670;height:802005;width:1270;" filled="f" stroked="t" coordsize="21600,21600" o:gfxdata="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LZhCrnYAAAABQEAAA8AAAAAAAAAAQAgAAAAIgAAAGRycy9kb3du&#10;cmV2LnhtbFBLAQIUABQAAAAIAIdO4kDpqiqx/wEAAPADAAAOAAAAAAAAAAEAIAAAACcBAABkcnMv&#10;ZTJvRG9jLnhtbFBLBQYAAAAABgAGAFkBAACYBQAAAAA=&#10;">
                        <v:fill on="f" focussize="0,0"/>
                        <v:stroke color="#000000" joinstyle="round" endarrow="block"/>
                        <v:imagedata o:title=""/>
                        <o:lock v:ext="edit" aspectratio="f"/>
                      </v:line>
                      <v:shape id="文本框 3261" o:spid="_x0000_s1026" o:spt="202" type="#_x0000_t202" style="position:absolute;left:3972560;top:1588770;height:291465;width:821690;" fillcolor="#FFFFFF" filled="t" stroked="t" coordsize="21600,21600" o:gfxdata="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GT9stnWAAAABQEAAA8AAAAA&#10;AAAAAQAgAAAAIgAAAGRycy9kb3ducmV2LnhtbFBLAQIUABQAAAAIAIdO4kB06/5XFgIAAEUEAAAO&#10;AAAAAAAAAAEAIAAAACUBAABkcnMvZTJvRG9jLnhtbFBLBQYAAAAABgAGAFkBAACtBQAAAAA=&#10;">
                        <v:fill on="t" focussize="0,0"/>
                        <v:stroke color="#000000" joinstyle="miter"/>
                        <v:imagedata o:title=""/>
                        <o:lock v:ext="edit" aspectratio="f"/>
                        <v:textbox>
                          <w:txbxContent>
                            <w:p w14:paraId="5DFF66AC">
                              <w:pPr>
                                <w:keepNext w:val="0"/>
                                <w:keepLines w:val="0"/>
                                <w:widowControl w:val="0"/>
                                <w:suppressLineNumbers w:val="0"/>
                                <w:spacing w:before="0" w:beforeAutospacing="0" w:after="0" w:afterAutospacing="0"/>
                                <w:ind w:left="0" w:right="0"/>
                                <w:jc w:val="center"/>
                              </w:pPr>
                              <w:r>
                                <w:rPr>
                                  <w:rFonts w:hint="eastAsia" w:ascii="Times New Roman" w:hAnsi="Times New Roman" w:eastAsia="宋体" w:cs="宋体"/>
                                  <w:kern w:val="2"/>
                                  <w:sz w:val="21"/>
                                  <w:szCs w:val="24"/>
                                  <w:lang w:val="en-US" w:eastAsia="zh-CN" w:bidi="ar"/>
                                </w:rPr>
                                <w:t>拉丝成型</w:t>
                              </w:r>
                            </w:p>
                          </w:txbxContent>
                        </v:textbox>
                      </v:shape>
                      <v:shape id="文本框 3262" o:spid="_x0000_s1026" o:spt="202" type="#_x0000_t202" style="position:absolute;left:2957830;top:1590675;height:291465;width:575945;" fillcolor="#FFFFFF" filled="t" stroked="t" coordsize="21600,21600" o:gfxdata="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k/bLZ1gAAAAUBAAAP&#10;AAAAAAAAAAEAIAAAACIAAABkcnMvZG93bnJldi54bWxQSwECFAAUAAAACACHTuJALXh2uBoCAABF&#10;BAAADgAAAAAAAAABACAAAAAlAQAAZHJzL2Uyb0RvYy54bWxQSwUGAAAAAAYABgBZAQAAsQUAAAAA&#10;">
                        <v:fill on="t" focussize="0,0"/>
                        <v:stroke color="#000000" joinstyle="miter"/>
                        <v:imagedata o:title=""/>
                        <o:lock v:ext="edit" aspectratio="f"/>
                        <v:textbox>
                          <w:txbxContent>
                            <w:p w14:paraId="0B5046E2">
                              <w:pPr>
                                <w:keepNext w:val="0"/>
                                <w:keepLines w:val="0"/>
                                <w:widowControl w:val="0"/>
                                <w:suppressLineNumbers w:val="0"/>
                                <w:spacing w:before="0" w:beforeAutospacing="0" w:after="0" w:afterAutospacing="0"/>
                                <w:ind w:left="0" w:right="0"/>
                                <w:jc w:val="center"/>
                              </w:pPr>
                              <w:r>
                                <w:rPr>
                                  <w:rFonts w:hint="eastAsia" w:ascii="Times New Roman" w:hAnsi="Times New Roman" w:eastAsia="宋体" w:cs="宋体"/>
                                  <w:kern w:val="2"/>
                                  <w:sz w:val="21"/>
                                  <w:szCs w:val="24"/>
                                  <w:lang w:val="en-US" w:eastAsia="zh-CN" w:bidi="ar"/>
                                </w:rPr>
                                <w:t>织布</w:t>
                              </w:r>
                            </w:p>
                          </w:txbxContent>
                        </v:textbox>
                      </v:shape>
                      <v:shape id="自选图形 3264" o:spid="_x0000_s1026" o:spt="32" type="#_x0000_t32" style="position:absolute;left:3533775;top:1734820;flip:x;height:635;width:431165;" filled="f" stroked="t" coordsize="21600,21600" o:gfxdata="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B8kVi91wAAAAUBAAAPAAAAAAAA&#10;AAEAIAAAACIAAABkcnMvZG93bnJldi54bWxQSwECFAAUAAAACACHTuJAxeLMFxMCAAACBAAADgAA&#10;AAAAAAABACAAAAAmAQAAZHJzL2Uyb0RvYy54bWxQSwUGAAAAAAYABgBZAQAAqwUAAAAA&#10;">
                        <v:fill on="f" focussize="0,0"/>
                        <v:stroke color="#000000" joinstyle="round" endarrow="block"/>
                        <v:imagedata o:title=""/>
                        <o:lock v:ext="edit" aspectratio="f"/>
                      </v:shape>
                      <v:line id="直线 3269" o:spid="_x0000_s1026" o:spt="20" style="position:absolute;left:3315970;top:292735;height:198120;width:635;rotation:11796480f;" filled="f" stroked="t" coordsize="21600,21600" o:gfxdata="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rQIW1QAAAAUBAAAPAAAAAAAAAAEAIAAAACIAAABk&#10;cnMvZG93bnJldi54bWxQSwECFAAUAAAACACHTuJArL2GGgkCAAD9AwAADgAAAAAAAAABACAAAAAk&#10;AQAAZHJzL2Uyb0RvYy54bWxQSwUGAAAAAAYABgBZAQAAnwUAAAAA&#10;">
                        <v:fill on="f" focussize="0,0"/>
                        <v:stroke color="#000000" joinstyle="round" dashstyle="dash" endarrow="block"/>
                        <v:imagedata o:title=""/>
                        <o:lock v:ext="edit" aspectratio="f"/>
                      </v:line>
                      <v:shape id="文本框 3270" o:spid="_x0000_s1026" o:spt="202" type="#_x0000_t202" style="position:absolute;left:2842260;top:8255;height:292735;width:933450;" filled="f" stroked="f" coordsize="21600,21600" o:gfxdata="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NfO7mTUAAAABQEAAA8AAAAAAAAAAQAgAAAAIgAAAGRycy9kb3ducmV2LnhtbFBLAQIUABQAAAAI&#10;AIdO4kAlHHwcuAEAAFoDAAAOAAAAAAAAAAEAIAAAACMBAABkcnMvZTJvRG9jLnhtbFBLBQYAAAAA&#10;BgAGAFkBAABNBQAAAAA=&#10;">
                        <v:fill on="f" focussize="0,0"/>
                        <v:stroke on="f"/>
                        <v:imagedata o:title=""/>
                        <o:lock v:ext="edit" aspectratio="f"/>
                        <v:textbox>
                          <w:txbxContent>
                            <w:p w14:paraId="688C291B">
                              <w:pPr>
                                <w:keepNext w:val="0"/>
                                <w:keepLines w:val="0"/>
                                <w:widowControl w:val="0"/>
                                <w:suppressLineNumbers w:val="0"/>
                                <w:spacing w:before="0" w:beforeAutospacing="0" w:after="0" w:afterAutospacing="0"/>
                                <w:ind w:left="0" w:right="0"/>
                                <w:jc w:val="center"/>
                              </w:pPr>
                              <w:r>
                                <w:rPr>
                                  <w:rFonts w:hint="eastAsia" w:ascii="Times New Roman" w:hAnsi="Times New Roman" w:eastAsia="宋体" w:cs="宋体"/>
                                  <w:kern w:val="2"/>
                                  <w:sz w:val="21"/>
                                  <w:szCs w:val="24"/>
                                  <w:lang w:val="en-US" w:eastAsia="zh-CN" w:bidi="ar"/>
                                </w:rPr>
                                <w:t>噪声</w:t>
                              </w:r>
                            </w:p>
                          </w:txbxContent>
                        </v:textbox>
                      </v:shape>
                      <v:shape id="文本框 3273" o:spid="_x0000_s1026" o:spt="202" type="#_x0000_t202" style="position:absolute;left:1948180;top:1591310;height:291465;width:575945;" filled="f" stroked="t" coordsize="21600,21600" o:gfxdata="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Eqx6F9QAAAAFAQAADwAAAAAAAAABACAA&#10;AAAiAAAAZHJzL2Rvd25yZXYueG1sUEsBAhQAFAAAAAgAh07iQPXziYoRAgAAHAQAAA4AAAAAAAAA&#10;AQAgAAAAIwEAAGRycy9lMm9Eb2MueG1sUEsFBgAAAAAGAAYAWQEAAKYFAAAAAA==&#10;">
                        <v:fill on="f" focussize="0,0"/>
                        <v:stroke color="#000000" joinstyle="miter"/>
                        <v:imagedata o:title=""/>
                        <o:lock v:ext="edit" aspectratio="f"/>
                        <v:textbox>
                          <w:txbxContent>
                            <w:p w14:paraId="66F2A55B">
                              <w:pPr>
                                <w:keepNext w:val="0"/>
                                <w:keepLines w:val="0"/>
                                <w:widowControl w:val="0"/>
                                <w:suppressLineNumbers w:val="0"/>
                                <w:spacing w:before="0" w:beforeAutospacing="0" w:after="0" w:afterAutospacing="0"/>
                                <w:ind w:left="0" w:right="0"/>
                                <w:jc w:val="center"/>
                              </w:pPr>
                              <w:r>
                                <w:rPr>
                                  <w:rFonts w:hint="eastAsia" w:ascii="Times New Roman" w:hAnsi="Times New Roman" w:eastAsia="宋体" w:cs="宋体"/>
                                  <w:kern w:val="2"/>
                                  <w:sz w:val="21"/>
                                  <w:szCs w:val="24"/>
                                  <w:lang w:val="en-US" w:eastAsia="zh-CN" w:bidi="ar"/>
                                </w:rPr>
                                <w:t>覆膜</w:t>
                              </w:r>
                            </w:p>
                          </w:txbxContent>
                        </v:textbox>
                      </v:shape>
                      <v:shape id="自选图形 3274" o:spid="_x0000_s1026" o:spt="32" type="#_x0000_t32" style="position:absolute;left:2523490;top:1734185;flip:x;height:635;width:431165;" filled="f" stroked="t" coordsize="21600,21600" o:gfxdata="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8kVi91wAAAAUBAAAPAAAA&#10;AAAAAAEAIAAAACIAAABkcnMvZG93bnJldi54bWxQSwECFAAUAAAACACHTuJArhZGaxYCAAACBAAA&#10;DgAAAAAAAAABACAAAAAmAQAAZHJzL2Uyb0RvYy54bWxQSwUGAAAAAAYABgBZAQAArgUAAAAA&#10;">
                        <v:fill on="f" focussize="0,0"/>
                        <v:stroke color="#000000" joinstyle="round" endarrow="block"/>
                        <v:imagedata o:title=""/>
                        <o:lock v:ext="edit" aspectratio="f"/>
                      </v:shape>
                      <v:shape id="文本框 3277" o:spid="_x0000_s1026" o:spt="202" type="#_x0000_t202" style="position:absolute;left:4105275;top:489585;height:291465;width:575945;" fillcolor="#FFFFFF" filled="t" stroked="t" coordsize="21600,21600" o:gfxdata="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GT9stnWAAAABQEAAA8A&#10;AAAAAAAAAQAgAAAAIgAAAGRycy9kb3ducmV2LnhtbFBLAQIUABQAAAAIAIdO4kBf1VWgGQIAAEQE&#10;AAAOAAAAAAAAAAEAIAAAACUBAABkcnMvZTJvRG9jLnhtbFBLBQYAAAAABgAGAFkBAACwBQAAAAA=&#10;">
                        <v:fill on="t" focussize="0,0"/>
                        <v:stroke color="#000000" joinstyle="miter"/>
                        <v:imagedata o:title=""/>
                        <o:lock v:ext="edit" aspectratio="f"/>
                        <v:textbox>
                          <w:txbxContent>
                            <w:p w14:paraId="2CC627AC">
                              <w:pPr>
                                <w:keepNext w:val="0"/>
                                <w:keepLines w:val="0"/>
                                <w:widowControl w:val="0"/>
                                <w:suppressLineNumbers w:val="0"/>
                                <w:spacing w:before="0" w:beforeAutospacing="0" w:after="0" w:afterAutospacing="0"/>
                                <w:ind w:left="0" w:right="0"/>
                                <w:jc w:val="center"/>
                              </w:pPr>
                              <w:r>
                                <w:rPr>
                                  <w:rFonts w:hint="eastAsia" w:ascii="Times New Roman" w:hAnsi="Times New Roman" w:eastAsia="宋体" w:cs="宋体"/>
                                  <w:kern w:val="2"/>
                                  <w:sz w:val="21"/>
                                  <w:szCs w:val="24"/>
                                  <w:lang w:val="en-US" w:eastAsia="zh-CN" w:bidi="ar"/>
                                </w:rPr>
                                <w:t>挤出</w:t>
                              </w:r>
                            </w:p>
                          </w:txbxContent>
                        </v:textbox>
                      </v:shape>
                      <v:shape id="自选图形 3278" o:spid="_x0000_s1026" o:spt="32" type="#_x0000_t32" style="position:absolute;left:3722370;top:635000;height:635;width:382905;" filled="f" stroked="t" coordsize="21600,21600" o:gfxdata="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EwNcMPXAAAABQEAAA8AAAAAAAAAAQAgAAAAIgAA&#10;AGRycy9kb3ducmV2LnhtbFBLAQIUABQAAAAIAIdO4kCJXbz4CQIAAPcDAAAOAAAAAAAAAAEAIAAA&#10;ACYBAABkcnMvZTJvRG9jLnhtbFBLBQYAAAAABgAGAFkBAAChBQAAAAA=&#10;">
                        <v:fill on="f" focussize="0,0"/>
                        <v:stroke color="#000000" joinstyle="round" endarrow="block"/>
                        <v:imagedata o:title=""/>
                        <o:lock v:ext="edit" aspectratio="f"/>
                      </v:shape>
                      <v:line id="直线 3279" o:spid="_x0000_s1026" o:spt="20" style="position:absolute;left:4393565;top:289560;height:198120;width:635;rotation:11796480f;" filled="f" stroked="t" coordsize="21600,21600" o:gfxdata="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&#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H6tAhbVAAAABQEAAA8AAAAAAAAAAQAgAAAAIgAAAGRy&#10;cy9kb3ducmV2LnhtbFBLAQIUABQAAAAIAIdO4kA1lIn0CAIAAP0DAAAOAAAAAAAAAAEAIAAAACQB&#10;AABkcnMvZTJvRG9jLnhtbFBLBQYAAAAABgAGAFkBAACeBQAAAAA=&#10;">
                        <v:fill on="f" focussize="0,0"/>
                        <v:stroke color="#000000" joinstyle="round" dashstyle="dash" endarrow="block"/>
                        <v:imagedata o:title=""/>
                        <o:lock v:ext="edit" aspectratio="f"/>
                      </v:line>
                      <v:shape id="文本框 3280" o:spid="_x0000_s1026" o:spt="202" type="#_x0000_t202" style="position:absolute;left:3589655;top:0;height:292735;width:1266190;" filled="f" stroked="f" coordsize="21600,21600" o:gfxdata="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NfO&#10;7mTUAAAABQEAAA8AAAAAAAAAAQAgAAAAIgAAAGRycy9kb3ducmV2LnhtbFBLAQIUABQAAAAIAIdO&#10;4kB41yvItQEAAFgDAAAOAAAAAAAAAAEAIAAAACMBAABkcnMvZTJvRG9jLnhtbFBLBQYAAAAABgAG&#10;AFkBAABKBQAAAAA=&#10;">
                        <v:fill on="f" focussize="0,0"/>
                        <v:stroke on="f"/>
                        <v:imagedata o:title=""/>
                        <o:lock v:ext="edit" aspectratio="f"/>
                        <v:textbox>
                          <w:txbxContent>
                            <w:p w14:paraId="552EC9AB">
                              <w:pPr>
                                <w:keepNext w:val="0"/>
                                <w:keepLines w:val="0"/>
                                <w:widowControl w:val="0"/>
                                <w:suppressLineNumbers w:val="0"/>
                                <w:spacing w:before="0" w:beforeAutospacing="0" w:after="0" w:afterAutospacing="0"/>
                                <w:ind w:left="0" w:right="0"/>
                                <w:jc w:val="center"/>
                                <w:rPr>
                                  <w:rFonts w:hint="default"/>
                                  <w:lang w:val="en-US"/>
                                </w:rPr>
                              </w:pPr>
                              <w:r>
                                <w:rPr>
                                  <w:rFonts w:hint="eastAsia" w:cs="宋体"/>
                                  <w:kern w:val="2"/>
                                  <w:sz w:val="21"/>
                                  <w:szCs w:val="24"/>
                                  <w:lang w:val="en-US" w:eastAsia="zh-CN" w:bidi="ar"/>
                                </w:rPr>
                                <w:t>废气、</w:t>
                              </w:r>
                              <w:r>
                                <w:rPr>
                                  <w:rFonts w:hint="eastAsia" w:ascii="Times New Roman" w:hAnsi="Times New Roman" w:eastAsia="宋体" w:cs="宋体"/>
                                  <w:kern w:val="2"/>
                                  <w:sz w:val="21"/>
                                  <w:szCs w:val="24"/>
                                  <w:lang w:val="en-US" w:eastAsia="zh-CN" w:bidi="ar"/>
                                </w:rPr>
                                <w:t>废水</w:t>
                              </w:r>
                              <w:r>
                                <w:rPr>
                                  <w:rFonts w:hint="eastAsia" w:cs="宋体"/>
                                  <w:kern w:val="2"/>
                                  <w:sz w:val="21"/>
                                  <w:szCs w:val="24"/>
                                  <w:lang w:val="en-US" w:eastAsia="zh-CN" w:bidi="ar"/>
                                </w:rPr>
                                <w:t>、噪声</w:t>
                              </w:r>
                            </w:p>
                          </w:txbxContent>
                        </v:textbox>
                      </v:shape>
                      <v:shape id="文本框 3273_SpCnt_1" o:spid="_x0000_s1026" o:spt="202" type="#_x0000_t202" style="position:absolute;left:937260;top:1575435;height:291465;width:575945;" filled="f" stroked="f" coordsize="21600,21600" o:gfxdata="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Xzu5k1AAAAAUBAAAPAAAAAAAAAAEAIAAAACIAAABkcnMvZG93bnJldi54bWxQ&#10;SwECFAAUAAAACACHTuJAZTHwC8IBAABkAwAADgAAAAAAAAABACAAAAAjAQAAZHJzL2Uyb0RvYy54&#10;bWxQSwUGAAAAAAYABgBZAQAAVwUAAAAA&#10;">
                        <v:fill on="f" focussize="0,0"/>
                        <v:stroke on="f"/>
                        <v:imagedata o:title=""/>
                        <o:lock v:ext="edit" aspectratio="f"/>
                        <v:textbox>
                          <w:txbxContent>
                            <w:p w14:paraId="14ED8417">
                              <w:pPr>
                                <w:keepNext w:val="0"/>
                                <w:keepLines w:val="0"/>
                                <w:widowControl w:val="0"/>
                                <w:suppressLineNumbers w:val="0"/>
                                <w:spacing w:before="0" w:beforeAutospacing="0" w:after="0" w:afterAutospacing="0"/>
                                <w:ind w:left="0" w:right="0"/>
                                <w:jc w:val="center"/>
                              </w:pPr>
                              <w:r>
                                <w:rPr>
                                  <w:rFonts w:hint="eastAsia" w:ascii="Times New Roman" w:hAnsi="Times New Roman" w:eastAsia="宋体" w:cs="宋体"/>
                                  <w:kern w:val="2"/>
                                  <w:sz w:val="21"/>
                                  <w:szCs w:val="24"/>
                                  <w:lang w:val="en-US" w:eastAsia="zh-CN" w:bidi="ar"/>
                                </w:rPr>
                                <w:t>成品</w:t>
                              </w:r>
                            </w:p>
                          </w:txbxContent>
                        </v:textbox>
                      </v:shape>
                      <v:shape id="自选图形 3274_SpCnt_1" o:spid="_x0000_s1026" o:spt="32" type="#_x0000_t32" style="position:absolute;left:1512570;top:1728470;flip:x;height:635;width:431165;" filled="f" stroked="t" coordsize="21600,21600" o:gfxdata="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8kVi91wAAAAUBAAAP&#10;AAAAAAAAAAEAIAAAACIAAABkcnMvZG93bnJldi54bWxQSwECFAAUAAAACACHTuJADzDvPhkCAAAK&#10;BAAADgAAAAAAAAABACAAAAAmAQAAZHJzL2Uyb0RvYy54bWxQSwUGAAAAAAYABgBZAQAAsQUAAAAA&#10;">
                        <v:fill on="f" focussize="0,0"/>
                        <v:stroke color="#000000" joinstyle="round" endarrow="block"/>
                        <v:imagedata o:title=""/>
                        <o:lock v:ext="edit" aspectratio="f"/>
                      </v:shape>
                      <v:shape id="文本框 3252" o:spid="_x0000_s1026" o:spt="202" type="#_x0000_t202" style="position:absolute;left:1943735;top:896620;height:304800;width:586740;" filled="f" stroked="f" coordsize="21600,21600" o:gfxdata="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NfO7mTUAAAABQEAAA8AAAAAAAAAAQAgAAAAIgAAAGRycy9kb3ducmV2LnhtbFBLAQIUABQA&#10;AAAIAIdO4kAibbsiuwEAAFwDAAAOAAAAAAAAAAEAIAAAACMBAABkcnMvZTJvRG9jLnhtbFBLBQYA&#10;AAAABgAGAFkBAABQBQAAAAA=&#10;">
                        <v:fill on="f" focussize="0,0"/>
                        <v:stroke on="f"/>
                        <v:imagedata o:title=""/>
                        <o:lock v:ext="edit" aspectratio="f"/>
                        <v:textbox>
                          <w:txbxContent>
                            <w:p w14:paraId="2C0E542C">
                              <w:pPr>
                                <w:keepNext w:val="0"/>
                                <w:keepLines w:val="0"/>
                                <w:widowControl w:val="0"/>
                                <w:suppressLineNumbers w:val="0"/>
                                <w:spacing w:before="0" w:beforeAutospacing="0" w:after="0" w:afterAutospacing="0"/>
                                <w:ind w:left="0" w:right="0"/>
                                <w:jc w:val="center"/>
                              </w:pPr>
                              <w:r>
                                <w:rPr>
                                  <w:rFonts w:hint="eastAsia" w:ascii="Times New Roman" w:hAnsi="Times New Roman" w:eastAsia="宋体" w:cs="宋体"/>
                                  <w:kern w:val="2"/>
                                  <w:sz w:val="21"/>
                                  <w:szCs w:val="24"/>
                                  <w:lang w:val="en-US" w:eastAsia="zh-CN" w:bidi="ar"/>
                                </w:rPr>
                                <w:t>聚乙烯</w:t>
                              </w:r>
                            </w:p>
                          </w:txbxContent>
                        </v:textbox>
                      </v:shape>
                      <v:shape id="_x0000_s1026" o:spid="_x0000_s1026" o:spt="32" type="#_x0000_t32" style="position:absolute;left:2236470;top:1201420;flip:x;height:389890;width:635;" filled="f" stroked="t" coordsize="21600,21600" o:gfxdata="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fJFYvdcAAAAFAQAADwAAAAAAAAABACAAAAAiAAAAZHJzL2Rvd25yZXYueG1sUEsBAhQAFAAA&#10;AAgAh07iQIZzNxkpAgAAJQQAAA4AAAAAAAAAAQAgAAAAJgEAAGRycy9lMm9Eb2MueG1sUEsFBgAA&#10;AAAGAAYAWQEAAMEFAAAAAA==&#10;">
                        <v:fill on="f" focussize="0,0"/>
                        <v:stroke color="#000000 [3213]" joinstyle="round" endarrow="block"/>
                        <v:imagedata o:title=""/>
                        <o:lock v:ext="edit" aspectratio="f"/>
                      </v:shape>
                      <v:line id="直线 3265" o:spid="_x0000_s1026" o:spt="20" style="position:absolute;left:2449195;top:1402080;height:198120;width:635;rotation:11796480f;" filled="f" stroked="t" coordsize="21600,21600" o:gfxdata="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rQIW1QAAAAUBAAAPAAAAAAAAAAEAIAAAACIAAABkcnMv&#10;ZG93bnJldi54bWxQSwECFAAUAAAACACHTuJAVgw3+AYCAAD+AwAADgAAAAAAAAABACAAAAAkAQAA&#10;ZHJzL2Uyb0RvYy54bWxQSwUGAAAAAAYABgBZAQAAnAUAAAAA&#10;">
                        <v:fill on="f" focussize="0,0"/>
                        <v:stroke color="#000000" joinstyle="round" dashstyle="dash" endarrow="block"/>
                        <v:imagedata o:title=""/>
                        <o:lock v:ext="edit" aspectratio="f"/>
                      </v:line>
                      <v:shape id="文本框 3268" o:spid="_x0000_s1026" o:spt="202" type="#_x0000_t202" style="position:absolute;left:1986915;top:1125855;height:292735;width:1200785;" filled="f" stroked="f" coordsize="21600,21600" o:gfxdata="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NfO7mTUAAAABQEAAA8AAAAAAAAAAQAgAAAAIgAAAGRycy9kb3ducmV2LnhtbFBLAQIUABQA&#10;AAAIAIdO4kC56zikuwEAAF4DAAAOAAAAAAAAAAEAIAAAACMBAABkcnMvZTJvRG9jLnhtbFBLBQYA&#10;AAAABgAGAFkBAABQBQAAAAA=&#10;">
                        <v:fill on="f" focussize="0,0"/>
                        <v:stroke on="f"/>
                        <v:imagedata o:title=""/>
                        <o:lock v:ext="edit" aspectratio="f"/>
                        <v:textbox>
                          <w:txbxContent>
                            <w:p w14:paraId="3FCD00CF">
                              <w:pPr>
                                <w:keepNext w:val="0"/>
                                <w:keepLines w:val="0"/>
                                <w:widowControl w:val="0"/>
                                <w:suppressLineNumbers w:val="0"/>
                                <w:spacing w:before="0" w:beforeAutospacing="0" w:after="0" w:afterAutospacing="0"/>
                                <w:ind w:left="0" w:right="0"/>
                                <w:jc w:val="center"/>
                                <w:rPr>
                                  <w:rFonts w:hint="default"/>
                                  <w:lang w:val="en-US"/>
                                </w:rPr>
                              </w:pPr>
                              <w:r>
                                <w:rPr>
                                  <w:rFonts w:hint="eastAsia" w:cs="宋体"/>
                                  <w:kern w:val="2"/>
                                  <w:sz w:val="21"/>
                                  <w:szCs w:val="24"/>
                                  <w:lang w:val="en-US" w:eastAsia="zh-CN" w:bidi="ar"/>
                                </w:rPr>
                                <w:t>废气、噪声</w:t>
                              </w:r>
                            </w:p>
                          </w:txbxContent>
                        </v:textbox>
                      </v:shape>
                      <v:line id="直线 3265" o:spid="_x0000_s1026" o:spt="20" style="position:absolute;left:3268345;top:1392555;height:198120;width:635;rotation:11796480f;" filled="f" stroked="t" coordsize="21600,21600" o:gfxdata="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rQIW1QAAAAUBAAAPAAAAAAAAAAEAIAAAACIAAABk&#10;cnMvZG93bnJldi54bWxQSwECFAAUAAAACACHTuJA9GkpTAkCAAD+AwAADgAAAAAAAAABACAAAAAk&#10;AQAAZHJzL2Uyb0RvYy54bWxQSwUGAAAAAAYABgBZAQAAnwUAAAAA&#10;">
                        <v:fill on="f" focussize="0,0"/>
                        <v:stroke color="#000000" joinstyle="round" dashstyle="dash" endarrow="block"/>
                        <v:imagedata o:title=""/>
                        <o:lock v:ext="edit" aspectratio="f"/>
                      </v:line>
                      <v:shape id="文本框 3268" o:spid="_x0000_s1026" o:spt="202" type="#_x0000_t202" style="position:absolute;left:2663190;top:1116330;height:292735;width:1200785;" filled="f" stroked="f" coordsize="21600,21600" o:gfxdata="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NfO7mTUAAAABQEAAA8AAAAAAAAAAQAgAAAAIgAAAGRycy9kb3ducmV2LnhtbFBLAQIUABQA&#10;AAAIAIdO4kD6oSTnuwEAAF4DAAAOAAAAAAAAAAEAIAAAACMBAABkcnMvZTJvRG9jLnhtbFBLBQYA&#10;AAAABgAGAFkBAABQBQAAAAA=&#10;">
                        <v:fill on="f" focussize="0,0"/>
                        <v:stroke on="f"/>
                        <v:imagedata o:title=""/>
                        <o:lock v:ext="edit" aspectratio="f"/>
                        <v:textbox>
                          <w:txbxContent>
                            <w:p w14:paraId="54B2EA7F">
                              <w:pPr>
                                <w:keepNext w:val="0"/>
                                <w:keepLines w:val="0"/>
                                <w:widowControl w:val="0"/>
                                <w:suppressLineNumbers w:val="0"/>
                                <w:spacing w:before="0" w:beforeAutospacing="0" w:after="0" w:afterAutospacing="0"/>
                                <w:ind w:left="0" w:right="0"/>
                                <w:jc w:val="center"/>
                              </w:pPr>
                              <w:r>
                                <w:rPr>
                                  <w:rFonts w:hint="eastAsia" w:ascii="Times New Roman" w:hAnsi="Times New Roman" w:eastAsia="宋体" w:cs="宋体"/>
                                  <w:kern w:val="2"/>
                                  <w:sz w:val="21"/>
                                  <w:szCs w:val="24"/>
                                  <w:lang w:val="en-US" w:eastAsia="zh-CN" w:bidi="ar"/>
                                </w:rPr>
                                <w:t>噪声</w:t>
                              </w:r>
                            </w:p>
                          </w:txbxContent>
                        </v:textbox>
                      </v:shape>
                      <w10:wrap type="none"/>
                      <w10:anchorlock/>
                    </v:group>
                  </w:pict>
                </mc:Fallback>
              </mc:AlternateContent>
            </w:r>
          </w:p>
          <w:p w14:paraId="3678FE9D">
            <w:pPr>
              <w:keepNext w:val="0"/>
              <w:keepLines w:val="0"/>
              <w:pageBreakBefore w:val="0"/>
              <w:widowControl w:val="0"/>
              <w:suppressLineNumbers w:val="0"/>
              <w:tabs>
                <w:tab w:val="left" w:pos="2440"/>
              </w:tabs>
              <w:kinsoku/>
              <w:wordWrap/>
              <w:overflowPunct/>
              <w:topLinePunct w:val="0"/>
              <w:autoSpaceDE/>
              <w:autoSpaceDN/>
              <w:bidi w:val="0"/>
              <w:adjustRightInd w:val="0"/>
              <w:snapToGrid w:val="0"/>
              <w:spacing w:before="0" w:beforeAutospacing="0" w:after="0" w:afterAutospacing="0" w:line="520" w:lineRule="exact"/>
              <w:ind w:left="0" w:right="0" w:firstLine="0" w:firstLineChars="0"/>
              <w:jc w:val="center"/>
              <w:textAlignment w:val="auto"/>
              <w:rPr>
                <w:rFonts w:hint="eastAsia" w:eastAsia="黑体" w:cs="Times New Roman"/>
                <w:b w:val="0"/>
                <w:bCs w:val="0"/>
                <w:color w:val="000000" w:themeColor="text1"/>
                <w:sz w:val="24"/>
                <w:szCs w:val="24"/>
                <w:highlight w:val="none"/>
                <w:lang w:val="en-US" w:eastAsia="zh-CN"/>
                <w14:textFill>
                  <w14:solidFill>
                    <w14:schemeClr w14:val="tx1"/>
                  </w14:solidFill>
                </w14:textFill>
              </w:rPr>
            </w:pPr>
            <w:r>
              <w:rPr>
                <w:rFonts w:hint="eastAsia" w:eastAsia="黑体" w:cs="Times New Roman"/>
                <w:b w:val="0"/>
                <w:bCs w:val="0"/>
                <w:color w:val="000000" w:themeColor="text1"/>
                <w:sz w:val="24"/>
                <w:szCs w:val="24"/>
                <w:highlight w:val="none"/>
                <w:lang w:val="en-US" w:eastAsia="zh-CN"/>
                <w14:textFill>
                  <w14:solidFill>
                    <w14:schemeClr w14:val="tx1"/>
                  </w14:solidFill>
                </w14:textFill>
              </w:rPr>
              <w:t>图2-2  生产工艺</w:t>
            </w:r>
            <w:r>
              <w:rPr>
                <w:rFonts w:hint="default" w:eastAsia="黑体" w:cs="Times New Roman"/>
                <w:b w:val="0"/>
                <w:bCs w:val="0"/>
                <w:color w:val="000000" w:themeColor="text1"/>
                <w:sz w:val="24"/>
                <w:szCs w:val="24"/>
                <w:highlight w:val="none"/>
                <w:lang w:val="en-US" w:eastAsia="zh-CN"/>
                <w14:textFill>
                  <w14:solidFill>
                    <w14:schemeClr w14:val="tx1"/>
                  </w14:solidFill>
                </w14:textFill>
              </w:rPr>
              <w:t>流程及产污环节</w:t>
            </w:r>
            <w:r>
              <w:rPr>
                <w:rFonts w:hint="eastAsia" w:eastAsia="黑体" w:cs="Times New Roman"/>
                <w:b w:val="0"/>
                <w:bCs w:val="0"/>
                <w:color w:val="000000" w:themeColor="text1"/>
                <w:sz w:val="24"/>
                <w:szCs w:val="24"/>
                <w:highlight w:val="none"/>
                <w:lang w:val="en-US" w:eastAsia="zh-CN"/>
                <w14:textFill>
                  <w14:solidFill>
                    <w14:schemeClr w14:val="tx1"/>
                  </w14:solidFill>
                </w14:textFill>
              </w:rPr>
              <w:t>图</w:t>
            </w:r>
          </w:p>
          <w:p w14:paraId="0693C5C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textAlignment w:val="auto"/>
              <w:rPr>
                <w:rFonts w:hint="eastAsia"/>
                <w:b/>
                <w:bCs/>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工艺流程描述：</w:t>
            </w:r>
          </w:p>
          <w:p w14:paraId="6AC5A579">
            <w:pPr>
              <w:keepNext w:val="0"/>
              <w:keepLines w:val="0"/>
              <w:pageBreakBefore w:val="0"/>
              <w:widowControl w:val="0"/>
              <w:suppressLineNumbers w:val="0"/>
              <w:tabs>
                <w:tab w:val="left" w:pos="8841"/>
              </w:tabs>
              <w:kinsoku/>
              <w:wordWrap/>
              <w:overflowPunct/>
              <w:topLinePunct w:val="0"/>
              <w:autoSpaceDE/>
              <w:autoSpaceDN/>
              <w:bidi w:val="0"/>
              <w:adjustRightInd w:val="0"/>
              <w:snapToGrid w:val="0"/>
              <w:spacing w:before="0" w:beforeAutospacing="0" w:after="0" w:afterAutospacing="0" w:line="520" w:lineRule="exact"/>
              <w:ind w:left="0" w:right="0" w:firstLine="480" w:firstLineChars="200"/>
              <w:textAlignment w:val="auto"/>
              <w:rPr>
                <w:rFonts w:hint="default"/>
                <w:b w:val="0"/>
                <w:bCs/>
                <w:color w:val="auto"/>
                <w:sz w:val="24"/>
                <w:szCs w:val="24"/>
                <w:lang w:val="en-US" w:eastAsia="zh-CN"/>
              </w:rPr>
            </w:pPr>
            <w:r>
              <w:rPr>
                <w:rFonts w:hint="eastAsia"/>
                <w:b w:val="0"/>
                <w:bCs/>
                <w:color w:val="auto"/>
                <w:sz w:val="24"/>
                <w:szCs w:val="24"/>
                <w:lang w:val="en-US" w:eastAsia="zh-CN"/>
              </w:rPr>
              <w:t>原料PE颗粒进厂后，对其熔融指数、密度、颜色、杂质含量等指标进行严格检测，确保原料质量稳定，符合生产要求。</w:t>
            </w:r>
          </w:p>
          <w:p w14:paraId="63376DEE">
            <w:pPr>
              <w:keepNext w:val="0"/>
              <w:keepLines w:val="0"/>
              <w:pageBreakBefore w:val="0"/>
              <w:widowControl w:val="0"/>
              <w:suppressLineNumbers w:val="0"/>
              <w:tabs>
                <w:tab w:val="left" w:pos="8841"/>
              </w:tabs>
              <w:kinsoku/>
              <w:wordWrap/>
              <w:overflowPunct/>
              <w:topLinePunct w:val="0"/>
              <w:autoSpaceDE/>
              <w:autoSpaceDN/>
              <w:bidi w:val="0"/>
              <w:adjustRightInd w:val="0"/>
              <w:snapToGrid w:val="0"/>
              <w:spacing w:before="0" w:beforeAutospacing="0" w:after="0" w:afterAutospacing="0" w:line="520" w:lineRule="exact"/>
              <w:ind w:left="0" w:right="0" w:firstLine="480" w:firstLineChars="200"/>
              <w:textAlignment w:val="auto"/>
              <w:rPr>
                <w:rFonts w:hint="eastAsia"/>
                <w:b w:val="0"/>
                <w:bCs/>
                <w:color w:val="auto"/>
                <w:sz w:val="24"/>
                <w:szCs w:val="24"/>
                <w:lang w:val="en-US" w:eastAsia="zh-CN"/>
              </w:rPr>
            </w:pPr>
            <w:r>
              <w:rPr>
                <w:rFonts w:hint="eastAsia"/>
                <w:b w:val="0"/>
                <w:bCs/>
                <w:color w:val="auto"/>
                <w:sz w:val="24"/>
                <w:szCs w:val="24"/>
                <w:lang w:val="en-US" w:eastAsia="zh-CN"/>
              </w:rPr>
              <w:t>使用自动供料系统，将PE颗粒吸入热风循环干燥机，采用电提供热风，设置干燥温度为80-90℃，干燥时间2-3小时，降低颗粒中水分，避免在后续熔化过程中产生气泡、空洞等缺陷，保证产品质量。</w:t>
            </w:r>
          </w:p>
          <w:p w14:paraId="3C668F2C">
            <w:pPr>
              <w:keepNext w:val="0"/>
              <w:keepLines w:val="0"/>
              <w:pageBreakBefore w:val="0"/>
              <w:widowControl w:val="0"/>
              <w:suppressLineNumbers w:val="0"/>
              <w:tabs>
                <w:tab w:val="left" w:pos="8841"/>
              </w:tabs>
              <w:kinsoku/>
              <w:wordWrap/>
              <w:overflowPunct/>
              <w:topLinePunct w:val="0"/>
              <w:autoSpaceDE/>
              <w:autoSpaceDN/>
              <w:bidi w:val="0"/>
              <w:adjustRightInd w:val="0"/>
              <w:snapToGrid w:val="0"/>
              <w:spacing w:before="0" w:beforeAutospacing="0" w:after="0" w:afterAutospacing="0" w:line="520" w:lineRule="exact"/>
              <w:ind w:left="0" w:right="0" w:firstLine="480" w:firstLineChars="200"/>
              <w:textAlignment w:val="auto"/>
              <w:rPr>
                <w:rFonts w:hint="default"/>
                <w:b w:val="0"/>
                <w:bCs/>
                <w:color w:val="auto"/>
                <w:sz w:val="24"/>
                <w:szCs w:val="24"/>
                <w:lang w:val="en-US" w:eastAsia="zh-CN"/>
              </w:rPr>
            </w:pPr>
            <w:r>
              <w:rPr>
                <w:rFonts w:hint="default"/>
                <w:b w:val="0"/>
                <w:bCs/>
                <w:color w:val="auto"/>
                <w:sz w:val="24"/>
                <w:szCs w:val="24"/>
                <w:lang w:val="en-US" w:eastAsia="zh-CN"/>
              </w:rPr>
              <w:t>把干燥后的PE颗粒输送至螺杆挤出机料斗</w:t>
            </w:r>
            <w:r>
              <w:rPr>
                <w:rFonts w:hint="eastAsia"/>
                <w:b w:val="0"/>
                <w:bCs/>
                <w:color w:val="auto"/>
                <w:sz w:val="24"/>
                <w:szCs w:val="24"/>
                <w:lang w:val="en-US" w:eastAsia="zh-CN"/>
              </w:rPr>
              <w:t>，</w:t>
            </w:r>
            <w:r>
              <w:rPr>
                <w:rFonts w:hint="default"/>
                <w:b w:val="0"/>
                <w:bCs/>
                <w:color w:val="auto"/>
                <w:sz w:val="24"/>
                <w:szCs w:val="24"/>
                <w:lang w:val="en-US" w:eastAsia="zh-CN"/>
              </w:rPr>
              <w:t>在螺杆的旋转推动下，PE颗粒在机筒内受热逐渐软化、熔融，最终呈均匀的黏流态。</w:t>
            </w:r>
            <w:r>
              <w:rPr>
                <w:rFonts w:hint="eastAsia"/>
                <w:b w:val="0"/>
                <w:bCs/>
                <w:color w:val="auto"/>
                <w:sz w:val="24"/>
                <w:szCs w:val="24"/>
                <w:lang w:val="en-US" w:eastAsia="zh-CN"/>
              </w:rPr>
              <w:t>挤出机</w:t>
            </w:r>
            <w:r>
              <w:rPr>
                <w:rFonts w:hint="eastAsia" w:ascii="Times New Roman" w:hAnsi="Times New Roman" w:eastAsia="宋体" w:cs="Times New Roman"/>
                <w:kern w:val="2"/>
                <w:sz w:val="24"/>
                <w:szCs w:val="24"/>
                <w:lang w:val="en-US" w:eastAsia="zh-CN" w:bidi="ar"/>
              </w:rPr>
              <w:t>采用电加热方式，加热温度约200℃。</w:t>
            </w:r>
          </w:p>
          <w:p w14:paraId="1E5740BD">
            <w:pPr>
              <w:keepNext w:val="0"/>
              <w:keepLines w:val="0"/>
              <w:pageBreakBefore w:val="0"/>
              <w:widowControl w:val="0"/>
              <w:suppressLineNumbers w:val="0"/>
              <w:tabs>
                <w:tab w:val="left" w:pos="8841"/>
              </w:tabs>
              <w:kinsoku/>
              <w:wordWrap/>
              <w:overflowPunct/>
              <w:topLinePunct w:val="0"/>
              <w:autoSpaceDE/>
              <w:autoSpaceDN/>
              <w:bidi w:val="0"/>
              <w:adjustRightInd w:val="0"/>
              <w:snapToGrid w:val="0"/>
              <w:spacing w:before="0" w:beforeAutospacing="0" w:after="0" w:afterAutospacing="0" w:line="520" w:lineRule="exact"/>
              <w:ind w:left="0" w:right="0" w:firstLine="480" w:firstLineChars="200"/>
              <w:textAlignment w:val="auto"/>
              <w:rPr>
                <w:rFonts w:hint="default"/>
                <w:b w:val="0"/>
                <w:bCs/>
                <w:color w:val="auto"/>
                <w:sz w:val="24"/>
                <w:szCs w:val="24"/>
                <w:lang w:val="en-US" w:eastAsia="zh-CN"/>
              </w:rPr>
            </w:pPr>
            <w:r>
              <w:rPr>
                <w:rFonts w:hint="default"/>
                <w:b w:val="0"/>
                <w:bCs/>
                <w:color w:val="auto"/>
                <w:sz w:val="24"/>
                <w:szCs w:val="24"/>
                <w:lang w:val="en-US" w:eastAsia="zh-CN"/>
              </w:rPr>
              <w:t>熔体从模头挤出后，经牵伸装置进行拉伸，拉成丝束，使其保持充分的柔韧性</w:t>
            </w:r>
            <w:r>
              <w:rPr>
                <w:rFonts w:hint="eastAsia"/>
                <w:b w:val="0"/>
                <w:bCs/>
                <w:color w:val="auto"/>
                <w:sz w:val="24"/>
                <w:szCs w:val="24"/>
                <w:lang w:val="en-US" w:eastAsia="zh-CN"/>
              </w:rPr>
              <w:t>，同时</w:t>
            </w:r>
            <w:r>
              <w:rPr>
                <w:rFonts w:hint="default"/>
                <w:b w:val="0"/>
                <w:bCs/>
                <w:color w:val="auto"/>
                <w:sz w:val="24"/>
                <w:szCs w:val="24"/>
                <w:lang w:val="en-US" w:eastAsia="zh-CN"/>
              </w:rPr>
              <w:t>在侧吹风冷却装置作用下快速冷却固化。</w:t>
            </w:r>
          </w:p>
          <w:p w14:paraId="169949CB">
            <w:pPr>
              <w:keepNext w:val="0"/>
              <w:keepLines w:val="0"/>
              <w:pageBreakBefore w:val="0"/>
              <w:widowControl w:val="0"/>
              <w:suppressLineNumbers w:val="0"/>
              <w:tabs>
                <w:tab w:val="left" w:pos="8841"/>
              </w:tabs>
              <w:kinsoku/>
              <w:wordWrap/>
              <w:overflowPunct/>
              <w:topLinePunct w:val="0"/>
              <w:autoSpaceDE/>
              <w:autoSpaceDN/>
              <w:bidi w:val="0"/>
              <w:adjustRightInd w:val="0"/>
              <w:snapToGrid w:val="0"/>
              <w:spacing w:before="0" w:beforeAutospacing="0" w:after="0" w:afterAutospacing="0" w:line="520" w:lineRule="exact"/>
              <w:ind w:left="0" w:right="0" w:firstLine="480" w:firstLineChars="200"/>
              <w:textAlignment w:val="auto"/>
              <w:rPr>
                <w:rFonts w:hint="default"/>
                <w:b w:val="0"/>
                <w:bCs/>
                <w:color w:val="auto"/>
                <w:sz w:val="24"/>
                <w:szCs w:val="24"/>
                <w:lang w:val="en-US" w:eastAsia="zh-CN"/>
              </w:rPr>
            </w:pPr>
            <w:r>
              <w:rPr>
                <w:rFonts w:hint="default"/>
                <w:b w:val="0"/>
                <w:bCs/>
                <w:color w:val="auto"/>
                <w:sz w:val="24"/>
                <w:szCs w:val="24"/>
                <w:lang w:val="en-US" w:eastAsia="zh-CN"/>
              </w:rPr>
              <w:t>将冷却定型后的丝束引入平织机编织</w:t>
            </w:r>
            <w:r>
              <w:rPr>
                <w:rFonts w:hint="eastAsia"/>
                <w:b w:val="0"/>
                <w:bCs/>
                <w:color w:val="auto"/>
                <w:sz w:val="24"/>
                <w:szCs w:val="24"/>
                <w:lang w:val="en-US" w:eastAsia="zh-CN"/>
              </w:rPr>
              <w:t>成基布，</w:t>
            </w:r>
            <w:r>
              <w:rPr>
                <w:rFonts w:hint="default"/>
                <w:b w:val="0"/>
                <w:bCs/>
                <w:color w:val="auto"/>
                <w:sz w:val="24"/>
                <w:szCs w:val="24"/>
                <w:lang w:val="en-US" w:eastAsia="zh-CN"/>
              </w:rPr>
              <w:t>采用热熔覆膜工艺，将PE</w:t>
            </w:r>
            <w:r>
              <w:rPr>
                <w:rFonts w:hint="eastAsia"/>
                <w:b w:val="0"/>
                <w:bCs/>
                <w:color w:val="auto"/>
                <w:sz w:val="24"/>
                <w:szCs w:val="24"/>
                <w:lang w:val="en-US" w:eastAsia="zh-CN"/>
              </w:rPr>
              <w:t>颗粒</w:t>
            </w:r>
            <w:r>
              <w:rPr>
                <w:rFonts w:hint="default"/>
                <w:b w:val="0"/>
                <w:bCs/>
                <w:color w:val="auto"/>
                <w:sz w:val="24"/>
                <w:szCs w:val="24"/>
                <w:lang w:val="en-US" w:eastAsia="zh-CN"/>
              </w:rPr>
              <w:t>送入热熔覆膜机</w:t>
            </w:r>
            <w:r>
              <w:rPr>
                <w:rFonts w:hint="eastAsia"/>
                <w:b w:val="0"/>
                <w:bCs/>
                <w:color w:val="auto"/>
                <w:sz w:val="24"/>
                <w:szCs w:val="24"/>
                <w:lang w:val="en-US" w:eastAsia="zh-CN"/>
              </w:rPr>
              <w:t>，挤出后形成薄膜</w:t>
            </w:r>
            <w:r>
              <w:rPr>
                <w:rFonts w:hint="default" w:ascii="Segoe UI" w:hAnsi="Segoe UI" w:eastAsia="Segoe UI" w:cs="Segoe UI"/>
                <w:i w:val="0"/>
                <w:iCs w:val="0"/>
                <w:caps w:val="0"/>
                <w:spacing w:val="0"/>
                <w:sz w:val="24"/>
                <w:szCs w:val="24"/>
                <w:shd w:val="clear" w:fill="FFFFFF"/>
              </w:rPr>
              <w:t>，同时压力滚筒施加预设压力，将薄膜与</w:t>
            </w:r>
            <w:r>
              <w:rPr>
                <w:rFonts w:hint="default" w:ascii="Times New Roman" w:hAnsi="Times New Roman" w:eastAsia="Segoe UI" w:cs="Times New Roman"/>
                <w:i w:val="0"/>
                <w:iCs w:val="0"/>
                <w:caps w:val="0"/>
                <w:spacing w:val="0"/>
                <w:sz w:val="24"/>
                <w:szCs w:val="24"/>
                <w:shd w:val="clear" w:fill="FFFFFF"/>
              </w:rPr>
              <w:t>PE</w:t>
            </w:r>
            <w:r>
              <w:rPr>
                <w:rFonts w:hint="eastAsia"/>
                <w:b w:val="0"/>
                <w:bCs/>
                <w:color w:val="auto"/>
                <w:sz w:val="24"/>
                <w:szCs w:val="24"/>
                <w:lang w:val="en-US" w:eastAsia="zh-CN"/>
              </w:rPr>
              <w:t>基</w:t>
            </w:r>
            <w:r>
              <w:rPr>
                <w:rFonts w:hint="default" w:ascii="Segoe UI" w:hAnsi="Segoe UI" w:eastAsia="Segoe UI" w:cs="Segoe UI"/>
                <w:i w:val="0"/>
                <w:iCs w:val="0"/>
                <w:caps w:val="0"/>
                <w:spacing w:val="0"/>
                <w:sz w:val="24"/>
                <w:szCs w:val="24"/>
                <w:shd w:val="clear" w:fill="FFFFFF"/>
              </w:rPr>
              <w:t>布紧密压合</w:t>
            </w:r>
            <w:r>
              <w:rPr>
                <w:rFonts w:hint="eastAsia" w:ascii="Segoe UI" w:hAnsi="Segoe UI" w:eastAsia="宋体" w:cs="Segoe UI"/>
                <w:i w:val="0"/>
                <w:iCs w:val="0"/>
                <w:caps w:val="0"/>
                <w:spacing w:val="0"/>
                <w:sz w:val="24"/>
                <w:szCs w:val="24"/>
                <w:shd w:val="clear" w:fill="FFFFFF"/>
                <w:lang w:eastAsia="zh-CN"/>
              </w:rPr>
              <w:t>，</w:t>
            </w:r>
            <w:r>
              <w:rPr>
                <w:rFonts w:hint="default" w:ascii="Segoe UI" w:hAnsi="Segoe UI" w:eastAsia="Segoe UI" w:cs="Segoe UI"/>
                <w:i w:val="0"/>
                <w:iCs w:val="0"/>
                <w:caps w:val="0"/>
                <w:spacing w:val="0"/>
                <w:sz w:val="24"/>
                <w:szCs w:val="24"/>
                <w:shd w:val="clear" w:fill="FFFFFF"/>
              </w:rPr>
              <w:t>复合后的材料经过降温定型，最后收卷</w:t>
            </w:r>
            <w:r>
              <w:rPr>
                <w:rFonts w:hint="eastAsia" w:ascii="Segoe UI" w:hAnsi="Segoe UI" w:eastAsia="宋体" w:cs="Segoe UI"/>
                <w:i w:val="0"/>
                <w:iCs w:val="0"/>
                <w:caps w:val="0"/>
                <w:spacing w:val="0"/>
                <w:sz w:val="24"/>
                <w:szCs w:val="24"/>
                <w:shd w:val="clear" w:fill="FFFFFF"/>
                <w:lang w:val="en-US" w:eastAsia="zh-CN"/>
              </w:rPr>
              <w:t>即为成品</w:t>
            </w:r>
            <w:r>
              <w:rPr>
                <w:rFonts w:hint="default"/>
                <w:b w:val="0"/>
                <w:bCs/>
                <w:color w:val="auto"/>
                <w:sz w:val="24"/>
                <w:szCs w:val="24"/>
                <w:lang w:val="en-US" w:eastAsia="zh-CN"/>
              </w:rPr>
              <w:t>。</w:t>
            </w:r>
          </w:p>
          <w:p w14:paraId="59F8E690">
            <w:pPr>
              <w:keepNext w:val="0"/>
              <w:keepLines w:val="0"/>
              <w:pageBreakBefore w:val="0"/>
              <w:widowControl w:val="0"/>
              <w:suppressLineNumbers w:val="0"/>
              <w:tabs>
                <w:tab w:val="left" w:pos="8841"/>
              </w:tabs>
              <w:kinsoku/>
              <w:wordWrap/>
              <w:overflowPunct/>
              <w:topLinePunct w:val="0"/>
              <w:autoSpaceDE/>
              <w:autoSpaceDN/>
              <w:bidi w:val="0"/>
              <w:adjustRightInd w:val="0"/>
              <w:snapToGrid w:val="0"/>
              <w:spacing w:before="0" w:beforeAutospacing="0" w:after="0" w:afterAutospacing="0" w:line="520" w:lineRule="exact"/>
              <w:ind w:left="0" w:right="0" w:firstLine="480" w:firstLineChars="200"/>
              <w:textAlignment w:val="auto"/>
              <w:rPr>
                <w:rFonts w:hint="default"/>
                <w:b w:val="0"/>
                <w:bCs/>
                <w:color w:val="auto"/>
                <w:sz w:val="24"/>
                <w:szCs w:val="24"/>
                <w:lang w:val="en-US" w:eastAsia="zh-CN"/>
              </w:rPr>
            </w:pPr>
            <w:r>
              <w:rPr>
                <w:rFonts w:hint="eastAsia"/>
                <w:b w:val="0"/>
                <w:bCs/>
                <w:color w:val="auto"/>
                <w:sz w:val="24"/>
                <w:szCs w:val="24"/>
                <w:lang w:val="en-US" w:eastAsia="zh-CN"/>
              </w:rPr>
              <w:t>项目在挤出拉丝和织布过程中产生的不合格产品，收集后返回挤出机内重新使用。</w:t>
            </w:r>
          </w:p>
          <w:p w14:paraId="033F221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textAlignment w:val="auto"/>
              <w:rPr>
                <w:rFonts w:hint="default"/>
                <w:color w:val="000000" w:themeColor="text1"/>
                <w:sz w:val="24"/>
                <w:szCs w:val="24"/>
                <w:highlight w:val="none"/>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2、运营期</w:t>
            </w:r>
            <w:r>
              <w:rPr>
                <w:rFonts w:hint="default"/>
                <w:color w:val="000000" w:themeColor="text1"/>
                <w:sz w:val="24"/>
                <w:szCs w:val="24"/>
                <w:highlight w:val="none"/>
                <w14:textFill>
                  <w14:solidFill>
                    <w14:schemeClr w14:val="tx1"/>
                  </w14:solidFill>
                </w14:textFill>
              </w:rPr>
              <w:t>产</w:t>
            </w:r>
            <w:r>
              <w:rPr>
                <w:rFonts w:hint="eastAsia"/>
                <w:color w:val="000000" w:themeColor="text1"/>
                <w:sz w:val="24"/>
                <w:szCs w:val="24"/>
                <w:highlight w:val="none"/>
                <w:lang w:val="en-US" w:eastAsia="zh-CN"/>
                <w14:textFill>
                  <w14:solidFill>
                    <w14:schemeClr w14:val="tx1"/>
                  </w14:solidFill>
                </w14:textFill>
              </w:rPr>
              <w:t>排</w:t>
            </w:r>
            <w:r>
              <w:rPr>
                <w:rFonts w:hint="default"/>
                <w:color w:val="000000" w:themeColor="text1"/>
                <w:sz w:val="24"/>
                <w:szCs w:val="24"/>
                <w:highlight w:val="none"/>
                <w14:textFill>
                  <w14:solidFill>
                    <w14:schemeClr w14:val="tx1"/>
                  </w14:solidFill>
                </w14:textFill>
              </w:rPr>
              <w:t>污环节分析</w:t>
            </w:r>
          </w:p>
          <w:p w14:paraId="433CA3D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textAlignment w:val="auto"/>
              <w:rPr>
                <w:rFonts w:hint="eastAsia"/>
                <w:sz w:val="24"/>
                <w:szCs w:val="24"/>
              </w:rPr>
            </w:pPr>
            <w:r>
              <w:rPr>
                <w:rFonts w:hint="default"/>
                <w:color w:val="auto"/>
                <w:kern w:val="0"/>
                <w:sz w:val="24"/>
              </w:rPr>
              <w:t>（1）</w:t>
            </w:r>
            <w:r>
              <w:rPr>
                <w:rFonts w:hint="eastAsia"/>
                <w:color w:val="auto"/>
                <w:sz w:val="24"/>
              </w:rPr>
              <w:t>废气</w:t>
            </w:r>
            <w:r>
              <w:rPr>
                <w:rFonts w:hint="default"/>
                <w:color w:val="auto"/>
                <w:sz w:val="24"/>
              </w:rPr>
              <w:t>：</w:t>
            </w:r>
            <w:r>
              <w:rPr>
                <w:rFonts w:hint="default"/>
                <w:color w:val="auto"/>
                <w:sz w:val="24"/>
                <w:lang w:val="en-US" w:eastAsia="zh-CN"/>
              </w:rPr>
              <w:t>挤出拉丝废气和覆膜废气</w:t>
            </w:r>
            <w:r>
              <w:rPr>
                <w:rFonts w:hint="eastAsia"/>
                <w:sz w:val="24"/>
                <w:szCs w:val="24"/>
              </w:rPr>
              <w:t>。</w:t>
            </w:r>
          </w:p>
          <w:p w14:paraId="597EDBED">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rPr>
                <w:rFonts w:hint="default"/>
                <w:color w:val="auto"/>
                <w:sz w:val="24"/>
                <w:lang w:val="en-US" w:eastAsia="zh-CN"/>
              </w:rPr>
            </w:pPr>
            <w:r>
              <w:rPr>
                <w:rFonts w:hint="default"/>
                <w:color w:val="auto"/>
                <w:kern w:val="0"/>
                <w:sz w:val="24"/>
                <w:highlight w:val="none"/>
              </w:rPr>
              <w:t>（2）废水：</w:t>
            </w:r>
            <w:r>
              <w:rPr>
                <w:rFonts w:hint="eastAsia"/>
                <w:color w:val="auto"/>
                <w:sz w:val="24"/>
                <w:lang w:val="en-US" w:eastAsia="zh-CN"/>
              </w:rPr>
              <w:t>项目用水主要为生产设备冷却用水和职工生活用水。其中，设备冷却水循环使用，</w:t>
            </w:r>
            <w:r>
              <w:rPr>
                <w:rFonts w:hint="eastAsia"/>
                <w:color w:val="auto"/>
                <w:sz w:val="24"/>
                <w:szCs w:val="24"/>
                <w:lang w:val="en-US" w:eastAsia="zh-CN"/>
              </w:rPr>
              <w:t>职工生活废水经化粪池处理后，</w:t>
            </w:r>
            <w:r>
              <w:rPr>
                <w:rFonts w:hint="eastAsia" w:ascii="Times New Roman" w:hAnsi="Times New Roman" w:eastAsia="宋体" w:cs="Times New Roman"/>
                <w:kern w:val="2"/>
                <w:sz w:val="24"/>
                <w:szCs w:val="24"/>
                <w:lang w:val="en-US" w:eastAsia="zh-CN" w:bidi="ar"/>
              </w:rPr>
              <w:t>通过污水管网，进入汤阴东方环宇污水处理有限公司处理后排放</w:t>
            </w:r>
            <w:r>
              <w:rPr>
                <w:rFonts w:hint="eastAsia"/>
                <w:color w:val="auto"/>
                <w:sz w:val="24"/>
                <w:szCs w:val="24"/>
                <w:lang w:val="en-US" w:eastAsia="zh-CN"/>
              </w:rPr>
              <w:t>。</w:t>
            </w:r>
          </w:p>
          <w:p w14:paraId="52CB9D9C">
            <w:pPr>
              <w:keepNext w:val="0"/>
              <w:keepLines w:val="0"/>
              <w:pageBreakBefore w:val="0"/>
              <w:widowControl w:val="0"/>
              <w:suppressLineNumbers w:val="0"/>
              <w:kinsoku/>
              <w:wordWrap/>
              <w:topLinePunct w:val="0"/>
              <w:autoSpaceDE/>
              <w:autoSpaceDN/>
              <w:bidi w:val="0"/>
              <w:spacing w:before="0" w:beforeAutospacing="0" w:after="0" w:afterAutospacing="0" w:line="520" w:lineRule="exact"/>
              <w:ind w:left="0" w:right="0" w:firstLine="480" w:firstLineChars="200"/>
              <w:textAlignment w:val="auto"/>
              <w:rPr>
                <w:rFonts w:hint="eastAsia"/>
                <w:bCs/>
                <w:color w:val="auto"/>
                <w:sz w:val="24"/>
                <w:highlight w:val="red"/>
              </w:rPr>
            </w:pPr>
            <w:r>
              <w:rPr>
                <w:rFonts w:hint="default"/>
                <w:color w:val="auto"/>
                <w:kern w:val="0"/>
                <w:sz w:val="24"/>
              </w:rPr>
              <w:t>（3）噪声：</w:t>
            </w:r>
            <w:r>
              <w:rPr>
                <w:rFonts w:hint="default"/>
                <w:color w:val="000000" w:themeColor="text1"/>
                <w:sz w:val="24"/>
                <w:szCs w:val="24"/>
                <w14:textFill>
                  <w14:solidFill>
                    <w14:schemeClr w14:val="tx1"/>
                  </w14:solidFill>
                </w14:textFill>
              </w:rPr>
              <w:t>本</w:t>
            </w:r>
            <w:r>
              <w:rPr>
                <w:rFonts w:hint="eastAsia"/>
                <w:color w:val="000000" w:themeColor="text1"/>
                <w:sz w:val="24"/>
                <w:szCs w:val="24"/>
                <w:lang w:val="en-US" w:eastAsia="zh-CN"/>
                <w14:textFill>
                  <w14:solidFill>
                    <w14:schemeClr w14:val="tx1"/>
                  </w14:solidFill>
                </w14:textFill>
              </w:rPr>
              <w:t>项目</w:t>
            </w:r>
            <w:r>
              <w:rPr>
                <w:rFonts w:hint="default"/>
                <w:color w:val="000000" w:themeColor="text1"/>
                <w:sz w:val="24"/>
                <w:szCs w:val="24"/>
                <w14:textFill>
                  <w14:solidFill>
                    <w14:schemeClr w14:val="tx1"/>
                  </w14:solidFill>
                </w14:textFill>
              </w:rPr>
              <w:t>噪声主要</w:t>
            </w:r>
            <w:r>
              <w:rPr>
                <w:rFonts w:hint="eastAsia"/>
                <w:color w:val="000000" w:themeColor="text1"/>
                <w:sz w:val="24"/>
                <w:szCs w:val="24"/>
                <w:lang w:val="en-US" w:eastAsia="zh-CN"/>
                <w14:textFill>
                  <w14:solidFill>
                    <w14:schemeClr w14:val="tx1"/>
                  </w14:solidFill>
                </w14:textFill>
              </w:rPr>
              <w:t>为</w:t>
            </w:r>
            <w:r>
              <w:rPr>
                <w:rFonts w:hint="eastAsia"/>
                <w:color w:val="auto"/>
                <w:sz w:val="24"/>
              </w:rPr>
              <w:t>生产设备及废气污染治理设施风机等</w:t>
            </w:r>
            <w:r>
              <w:rPr>
                <w:rFonts w:hint="eastAsia"/>
                <w:color w:val="auto"/>
                <w:sz w:val="24"/>
                <w:lang w:val="en-US" w:eastAsia="zh-CN"/>
              </w:rPr>
              <w:t>运行噪声</w:t>
            </w:r>
            <w:r>
              <w:rPr>
                <w:rFonts w:hint="eastAsia"/>
                <w:color w:val="auto"/>
                <w:sz w:val="24"/>
              </w:rPr>
              <w:t>，源强在</w:t>
            </w:r>
            <w:r>
              <w:rPr>
                <w:rFonts w:hint="eastAsia"/>
                <w:color w:val="auto"/>
                <w:sz w:val="24"/>
                <w:lang w:val="en-US" w:eastAsia="zh-CN"/>
              </w:rPr>
              <w:t>65～85</w:t>
            </w:r>
            <w:r>
              <w:rPr>
                <w:rFonts w:hint="default"/>
                <w:color w:val="auto"/>
                <w:sz w:val="24"/>
              </w:rPr>
              <w:t>dB(A)</w:t>
            </w:r>
            <w:r>
              <w:rPr>
                <w:rFonts w:hint="eastAsia"/>
                <w:bCs/>
                <w:color w:val="auto"/>
                <w:sz w:val="24"/>
              </w:rPr>
              <w:t>。</w:t>
            </w:r>
          </w:p>
          <w:p w14:paraId="0A6085F1">
            <w:pPr>
              <w:keepNext w:val="0"/>
              <w:keepLines w:val="0"/>
              <w:pageBreakBefore w:val="0"/>
              <w:widowControl w:val="0"/>
              <w:suppressLineNumbers w:val="0"/>
              <w:kinsoku/>
              <w:wordWrap/>
              <w:topLinePunct w:val="0"/>
              <w:autoSpaceDE/>
              <w:autoSpaceDN/>
              <w:bidi w:val="0"/>
              <w:spacing w:before="0" w:beforeAutospacing="0" w:after="0" w:afterAutospacing="0" w:line="520" w:lineRule="exact"/>
              <w:ind w:left="0" w:right="0" w:firstLine="480" w:firstLineChars="200"/>
              <w:textAlignment w:val="auto"/>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rPr>
              <w:t>（4）固体废物：</w:t>
            </w:r>
            <w:r>
              <w:rPr>
                <w:rFonts w:hint="eastAsia" w:cs="Times New Roman"/>
                <w:kern w:val="2"/>
                <w:sz w:val="24"/>
                <w:szCs w:val="24"/>
                <w:lang w:val="en-US" w:eastAsia="zh-CN" w:bidi="ar"/>
              </w:rPr>
              <w:t>废弃包装</w:t>
            </w:r>
            <w:r>
              <w:rPr>
                <w:rFonts w:hint="eastAsia" w:ascii="Times New Roman" w:hAnsi="Times New Roman" w:eastAsia="宋体" w:cs="Times New Roman"/>
                <w:kern w:val="2"/>
                <w:sz w:val="24"/>
                <w:szCs w:val="24"/>
                <w:lang w:val="en-US" w:eastAsia="zh-CN" w:bidi="ar"/>
              </w:rPr>
              <w:t>、废</w:t>
            </w:r>
            <w:r>
              <w:rPr>
                <w:rFonts w:hint="eastAsia" w:cs="Times New Roman"/>
                <w:kern w:val="2"/>
                <w:sz w:val="24"/>
                <w:szCs w:val="24"/>
                <w:lang w:val="en-US" w:eastAsia="zh-CN" w:bidi="ar"/>
              </w:rPr>
              <w:t>活性炭</w:t>
            </w:r>
            <w:r>
              <w:rPr>
                <w:rFonts w:hint="eastAsia" w:ascii="Times New Roman" w:hAnsi="Times New Roman" w:eastAsia="宋体" w:cs="Times New Roman"/>
                <w:kern w:val="2"/>
                <w:sz w:val="24"/>
                <w:szCs w:val="24"/>
                <w:lang w:val="en-US" w:eastAsia="zh-CN" w:bidi="ar"/>
              </w:rPr>
              <w:t>、</w:t>
            </w:r>
            <w:r>
              <w:rPr>
                <w:rFonts w:hint="eastAsia" w:ascii="Times New Roman" w:hAnsi="Times New Roman" w:eastAsia="宋体" w:cs="Times New Roman"/>
                <w:sz w:val="24"/>
                <w:szCs w:val="24"/>
                <w:lang w:val="en-US" w:eastAsia="zh-CN" w:bidi="ar"/>
              </w:rPr>
              <w:t>废</w:t>
            </w:r>
            <w:r>
              <w:rPr>
                <w:rFonts w:hint="eastAsia" w:cs="Times New Roman"/>
                <w:sz w:val="24"/>
                <w:szCs w:val="24"/>
                <w:lang w:val="en-US" w:eastAsia="zh-CN" w:bidi="ar"/>
              </w:rPr>
              <w:t>催化剂</w:t>
            </w:r>
            <w:r>
              <w:rPr>
                <w:rFonts w:hint="eastAsia" w:ascii="Times New Roman" w:hAnsi="Times New Roman" w:eastAsia="宋体" w:cs="Times New Roman"/>
                <w:sz w:val="24"/>
                <w:szCs w:val="24"/>
                <w:lang w:val="en-US" w:eastAsia="zh-CN" w:bidi="ar"/>
              </w:rPr>
              <w:t>和职工生活垃圾</w:t>
            </w:r>
            <w:r>
              <w:rPr>
                <w:rFonts w:hint="eastAsia" w:ascii="Times New Roman" w:hAnsi="Times New Roman" w:eastAsia="宋体" w:cs="Times New Roman"/>
                <w:color w:val="auto"/>
                <w:sz w:val="24"/>
                <w:lang w:val="en-US" w:eastAsia="zh-CN"/>
              </w:rPr>
              <w:t>。</w:t>
            </w:r>
          </w:p>
          <w:p w14:paraId="4E7D86D6">
            <w:pPr>
              <w:keepNext w:val="0"/>
              <w:keepLines w:val="0"/>
              <w:pageBreakBefore w:val="0"/>
              <w:widowControl/>
              <w:numPr>
                <w:ilvl w:val="0"/>
                <w:numId w:val="0"/>
              </w:numPr>
              <w:suppressLineNumbers w:val="0"/>
              <w:kinsoku/>
              <w:wordWrap/>
              <w:overflowPunct/>
              <w:topLinePunct w:val="0"/>
              <w:autoSpaceDE/>
              <w:autoSpaceDN/>
              <w:bidi w:val="0"/>
              <w:adjustRightInd w:val="0"/>
              <w:snapToGrid/>
              <w:spacing w:before="0" w:beforeAutospacing="0" w:after="0" w:afterAutospacing="0" w:line="520" w:lineRule="exact"/>
              <w:ind w:left="0" w:right="0"/>
              <w:jc w:val="center"/>
              <w:textAlignment w:val="auto"/>
              <w:rPr>
                <w:rFonts w:hint="default" w:ascii="Times New Roman" w:hAnsi="Times New Roman" w:eastAsia="黑体" w:cs="Times New Roman"/>
                <w:b w:val="0"/>
                <w:bCs w:val="0"/>
                <w:color w:val="000000" w:themeColor="text1"/>
                <w:sz w:val="24"/>
                <w:szCs w:val="24"/>
                <w:highlight w:val="none"/>
                <w:lang w:val="en-US" w:eastAsia="zh-CN"/>
                <w14:textFill>
                  <w14:solidFill>
                    <w14:schemeClr w14:val="tx1"/>
                  </w14:solidFill>
                </w14:textFill>
              </w:rPr>
            </w:pPr>
            <w:r>
              <w:rPr>
                <w:rFonts w:hint="eastAsia" w:ascii="Times New Roman" w:hAnsi="Times New Roman" w:eastAsia="黑体" w:cs="Times New Roman"/>
                <w:b w:val="0"/>
                <w:bCs w:val="0"/>
                <w:color w:val="000000" w:themeColor="text1"/>
                <w:sz w:val="24"/>
                <w:szCs w:val="24"/>
                <w:highlight w:val="none"/>
                <w:lang w:val="en-US" w:eastAsia="zh-CN"/>
                <w14:textFill>
                  <w14:solidFill>
                    <w14:schemeClr w14:val="tx1"/>
                  </w14:solidFill>
                </w14:textFill>
              </w:rPr>
              <w:t>表2-</w:t>
            </w:r>
            <w:r>
              <w:rPr>
                <w:rFonts w:hint="eastAsia" w:eastAsia="黑体" w:cs="Times New Roman"/>
                <w:b w:val="0"/>
                <w:bCs w:val="0"/>
                <w:color w:val="000000" w:themeColor="text1"/>
                <w:sz w:val="24"/>
                <w:szCs w:val="24"/>
                <w:highlight w:val="none"/>
                <w:lang w:val="en-US" w:eastAsia="zh-CN"/>
                <w14:textFill>
                  <w14:solidFill>
                    <w14:schemeClr w14:val="tx1"/>
                  </w14:solidFill>
                </w14:textFill>
              </w:rPr>
              <w:t>5</w:t>
            </w:r>
            <w:r>
              <w:rPr>
                <w:rFonts w:hint="eastAsia" w:ascii="Times New Roman" w:hAnsi="Times New Roman" w:eastAsia="黑体" w:cs="Times New Roman"/>
                <w:b w:val="0"/>
                <w:bCs w:val="0"/>
                <w:color w:val="000000" w:themeColor="text1"/>
                <w:sz w:val="24"/>
                <w:szCs w:val="24"/>
                <w:highlight w:val="none"/>
                <w:lang w:val="en-US" w:eastAsia="zh-CN"/>
                <w14:textFill>
                  <w14:solidFill>
                    <w14:schemeClr w14:val="tx1"/>
                  </w14:solidFill>
                </w14:textFill>
              </w:rPr>
              <w:t xml:space="preserve">  本项目产排污环节汇总表</w:t>
            </w:r>
          </w:p>
          <w:tbl>
            <w:tblPr>
              <w:tblStyle w:val="25"/>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11"/>
              <w:gridCol w:w="2224"/>
              <w:gridCol w:w="1818"/>
              <w:gridCol w:w="3362"/>
            </w:tblGrid>
            <w:tr w14:paraId="0F8D1D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8" w:type="pct"/>
                  <w:noWrap w:val="0"/>
                  <w:tcMar>
                    <w:top w:w="0" w:type="dxa"/>
                    <w:left w:w="57" w:type="dxa"/>
                    <w:bottom w:w="0" w:type="dxa"/>
                    <w:right w:w="57" w:type="dxa"/>
                  </w:tcMar>
                  <w:vAlign w:val="center"/>
                </w:tcPr>
                <w:p w14:paraId="32BBFE27">
                  <w:pPr>
                    <w:pStyle w:val="8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eastAsia="宋体"/>
                      <w:b w:val="0"/>
                      <w:bCs w:val="0"/>
                      <w:lang w:val="en-US" w:eastAsia="zh-CN"/>
                    </w:rPr>
                  </w:pPr>
                  <w:r>
                    <w:rPr>
                      <w:rFonts w:hint="eastAsia"/>
                      <w:b w:val="0"/>
                      <w:bCs w:val="0"/>
                      <w:lang w:val="en-US" w:eastAsia="zh-CN"/>
                    </w:rPr>
                    <w:t>类别</w:t>
                  </w:r>
                </w:p>
              </w:tc>
              <w:tc>
                <w:tcPr>
                  <w:tcW w:w="1370" w:type="pct"/>
                  <w:noWrap w:val="0"/>
                  <w:tcMar>
                    <w:top w:w="0" w:type="dxa"/>
                    <w:left w:w="57" w:type="dxa"/>
                    <w:bottom w:w="0" w:type="dxa"/>
                    <w:right w:w="57" w:type="dxa"/>
                  </w:tcMar>
                  <w:vAlign w:val="center"/>
                </w:tcPr>
                <w:p w14:paraId="6C48DF00">
                  <w:pPr>
                    <w:pStyle w:val="8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eastAsia="宋体"/>
                      <w:b w:val="0"/>
                      <w:bCs w:val="0"/>
                      <w:lang w:val="en-US" w:eastAsia="zh-CN"/>
                    </w:rPr>
                  </w:pPr>
                  <w:r>
                    <w:rPr>
                      <w:rFonts w:hint="eastAsia"/>
                      <w:b w:val="0"/>
                      <w:bCs w:val="0"/>
                      <w:lang w:val="en-US" w:eastAsia="zh-CN"/>
                    </w:rPr>
                    <w:t>产污环节</w:t>
                  </w:r>
                </w:p>
              </w:tc>
              <w:tc>
                <w:tcPr>
                  <w:tcW w:w="1120" w:type="pct"/>
                  <w:noWrap w:val="0"/>
                  <w:tcMar>
                    <w:top w:w="0" w:type="dxa"/>
                    <w:left w:w="57" w:type="dxa"/>
                    <w:bottom w:w="0" w:type="dxa"/>
                    <w:right w:w="57" w:type="dxa"/>
                  </w:tcMar>
                  <w:vAlign w:val="center"/>
                </w:tcPr>
                <w:p w14:paraId="4413C21E">
                  <w:pPr>
                    <w:pStyle w:val="8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b w:val="0"/>
                      <w:bCs w:val="0"/>
                      <w:lang w:val="en-US" w:eastAsia="zh-CN"/>
                    </w:rPr>
                  </w:pPr>
                  <w:r>
                    <w:rPr>
                      <w:rFonts w:hint="eastAsia"/>
                      <w:b w:val="0"/>
                      <w:bCs w:val="0"/>
                      <w:lang w:val="en-US" w:eastAsia="zh-CN"/>
                    </w:rPr>
                    <w:t>污染因子</w:t>
                  </w:r>
                </w:p>
              </w:tc>
              <w:tc>
                <w:tcPr>
                  <w:tcW w:w="2071" w:type="pct"/>
                  <w:noWrap w:val="0"/>
                  <w:tcMar>
                    <w:top w:w="0" w:type="dxa"/>
                    <w:left w:w="57" w:type="dxa"/>
                    <w:bottom w:w="0" w:type="dxa"/>
                    <w:right w:w="57" w:type="dxa"/>
                  </w:tcMar>
                  <w:vAlign w:val="center"/>
                </w:tcPr>
                <w:p w14:paraId="606772DC">
                  <w:pPr>
                    <w:pStyle w:val="8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b w:val="0"/>
                      <w:bCs w:val="0"/>
                      <w:lang w:val="en-US" w:eastAsia="zh-CN"/>
                    </w:rPr>
                  </w:pPr>
                  <w:r>
                    <w:rPr>
                      <w:rFonts w:hint="eastAsia"/>
                      <w:b w:val="0"/>
                      <w:bCs w:val="0"/>
                      <w:lang w:val="en-US" w:eastAsia="zh-CN"/>
                    </w:rPr>
                    <w:t>治理设施</w:t>
                  </w:r>
                </w:p>
              </w:tc>
            </w:tr>
            <w:tr w14:paraId="04374D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8" w:type="pct"/>
                  <w:noWrap w:val="0"/>
                  <w:tcMar>
                    <w:top w:w="0" w:type="dxa"/>
                    <w:left w:w="57" w:type="dxa"/>
                    <w:bottom w:w="0" w:type="dxa"/>
                    <w:right w:w="57" w:type="dxa"/>
                  </w:tcMar>
                  <w:vAlign w:val="center"/>
                </w:tcPr>
                <w:p w14:paraId="64E554AD">
                  <w:pPr>
                    <w:pStyle w:val="8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eastAsia="宋体"/>
                      <w:b w:val="0"/>
                      <w:bCs w:val="0"/>
                      <w:lang w:val="en-US" w:eastAsia="zh-CN"/>
                    </w:rPr>
                  </w:pPr>
                  <w:r>
                    <w:rPr>
                      <w:rFonts w:hint="eastAsia"/>
                      <w:b w:val="0"/>
                      <w:bCs w:val="0"/>
                      <w:lang w:val="en-US" w:eastAsia="zh-CN"/>
                    </w:rPr>
                    <w:t>废气</w:t>
                  </w:r>
                </w:p>
              </w:tc>
              <w:tc>
                <w:tcPr>
                  <w:tcW w:w="1370" w:type="pct"/>
                  <w:noWrap w:val="0"/>
                  <w:tcMar>
                    <w:top w:w="0" w:type="dxa"/>
                    <w:left w:w="57" w:type="dxa"/>
                    <w:bottom w:w="0" w:type="dxa"/>
                    <w:right w:w="57" w:type="dxa"/>
                  </w:tcMar>
                  <w:vAlign w:val="center"/>
                </w:tcPr>
                <w:p w14:paraId="698FA655">
                  <w:pPr>
                    <w:pStyle w:val="8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textAlignment w:val="auto"/>
                    <w:rPr>
                      <w:rFonts w:hint="eastAsia"/>
                      <w:b w:val="0"/>
                      <w:bCs w:val="0"/>
                      <w:lang w:val="en-US" w:eastAsia="zh-CN"/>
                    </w:rPr>
                  </w:pPr>
                  <w:r>
                    <w:rPr>
                      <w:rFonts w:hint="default" w:ascii="Times New Roman" w:hAnsi="Times New Roman" w:eastAsia="宋体" w:cs="宋体"/>
                      <w:b w:val="0"/>
                      <w:bCs/>
                      <w:kern w:val="2"/>
                      <w:sz w:val="21"/>
                      <w:szCs w:val="24"/>
                      <w:highlight w:val="none"/>
                      <w:lang w:val="en-US" w:eastAsia="zh-CN" w:bidi="ar"/>
                    </w:rPr>
                    <w:t>挤出拉丝、覆膜</w:t>
                  </w:r>
                </w:p>
              </w:tc>
              <w:tc>
                <w:tcPr>
                  <w:tcW w:w="1120" w:type="pct"/>
                  <w:noWrap w:val="0"/>
                  <w:tcMar>
                    <w:top w:w="0" w:type="dxa"/>
                    <w:left w:w="57" w:type="dxa"/>
                    <w:bottom w:w="0" w:type="dxa"/>
                    <w:right w:w="57" w:type="dxa"/>
                  </w:tcMar>
                  <w:vAlign w:val="center"/>
                </w:tcPr>
                <w:p w14:paraId="24081951">
                  <w:pPr>
                    <w:pStyle w:val="8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textAlignment w:val="auto"/>
                    <w:rPr>
                      <w:rFonts w:hint="default"/>
                      <w:b w:val="0"/>
                      <w:bCs w:val="0"/>
                      <w:lang w:val="en-US" w:eastAsia="zh-CN"/>
                    </w:rPr>
                  </w:pPr>
                  <w:r>
                    <w:rPr>
                      <w:rFonts w:hint="eastAsia"/>
                      <w:b w:val="0"/>
                      <w:bCs w:val="0"/>
                      <w:lang w:val="en-US" w:eastAsia="zh-CN"/>
                    </w:rPr>
                    <w:t>非甲烷总烃</w:t>
                  </w:r>
                </w:p>
              </w:tc>
              <w:tc>
                <w:tcPr>
                  <w:tcW w:w="2071" w:type="pct"/>
                  <w:noWrap w:val="0"/>
                  <w:tcMar>
                    <w:top w:w="0" w:type="dxa"/>
                    <w:left w:w="57" w:type="dxa"/>
                    <w:bottom w:w="0" w:type="dxa"/>
                    <w:right w:w="57" w:type="dxa"/>
                  </w:tcMar>
                  <w:vAlign w:val="center"/>
                </w:tcPr>
                <w:p w14:paraId="16533987">
                  <w:pPr>
                    <w:pStyle w:val="8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b w:val="0"/>
                      <w:bCs w:val="0"/>
                      <w:lang w:val="en-US" w:eastAsia="zh-CN"/>
                    </w:rPr>
                  </w:pPr>
                  <w:r>
                    <w:rPr>
                      <w:rFonts w:hint="eastAsia"/>
                      <w:color w:val="000000" w:themeColor="text1"/>
                      <w:kern w:val="2"/>
                      <w:sz w:val="21"/>
                      <w:szCs w:val="21"/>
                      <w:highlight w:val="none"/>
                      <w:lang w:val="en-US" w:eastAsia="zh-CN" w:bidi="ar-SA"/>
                      <w14:textFill>
                        <w14:solidFill>
                          <w14:schemeClr w14:val="tx1"/>
                        </w14:solidFill>
                      </w14:textFill>
                    </w:rPr>
                    <w:t>密闭罩收集，经1套活性炭吸附浓缩+催化燃烧处理+15m高排气筒</w:t>
                  </w:r>
                </w:p>
              </w:tc>
            </w:tr>
            <w:tr w14:paraId="23A92C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8" w:type="pct"/>
                  <w:vMerge w:val="restart"/>
                  <w:noWrap w:val="0"/>
                  <w:tcMar>
                    <w:top w:w="0" w:type="dxa"/>
                    <w:left w:w="57" w:type="dxa"/>
                    <w:bottom w:w="0" w:type="dxa"/>
                    <w:right w:w="57" w:type="dxa"/>
                  </w:tcMar>
                  <w:vAlign w:val="center"/>
                </w:tcPr>
                <w:p w14:paraId="68CEDA54">
                  <w:pPr>
                    <w:pStyle w:val="8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b w:val="0"/>
                      <w:bCs w:val="0"/>
                      <w:lang w:val="en-US" w:eastAsia="zh-CN"/>
                    </w:rPr>
                  </w:pPr>
                  <w:r>
                    <w:rPr>
                      <w:rFonts w:hint="eastAsia"/>
                      <w:b w:val="0"/>
                      <w:bCs w:val="0"/>
                      <w:lang w:val="en-US" w:eastAsia="zh-CN"/>
                    </w:rPr>
                    <w:t>废水</w:t>
                  </w:r>
                </w:p>
              </w:tc>
              <w:tc>
                <w:tcPr>
                  <w:tcW w:w="1370" w:type="pct"/>
                  <w:noWrap w:val="0"/>
                  <w:tcMar>
                    <w:top w:w="0" w:type="dxa"/>
                    <w:left w:w="57" w:type="dxa"/>
                    <w:bottom w:w="0" w:type="dxa"/>
                    <w:right w:w="57" w:type="dxa"/>
                  </w:tcMar>
                  <w:vAlign w:val="center"/>
                </w:tcPr>
                <w:p w14:paraId="0C89CD3B">
                  <w:pPr>
                    <w:pStyle w:val="8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Times New Roman" w:hAnsi="Times New Roman" w:eastAsia="宋体" w:cs="Times New Roman"/>
                      <w:b w:val="0"/>
                      <w:bCs w:val="0"/>
                      <w:snapToGrid w:val="0"/>
                      <w:color w:val="000000"/>
                      <w:kern w:val="0"/>
                      <w:sz w:val="21"/>
                      <w:szCs w:val="21"/>
                      <w:lang w:val="en-US" w:eastAsia="zh-CN"/>
                    </w:rPr>
                  </w:pPr>
                  <w:r>
                    <w:rPr>
                      <w:rFonts w:hint="eastAsia" w:cs="Times New Roman"/>
                      <w:b w:val="0"/>
                      <w:bCs w:val="0"/>
                      <w:snapToGrid w:val="0"/>
                      <w:color w:val="000000"/>
                      <w:kern w:val="0"/>
                      <w:sz w:val="21"/>
                      <w:szCs w:val="21"/>
                      <w:lang w:val="en-US" w:eastAsia="zh-CN"/>
                    </w:rPr>
                    <w:t>设备冷却</w:t>
                  </w:r>
                </w:p>
              </w:tc>
              <w:tc>
                <w:tcPr>
                  <w:tcW w:w="1120" w:type="pct"/>
                  <w:noWrap w:val="0"/>
                  <w:tcMar>
                    <w:top w:w="0" w:type="dxa"/>
                    <w:left w:w="57" w:type="dxa"/>
                    <w:bottom w:w="0" w:type="dxa"/>
                    <w:right w:w="57" w:type="dxa"/>
                  </w:tcMar>
                  <w:vAlign w:val="center"/>
                </w:tcPr>
                <w:p w14:paraId="3019C60F">
                  <w:pPr>
                    <w:pStyle w:val="8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Times New Roman" w:hAnsi="Times New Roman" w:eastAsia="宋体" w:cs="Times New Roman"/>
                      <w:b w:val="0"/>
                      <w:bCs w:val="0"/>
                      <w:snapToGrid w:val="0"/>
                      <w:color w:val="000000"/>
                      <w:kern w:val="0"/>
                      <w:sz w:val="21"/>
                      <w:szCs w:val="21"/>
                      <w:lang w:val="en-US" w:eastAsia="zh-CN"/>
                    </w:rPr>
                  </w:pPr>
                  <w:r>
                    <w:rPr>
                      <w:rFonts w:hint="eastAsia" w:cs="Times New Roman"/>
                      <w:b w:val="0"/>
                      <w:bCs w:val="0"/>
                      <w:snapToGrid w:val="0"/>
                      <w:color w:val="000000"/>
                      <w:kern w:val="0"/>
                      <w:sz w:val="21"/>
                      <w:szCs w:val="21"/>
                      <w:lang w:val="en-US" w:eastAsia="zh-CN"/>
                    </w:rPr>
                    <w:t>冷却废水</w:t>
                  </w:r>
                </w:p>
              </w:tc>
              <w:tc>
                <w:tcPr>
                  <w:tcW w:w="2071" w:type="pct"/>
                  <w:noWrap w:val="0"/>
                  <w:tcMar>
                    <w:top w:w="0" w:type="dxa"/>
                    <w:left w:w="57" w:type="dxa"/>
                    <w:bottom w:w="0" w:type="dxa"/>
                    <w:right w:w="57" w:type="dxa"/>
                  </w:tcMar>
                  <w:vAlign w:val="center"/>
                </w:tcPr>
                <w:p w14:paraId="62AFC6E7">
                  <w:pPr>
                    <w:pStyle w:val="8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cs="Times New Roman"/>
                      <w:b w:val="0"/>
                      <w:bCs w:val="0"/>
                      <w:snapToGrid w:val="0"/>
                      <w:color w:val="000000"/>
                      <w:kern w:val="0"/>
                      <w:sz w:val="21"/>
                      <w:szCs w:val="21"/>
                      <w:lang w:val="en-US" w:eastAsia="zh-CN"/>
                    </w:rPr>
                  </w:pPr>
                  <w:r>
                    <w:rPr>
                      <w:rFonts w:hint="eastAsia" w:cs="Times New Roman"/>
                      <w:b w:val="0"/>
                      <w:bCs w:val="0"/>
                      <w:snapToGrid w:val="0"/>
                      <w:color w:val="000000"/>
                      <w:kern w:val="0"/>
                      <w:sz w:val="21"/>
                      <w:szCs w:val="21"/>
                      <w:lang w:val="en-US" w:eastAsia="zh-CN"/>
                    </w:rPr>
                    <w:t>经1座冷却塔进行降温后，在1座10m</w:t>
                  </w:r>
                  <w:r>
                    <w:rPr>
                      <w:rFonts w:hint="eastAsia" w:cs="Times New Roman"/>
                      <w:b w:val="0"/>
                      <w:bCs w:val="0"/>
                      <w:snapToGrid w:val="0"/>
                      <w:color w:val="000000"/>
                      <w:kern w:val="0"/>
                      <w:sz w:val="21"/>
                      <w:szCs w:val="21"/>
                      <w:vertAlign w:val="superscript"/>
                      <w:lang w:val="en-US" w:eastAsia="zh-CN"/>
                    </w:rPr>
                    <w:t>3</w:t>
                  </w:r>
                  <w:r>
                    <w:rPr>
                      <w:rFonts w:hint="eastAsia" w:cs="Times New Roman"/>
                      <w:b w:val="0"/>
                      <w:bCs w:val="0"/>
                      <w:snapToGrid w:val="0"/>
                      <w:color w:val="000000"/>
                      <w:kern w:val="0"/>
                      <w:sz w:val="21"/>
                      <w:szCs w:val="21"/>
                      <w:lang w:val="en-US" w:eastAsia="zh-CN"/>
                    </w:rPr>
                    <w:t>循环水池暂存，循环使用，不外排</w:t>
                  </w:r>
                </w:p>
              </w:tc>
            </w:tr>
            <w:tr w14:paraId="3824A3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8" w:type="pct"/>
                  <w:vMerge w:val="continue"/>
                  <w:noWrap w:val="0"/>
                  <w:tcMar>
                    <w:top w:w="0" w:type="dxa"/>
                    <w:left w:w="57" w:type="dxa"/>
                    <w:bottom w:w="0" w:type="dxa"/>
                    <w:right w:w="57" w:type="dxa"/>
                  </w:tcMar>
                  <w:vAlign w:val="center"/>
                </w:tcPr>
                <w:p w14:paraId="285B922B">
                  <w:pPr>
                    <w:pStyle w:val="8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b w:val="0"/>
                      <w:bCs w:val="0"/>
                      <w:lang w:val="en-US" w:eastAsia="zh-CN"/>
                    </w:rPr>
                  </w:pPr>
                </w:p>
              </w:tc>
              <w:tc>
                <w:tcPr>
                  <w:tcW w:w="1370" w:type="pct"/>
                  <w:noWrap w:val="0"/>
                  <w:tcMar>
                    <w:top w:w="0" w:type="dxa"/>
                    <w:left w:w="57" w:type="dxa"/>
                    <w:bottom w:w="0" w:type="dxa"/>
                    <w:right w:w="57" w:type="dxa"/>
                  </w:tcMar>
                  <w:vAlign w:val="center"/>
                </w:tcPr>
                <w:p w14:paraId="4A200824">
                  <w:pPr>
                    <w:pStyle w:val="8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Times New Roman" w:hAnsi="Times New Roman" w:eastAsia="宋体" w:cs="Times New Roman"/>
                      <w:b w:val="0"/>
                      <w:bCs w:val="0"/>
                      <w:snapToGrid w:val="0"/>
                      <w:color w:val="000000"/>
                      <w:kern w:val="0"/>
                      <w:sz w:val="21"/>
                      <w:szCs w:val="21"/>
                      <w:lang w:val="en-US" w:eastAsia="zh-CN" w:bidi="ar-SA"/>
                    </w:rPr>
                  </w:pPr>
                  <w:r>
                    <w:rPr>
                      <w:rFonts w:hint="eastAsia" w:cs="Times New Roman"/>
                      <w:b w:val="0"/>
                      <w:bCs w:val="0"/>
                      <w:snapToGrid w:val="0"/>
                      <w:color w:val="000000"/>
                      <w:kern w:val="0"/>
                      <w:sz w:val="21"/>
                      <w:szCs w:val="21"/>
                      <w:lang w:val="en-US" w:eastAsia="zh-CN" w:bidi="ar-SA"/>
                    </w:rPr>
                    <w:t>职工生活</w:t>
                  </w:r>
                </w:p>
              </w:tc>
              <w:tc>
                <w:tcPr>
                  <w:tcW w:w="1120" w:type="pct"/>
                  <w:noWrap w:val="0"/>
                  <w:tcMar>
                    <w:top w:w="0" w:type="dxa"/>
                    <w:left w:w="57" w:type="dxa"/>
                    <w:bottom w:w="0" w:type="dxa"/>
                    <w:right w:w="57" w:type="dxa"/>
                  </w:tcMar>
                  <w:vAlign w:val="center"/>
                </w:tcPr>
                <w:p w14:paraId="54242E5C">
                  <w:pPr>
                    <w:pStyle w:val="8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Times New Roman" w:hAnsi="Times New Roman" w:eastAsia="宋体" w:cs="Times New Roman"/>
                      <w:b w:val="0"/>
                      <w:bCs w:val="0"/>
                      <w:snapToGrid w:val="0"/>
                      <w:color w:val="000000"/>
                      <w:kern w:val="0"/>
                      <w:sz w:val="21"/>
                      <w:szCs w:val="21"/>
                      <w:lang w:val="en-US" w:eastAsia="zh-CN" w:bidi="ar-SA"/>
                    </w:rPr>
                  </w:pPr>
                  <w:r>
                    <w:rPr>
                      <w:rFonts w:hint="eastAsia" w:cs="Times New Roman"/>
                      <w:b w:val="0"/>
                      <w:bCs w:val="0"/>
                      <w:snapToGrid w:val="0"/>
                      <w:color w:val="000000"/>
                      <w:kern w:val="0"/>
                      <w:sz w:val="21"/>
                      <w:szCs w:val="21"/>
                      <w:lang w:val="en-US" w:eastAsia="zh-CN" w:bidi="ar-SA"/>
                    </w:rPr>
                    <w:t>职工生活废水</w:t>
                  </w:r>
                </w:p>
              </w:tc>
              <w:tc>
                <w:tcPr>
                  <w:tcW w:w="2071" w:type="pct"/>
                  <w:noWrap w:val="0"/>
                  <w:tcMar>
                    <w:top w:w="0" w:type="dxa"/>
                    <w:left w:w="57" w:type="dxa"/>
                    <w:bottom w:w="0" w:type="dxa"/>
                    <w:right w:w="57" w:type="dxa"/>
                  </w:tcMar>
                  <w:vAlign w:val="center"/>
                </w:tcPr>
                <w:p w14:paraId="79268C21">
                  <w:pPr>
                    <w:pStyle w:val="8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b w:val="0"/>
                      <w:bCs w:val="0"/>
                      <w:lang w:val="en-US" w:eastAsia="zh-CN"/>
                    </w:rPr>
                  </w:pPr>
                  <w:r>
                    <w:rPr>
                      <w:rFonts w:hint="eastAsia"/>
                      <w:b w:val="0"/>
                      <w:bCs w:val="0"/>
                      <w:lang w:val="en-US" w:eastAsia="zh-CN"/>
                    </w:rPr>
                    <w:t>依托化粪池处理后，排入汤阴东方环宇污水处理有限公司</w:t>
                  </w:r>
                </w:p>
              </w:tc>
            </w:tr>
            <w:tr w14:paraId="11A4FE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38" w:type="pct"/>
                  <w:noWrap w:val="0"/>
                  <w:tcMar>
                    <w:top w:w="0" w:type="dxa"/>
                    <w:left w:w="57" w:type="dxa"/>
                    <w:bottom w:w="0" w:type="dxa"/>
                    <w:right w:w="57" w:type="dxa"/>
                  </w:tcMar>
                  <w:vAlign w:val="center"/>
                </w:tcPr>
                <w:p w14:paraId="361DEE6D">
                  <w:pPr>
                    <w:pStyle w:val="8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Times New Roman" w:hAnsi="Times New Roman" w:eastAsia="宋体" w:cs="Times New Roman"/>
                      <w:b w:val="0"/>
                      <w:bCs w:val="0"/>
                      <w:snapToGrid w:val="0"/>
                      <w:color w:val="000000"/>
                      <w:kern w:val="0"/>
                      <w:sz w:val="21"/>
                      <w:szCs w:val="21"/>
                      <w:lang w:val="en-US" w:eastAsia="zh-CN"/>
                    </w:rPr>
                  </w:pPr>
                  <w:r>
                    <w:rPr>
                      <w:rFonts w:hint="eastAsia"/>
                      <w:b w:val="0"/>
                      <w:bCs w:val="0"/>
                      <w:lang w:val="en-US" w:eastAsia="zh-CN"/>
                    </w:rPr>
                    <w:t>噪声</w:t>
                  </w:r>
                </w:p>
              </w:tc>
              <w:tc>
                <w:tcPr>
                  <w:tcW w:w="1370" w:type="pct"/>
                  <w:noWrap w:val="0"/>
                  <w:tcMar>
                    <w:top w:w="0" w:type="dxa"/>
                    <w:left w:w="57" w:type="dxa"/>
                    <w:bottom w:w="0" w:type="dxa"/>
                    <w:right w:w="57" w:type="dxa"/>
                  </w:tcMar>
                  <w:vAlign w:val="center"/>
                </w:tcPr>
                <w:p w14:paraId="74150F00">
                  <w:pPr>
                    <w:pStyle w:val="8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Times New Roman" w:hAnsi="Times New Roman" w:eastAsia="宋体" w:cs="Times New Roman"/>
                      <w:b w:val="0"/>
                      <w:bCs w:val="0"/>
                      <w:snapToGrid w:val="0"/>
                      <w:color w:val="000000"/>
                      <w:kern w:val="0"/>
                      <w:sz w:val="21"/>
                      <w:szCs w:val="21"/>
                      <w:lang w:val="en-US" w:eastAsia="zh-CN"/>
                    </w:rPr>
                  </w:pPr>
                  <w:r>
                    <w:rPr>
                      <w:rFonts w:hint="eastAsia"/>
                      <w:b w:val="0"/>
                      <w:bCs w:val="0"/>
                      <w:lang w:val="en-US" w:eastAsia="zh-CN"/>
                    </w:rPr>
                    <w:t>生产设备及废气污染治理设施风机运行噪声</w:t>
                  </w:r>
                </w:p>
              </w:tc>
              <w:tc>
                <w:tcPr>
                  <w:tcW w:w="1120" w:type="pct"/>
                  <w:noWrap w:val="0"/>
                  <w:tcMar>
                    <w:top w:w="0" w:type="dxa"/>
                    <w:left w:w="57" w:type="dxa"/>
                    <w:bottom w:w="0" w:type="dxa"/>
                    <w:right w:w="57" w:type="dxa"/>
                  </w:tcMar>
                  <w:vAlign w:val="center"/>
                </w:tcPr>
                <w:p w14:paraId="4BC4EE63">
                  <w:pPr>
                    <w:pStyle w:val="8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Times New Roman" w:hAnsi="Times New Roman" w:eastAsia="宋体" w:cs="Times New Roman"/>
                      <w:b w:val="0"/>
                      <w:bCs w:val="0"/>
                      <w:snapToGrid w:val="0"/>
                      <w:color w:val="000000"/>
                      <w:kern w:val="0"/>
                      <w:sz w:val="21"/>
                      <w:szCs w:val="21"/>
                      <w:lang w:val="en-US" w:eastAsia="zh-CN"/>
                    </w:rPr>
                  </w:pPr>
                  <w:r>
                    <w:rPr>
                      <w:rFonts w:hint="eastAsia"/>
                      <w:b w:val="0"/>
                      <w:bCs w:val="0"/>
                      <w:lang w:val="en-US" w:eastAsia="zh-CN"/>
                    </w:rPr>
                    <w:t>等效声级</w:t>
                  </w:r>
                </w:p>
              </w:tc>
              <w:tc>
                <w:tcPr>
                  <w:tcW w:w="2071" w:type="pct"/>
                  <w:noWrap w:val="0"/>
                  <w:tcMar>
                    <w:top w:w="0" w:type="dxa"/>
                    <w:left w:w="57" w:type="dxa"/>
                    <w:bottom w:w="0" w:type="dxa"/>
                    <w:right w:w="57" w:type="dxa"/>
                  </w:tcMar>
                  <w:vAlign w:val="center"/>
                </w:tcPr>
                <w:p w14:paraId="033D9FF0">
                  <w:pPr>
                    <w:pStyle w:val="8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b w:val="0"/>
                      <w:bCs w:val="0"/>
                      <w:lang w:val="en-US" w:eastAsia="zh-CN"/>
                    </w:rPr>
                  </w:pPr>
                  <w:r>
                    <w:rPr>
                      <w:rFonts w:hint="eastAsia"/>
                      <w:color w:val="000000" w:themeColor="text1"/>
                      <w:sz w:val="21"/>
                      <w:szCs w:val="21"/>
                      <w:highlight w:val="none"/>
                      <w:lang w:val="en-US" w:eastAsia="zh-CN"/>
                      <w14:textFill>
                        <w14:solidFill>
                          <w14:schemeClr w14:val="tx1"/>
                        </w14:solidFill>
                      </w14:textFill>
                    </w:rPr>
                    <w:t>选用低噪声设备，并采取</w:t>
                  </w:r>
                  <w:r>
                    <w:rPr>
                      <w:rFonts w:hint="default"/>
                      <w:color w:val="000000" w:themeColor="text1"/>
                      <w:sz w:val="21"/>
                      <w:szCs w:val="21"/>
                      <w:highlight w:val="none"/>
                      <w:lang w:val="en-US" w:eastAsia="zh-CN"/>
                      <w14:textFill>
                        <w14:solidFill>
                          <w14:schemeClr w14:val="tx1"/>
                        </w14:solidFill>
                      </w14:textFill>
                    </w:rPr>
                    <w:t>基础减振、隔声、距离衰减</w:t>
                  </w:r>
                  <w:r>
                    <w:rPr>
                      <w:rFonts w:hint="eastAsia"/>
                      <w:color w:val="000000" w:themeColor="text1"/>
                      <w:sz w:val="21"/>
                      <w:szCs w:val="21"/>
                      <w:highlight w:val="none"/>
                      <w:lang w:val="en-US" w:eastAsia="zh-CN"/>
                      <w14:textFill>
                        <w14:solidFill>
                          <w14:schemeClr w14:val="tx1"/>
                        </w14:solidFill>
                      </w14:textFill>
                    </w:rPr>
                    <w:t>等降噪措施</w:t>
                  </w:r>
                </w:p>
              </w:tc>
            </w:tr>
            <w:tr w14:paraId="6B9AB1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8" w:type="pct"/>
                  <w:vMerge w:val="restart"/>
                  <w:noWrap w:val="0"/>
                  <w:tcMar>
                    <w:top w:w="0" w:type="dxa"/>
                    <w:left w:w="57" w:type="dxa"/>
                    <w:bottom w:w="0" w:type="dxa"/>
                    <w:right w:w="57" w:type="dxa"/>
                  </w:tcMar>
                  <w:vAlign w:val="center"/>
                </w:tcPr>
                <w:p w14:paraId="262500A5">
                  <w:pPr>
                    <w:pStyle w:val="8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b w:val="0"/>
                      <w:bCs w:val="0"/>
                      <w:lang w:val="en-US" w:eastAsia="zh-CN"/>
                    </w:rPr>
                  </w:pPr>
                  <w:bookmarkStart w:id="26" w:name="OLE_LINK3" w:colFirst="0" w:colLast="3"/>
                  <w:r>
                    <w:rPr>
                      <w:rFonts w:hint="eastAsia"/>
                      <w:b w:val="0"/>
                      <w:bCs w:val="0"/>
                      <w:lang w:val="en-US" w:eastAsia="zh-CN"/>
                    </w:rPr>
                    <w:t>固废</w:t>
                  </w:r>
                </w:p>
              </w:tc>
              <w:tc>
                <w:tcPr>
                  <w:tcW w:w="1370" w:type="pct"/>
                  <w:noWrap w:val="0"/>
                  <w:tcMar>
                    <w:top w:w="0" w:type="dxa"/>
                    <w:left w:w="57" w:type="dxa"/>
                    <w:bottom w:w="0" w:type="dxa"/>
                    <w:right w:w="57" w:type="dxa"/>
                  </w:tcMar>
                  <w:vAlign w:val="center"/>
                </w:tcPr>
                <w:p w14:paraId="25098690">
                  <w:pPr>
                    <w:pStyle w:val="8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b w:val="0"/>
                      <w:bCs w:val="0"/>
                      <w:lang w:val="en-US" w:eastAsia="zh-CN"/>
                    </w:rPr>
                  </w:pPr>
                  <w:r>
                    <w:rPr>
                      <w:rFonts w:hint="eastAsia"/>
                      <w:b w:val="0"/>
                      <w:bCs w:val="0"/>
                      <w:lang w:val="en-US" w:eastAsia="zh-CN"/>
                    </w:rPr>
                    <w:t>原料包装</w:t>
                  </w:r>
                </w:p>
              </w:tc>
              <w:tc>
                <w:tcPr>
                  <w:tcW w:w="1120" w:type="pct"/>
                  <w:noWrap w:val="0"/>
                  <w:tcMar>
                    <w:top w:w="0" w:type="dxa"/>
                    <w:left w:w="57" w:type="dxa"/>
                    <w:bottom w:w="0" w:type="dxa"/>
                    <w:right w:w="57" w:type="dxa"/>
                  </w:tcMar>
                  <w:vAlign w:val="center"/>
                </w:tcPr>
                <w:p w14:paraId="44903AE8">
                  <w:pPr>
                    <w:pStyle w:val="8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eastAsia="宋体"/>
                      <w:b w:val="0"/>
                      <w:bCs w:val="0"/>
                      <w:lang w:val="en-US" w:eastAsia="zh-CN"/>
                    </w:rPr>
                  </w:pPr>
                  <w:r>
                    <w:rPr>
                      <w:rFonts w:hint="eastAsia"/>
                      <w:b w:val="0"/>
                      <w:bCs w:val="0"/>
                      <w:lang w:val="en-US" w:eastAsia="zh-CN"/>
                    </w:rPr>
                    <w:t>废弃包装</w:t>
                  </w:r>
                </w:p>
              </w:tc>
              <w:tc>
                <w:tcPr>
                  <w:tcW w:w="2071" w:type="pct"/>
                  <w:noWrap w:val="0"/>
                  <w:tcMar>
                    <w:top w:w="0" w:type="dxa"/>
                    <w:left w:w="57" w:type="dxa"/>
                    <w:bottom w:w="0" w:type="dxa"/>
                    <w:right w:w="57" w:type="dxa"/>
                  </w:tcMar>
                  <w:vAlign w:val="center"/>
                </w:tcPr>
                <w:p w14:paraId="4F848E2A">
                  <w:pPr>
                    <w:pStyle w:val="8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b w:val="0"/>
                      <w:bCs w:val="0"/>
                      <w:lang w:val="en-US" w:eastAsia="zh-CN"/>
                    </w:rPr>
                  </w:pPr>
                  <w:r>
                    <w:rPr>
                      <w:rFonts w:hint="eastAsia"/>
                      <w:b w:val="0"/>
                      <w:bCs w:val="0"/>
                      <w:lang w:val="en-US" w:eastAsia="zh-CN"/>
                    </w:rPr>
                    <w:t>外售废旧资源收购单位</w:t>
                  </w:r>
                </w:p>
              </w:tc>
            </w:tr>
            <w:tr w14:paraId="4A682A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8" w:type="pct"/>
                  <w:vMerge w:val="continue"/>
                  <w:noWrap w:val="0"/>
                  <w:tcMar>
                    <w:top w:w="0" w:type="dxa"/>
                    <w:left w:w="57" w:type="dxa"/>
                    <w:bottom w:w="0" w:type="dxa"/>
                    <w:right w:w="57" w:type="dxa"/>
                  </w:tcMar>
                  <w:vAlign w:val="center"/>
                </w:tcPr>
                <w:p w14:paraId="169E5F9B">
                  <w:pPr>
                    <w:pStyle w:val="8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b w:val="0"/>
                      <w:bCs w:val="0"/>
                      <w:lang w:val="en-US" w:eastAsia="zh-CN"/>
                    </w:rPr>
                  </w:pPr>
                </w:p>
              </w:tc>
              <w:tc>
                <w:tcPr>
                  <w:tcW w:w="1370" w:type="pct"/>
                  <w:vMerge w:val="restart"/>
                  <w:noWrap w:val="0"/>
                  <w:tcMar>
                    <w:top w:w="0" w:type="dxa"/>
                    <w:left w:w="57" w:type="dxa"/>
                    <w:bottom w:w="0" w:type="dxa"/>
                    <w:right w:w="57" w:type="dxa"/>
                  </w:tcMar>
                  <w:vAlign w:val="center"/>
                </w:tcPr>
                <w:p w14:paraId="3062AD81">
                  <w:pPr>
                    <w:pStyle w:val="8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b w:val="0"/>
                      <w:bCs w:val="0"/>
                      <w:lang w:val="en-US" w:eastAsia="zh-CN"/>
                    </w:rPr>
                  </w:pPr>
                  <w:r>
                    <w:rPr>
                      <w:rFonts w:hint="eastAsia"/>
                      <w:b w:val="0"/>
                      <w:bCs w:val="0"/>
                      <w:lang w:val="en-US" w:eastAsia="zh-CN"/>
                    </w:rPr>
                    <w:t>废气治理</w:t>
                  </w:r>
                </w:p>
              </w:tc>
              <w:tc>
                <w:tcPr>
                  <w:tcW w:w="1120" w:type="pct"/>
                  <w:noWrap w:val="0"/>
                  <w:tcMar>
                    <w:top w:w="0" w:type="dxa"/>
                    <w:left w:w="57" w:type="dxa"/>
                    <w:bottom w:w="0" w:type="dxa"/>
                    <w:right w:w="57" w:type="dxa"/>
                  </w:tcMar>
                  <w:vAlign w:val="center"/>
                </w:tcPr>
                <w:p w14:paraId="7D9C5D4E">
                  <w:pPr>
                    <w:pStyle w:val="8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b w:val="0"/>
                      <w:bCs w:val="0"/>
                      <w:lang w:val="en-US" w:eastAsia="zh-CN"/>
                    </w:rPr>
                  </w:pPr>
                  <w:r>
                    <w:rPr>
                      <w:rFonts w:hint="eastAsia"/>
                      <w:b w:val="0"/>
                      <w:bCs w:val="0"/>
                      <w:lang w:val="en-US" w:eastAsia="zh-CN"/>
                    </w:rPr>
                    <w:t>废活性炭</w:t>
                  </w:r>
                </w:p>
              </w:tc>
              <w:tc>
                <w:tcPr>
                  <w:tcW w:w="2071" w:type="pct"/>
                  <w:noWrap w:val="0"/>
                  <w:tcMar>
                    <w:top w:w="0" w:type="dxa"/>
                    <w:left w:w="57" w:type="dxa"/>
                    <w:bottom w:w="0" w:type="dxa"/>
                    <w:right w:w="57" w:type="dxa"/>
                  </w:tcMar>
                  <w:vAlign w:val="center"/>
                </w:tcPr>
                <w:p w14:paraId="0B0A6ADB">
                  <w:pPr>
                    <w:pStyle w:val="8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b w:val="0"/>
                      <w:bCs w:val="0"/>
                      <w:lang w:val="en-US" w:eastAsia="zh-CN"/>
                    </w:rPr>
                  </w:pPr>
                  <w:r>
                    <w:rPr>
                      <w:rFonts w:hint="eastAsia"/>
                      <w:b w:val="0"/>
                      <w:bCs w:val="0"/>
                      <w:lang w:val="en-US" w:eastAsia="zh-CN"/>
                    </w:rPr>
                    <w:t>定期交有资质单位处置</w:t>
                  </w:r>
                </w:p>
              </w:tc>
            </w:tr>
            <w:tr w14:paraId="448E04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8" w:type="pct"/>
                  <w:vMerge w:val="continue"/>
                  <w:noWrap w:val="0"/>
                  <w:tcMar>
                    <w:top w:w="0" w:type="dxa"/>
                    <w:left w:w="57" w:type="dxa"/>
                    <w:bottom w:w="0" w:type="dxa"/>
                    <w:right w:w="57" w:type="dxa"/>
                  </w:tcMar>
                  <w:vAlign w:val="center"/>
                </w:tcPr>
                <w:p w14:paraId="5B1D88BD">
                  <w:pPr>
                    <w:pStyle w:val="8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b w:val="0"/>
                      <w:bCs w:val="0"/>
                      <w:lang w:val="en-US" w:eastAsia="zh-CN"/>
                    </w:rPr>
                  </w:pPr>
                </w:p>
              </w:tc>
              <w:tc>
                <w:tcPr>
                  <w:tcW w:w="1370" w:type="pct"/>
                  <w:vMerge w:val="continue"/>
                  <w:noWrap w:val="0"/>
                  <w:tcMar>
                    <w:top w:w="0" w:type="dxa"/>
                    <w:left w:w="57" w:type="dxa"/>
                    <w:bottom w:w="0" w:type="dxa"/>
                    <w:right w:w="57" w:type="dxa"/>
                  </w:tcMar>
                  <w:vAlign w:val="center"/>
                </w:tcPr>
                <w:p w14:paraId="055DDF4E">
                  <w:pPr>
                    <w:pStyle w:val="8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b w:val="0"/>
                      <w:bCs w:val="0"/>
                      <w:lang w:val="en-US" w:eastAsia="zh-CN"/>
                    </w:rPr>
                  </w:pPr>
                </w:p>
              </w:tc>
              <w:tc>
                <w:tcPr>
                  <w:tcW w:w="1120" w:type="pct"/>
                  <w:noWrap w:val="0"/>
                  <w:tcMar>
                    <w:top w:w="0" w:type="dxa"/>
                    <w:left w:w="57" w:type="dxa"/>
                    <w:bottom w:w="0" w:type="dxa"/>
                    <w:right w:w="57" w:type="dxa"/>
                  </w:tcMar>
                  <w:vAlign w:val="center"/>
                </w:tcPr>
                <w:p w14:paraId="629AA1D1">
                  <w:pPr>
                    <w:pStyle w:val="8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b w:val="0"/>
                      <w:bCs w:val="0"/>
                      <w:lang w:val="en-US" w:eastAsia="zh-CN"/>
                    </w:rPr>
                  </w:pPr>
                  <w:r>
                    <w:rPr>
                      <w:rFonts w:hint="eastAsia"/>
                      <w:b w:val="0"/>
                      <w:bCs w:val="0"/>
                      <w:lang w:val="en-US" w:eastAsia="zh-CN"/>
                    </w:rPr>
                    <w:t>废催化剂</w:t>
                  </w:r>
                </w:p>
              </w:tc>
              <w:tc>
                <w:tcPr>
                  <w:tcW w:w="2071" w:type="pct"/>
                  <w:noWrap w:val="0"/>
                  <w:tcMar>
                    <w:top w:w="0" w:type="dxa"/>
                    <w:left w:w="57" w:type="dxa"/>
                    <w:bottom w:w="0" w:type="dxa"/>
                    <w:right w:w="57" w:type="dxa"/>
                  </w:tcMar>
                  <w:vAlign w:val="center"/>
                </w:tcPr>
                <w:p w14:paraId="2CC89133">
                  <w:pPr>
                    <w:pStyle w:val="8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b w:val="0"/>
                      <w:bCs w:val="0"/>
                      <w:lang w:val="en-US" w:eastAsia="zh-CN"/>
                    </w:rPr>
                  </w:pPr>
                  <w:r>
                    <w:rPr>
                      <w:rFonts w:hint="eastAsia"/>
                      <w:b w:val="0"/>
                      <w:bCs w:val="0"/>
                      <w:lang w:val="en-US" w:eastAsia="zh-CN"/>
                    </w:rPr>
                    <w:t>定期交有资质单位处置</w:t>
                  </w:r>
                </w:p>
              </w:tc>
            </w:tr>
            <w:tr w14:paraId="560B0B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8" w:type="pct"/>
                  <w:vMerge w:val="continue"/>
                  <w:noWrap w:val="0"/>
                  <w:tcMar>
                    <w:top w:w="0" w:type="dxa"/>
                    <w:left w:w="57" w:type="dxa"/>
                    <w:bottom w:w="0" w:type="dxa"/>
                    <w:right w:w="57" w:type="dxa"/>
                  </w:tcMar>
                  <w:vAlign w:val="center"/>
                </w:tcPr>
                <w:p w14:paraId="41150E75">
                  <w:pPr>
                    <w:pStyle w:val="8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b w:val="0"/>
                      <w:bCs w:val="0"/>
                      <w:lang w:val="en-US" w:eastAsia="zh-CN"/>
                    </w:rPr>
                  </w:pPr>
                </w:p>
              </w:tc>
              <w:tc>
                <w:tcPr>
                  <w:tcW w:w="1370" w:type="pct"/>
                  <w:noWrap w:val="0"/>
                  <w:tcMar>
                    <w:top w:w="0" w:type="dxa"/>
                    <w:left w:w="57" w:type="dxa"/>
                    <w:bottom w:w="0" w:type="dxa"/>
                    <w:right w:w="57" w:type="dxa"/>
                  </w:tcMar>
                  <w:vAlign w:val="center"/>
                </w:tcPr>
                <w:p w14:paraId="118921D0">
                  <w:pPr>
                    <w:pStyle w:val="8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b w:val="0"/>
                      <w:bCs w:val="0"/>
                      <w:lang w:val="en-US" w:eastAsia="zh-CN"/>
                    </w:rPr>
                  </w:pPr>
                  <w:r>
                    <w:rPr>
                      <w:rFonts w:hint="eastAsia"/>
                      <w:b w:val="0"/>
                      <w:bCs w:val="0"/>
                      <w:lang w:val="en-US" w:eastAsia="zh-CN"/>
                    </w:rPr>
                    <w:t>职工生活</w:t>
                  </w:r>
                </w:p>
              </w:tc>
              <w:tc>
                <w:tcPr>
                  <w:tcW w:w="1120" w:type="pct"/>
                  <w:noWrap w:val="0"/>
                  <w:tcMar>
                    <w:top w:w="0" w:type="dxa"/>
                    <w:left w:w="57" w:type="dxa"/>
                    <w:bottom w:w="0" w:type="dxa"/>
                    <w:right w:w="57" w:type="dxa"/>
                  </w:tcMar>
                  <w:vAlign w:val="center"/>
                </w:tcPr>
                <w:p w14:paraId="5AE39CC0">
                  <w:pPr>
                    <w:pStyle w:val="8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b w:val="0"/>
                      <w:bCs w:val="0"/>
                      <w:lang w:val="en-US" w:eastAsia="zh-CN"/>
                    </w:rPr>
                  </w:pPr>
                  <w:r>
                    <w:rPr>
                      <w:rFonts w:hint="eastAsia"/>
                      <w:b w:val="0"/>
                      <w:bCs w:val="0"/>
                      <w:lang w:val="en-US" w:eastAsia="zh-CN"/>
                    </w:rPr>
                    <w:t>生活垃圾</w:t>
                  </w:r>
                </w:p>
              </w:tc>
              <w:tc>
                <w:tcPr>
                  <w:tcW w:w="2071" w:type="pct"/>
                  <w:noWrap w:val="0"/>
                  <w:tcMar>
                    <w:top w:w="0" w:type="dxa"/>
                    <w:left w:w="57" w:type="dxa"/>
                    <w:bottom w:w="0" w:type="dxa"/>
                    <w:right w:w="57" w:type="dxa"/>
                  </w:tcMar>
                  <w:vAlign w:val="center"/>
                </w:tcPr>
                <w:p w14:paraId="75564347">
                  <w:pPr>
                    <w:pStyle w:val="8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b w:val="0"/>
                      <w:bCs w:val="0"/>
                      <w:lang w:val="en-US" w:eastAsia="zh-CN"/>
                    </w:rPr>
                  </w:pPr>
                  <w:r>
                    <w:rPr>
                      <w:rFonts w:hint="eastAsia"/>
                      <w:b w:val="0"/>
                      <w:bCs w:val="0"/>
                      <w:lang w:val="en-US" w:eastAsia="zh-CN"/>
                    </w:rPr>
                    <w:t>环卫工人定期清运</w:t>
                  </w:r>
                </w:p>
              </w:tc>
            </w:tr>
            <w:bookmarkEnd w:id="26"/>
          </w:tbl>
          <w:p w14:paraId="5392247A">
            <w:pPr>
              <w:keepNext w:val="0"/>
              <w:keepLines w:val="0"/>
              <w:suppressLineNumbers w:val="0"/>
              <w:spacing w:before="0" w:beforeAutospacing="0" w:after="0" w:afterAutospacing="0"/>
              <w:ind w:left="0" w:right="0"/>
              <w:rPr>
                <w:rFonts w:hint="default" w:eastAsia="黑体"/>
                <w:color w:val="000000" w:themeColor="text1"/>
                <w:sz w:val="21"/>
                <w:szCs w:val="21"/>
                <w:highlight w:val="none"/>
                <w:lang w:val="en-US" w:eastAsia="zh-CN"/>
                <w14:textFill>
                  <w14:solidFill>
                    <w14:schemeClr w14:val="tx1"/>
                  </w14:solidFill>
                </w14:textFill>
              </w:rPr>
            </w:pPr>
          </w:p>
          <w:p w14:paraId="76B7BC97">
            <w:pPr>
              <w:keepNext w:val="0"/>
              <w:keepLines w:val="0"/>
              <w:suppressLineNumbers w:val="0"/>
              <w:spacing w:before="0" w:beforeAutospacing="0" w:after="0" w:afterAutospacing="0"/>
              <w:ind w:left="0" w:right="0"/>
              <w:rPr>
                <w:rFonts w:hint="default" w:eastAsia="黑体"/>
                <w:color w:val="000000" w:themeColor="text1"/>
                <w:sz w:val="21"/>
                <w:szCs w:val="21"/>
                <w:highlight w:val="none"/>
                <w:lang w:val="en-US" w:eastAsia="zh-CN"/>
                <w14:textFill>
                  <w14:solidFill>
                    <w14:schemeClr w14:val="tx1"/>
                  </w14:solidFill>
                </w14:textFill>
              </w:rPr>
            </w:pPr>
          </w:p>
          <w:p w14:paraId="59DA7110">
            <w:pPr>
              <w:keepNext w:val="0"/>
              <w:keepLines w:val="0"/>
              <w:suppressLineNumbers w:val="0"/>
              <w:spacing w:before="0" w:beforeAutospacing="0" w:after="0" w:afterAutospacing="0"/>
              <w:ind w:left="0" w:right="0"/>
              <w:rPr>
                <w:rFonts w:hint="default" w:eastAsia="黑体"/>
                <w:color w:val="000000" w:themeColor="text1"/>
                <w:sz w:val="21"/>
                <w:szCs w:val="21"/>
                <w:highlight w:val="none"/>
                <w:lang w:val="en-US" w:eastAsia="zh-CN"/>
                <w14:textFill>
                  <w14:solidFill>
                    <w14:schemeClr w14:val="tx1"/>
                  </w14:solidFill>
                </w14:textFill>
              </w:rPr>
            </w:pPr>
          </w:p>
          <w:p w14:paraId="645C0717">
            <w:pPr>
              <w:keepNext w:val="0"/>
              <w:keepLines w:val="0"/>
              <w:suppressLineNumbers w:val="0"/>
              <w:spacing w:before="0" w:beforeAutospacing="0" w:after="0" w:afterAutospacing="0"/>
              <w:ind w:left="0" w:right="0"/>
              <w:rPr>
                <w:rFonts w:hint="default" w:eastAsia="黑体"/>
                <w:color w:val="000000" w:themeColor="text1"/>
                <w:sz w:val="21"/>
                <w:szCs w:val="21"/>
                <w:highlight w:val="none"/>
                <w:lang w:val="en-US" w:eastAsia="zh-CN"/>
                <w14:textFill>
                  <w14:solidFill>
                    <w14:schemeClr w14:val="tx1"/>
                  </w14:solidFill>
                </w14:textFill>
              </w:rPr>
            </w:pPr>
          </w:p>
          <w:p w14:paraId="209316F8">
            <w:pPr>
              <w:keepNext w:val="0"/>
              <w:keepLines w:val="0"/>
              <w:suppressLineNumbers w:val="0"/>
              <w:spacing w:before="0" w:beforeAutospacing="0" w:after="0" w:afterAutospacing="0"/>
              <w:ind w:left="0" w:right="0"/>
              <w:rPr>
                <w:rFonts w:hint="default" w:eastAsia="黑体"/>
                <w:color w:val="000000" w:themeColor="text1"/>
                <w:sz w:val="21"/>
                <w:szCs w:val="21"/>
                <w:highlight w:val="none"/>
                <w:lang w:val="en-US" w:eastAsia="zh-CN"/>
                <w14:textFill>
                  <w14:solidFill>
                    <w14:schemeClr w14:val="tx1"/>
                  </w14:solidFill>
                </w14:textFill>
              </w:rPr>
            </w:pPr>
          </w:p>
          <w:p w14:paraId="2D7B4EEB">
            <w:pPr>
              <w:keepNext w:val="0"/>
              <w:keepLines w:val="0"/>
              <w:suppressLineNumbers w:val="0"/>
              <w:spacing w:before="0" w:beforeAutospacing="0" w:after="0" w:afterAutospacing="0"/>
              <w:ind w:left="0" w:right="0"/>
              <w:rPr>
                <w:rFonts w:hint="default" w:eastAsia="黑体"/>
                <w:color w:val="000000" w:themeColor="text1"/>
                <w:sz w:val="21"/>
                <w:szCs w:val="21"/>
                <w:highlight w:val="none"/>
                <w:lang w:val="en-US" w:eastAsia="zh-CN"/>
                <w14:textFill>
                  <w14:solidFill>
                    <w14:schemeClr w14:val="tx1"/>
                  </w14:solidFill>
                </w14:textFill>
              </w:rPr>
            </w:pPr>
          </w:p>
          <w:p w14:paraId="622892F3">
            <w:pPr>
              <w:keepNext w:val="0"/>
              <w:keepLines w:val="0"/>
              <w:suppressLineNumbers w:val="0"/>
              <w:spacing w:before="0" w:beforeAutospacing="0" w:after="0" w:afterAutospacing="0"/>
              <w:ind w:left="0" w:right="0"/>
              <w:rPr>
                <w:rFonts w:hint="default" w:eastAsia="黑体"/>
                <w:color w:val="000000" w:themeColor="text1"/>
                <w:sz w:val="21"/>
                <w:szCs w:val="21"/>
                <w:highlight w:val="none"/>
                <w:lang w:val="en-US" w:eastAsia="zh-CN"/>
                <w14:textFill>
                  <w14:solidFill>
                    <w14:schemeClr w14:val="tx1"/>
                  </w14:solidFill>
                </w14:textFill>
              </w:rPr>
            </w:pPr>
          </w:p>
          <w:p w14:paraId="18490221">
            <w:pPr>
              <w:keepNext w:val="0"/>
              <w:keepLines w:val="0"/>
              <w:suppressLineNumbers w:val="0"/>
              <w:spacing w:before="0" w:beforeAutospacing="0" w:after="0" w:afterAutospacing="0"/>
              <w:ind w:left="0" w:right="0"/>
              <w:rPr>
                <w:rFonts w:hint="default" w:eastAsia="黑体"/>
                <w:color w:val="000000" w:themeColor="text1"/>
                <w:sz w:val="21"/>
                <w:szCs w:val="21"/>
                <w:highlight w:val="none"/>
                <w:lang w:val="en-US" w:eastAsia="zh-CN"/>
                <w14:textFill>
                  <w14:solidFill>
                    <w14:schemeClr w14:val="tx1"/>
                  </w14:solidFill>
                </w14:textFill>
              </w:rPr>
            </w:pPr>
          </w:p>
          <w:p w14:paraId="48E84926">
            <w:pPr>
              <w:keepNext w:val="0"/>
              <w:keepLines w:val="0"/>
              <w:suppressLineNumbers w:val="0"/>
              <w:spacing w:before="0" w:beforeAutospacing="0" w:after="0" w:afterAutospacing="0"/>
              <w:ind w:left="0" w:right="0"/>
              <w:rPr>
                <w:rFonts w:hint="default" w:eastAsia="黑体"/>
                <w:color w:val="000000" w:themeColor="text1"/>
                <w:sz w:val="21"/>
                <w:szCs w:val="21"/>
                <w:highlight w:val="none"/>
                <w:lang w:val="en-US" w:eastAsia="zh-CN"/>
                <w14:textFill>
                  <w14:solidFill>
                    <w14:schemeClr w14:val="tx1"/>
                  </w14:solidFill>
                </w14:textFill>
              </w:rPr>
            </w:pPr>
          </w:p>
        </w:tc>
      </w:tr>
      <w:tr w14:paraId="3FFC96E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42" w:hRule="atLeast"/>
          <w:jc w:val="center"/>
        </w:trPr>
        <w:tc>
          <w:tcPr>
            <w:tcW w:w="400" w:type="pct"/>
            <w:noWrap w:val="0"/>
            <w:vAlign w:val="center"/>
          </w:tcPr>
          <w:p w14:paraId="096A7363">
            <w:pPr>
              <w:pStyle w:val="21"/>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eastAsia" w:cs="宋体"/>
                <w:bCs/>
                <w:color w:val="000000" w:themeColor="text1"/>
                <w:kern w:val="2"/>
                <w:sz w:val="24"/>
                <w:szCs w:val="24"/>
                <w:highlight w:val="none"/>
                <w14:textFill>
                  <w14:solidFill>
                    <w14:schemeClr w14:val="tx1"/>
                  </w14:solidFill>
                </w14:textFill>
              </w:rPr>
              <w:t>与项目有关的原有环境污染问题</w:t>
            </w:r>
          </w:p>
        </w:tc>
        <w:tc>
          <w:tcPr>
            <w:tcW w:w="4599" w:type="pct"/>
            <w:noWrap w:val="0"/>
            <w:vAlign w:val="center"/>
          </w:tcPr>
          <w:p w14:paraId="76CFA40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textAlignment w:val="auto"/>
              <w:rPr>
                <w:rFonts w:hint="default"/>
                <w:lang w:val="en-US" w:eastAsia="zh-CN"/>
              </w:rPr>
            </w:pPr>
            <w:bookmarkStart w:id="27" w:name="_Toc10315"/>
            <w:r>
              <w:rPr>
                <w:rFonts w:hint="eastAsia" w:cs="Times New Roman"/>
                <w:color w:val="000000" w:themeColor="text1"/>
                <w:sz w:val="24"/>
                <w:szCs w:val="24"/>
                <w:lang w:val="en-US" w:eastAsia="zh-CN"/>
                <w14:textFill>
                  <w14:solidFill>
                    <w14:schemeClr w14:val="tx1"/>
                  </w14:solidFill>
                </w14:textFill>
              </w:rPr>
              <w:t>本项目为新建，租赁现有厂房，厂房现为闲置，不涉及与项目相关的原有污染。</w:t>
            </w:r>
            <w:bookmarkEnd w:id="27"/>
          </w:p>
        </w:tc>
      </w:tr>
    </w:tbl>
    <w:p w14:paraId="16CA17C7">
      <w:pPr>
        <w:pStyle w:val="21"/>
        <w:jc w:val="center"/>
        <w:outlineLvl w:val="0"/>
        <w:rPr>
          <w:rFonts w:hint="eastAsia" w:ascii="黑体" w:hAnsi="黑体" w:eastAsia="黑体" w:cs="Times New Roman"/>
          <w:snapToGrid w:val="0"/>
          <w:color w:val="000000" w:themeColor="text1"/>
          <w:sz w:val="30"/>
          <w:szCs w:val="30"/>
          <w14:textFill>
            <w14:solidFill>
              <w14:schemeClr w14:val="tx1"/>
            </w14:solidFill>
          </w14:textFill>
        </w:rPr>
        <w:sectPr>
          <w:pgSz w:w="11907" w:h="16840"/>
          <w:pgMar w:top="1701" w:right="1531" w:bottom="2127" w:left="1531" w:header="851" w:footer="851" w:gutter="0"/>
          <w:pgBorders>
            <w:top w:val="none" w:sz="0" w:space="0"/>
            <w:left w:val="none" w:sz="0" w:space="0"/>
            <w:bottom w:val="none" w:sz="0" w:space="0"/>
            <w:right w:val="none" w:sz="0" w:space="0"/>
          </w:pgBorders>
          <w:pgNumType w:fmt="decimal"/>
          <w:cols w:space="720" w:num="1"/>
          <w:docGrid w:linePitch="312" w:charSpace="0"/>
        </w:sectPr>
      </w:pPr>
    </w:p>
    <w:p w14:paraId="7A20F4F8">
      <w:pPr>
        <w:pStyle w:val="21"/>
        <w:jc w:val="center"/>
        <w:outlineLvl w:val="0"/>
        <w:rPr>
          <w:rFonts w:hint="eastAsia" w:ascii="黑体" w:hAnsi="黑体" w:eastAsia="黑体" w:cs="Times New Roman"/>
          <w:snapToGrid w:val="0"/>
          <w:color w:val="000000" w:themeColor="text1"/>
          <w:sz w:val="30"/>
          <w:szCs w:val="30"/>
          <w14:textFill>
            <w14:solidFill>
              <w14:schemeClr w14:val="tx1"/>
            </w14:solidFill>
          </w14:textFill>
        </w:rPr>
      </w:pPr>
      <w:bookmarkStart w:id="28" w:name="_Toc8031"/>
      <w:bookmarkStart w:id="29" w:name="_Toc19845"/>
      <w:r>
        <w:rPr>
          <w:rFonts w:hint="eastAsia" w:ascii="黑体" w:hAnsi="黑体" w:eastAsia="黑体" w:cs="Times New Roman"/>
          <w:snapToGrid w:val="0"/>
          <w:color w:val="000000" w:themeColor="text1"/>
          <w:sz w:val="30"/>
          <w:szCs w:val="30"/>
          <w14:textFill>
            <w14:solidFill>
              <w14:schemeClr w14:val="tx1"/>
            </w14:solidFill>
          </w14:textFill>
        </w:rPr>
        <w:t>三、区域环境质量现状、环境保护目标及评价标准</w:t>
      </w:r>
      <w:bookmarkEnd w:id="28"/>
      <w:bookmarkEnd w:id="29"/>
    </w:p>
    <w:tbl>
      <w:tblPr>
        <w:tblStyle w:val="25"/>
        <w:tblW w:w="915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716"/>
        <w:gridCol w:w="8435"/>
      </w:tblGrid>
      <w:tr w14:paraId="04ECC7B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16" w:type="dxa"/>
            <w:noWrap w:val="0"/>
            <w:vAlign w:val="center"/>
          </w:tcPr>
          <w:p w14:paraId="6C8CFFF0">
            <w:pPr>
              <w:keepNext w:val="0"/>
              <w:keepLines w:val="0"/>
              <w:suppressLineNumbers w:val="0"/>
              <w:adjustRightInd w:val="0"/>
              <w:snapToGrid w:val="0"/>
              <w:spacing w:before="0" w:beforeAutospacing="0" w:after="0" w:afterAutospacing="0"/>
              <w:ind w:left="0" w:right="0"/>
              <w:jc w:val="center"/>
              <w:rPr>
                <w:rFonts w:hint="eastAsia"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区域</w:t>
            </w:r>
          </w:p>
          <w:p w14:paraId="0FA1438B">
            <w:pPr>
              <w:keepNext w:val="0"/>
              <w:keepLines w:val="0"/>
              <w:suppressLineNumbers w:val="0"/>
              <w:adjustRightInd w:val="0"/>
              <w:snapToGrid w:val="0"/>
              <w:spacing w:before="0" w:beforeAutospacing="0" w:after="0" w:afterAutospacing="0"/>
              <w:ind w:left="0" w:right="0"/>
              <w:jc w:val="center"/>
              <w:rPr>
                <w:rFonts w:hint="eastAsia"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环境</w:t>
            </w:r>
          </w:p>
          <w:p w14:paraId="33B749AC">
            <w:pPr>
              <w:keepNext w:val="0"/>
              <w:keepLines w:val="0"/>
              <w:suppressLineNumbers w:val="0"/>
              <w:adjustRightInd w:val="0"/>
              <w:snapToGrid w:val="0"/>
              <w:spacing w:before="0" w:beforeAutospacing="0" w:after="0" w:afterAutospacing="0"/>
              <w:ind w:left="0" w:right="0"/>
              <w:jc w:val="center"/>
              <w:rPr>
                <w:rFonts w:hint="eastAsia"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质量</w:t>
            </w:r>
          </w:p>
          <w:p w14:paraId="45AB0DD9">
            <w:pPr>
              <w:keepNext w:val="0"/>
              <w:keepLines w:val="0"/>
              <w:suppressLineNumbers w:val="0"/>
              <w:adjustRightInd w:val="0"/>
              <w:snapToGrid w:val="0"/>
              <w:spacing w:before="0" w:beforeAutospacing="0" w:after="0" w:afterAutospacing="0"/>
              <w:ind w:left="0" w:right="0"/>
              <w:jc w:val="center"/>
              <w:rPr>
                <w:rFonts w:hint="default"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现状</w:t>
            </w:r>
          </w:p>
        </w:tc>
        <w:tc>
          <w:tcPr>
            <w:tcW w:w="8435" w:type="dxa"/>
            <w:noWrap w:val="0"/>
            <w:vAlign w:val="center"/>
          </w:tcPr>
          <w:p w14:paraId="2964C93E">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520" w:lineRule="exact"/>
              <w:ind w:left="0" w:right="0"/>
              <w:textAlignment w:val="auto"/>
              <w:rPr>
                <w:rFonts w:hint="eastAsia" w:ascii="Times New Roman" w:hAnsi="Times New Roman" w:eastAsia="宋体" w:cs="Times New Roman"/>
                <w:b/>
                <w:bCs/>
                <w:color w:val="000000" w:themeColor="text1"/>
                <w:spacing w:val="0"/>
                <w:sz w:val="24"/>
                <w:szCs w:val="24"/>
                <w:lang w:val="en-US" w:eastAsia="zh-CN"/>
                <w14:textFill>
                  <w14:solidFill>
                    <w14:schemeClr w14:val="tx1"/>
                  </w14:solidFill>
                </w14:textFill>
              </w:rPr>
            </w:pPr>
            <w:r>
              <w:rPr>
                <w:rFonts w:hint="eastAsia" w:cs="Times New Roman"/>
                <w:b/>
                <w:bCs/>
                <w:color w:val="000000" w:themeColor="text1"/>
                <w:spacing w:val="0"/>
                <w:sz w:val="24"/>
                <w:szCs w:val="24"/>
                <w:lang w:val="en-US" w:eastAsia="zh-CN"/>
                <w14:textFill>
                  <w14:solidFill>
                    <w14:schemeClr w14:val="tx1"/>
                  </w14:solidFill>
                </w14:textFill>
              </w:rPr>
              <w:t>一、</w:t>
            </w:r>
            <w:r>
              <w:rPr>
                <w:rFonts w:hint="eastAsia" w:ascii="Times New Roman" w:hAnsi="Times New Roman" w:eastAsia="宋体" w:cs="Times New Roman"/>
                <w:b/>
                <w:bCs/>
                <w:color w:val="000000" w:themeColor="text1"/>
                <w:spacing w:val="0"/>
                <w:sz w:val="24"/>
                <w:szCs w:val="24"/>
                <w:lang w:val="en-US" w:eastAsia="zh-CN"/>
                <w14:textFill>
                  <w14:solidFill>
                    <w14:schemeClr w14:val="tx1"/>
                  </w14:solidFill>
                </w14:textFill>
              </w:rPr>
              <w:t>大</w:t>
            </w:r>
            <w:r>
              <w:rPr>
                <w:rFonts w:hint="default" w:ascii="Times New Roman" w:hAnsi="Times New Roman" w:eastAsia="宋体" w:cs="Times New Roman"/>
                <w:b/>
                <w:bCs/>
                <w:color w:val="000000" w:themeColor="text1"/>
                <w:spacing w:val="0"/>
                <w:sz w:val="24"/>
                <w:szCs w:val="24"/>
                <w14:textFill>
                  <w14:solidFill>
                    <w14:schemeClr w14:val="tx1"/>
                  </w14:solidFill>
                </w14:textFill>
              </w:rPr>
              <w:t>气</w:t>
            </w:r>
            <w:r>
              <w:rPr>
                <w:rFonts w:hint="eastAsia" w:ascii="Times New Roman" w:hAnsi="Times New Roman" w:eastAsia="宋体" w:cs="Times New Roman"/>
                <w:b/>
                <w:bCs/>
                <w:color w:val="000000" w:themeColor="text1"/>
                <w:spacing w:val="0"/>
                <w:sz w:val="24"/>
                <w:szCs w:val="24"/>
                <w:lang w:val="en-US" w:eastAsia="zh-CN"/>
                <w14:textFill>
                  <w14:solidFill>
                    <w14:schemeClr w14:val="tx1"/>
                  </w14:solidFill>
                </w14:textFill>
              </w:rPr>
              <w:t>环境</w:t>
            </w:r>
          </w:p>
          <w:p w14:paraId="1917CF50">
            <w:pPr>
              <w:pStyle w:val="52"/>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504" w:firstLineChars="200"/>
              <w:jc w:val="both"/>
              <w:textAlignment w:val="auto"/>
              <w:rPr>
                <w:rFonts w:hint="default" w:ascii="Times New Roman" w:hAnsi="Times New Roman" w:eastAsia="宋体" w:cs="Times New Roman"/>
                <w:color w:val="000000" w:themeColor="text1"/>
                <w:kern w:val="0"/>
                <w:sz w:val="24"/>
                <w:szCs w:val="24"/>
                <w:highlight w:val="none"/>
                <w:u w:val="none"/>
                <w14:textFill>
                  <w14:solidFill>
                    <w14:schemeClr w14:val="tx1"/>
                  </w14:solidFill>
                </w14:textFill>
              </w:rPr>
            </w:pPr>
            <w:r>
              <w:rPr>
                <w:rFonts w:hint="eastAsia" w:cs="Times New Roman"/>
                <w:color w:val="000000" w:themeColor="text1"/>
                <w:kern w:val="0"/>
                <w:sz w:val="24"/>
                <w:szCs w:val="24"/>
                <w:highlight w:val="none"/>
                <w:u w:val="none"/>
                <w:lang w:val="en-US" w:eastAsia="zh-CN"/>
                <w14:textFill>
                  <w14:solidFill>
                    <w14:schemeClr w14:val="tx1"/>
                  </w14:solidFill>
                </w14:textFill>
              </w:rPr>
              <w:t>本</w:t>
            </w:r>
            <w:r>
              <w:rPr>
                <w:rFonts w:hint="default" w:ascii="Times New Roman" w:hAnsi="Times New Roman" w:eastAsia="宋体" w:cs="Times New Roman"/>
                <w:color w:val="000000" w:themeColor="text1"/>
                <w:kern w:val="0"/>
                <w:sz w:val="24"/>
                <w:szCs w:val="24"/>
                <w:highlight w:val="none"/>
                <w:u w:val="none"/>
                <w14:textFill>
                  <w14:solidFill>
                    <w14:schemeClr w14:val="tx1"/>
                  </w14:solidFill>
                </w14:textFill>
              </w:rPr>
              <w:t>项目所在区域为二类区，环境空气质量执行《环境空气质量标准》（GB3095-2012）及2018年修改单二级标准要求。</w:t>
            </w:r>
          </w:p>
          <w:p w14:paraId="1496770A">
            <w:pPr>
              <w:keepNext w:val="0"/>
              <w:keepLines w:val="0"/>
              <w:widowControl w:val="0"/>
              <w:suppressLineNumbers w:val="0"/>
              <w:adjustRightInd w:val="0"/>
              <w:snapToGrid w:val="0"/>
              <w:spacing w:before="0" w:beforeAutospacing="0" w:after="0" w:afterAutospacing="0" w:line="520" w:lineRule="exact"/>
              <w:ind w:left="0" w:right="0" w:firstLine="480" w:firstLineChars="200"/>
              <w:jc w:val="both"/>
              <w:rPr>
                <w:rFonts w:hint="eastAsia" w:ascii="Times New Roman" w:hAnsi="Times New Roman" w:eastAsia="宋体" w:cs="Times New Roman"/>
                <w:color w:val="000000" w:themeColor="text1"/>
                <w:kern w:val="0"/>
                <w:sz w:val="24"/>
                <w:szCs w:val="24"/>
                <w:highlight w:val="none"/>
                <w:u w:val="none"/>
                <w14:textFill>
                  <w14:solidFill>
                    <w14:schemeClr w14:val="tx1"/>
                  </w14:solidFill>
                </w14:textFill>
              </w:rPr>
            </w:pPr>
            <w:r>
              <w:rPr>
                <w:rFonts w:hint="eastAsia" w:ascii="Times New Roman" w:hAnsi="Times New Roman" w:eastAsia="宋体" w:cs="宋体"/>
                <w:kern w:val="2"/>
                <w:sz w:val="24"/>
                <w:szCs w:val="24"/>
                <w:lang w:val="en-US" w:eastAsia="zh-CN" w:bidi="ar"/>
              </w:rPr>
              <w:t>根据汤阴一中常规监测点，汤阴县2023年环境空气质量数据各项指数统计数据见下表</w:t>
            </w:r>
            <w:r>
              <w:rPr>
                <w:rFonts w:hint="eastAsia" w:cs="宋体"/>
                <w:kern w:val="2"/>
                <w:sz w:val="24"/>
                <w:szCs w:val="24"/>
                <w:lang w:val="en-US" w:eastAsia="zh-CN" w:bidi="ar"/>
              </w:rPr>
              <w:t>。</w:t>
            </w:r>
          </w:p>
          <w:p w14:paraId="663B4304">
            <w:pPr>
              <w:keepNext w:val="0"/>
              <w:keepLines w:val="0"/>
              <w:suppressLineNumbers w:val="0"/>
              <w:snapToGrid w:val="0"/>
              <w:spacing w:before="0" w:beforeAutospacing="0" w:after="0" w:afterAutospacing="0" w:line="520" w:lineRule="exact"/>
              <w:ind w:left="0" w:right="0"/>
              <w:jc w:val="center"/>
              <w:rPr>
                <w:rFonts w:hint="eastAsia" w:ascii="黑体" w:hAnsi="黑体" w:eastAsia="黑体" w:cs="黑体"/>
                <w:b w:val="0"/>
                <w:bCs/>
                <w:sz w:val="24"/>
                <w:lang w:val="en-US"/>
              </w:rPr>
            </w:pPr>
            <w:r>
              <w:rPr>
                <w:rFonts w:hint="eastAsia" w:ascii="黑体" w:hAnsi="黑体" w:eastAsia="黑体" w:cs="黑体"/>
                <w:b w:val="0"/>
                <w:bCs/>
                <w:sz w:val="24"/>
                <w:lang w:val="en-US" w:eastAsia="zh-CN"/>
              </w:rPr>
              <w:t>表3</w:t>
            </w:r>
            <w:r>
              <w:rPr>
                <w:rFonts w:hint="default" w:ascii="黑体" w:hAnsi="黑体" w:eastAsia="黑体" w:cs="黑体"/>
                <w:b w:val="0"/>
                <w:bCs/>
                <w:sz w:val="24"/>
                <w:lang w:val="en-US" w:eastAsia="zh-CN"/>
              </w:rPr>
              <w:t xml:space="preserve">-1  </w:t>
            </w:r>
            <w:r>
              <w:rPr>
                <w:rFonts w:hint="eastAsia" w:ascii="黑体" w:hAnsi="黑体" w:eastAsia="黑体" w:cs="黑体"/>
                <w:b w:val="0"/>
                <w:bCs/>
                <w:sz w:val="24"/>
                <w:lang w:val="en-US" w:eastAsia="zh-CN"/>
              </w:rPr>
              <w:t>汤阴县环境空气污染物基本项目质量现状</w:t>
            </w:r>
          </w:p>
          <w:tbl>
            <w:tblPr>
              <w:tblStyle w:val="25"/>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6" w:space="0"/>
              </w:tblBorders>
              <w:shd w:val="clear" w:color="auto" w:fill="auto"/>
              <w:tblLayout w:type="autofit"/>
              <w:tblCellMar>
                <w:top w:w="0" w:type="dxa"/>
                <w:left w:w="108" w:type="dxa"/>
                <w:bottom w:w="0" w:type="dxa"/>
                <w:right w:w="108" w:type="dxa"/>
              </w:tblCellMar>
            </w:tblPr>
            <w:tblGrid>
              <w:gridCol w:w="1085"/>
              <w:gridCol w:w="3013"/>
              <w:gridCol w:w="868"/>
              <w:gridCol w:w="868"/>
              <w:gridCol w:w="1299"/>
              <w:gridCol w:w="1086"/>
            </w:tblGrid>
            <w:tr w14:paraId="0376BA7F">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20" w:hRule="atLeast"/>
              </w:trPr>
              <w:tc>
                <w:tcPr>
                  <w:tcW w:w="1085" w:type="dxa"/>
                  <w:tcBorders>
                    <w:tl2br w:val="nil"/>
                    <w:tr2bl w:val="nil"/>
                  </w:tcBorders>
                  <w:shd w:val="clear" w:color="auto" w:fill="auto"/>
                  <w:vAlign w:val="center"/>
                </w:tcPr>
                <w:p w14:paraId="0A0014A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default"/>
                      <w:b w:val="0"/>
                      <w:bCs/>
                      <w:lang w:val="en-US"/>
                    </w:rPr>
                  </w:pPr>
                  <w:r>
                    <w:rPr>
                      <w:rFonts w:hint="eastAsia" w:ascii="Times New Roman" w:hAnsi="Times New Roman" w:eastAsia="宋体" w:cs="宋体"/>
                      <w:b w:val="0"/>
                      <w:bCs/>
                      <w:kern w:val="2"/>
                      <w:sz w:val="21"/>
                      <w:szCs w:val="24"/>
                      <w:lang w:val="en-US" w:eastAsia="zh-CN" w:bidi="ar"/>
                    </w:rPr>
                    <w:t>污染因子</w:t>
                  </w:r>
                </w:p>
              </w:tc>
              <w:tc>
                <w:tcPr>
                  <w:tcW w:w="3013" w:type="dxa"/>
                  <w:tcBorders>
                    <w:tl2br w:val="nil"/>
                    <w:tr2bl w:val="nil"/>
                  </w:tcBorders>
                  <w:shd w:val="clear" w:color="auto" w:fill="auto"/>
                  <w:vAlign w:val="center"/>
                </w:tcPr>
                <w:p w14:paraId="5D5EAD0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default"/>
                      <w:b w:val="0"/>
                      <w:bCs/>
                      <w:lang w:val="en-US"/>
                    </w:rPr>
                  </w:pPr>
                  <w:r>
                    <w:rPr>
                      <w:rFonts w:hint="eastAsia" w:ascii="Times New Roman" w:hAnsi="Times New Roman" w:eastAsia="宋体" w:cs="宋体"/>
                      <w:b w:val="0"/>
                      <w:bCs/>
                      <w:kern w:val="2"/>
                      <w:sz w:val="21"/>
                      <w:szCs w:val="24"/>
                      <w:lang w:val="en-US" w:eastAsia="zh-CN" w:bidi="ar"/>
                    </w:rPr>
                    <w:t>类别</w:t>
                  </w:r>
                </w:p>
              </w:tc>
              <w:tc>
                <w:tcPr>
                  <w:tcW w:w="868" w:type="dxa"/>
                  <w:tcBorders>
                    <w:tl2br w:val="nil"/>
                    <w:tr2bl w:val="nil"/>
                  </w:tcBorders>
                  <w:shd w:val="clear" w:color="auto" w:fill="auto"/>
                  <w:vAlign w:val="center"/>
                </w:tcPr>
                <w:p w14:paraId="05D4400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default"/>
                      <w:b w:val="0"/>
                      <w:bCs/>
                      <w:lang w:val="en-US"/>
                    </w:rPr>
                  </w:pPr>
                  <w:r>
                    <w:rPr>
                      <w:rFonts w:hint="eastAsia" w:ascii="Times New Roman" w:hAnsi="Times New Roman" w:eastAsia="宋体" w:cs="宋体"/>
                      <w:b w:val="0"/>
                      <w:bCs/>
                      <w:kern w:val="2"/>
                      <w:sz w:val="21"/>
                      <w:szCs w:val="24"/>
                      <w:lang w:val="en-US" w:eastAsia="zh-CN" w:bidi="ar"/>
                    </w:rPr>
                    <w:t>统计值</w:t>
                  </w:r>
                </w:p>
              </w:tc>
              <w:tc>
                <w:tcPr>
                  <w:tcW w:w="868" w:type="dxa"/>
                  <w:tcBorders>
                    <w:tl2br w:val="nil"/>
                    <w:tr2bl w:val="nil"/>
                  </w:tcBorders>
                  <w:shd w:val="clear" w:color="auto" w:fill="auto"/>
                  <w:vAlign w:val="center"/>
                </w:tcPr>
                <w:p w14:paraId="5EB222D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default"/>
                      <w:b w:val="0"/>
                      <w:bCs/>
                      <w:lang w:val="en-US"/>
                    </w:rPr>
                  </w:pPr>
                  <w:r>
                    <w:rPr>
                      <w:rFonts w:hint="eastAsia" w:ascii="Times New Roman" w:hAnsi="Times New Roman" w:eastAsia="宋体" w:cs="宋体"/>
                      <w:b w:val="0"/>
                      <w:bCs/>
                      <w:kern w:val="2"/>
                      <w:sz w:val="21"/>
                      <w:szCs w:val="24"/>
                      <w:lang w:val="en-US" w:eastAsia="zh-CN" w:bidi="ar"/>
                    </w:rPr>
                    <w:t>标准值</w:t>
                  </w:r>
                </w:p>
              </w:tc>
              <w:tc>
                <w:tcPr>
                  <w:tcW w:w="1299" w:type="dxa"/>
                  <w:tcBorders>
                    <w:tl2br w:val="nil"/>
                    <w:tr2bl w:val="nil"/>
                  </w:tcBorders>
                  <w:shd w:val="clear" w:color="auto" w:fill="auto"/>
                  <w:vAlign w:val="center"/>
                </w:tcPr>
                <w:p w14:paraId="3FA4762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default"/>
                      <w:b w:val="0"/>
                      <w:bCs/>
                      <w:lang w:val="en-US"/>
                    </w:rPr>
                  </w:pPr>
                  <w:r>
                    <w:rPr>
                      <w:rFonts w:hint="eastAsia" w:ascii="Times New Roman" w:hAnsi="Times New Roman" w:eastAsia="宋体" w:cs="宋体"/>
                      <w:b w:val="0"/>
                      <w:bCs/>
                      <w:kern w:val="2"/>
                      <w:sz w:val="21"/>
                      <w:szCs w:val="24"/>
                      <w:lang w:val="en-US" w:eastAsia="zh-CN" w:bidi="ar"/>
                    </w:rPr>
                    <w:t>最大占标率</w:t>
                  </w:r>
                </w:p>
              </w:tc>
              <w:tc>
                <w:tcPr>
                  <w:tcW w:w="1086" w:type="dxa"/>
                  <w:tcBorders>
                    <w:tl2br w:val="nil"/>
                    <w:tr2bl w:val="nil"/>
                  </w:tcBorders>
                  <w:shd w:val="clear" w:color="auto" w:fill="auto"/>
                  <w:vAlign w:val="center"/>
                </w:tcPr>
                <w:p w14:paraId="047C95A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default"/>
                      <w:b w:val="0"/>
                      <w:bCs/>
                      <w:lang w:val="en-US"/>
                    </w:rPr>
                  </w:pPr>
                  <w:r>
                    <w:rPr>
                      <w:rFonts w:hint="eastAsia" w:ascii="Times New Roman" w:hAnsi="Times New Roman" w:eastAsia="宋体" w:cs="宋体"/>
                      <w:b w:val="0"/>
                      <w:bCs/>
                      <w:kern w:val="2"/>
                      <w:sz w:val="21"/>
                      <w:szCs w:val="24"/>
                      <w:lang w:val="en-US" w:eastAsia="zh-CN" w:bidi="ar"/>
                    </w:rPr>
                    <w:t>达标情况</w:t>
                  </w:r>
                </w:p>
              </w:tc>
            </w:tr>
            <w:tr w14:paraId="7FCCC7C1">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shd w:val="clear" w:color="auto" w:fill="auto"/>
                <w:tblCellMar>
                  <w:top w:w="0" w:type="dxa"/>
                  <w:left w:w="108" w:type="dxa"/>
                  <w:bottom w:w="0" w:type="dxa"/>
                  <w:right w:w="108" w:type="dxa"/>
                </w:tblCellMar>
              </w:tblPrEx>
              <w:trPr>
                <w:trHeight w:val="20" w:hRule="atLeast"/>
              </w:trPr>
              <w:tc>
                <w:tcPr>
                  <w:tcW w:w="1085" w:type="dxa"/>
                  <w:tcBorders>
                    <w:tl2br w:val="nil"/>
                    <w:tr2bl w:val="nil"/>
                  </w:tcBorders>
                  <w:shd w:val="clear" w:color="auto" w:fill="auto"/>
                  <w:vAlign w:val="center"/>
                </w:tcPr>
                <w:p w14:paraId="61AF7CF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default"/>
                      <w:b w:val="0"/>
                      <w:bCs/>
                      <w:vertAlign w:val="subscript"/>
                      <w:lang w:val="en-US"/>
                    </w:rPr>
                  </w:pPr>
                  <w:r>
                    <w:rPr>
                      <w:rFonts w:hint="default" w:ascii="Times New Roman" w:hAnsi="Times New Roman" w:eastAsia="宋体" w:cs="Times New Roman"/>
                      <w:b w:val="0"/>
                      <w:bCs/>
                      <w:kern w:val="2"/>
                      <w:sz w:val="21"/>
                      <w:szCs w:val="24"/>
                      <w:lang w:val="en-US" w:eastAsia="zh-CN" w:bidi="ar"/>
                    </w:rPr>
                    <w:t>PM</w:t>
                  </w:r>
                  <w:r>
                    <w:rPr>
                      <w:rFonts w:hint="default" w:ascii="Times New Roman" w:hAnsi="Times New Roman" w:eastAsia="宋体" w:cs="Times New Roman"/>
                      <w:b w:val="0"/>
                      <w:bCs/>
                      <w:kern w:val="2"/>
                      <w:sz w:val="21"/>
                      <w:szCs w:val="24"/>
                      <w:vertAlign w:val="subscript"/>
                      <w:lang w:val="en-US" w:eastAsia="zh-CN" w:bidi="ar"/>
                    </w:rPr>
                    <w:t>10</w:t>
                  </w:r>
                </w:p>
              </w:tc>
              <w:tc>
                <w:tcPr>
                  <w:tcW w:w="3013" w:type="dxa"/>
                  <w:tcBorders>
                    <w:tl2br w:val="nil"/>
                    <w:tr2bl w:val="nil"/>
                  </w:tcBorders>
                  <w:shd w:val="clear" w:color="auto" w:fill="auto"/>
                  <w:vAlign w:val="center"/>
                </w:tcPr>
                <w:p w14:paraId="277FF0F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default"/>
                      <w:b w:val="0"/>
                      <w:bCs/>
                      <w:lang w:val="en-US"/>
                    </w:rPr>
                  </w:pPr>
                  <w:r>
                    <w:rPr>
                      <w:rFonts w:hint="eastAsia" w:ascii="Times New Roman" w:hAnsi="Times New Roman" w:eastAsia="宋体" w:cs="宋体"/>
                      <w:b w:val="0"/>
                      <w:bCs/>
                      <w:kern w:val="2"/>
                      <w:sz w:val="21"/>
                      <w:szCs w:val="24"/>
                      <w:lang w:val="en-US" w:eastAsia="zh-CN" w:bidi="ar"/>
                    </w:rPr>
                    <w:t>年平均质量浓度</w:t>
                  </w:r>
                  <w:r>
                    <w:rPr>
                      <w:rFonts w:hint="default" w:ascii="Times New Roman" w:hAnsi="Times New Roman" w:eastAsia="宋体" w:cs="Times New Roman"/>
                      <w:b w:val="0"/>
                      <w:bCs/>
                      <w:kern w:val="2"/>
                      <w:sz w:val="21"/>
                      <w:szCs w:val="24"/>
                      <w:lang w:val="en-US" w:eastAsia="zh-CN" w:bidi="ar"/>
                    </w:rPr>
                    <w:t xml:space="preserve"> (μg/m</w:t>
                  </w:r>
                  <w:r>
                    <w:rPr>
                      <w:rFonts w:hint="default" w:ascii="Times New Roman" w:hAnsi="Times New Roman" w:eastAsia="宋体" w:cs="Times New Roman"/>
                      <w:b w:val="0"/>
                      <w:bCs/>
                      <w:kern w:val="2"/>
                      <w:sz w:val="21"/>
                      <w:szCs w:val="24"/>
                      <w:vertAlign w:val="superscript"/>
                      <w:lang w:val="en-US" w:eastAsia="zh-CN" w:bidi="ar"/>
                    </w:rPr>
                    <w:t>3</w:t>
                  </w:r>
                  <w:r>
                    <w:rPr>
                      <w:rFonts w:hint="default" w:ascii="Times New Roman" w:hAnsi="Times New Roman" w:eastAsia="宋体" w:cs="Times New Roman"/>
                      <w:b w:val="0"/>
                      <w:bCs/>
                      <w:kern w:val="2"/>
                      <w:sz w:val="21"/>
                      <w:szCs w:val="24"/>
                      <w:lang w:val="en-US" w:eastAsia="zh-CN" w:bidi="ar"/>
                    </w:rPr>
                    <w:t>)</w:t>
                  </w:r>
                </w:p>
              </w:tc>
              <w:tc>
                <w:tcPr>
                  <w:tcW w:w="868" w:type="dxa"/>
                  <w:tcBorders>
                    <w:tl2br w:val="nil"/>
                    <w:tr2bl w:val="nil"/>
                  </w:tcBorders>
                  <w:shd w:val="clear" w:color="auto" w:fill="auto"/>
                  <w:vAlign w:val="center"/>
                </w:tcPr>
                <w:p w14:paraId="311BE2B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default"/>
                      <w:b w:val="0"/>
                      <w:bCs/>
                      <w:lang w:val="en-US"/>
                    </w:rPr>
                  </w:pPr>
                  <w:r>
                    <w:rPr>
                      <w:rFonts w:hint="default" w:ascii="Times New Roman" w:hAnsi="Times New Roman" w:eastAsia="宋体" w:cs="Times New Roman"/>
                      <w:b w:val="0"/>
                      <w:bCs/>
                      <w:kern w:val="2"/>
                      <w:sz w:val="21"/>
                      <w:szCs w:val="24"/>
                      <w:lang w:val="en-US" w:eastAsia="zh-CN" w:bidi="ar"/>
                    </w:rPr>
                    <w:t>84</w:t>
                  </w:r>
                </w:p>
              </w:tc>
              <w:tc>
                <w:tcPr>
                  <w:tcW w:w="868" w:type="dxa"/>
                  <w:tcBorders>
                    <w:tl2br w:val="nil"/>
                    <w:tr2bl w:val="nil"/>
                  </w:tcBorders>
                  <w:shd w:val="clear" w:color="auto" w:fill="auto"/>
                  <w:vAlign w:val="center"/>
                </w:tcPr>
                <w:p w14:paraId="0581908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default"/>
                      <w:b w:val="0"/>
                      <w:bCs/>
                      <w:lang w:val="en-US"/>
                    </w:rPr>
                  </w:pPr>
                  <w:r>
                    <w:rPr>
                      <w:rFonts w:hint="default" w:ascii="Times New Roman" w:hAnsi="Times New Roman" w:eastAsia="宋体" w:cs="Times New Roman"/>
                      <w:b w:val="0"/>
                      <w:bCs/>
                      <w:kern w:val="2"/>
                      <w:sz w:val="21"/>
                      <w:szCs w:val="24"/>
                      <w:lang w:val="en-US" w:eastAsia="zh-CN" w:bidi="ar"/>
                    </w:rPr>
                    <w:t>70</w:t>
                  </w:r>
                </w:p>
              </w:tc>
              <w:tc>
                <w:tcPr>
                  <w:tcW w:w="1299" w:type="dxa"/>
                  <w:tcBorders>
                    <w:tl2br w:val="nil"/>
                    <w:tr2bl w:val="nil"/>
                  </w:tcBorders>
                  <w:shd w:val="clear" w:color="auto" w:fill="auto"/>
                  <w:vAlign w:val="center"/>
                </w:tcPr>
                <w:p w14:paraId="1071003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default"/>
                      <w:b w:val="0"/>
                      <w:bCs/>
                      <w:lang w:val="en-US"/>
                    </w:rPr>
                  </w:pPr>
                  <w:r>
                    <w:rPr>
                      <w:rFonts w:hint="default" w:ascii="Times New Roman" w:hAnsi="Times New Roman" w:eastAsia="宋体" w:cs="Times New Roman"/>
                      <w:b w:val="0"/>
                      <w:bCs/>
                      <w:kern w:val="2"/>
                      <w:sz w:val="21"/>
                      <w:szCs w:val="24"/>
                      <w:lang w:val="en-US" w:eastAsia="zh-CN" w:bidi="ar"/>
                    </w:rPr>
                    <w:t>120%</w:t>
                  </w:r>
                </w:p>
              </w:tc>
              <w:tc>
                <w:tcPr>
                  <w:tcW w:w="1086" w:type="dxa"/>
                  <w:tcBorders>
                    <w:tl2br w:val="nil"/>
                    <w:tr2bl w:val="nil"/>
                  </w:tcBorders>
                  <w:shd w:val="clear" w:color="auto" w:fill="auto"/>
                  <w:vAlign w:val="center"/>
                </w:tcPr>
                <w:p w14:paraId="4E47EF4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default"/>
                      <w:b w:val="0"/>
                      <w:bCs/>
                      <w:lang w:val="en-US"/>
                    </w:rPr>
                  </w:pPr>
                  <w:r>
                    <w:rPr>
                      <w:rFonts w:hint="eastAsia" w:ascii="Times New Roman" w:hAnsi="Times New Roman" w:eastAsia="宋体" w:cs="宋体"/>
                      <w:b w:val="0"/>
                      <w:bCs/>
                      <w:kern w:val="2"/>
                      <w:sz w:val="21"/>
                      <w:szCs w:val="24"/>
                      <w:lang w:val="en-US" w:eastAsia="zh-CN" w:bidi="ar"/>
                    </w:rPr>
                    <w:t>超标</w:t>
                  </w:r>
                </w:p>
              </w:tc>
            </w:tr>
            <w:tr w14:paraId="6F0EF100">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shd w:val="clear" w:color="auto" w:fill="auto"/>
                <w:tblCellMar>
                  <w:top w:w="0" w:type="dxa"/>
                  <w:left w:w="108" w:type="dxa"/>
                  <w:bottom w:w="0" w:type="dxa"/>
                  <w:right w:w="108" w:type="dxa"/>
                </w:tblCellMar>
              </w:tblPrEx>
              <w:trPr>
                <w:trHeight w:val="20" w:hRule="atLeast"/>
              </w:trPr>
              <w:tc>
                <w:tcPr>
                  <w:tcW w:w="1085" w:type="dxa"/>
                  <w:tcBorders>
                    <w:tl2br w:val="nil"/>
                    <w:tr2bl w:val="nil"/>
                  </w:tcBorders>
                  <w:shd w:val="clear" w:color="auto" w:fill="auto"/>
                  <w:vAlign w:val="center"/>
                </w:tcPr>
                <w:p w14:paraId="153417F6">
                  <w:pPr>
                    <w:keepNext w:val="0"/>
                    <w:keepLines w:val="0"/>
                    <w:pageBreakBefore w:val="0"/>
                    <w:widowControl/>
                    <w:suppressLineNumbers w:val="0"/>
                    <w:kinsoku/>
                    <w:wordWrap/>
                    <w:overflowPunct/>
                    <w:topLinePunct w:val="0"/>
                    <w:autoSpaceDE/>
                    <w:autoSpaceDN/>
                    <w:bidi w:val="0"/>
                    <w:spacing w:before="0" w:beforeAutospacing="0" w:after="0" w:afterAutospacing="0" w:line="360" w:lineRule="exact"/>
                    <w:ind w:left="0" w:leftChars="0" w:right="0" w:rightChars="0"/>
                    <w:jc w:val="center"/>
                    <w:textAlignment w:val="auto"/>
                    <w:rPr>
                      <w:rFonts w:hint="default"/>
                      <w:b w:val="0"/>
                      <w:bCs/>
                      <w:vertAlign w:val="subscript"/>
                      <w:lang w:val="en-US"/>
                    </w:rPr>
                  </w:pPr>
                  <w:r>
                    <w:rPr>
                      <w:rFonts w:hint="default" w:ascii="Times New Roman" w:hAnsi="Times New Roman" w:eastAsia="宋体" w:cs="Times New Roman"/>
                      <w:b w:val="0"/>
                      <w:bCs/>
                      <w:kern w:val="2"/>
                      <w:sz w:val="21"/>
                      <w:szCs w:val="24"/>
                      <w:lang w:val="en-US" w:eastAsia="zh-CN" w:bidi="ar"/>
                    </w:rPr>
                    <w:t>PM</w:t>
                  </w:r>
                  <w:r>
                    <w:rPr>
                      <w:rFonts w:hint="default" w:ascii="Times New Roman" w:hAnsi="Times New Roman" w:eastAsia="宋体" w:cs="Times New Roman"/>
                      <w:b w:val="0"/>
                      <w:bCs/>
                      <w:kern w:val="2"/>
                      <w:sz w:val="21"/>
                      <w:szCs w:val="24"/>
                      <w:vertAlign w:val="subscript"/>
                      <w:lang w:val="en-US" w:eastAsia="zh-CN" w:bidi="ar"/>
                    </w:rPr>
                    <w:t>2.5</w:t>
                  </w:r>
                </w:p>
              </w:tc>
              <w:tc>
                <w:tcPr>
                  <w:tcW w:w="3013" w:type="dxa"/>
                  <w:tcBorders>
                    <w:tl2br w:val="nil"/>
                    <w:tr2bl w:val="nil"/>
                  </w:tcBorders>
                  <w:shd w:val="clear" w:color="auto" w:fill="auto"/>
                  <w:vAlign w:val="center"/>
                </w:tcPr>
                <w:p w14:paraId="2638F9B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default"/>
                      <w:b w:val="0"/>
                      <w:bCs/>
                      <w:lang w:val="en-US"/>
                    </w:rPr>
                  </w:pPr>
                  <w:r>
                    <w:rPr>
                      <w:rFonts w:hint="eastAsia" w:ascii="Times New Roman" w:hAnsi="Times New Roman" w:eastAsia="宋体" w:cs="宋体"/>
                      <w:b w:val="0"/>
                      <w:bCs/>
                      <w:kern w:val="2"/>
                      <w:sz w:val="21"/>
                      <w:szCs w:val="24"/>
                      <w:lang w:val="en-US" w:eastAsia="zh-CN" w:bidi="ar"/>
                    </w:rPr>
                    <w:t>年平均质量浓度</w:t>
                  </w:r>
                  <w:r>
                    <w:rPr>
                      <w:rFonts w:hint="default" w:ascii="Times New Roman" w:hAnsi="Times New Roman" w:eastAsia="宋体" w:cs="Times New Roman"/>
                      <w:b w:val="0"/>
                      <w:bCs/>
                      <w:kern w:val="2"/>
                      <w:sz w:val="21"/>
                      <w:szCs w:val="24"/>
                      <w:lang w:val="en-US" w:eastAsia="zh-CN" w:bidi="ar"/>
                    </w:rPr>
                    <w:t xml:space="preserve"> (μg/m</w:t>
                  </w:r>
                  <w:r>
                    <w:rPr>
                      <w:rFonts w:hint="default" w:ascii="Times New Roman" w:hAnsi="Times New Roman" w:eastAsia="宋体" w:cs="Times New Roman"/>
                      <w:b w:val="0"/>
                      <w:bCs/>
                      <w:kern w:val="2"/>
                      <w:sz w:val="21"/>
                      <w:szCs w:val="24"/>
                      <w:vertAlign w:val="superscript"/>
                      <w:lang w:val="en-US" w:eastAsia="zh-CN" w:bidi="ar"/>
                    </w:rPr>
                    <w:t>3</w:t>
                  </w:r>
                  <w:r>
                    <w:rPr>
                      <w:rFonts w:hint="default" w:ascii="Times New Roman" w:hAnsi="Times New Roman" w:eastAsia="宋体" w:cs="Times New Roman"/>
                      <w:b w:val="0"/>
                      <w:bCs/>
                      <w:kern w:val="2"/>
                      <w:sz w:val="21"/>
                      <w:szCs w:val="24"/>
                      <w:lang w:val="en-US" w:eastAsia="zh-CN" w:bidi="ar"/>
                    </w:rPr>
                    <w:t>)</w:t>
                  </w:r>
                </w:p>
              </w:tc>
              <w:tc>
                <w:tcPr>
                  <w:tcW w:w="868" w:type="dxa"/>
                  <w:tcBorders>
                    <w:tl2br w:val="nil"/>
                    <w:tr2bl w:val="nil"/>
                  </w:tcBorders>
                  <w:shd w:val="clear" w:color="auto" w:fill="auto"/>
                  <w:vAlign w:val="center"/>
                </w:tcPr>
                <w:p w14:paraId="418BF77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default"/>
                      <w:b w:val="0"/>
                      <w:bCs/>
                      <w:lang w:val="en-US"/>
                    </w:rPr>
                  </w:pPr>
                  <w:r>
                    <w:rPr>
                      <w:rFonts w:hint="default" w:ascii="Times New Roman" w:hAnsi="Times New Roman" w:eastAsia="宋体" w:cs="Times New Roman"/>
                      <w:b w:val="0"/>
                      <w:bCs/>
                      <w:kern w:val="2"/>
                      <w:sz w:val="21"/>
                      <w:szCs w:val="24"/>
                      <w:lang w:val="en-US" w:eastAsia="zh-CN" w:bidi="ar"/>
                    </w:rPr>
                    <w:t>50</w:t>
                  </w:r>
                </w:p>
              </w:tc>
              <w:tc>
                <w:tcPr>
                  <w:tcW w:w="868" w:type="dxa"/>
                  <w:tcBorders>
                    <w:tl2br w:val="nil"/>
                    <w:tr2bl w:val="nil"/>
                  </w:tcBorders>
                  <w:shd w:val="clear" w:color="auto" w:fill="auto"/>
                  <w:vAlign w:val="center"/>
                </w:tcPr>
                <w:p w14:paraId="74C0ECC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default"/>
                      <w:b w:val="0"/>
                      <w:bCs/>
                      <w:lang w:val="en-US"/>
                    </w:rPr>
                  </w:pPr>
                  <w:r>
                    <w:rPr>
                      <w:rFonts w:hint="default" w:ascii="Times New Roman" w:hAnsi="Times New Roman" w:eastAsia="宋体" w:cs="Times New Roman"/>
                      <w:b w:val="0"/>
                      <w:bCs/>
                      <w:kern w:val="2"/>
                      <w:sz w:val="21"/>
                      <w:szCs w:val="24"/>
                      <w:lang w:val="en-US" w:eastAsia="zh-CN" w:bidi="ar"/>
                    </w:rPr>
                    <w:t>35</w:t>
                  </w:r>
                </w:p>
              </w:tc>
              <w:tc>
                <w:tcPr>
                  <w:tcW w:w="1299" w:type="dxa"/>
                  <w:tcBorders>
                    <w:tl2br w:val="nil"/>
                    <w:tr2bl w:val="nil"/>
                  </w:tcBorders>
                  <w:shd w:val="clear" w:color="auto" w:fill="auto"/>
                  <w:vAlign w:val="center"/>
                </w:tcPr>
                <w:p w14:paraId="57AE2F7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default"/>
                      <w:b w:val="0"/>
                      <w:bCs/>
                      <w:lang w:val="en-US"/>
                    </w:rPr>
                  </w:pPr>
                  <w:r>
                    <w:rPr>
                      <w:rFonts w:hint="default" w:ascii="Times New Roman" w:hAnsi="Times New Roman" w:eastAsia="宋体" w:cs="Times New Roman"/>
                      <w:b w:val="0"/>
                      <w:bCs/>
                      <w:kern w:val="2"/>
                      <w:sz w:val="21"/>
                      <w:szCs w:val="24"/>
                      <w:lang w:val="en-US" w:eastAsia="zh-CN" w:bidi="ar"/>
                    </w:rPr>
                    <w:t>142.86%</w:t>
                  </w:r>
                </w:p>
              </w:tc>
              <w:tc>
                <w:tcPr>
                  <w:tcW w:w="1086" w:type="dxa"/>
                  <w:tcBorders>
                    <w:tl2br w:val="nil"/>
                    <w:tr2bl w:val="nil"/>
                  </w:tcBorders>
                  <w:shd w:val="clear" w:color="auto" w:fill="auto"/>
                  <w:vAlign w:val="center"/>
                </w:tcPr>
                <w:p w14:paraId="28F8D39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default"/>
                      <w:b w:val="0"/>
                      <w:bCs/>
                      <w:lang w:val="en-US"/>
                    </w:rPr>
                  </w:pPr>
                  <w:r>
                    <w:rPr>
                      <w:rFonts w:hint="eastAsia" w:ascii="Times New Roman" w:hAnsi="Times New Roman" w:eastAsia="宋体" w:cs="宋体"/>
                      <w:b w:val="0"/>
                      <w:bCs/>
                      <w:kern w:val="2"/>
                      <w:sz w:val="21"/>
                      <w:szCs w:val="24"/>
                      <w:lang w:val="en-US" w:eastAsia="zh-CN" w:bidi="ar"/>
                    </w:rPr>
                    <w:t>超标</w:t>
                  </w:r>
                </w:p>
              </w:tc>
            </w:tr>
            <w:tr w14:paraId="1ACC94E0">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shd w:val="clear" w:color="auto" w:fill="auto"/>
                <w:tblCellMar>
                  <w:top w:w="0" w:type="dxa"/>
                  <w:left w:w="108" w:type="dxa"/>
                  <w:bottom w:w="0" w:type="dxa"/>
                  <w:right w:w="108" w:type="dxa"/>
                </w:tblCellMar>
              </w:tblPrEx>
              <w:trPr>
                <w:trHeight w:val="20" w:hRule="atLeast"/>
              </w:trPr>
              <w:tc>
                <w:tcPr>
                  <w:tcW w:w="1085" w:type="dxa"/>
                  <w:tcBorders>
                    <w:tl2br w:val="nil"/>
                    <w:tr2bl w:val="nil"/>
                  </w:tcBorders>
                  <w:shd w:val="clear" w:color="auto" w:fill="auto"/>
                  <w:vAlign w:val="center"/>
                </w:tcPr>
                <w:p w14:paraId="4915C8D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default"/>
                      <w:b w:val="0"/>
                      <w:bCs/>
                      <w:lang w:val="en-US"/>
                    </w:rPr>
                  </w:pPr>
                  <w:r>
                    <w:rPr>
                      <w:rFonts w:hint="default" w:ascii="Times New Roman" w:hAnsi="Times New Roman" w:eastAsia="宋体" w:cs="Times New Roman"/>
                      <w:b w:val="0"/>
                      <w:bCs/>
                      <w:kern w:val="2"/>
                      <w:sz w:val="21"/>
                      <w:szCs w:val="24"/>
                      <w:lang w:val="en-US" w:eastAsia="zh-CN" w:bidi="ar"/>
                    </w:rPr>
                    <w:t>SO</w:t>
                  </w:r>
                  <w:r>
                    <w:rPr>
                      <w:rFonts w:hint="default" w:ascii="Times New Roman" w:hAnsi="Times New Roman" w:eastAsia="宋体" w:cs="Times New Roman"/>
                      <w:b w:val="0"/>
                      <w:bCs/>
                      <w:kern w:val="2"/>
                      <w:sz w:val="21"/>
                      <w:szCs w:val="24"/>
                      <w:vertAlign w:val="subscript"/>
                      <w:lang w:val="en-US" w:eastAsia="zh-CN" w:bidi="ar"/>
                    </w:rPr>
                    <w:t>2</w:t>
                  </w:r>
                </w:p>
              </w:tc>
              <w:tc>
                <w:tcPr>
                  <w:tcW w:w="3013" w:type="dxa"/>
                  <w:tcBorders>
                    <w:tl2br w:val="nil"/>
                    <w:tr2bl w:val="nil"/>
                  </w:tcBorders>
                  <w:shd w:val="clear" w:color="auto" w:fill="auto"/>
                  <w:vAlign w:val="center"/>
                </w:tcPr>
                <w:p w14:paraId="2110233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default"/>
                      <w:b w:val="0"/>
                      <w:bCs/>
                      <w:vertAlign w:val="superscript"/>
                      <w:lang w:val="en-US"/>
                    </w:rPr>
                  </w:pPr>
                  <w:r>
                    <w:rPr>
                      <w:rFonts w:hint="eastAsia" w:ascii="Times New Roman" w:hAnsi="Times New Roman" w:eastAsia="宋体" w:cs="宋体"/>
                      <w:b w:val="0"/>
                      <w:bCs/>
                      <w:kern w:val="2"/>
                      <w:sz w:val="21"/>
                      <w:szCs w:val="24"/>
                      <w:lang w:val="en-US" w:eastAsia="zh-CN" w:bidi="ar"/>
                    </w:rPr>
                    <w:t>年平均质量浓度</w:t>
                  </w:r>
                  <w:r>
                    <w:rPr>
                      <w:rFonts w:hint="default" w:ascii="Times New Roman" w:hAnsi="Times New Roman" w:eastAsia="宋体" w:cs="Times New Roman"/>
                      <w:b w:val="0"/>
                      <w:bCs/>
                      <w:kern w:val="2"/>
                      <w:sz w:val="21"/>
                      <w:szCs w:val="24"/>
                      <w:lang w:val="en-US" w:eastAsia="zh-CN" w:bidi="ar"/>
                    </w:rPr>
                    <w:t xml:space="preserve"> (μg/m</w:t>
                  </w:r>
                  <w:r>
                    <w:rPr>
                      <w:rFonts w:hint="default" w:ascii="Times New Roman" w:hAnsi="Times New Roman" w:eastAsia="宋体" w:cs="Times New Roman"/>
                      <w:b w:val="0"/>
                      <w:bCs/>
                      <w:kern w:val="2"/>
                      <w:sz w:val="21"/>
                      <w:szCs w:val="24"/>
                      <w:vertAlign w:val="superscript"/>
                      <w:lang w:val="en-US" w:eastAsia="zh-CN" w:bidi="ar"/>
                    </w:rPr>
                    <w:t>3</w:t>
                  </w:r>
                  <w:r>
                    <w:rPr>
                      <w:rFonts w:hint="default" w:ascii="Times New Roman" w:hAnsi="Times New Roman" w:eastAsia="宋体" w:cs="Times New Roman"/>
                      <w:b w:val="0"/>
                      <w:bCs/>
                      <w:kern w:val="2"/>
                      <w:sz w:val="21"/>
                      <w:szCs w:val="24"/>
                      <w:lang w:val="en-US" w:eastAsia="zh-CN" w:bidi="ar"/>
                    </w:rPr>
                    <w:t>)</w:t>
                  </w:r>
                </w:p>
              </w:tc>
              <w:tc>
                <w:tcPr>
                  <w:tcW w:w="868" w:type="dxa"/>
                  <w:tcBorders>
                    <w:tl2br w:val="nil"/>
                    <w:tr2bl w:val="nil"/>
                  </w:tcBorders>
                  <w:shd w:val="clear" w:color="auto" w:fill="auto"/>
                  <w:vAlign w:val="center"/>
                </w:tcPr>
                <w:p w14:paraId="26309C0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default"/>
                      <w:b w:val="0"/>
                      <w:bCs/>
                      <w:lang w:val="en-US"/>
                    </w:rPr>
                  </w:pPr>
                  <w:r>
                    <w:rPr>
                      <w:rFonts w:hint="default" w:ascii="Times New Roman" w:hAnsi="Times New Roman" w:eastAsia="宋体" w:cs="Times New Roman"/>
                      <w:b w:val="0"/>
                      <w:bCs/>
                      <w:kern w:val="2"/>
                      <w:sz w:val="21"/>
                      <w:szCs w:val="24"/>
                      <w:lang w:val="en-US" w:eastAsia="zh-CN" w:bidi="ar"/>
                    </w:rPr>
                    <w:t>10</w:t>
                  </w:r>
                </w:p>
              </w:tc>
              <w:tc>
                <w:tcPr>
                  <w:tcW w:w="868" w:type="dxa"/>
                  <w:tcBorders>
                    <w:tl2br w:val="nil"/>
                    <w:tr2bl w:val="nil"/>
                  </w:tcBorders>
                  <w:shd w:val="clear" w:color="auto" w:fill="auto"/>
                  <w:vAlign w:val="center"/>
                </w:tcPr>
                <w:p w14:paraId="68E1114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default"/>
                      <w:b w:val="0"/>
                      <w:bCs/>
                      <w:lang w:val="en-US"/>
                    </w:rPr>
                  </w:pPr>
                  <w:r>
                    <w:rPr>
                      <w:rFonts w:hint="default" w:ascii="Times New Roman" w:hAnsi="Times New Roman" w:eastAsia="宋体" w:cs="Times New Roman"/>
                      <w:b w:val="0"/>
                      <w:bCs/>
                      <w:kern w:val="2"/>
                      <w:sz w:val="21"/>
                      <w:szCs w:val="24"/>
                      <w:lang w:val="en-US" w:eastAsia="zh-CN" w:bidi="ar"/>
                    </w:rPr>
                    <w:t>60</w:t>
                  </w:r>
                </w:p>
              </w:tc>
              <w:tc>
                <w:tcPr>
                  <w:tcW w:w="1299" w:type="dxa"/>
                  <w:tcBorders>
                    <w:tl2br w:val="nil"/>
                    <w:tr2bl w:val="nil"/>
                  </w:tcBorders>
                  <w:shd w:val="clear" w:color="auto" w:fill="auto"/>
                  <w:vAlign w:val="center"/>
                </w:tcPr>
                <w:p w14:paraId="52D5E89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default"/>
                      <w:b w:val="0"/>
                      <w:bCs/>
                      <w:lang w:val="en-US"/>
                    </w:rPr>
                  </w:pPr>
                  <w:r>
                    <w:rPr>
                      <w:rFonts w:hint="default" w:ascii="Times New Roman" w:hAnsi="Times New Roman" w:eastAsia="宋体" w:cs="Times New Roman"/>
                      <w:b w:val="0"/>
                      <w:bCs/>
                      <w:kern w:val="2"/>
                      <w:sz w:val="21"/>
                      <w:szCs w:val="24"/>
                      <w:lang w:val="en-US" w:eastAsia="zh-CN" w:bidi="ar"/>
                    </w:rPr>
                    <w:t>16.67%</w:t>
                  </w:r>
                </w:p>
              </w:tc>
              <w:tc>
                <w:tcPr>
                  <w:tcW w:w="1086" w:type="dxa"/>
                  <w:tcBorders>
                    <w:tl2br w:val="nil"/>
                    <w:tr2bl w:val="nil"/>
                  </w:tcBorders>
                  <w:shd w:val="clear" w:color="auto" w:fill="auto"/>
                  <w:vAlign w:val="center"/>
                </w:tcPr>
                <w:p w14:paraId="658F5AD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default"/>
                      <w:b w:val="0"/>
                      <w:bCs/>
                      <w:lang w:val="en-US"/>
                    </w:rPr>
                  </w:pPr>
                  <w:r>
                    <w:rPr>
                      <w:rFonts w:hint="eastAsia" w:ascii="Times New Roman" w:hAnsi="Times New Roman" w:eastAsia="宋体" w:cs="宋体"/>
                      <w:b w:val="0"/>
                      <w:bCs/>
                      <w:kern w:val="2"/>
                      <w:sz w:val="21"/>
                      <w:szCs w:val="24"/>
                      <w:lang w:val="en-US" w:eastAsia="zh-CN" w:bidi="ar"/>
                    </w:rPr>
                    <w:t>达标</w:t>
                  </w:r>
                </w:p>
              </w:tc>
            </w:tr>
            <w:tr w14:paraId="43EA0551">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shd w:val="clear" w:color="auto" w:fill="auto"/>
                <w:tblCellMar>
                  <w:top w:w="0" w:type="dxa"/>
                  <w:left w:w="108" w:type="dxa"/>
                  <w:bottom w:w="0" w:type="dxa"/>
                  <w:right w:w="108" w:type="dxa"/>
                </w:tblCellMar>
              </w:tblPrEx>
              <w:trPr>
                <w:trHeight w:val="20" w:hRule="atLeast"/>
              </w:trPr>
              <w:tc>
                <w:tcPr>
                  <w:tcW w:w="1085" w:type="dxa"/>
                  <w:tcBorders>
                    <w:tl2br w:val="nil"/>
                    <w:tr2bl w:val="nil"/>
                  </w:tcBorders>
                  <w:shd w:val="clear" w:color="auto" w:fill="auto"/>
                  <w:vAlign w:val="center"/>
                </w:tcPr>
                <w:p w14:paraId="756A9C7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default"/>
                      <w:b w:val="0"/>
                      <w:bCs/>
                      <w:lang w:val="en-US"/>
                    </w:rPr>
                  </w:pPr>
                  <w:r>
                    <w:rPr>
                      <w:rFonts w:hint="default" w:ascii="Times New Roman" w:hAnsi="Times New Roman" w:eastAsia="宋体" w:cs="Times New Roman"/>
                      <w:b w:val="0"/>
                      <w:bCs/>
                      <w:kern w:val="2"/>
                      <w:sz w:val="21"/>
                      <w:szCs w:val="24"/>
                      <w:lang w:val="en-US" w:eastAsia="zh-CN" w:bidi="ar"/>
                    </w:rPr>
                    <w:t>NO</w:t>
                  </w:r>
                  <w:r>
                    <w:rPr>
                      <w:rFonts w:hint="default" w:ascii="Times New Roman" w:hAnsi="Times New Roman" w:eastAsia="宋体" w:cs="Times New Roman"/>
                      <w:b w:val="0"/>
                      <w:bCs/>
                      <w:kern w:val="2"/>
                      <w:sz w:val="21"/>
                      <w:szCs w:val="24"/>
                      <w:vertAlign w:val="subscript"/>
                      <w:lang w:val="en-US" w:eastAsia="zh-CN" w:bidi="ar"/>
                    </w:rPr>
                    <w:t>2</w:t>
                  </w:r>
                </w:p>
              </w:tc>
              <w:tc>
                <w:tcPr>
                  <w:tcW w:w="3013" w:type="dxa"/>
                  <w:tcBorders>
                    <w:tl2br w:val="nil"/>
                    <w:tr2bl w:val="nil"/>
                  </w:tcBorders>
                  <w:shd w:val="clear" w:color="auto" w:fill="auto"/>
                  <w:vAlign w:val="center"/>
                </w:tcPr>
                <w:p w14:paraId="4E3C538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default"/>
                      <w:b w:val="0"/>
                      <w:bCs/>
                      <w:lang w:val="en-US"/>
                    </w:rPr>
                  </w:pPr>
                  <w:r>
                    <w:rPr>
                      <w:rFonts w:hint="eastAsia" w:ascii="Times New Roman" w:hAnsi="Times New Roman" w:eastAsia="宋体" w:cs="宋体"/>
                      <w:b w:val="0"/>
                      <w:bCs/>
                      <w:kern w:val="2"/>
                      <w:sz w:val="21"/>
                      <w:szCs w:val="24"/>
                      <w:lang w:val="en-US" w:eastAsia="zh-CN" w:bidi="ar"/>
                    </w:rPr>
                    <w:t>年平均质量浓度</w:t>
                  </w:r>
                  <w:r>
                    <w:rPr>
                      <w:rFonts w:hint="default" w:ascii="Times New Roman" w:hAnsi="Times New Roman" w:eastAsia="宋体" w:cs="Times New Roman"/>
                      <w:b w:val="0"/>
                      <w:bCs/>
                      <w:kern w:val="2"/>
                      <w:sz w:val="21"/>
                      <w:szCs w:val="24"/>
                      <w:lang w:val="en-US" w:eastAsia="zh-CN" w:bidi="ar"/>
                    </w:rPr>
                    <w:t xml:space="preserve"> (μg/m</w:t>
                  </w:r>
                  <w:r>
                    <w:rPr>
                      <w:rFonts w:hint="default" w:ascii="Times New Roman" w:hAnsi="Times New Roman" w:eastAsia="宋体" w:cs="Times New Roman"/>
                      <w:b w:val="0"/>
                      <w:bCs/>
                      <w:kern w:val="2"/>
                      <w:sz w:val="21"/>
                      <w:szCs w:val="24"/>
                      <w:vertAlign w:val="superscript"/>
                      <w:lang w:val="en-US" w:eastAsia="zh-CN" w:bidi="ar"/>
                    </w:rPr>
                    <w:t>3</w:t>
                  </w:r>
                  <w:r>
                    <w:rPr>
                      <w:rFonts w:hint="default" w:ascii="Times New Roman" w:hAnsi="Times New Roman" w:eastAsia="宋体" w:cs="Times New Roman"/>
                      <w:b w:val="0"/>
                      <w:bCs/>
                      <w:kern w:val="2"/>
                      <w:sz w:val="21"/>
                      <w:szCs w:val="24"/>
                      <w:lang w:val="en-US" w:eastAsia="zh-CN" w:bidi="ar"/>
                    </w:rPr>
                    <w:t>)</w:t>
                  </w:r>
                </w:p>
              </w:tc>
              <w:tc>
                <w:tcPr>
                  <w:tcW w:w="868" w:type="dxa"/>
                  <w:tcBorders>
                    <w:tl2br w:val="nil"/>
                    <w:tr2bl w:val="nil"/>
                  </w:tcBorders>
                  <w:shd w:val="clear" w:color="auto" w:fill="auto"/>
                  <w:vAlign w:val="center"/>
                </w:tcPr>
                <w:p w14:paraId="4B33C07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default"/>
                      <w:b w:val="0"/>
                      <w:bCs/>
                      <w:lang w:val="en-US"/>
                    </w:rPr>
                  </w:pPr>
                  <w:r>
                    <w:rPr>
                      <w:rFonts w:hint="default" w:ascii="Times New Roman" w:hAnsi="Times New Roman" w:eastAsia="宋体" w:cs="Times New Roman"/>
                      <w:b w:val="0"/>
                      <w:bCs/>
                      <w:kern w:val="2"/>
                      <w:sz w:val="21"/>
                      <w:szCs w:val="24"/>
                      <w:lang w:val="en-US" w:eastAsia="zh-CN" w:bidi="ar"/>
                    </w:rPr>
                    <w:t>31</w:t>
                  </w:r>
                </w:p>
              </w:tc>
              <w:tc>
                <w:tcPr>
                  <w:tcW w:w="868" w:type="dxa"/>
                  <w:tcBorders>
                    <w:tl2br w:val="nil"/>
                    <w:tr2bl w:val="nil"/>
                  </w:tcBorders>
                  <w:shd w:val="clear" w:color="auto" w:fill="auto"/>
                  <w:vAlign w:val="center"/>
                </w:tcPr>
                <w:p w14:paraId="4842453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default"/>
                      <w:b w:val="0"/>
                      <w:bCs/>
                      <w:lang w:val="en-US"/>
                    </w:rPr>
                  </w:pPr>
                  <w:r>
                    <w:rPr>
                      <w:rFonts w:hint="default" w:ascii="Times New Roman" w:hAnsi="Times New Roman" w:eastAsia="宋体" w:cs="Times New Roman"/>
                      <w:b w:val="0"/>
                      <w:bCs/>
                      <w:kern w:val="2"/>
                      <w:sz w:val="21"/>
                      <w:szCs w:val="24"/>
                      <w:lang w:val="en-US" w:eastAsia="zh-CN" w:bidi="ar"/>
                    </w:rPr>
                    <w:t>40</w:t>
                  </w:r>
                </w:p>
              </w:tc>
              <w:tc>
                <w:tcPr>
                  <w:tcW w:w="1299" w:type="dxa"/>
                  <w:tcBorders>
                    <w:tl2br w:val="nil"/>
                    <w:tr2bl w:val="nil"/>
                  </w:tcBorders>
                  <w:shd w:val="clear" w:color="auto" w:fill="auto"/>
                  <w:vAlign w:val="center"/>
                </w:tcPr>
                <w:p w14:paraId="0E4906A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default"/>
                      <w:b w:val="0"/>
                      <w:bCs/>
                      <w:lang w:val="en-US"/>
                    </w:rPr>
                  </w:pPr>
                  <w:r>
                    <w:rPr>
                      <w:rFonts w:hint="default" w:ascii="Times New Roman" w:hAnsi="Times New Roman" w:eastAsia="宋体" w:cs="Times New Roman"/>
                      <w:b w:val="0"/>
                      <w:bCs/>
                      <w:kern w:val="2"/>
                      <w:sz w:val="21"/>
                      <w:szCs w:val="24"/>
                      <w:lang w:val="en-US" w:eastAsia="zh-CN" w:bidi="ar"/>
                    </w:rPr>
                    <w:t>77.5%</w:t>
                  </w:r>
                </w:p>
              </w:tc>
              <w:tc>
                <w:tcPr>
                  <w:tcW w:w="1086" w:type="dxa"/>
                  <w:tcBorders>
                    <w:tl2br w:val="nil"/>
                    <w:tr2bl w:val="nil"/>
                  </w:tcBorders>
                  <w:shd w:val="clear" w:color="auto" w:fill="auto"/>
                  <w:vAlign w:val="center"/>
                </w:tcPr>
                <w:p w14:paraId="1DF3E04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default"/>
                      <w:b w:val="0"/>
                      <w:bCs/>
                      <w:lang w:val="en-US"/>
                    </w:rPr>
                  </w:pPr>
                  <w:r>
                    <w:rPr>
                      <w:rFonts w:hint="eastAsia" w:ascii="Times New Roman" w:hAnsi="Times New Roman" w:eastAsia="宋体" w:cs="宋体"/>
                      <w:b w:val="0"/>
                      <w:bCs/>
                      <w:kern w:val="2"/>
                      <w:sz w:val="21"/>
                      <w:szCs w:val="24"/>
                      <w:lang w:val="en-US" w:eastAsia="zh-CN" w:bidi="ar"/>
                    </w:rPr>
                    <w:t>达标</w:t>
                  </w:r>
                </w:p>
              </w:tc>
            </w:tr>
            <w:tr w14:paraId="1C9152DC">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shd w:val="clear" w:color="auto" w:fill="auto"/>
                <w:tblCellMar>
                  <w:top w:w="0" w:type="dxa"/>
                  <w:left w:w="108" w:type="dxa"/>
                  <w:bottom w:w="0" w:type="dxa"/>
                  <w:right w:w="108" w:type="dxa"/>
                </w:tblCellMar>
              </w:tblPrEx>
              <w:trPr>
                <w:trHeight w:val="20" w:hRule="atLeast"/>
              </w:trPr>
              <w:tc>
                <w:tcPr>
                  <w:tcW w:w="1085" w:type="dxa"/>
                  <w:tcBorders>
                    <w:tl2br w:val="nil"/>
                    <w:tr2bl w:val="nil"/>
                  </w:tcBorders>
                  <w:shd w:val="clear" w:color="auto" w:fill="auto"/>
                  <w:vAlign w:val="center"/>
                </w:tcPr>
                <w:p w14:paraId="58CE69B6">
                  <w:pPr>
                    <w:keepNext w:val="0"/>
                    <w:keepLines w:val="0"/>
                    <w:pageBreakBefore w:val="0"/>
                    <w:widowControl/>
                    <w:suppressLineNumbers w:val="0"/>
                    <w:kinsoku/>
                    <w:wordWrap/>
                    <w:overflowPunct/>
                    <w:topLinePunct w:val="0"/>
                    <w:autoSpaceDE/>
                    <w:autoSpaceDN/>
                    <w:bidi w:val="0"/>
                    <w:spacing w:before="0" w:beforeAutospacing="0" w:after="0" w:afterAutospacing="0" w:line="360" w:lineRule="exact"/>
                    <w:ind w:left="0" w:leftChars="0" w:right="0" w:rightChars="0"/>
                    <w:jc w:val="center"/>
                    <w:textAlignment w:val="auto"/>
                    <w:rPr>
                      <w:rFonts w:hint="default"/>
                      <w:b w:val="0"/>
                      <w:bCs/>
                      <w:lang w:val="en-US"/>
                    </w:rPr>
                  </w:pPr>
                  <w:r>
                    <w:rPr>
                      <w:rFonts w:hint="default" w:ascii="Times New Roman" w:hAnsi="Times New Roman" w:eastAsia="宋体" w:cs="Times New Roman"/>
                      <w:b w:val="0"/>
                      <w:bCs/>
                      <w:kern w:val="2"/>
                      <w:sz w:val="21"/>
                      <w:szCs w:val="24"/>
                      <w:lang w:val="en-US" w:eastAsia="zh-CN" w:bidi="ar"/>
                    </w:rPr>
                    <w:t>CO</w:t>
                  </w:r>
                </w:p>
              </w:tc>
              <w:tc>
                <w:tcPr>
                  <w:tcW w:w="3013" w:type="dxa"/>
                  <w:tcBorders>
                    <w:tl2br w:val="nil"/>
                    <w:tr2bl w:val="nil"/>
                  </w:tcBorders>
                  <w:shd w:val="clear" w:color="auto" w:fill="auto"/>
                  <w:vAlign w:val="center"/>
                </w:tcPr>
                <w:p w14:paraId="07233414">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textAlignment w:val="auto"/>
                    <w:rPr>
                      <w:rFonts w:hint="default"/>
                      <w:b w:val="0"/>
                      <w:bCs/>
                      <w:lang w:val="en-US"/>
                    </w:rPr>
                  </w:pPr>
                  <w:r>
                    <w:rPr>
                      <w:rFonts w:hint="default" w:ascii="Times New Roman" w:hAnsi="Times New Roman" w:eastAsia="宋体" w:cs="Times New Roman"/>
                      <w:b w:val="0"/>
                      <w:bCs/>
                      <w:kern w:val="2"/>
                      <w:sz w:val="21"/>
                      <w:szCs w:val="24"/>
                      <w:lang w:val="en-US" w:eastAsia="zh-CN" w:bidi="ar"/>
                    </w:rPr>
                    <w:t>24h</w:t>
                  </w:r>
                  <w:r>
                    <w:rPr>
                      <w:rFonts w:hint="eastAsia" w:ascii="Times New Roman" w:hAnsi="Times New Roman" w:eastAsia="宋体" w:cs="宋体"/>
                      <w:b w:val="0"/>
                      <w:bCs/>
                      <w:kern w:val="2"/>
                      <w:sz w:val="21"/>
                      <w:szCs w:val="24"/>
                      <w:lang w:val="en-US" w:eastAsia="zh-CN" w:bidi="ar"/>
                    </w:rPr>
                    <w:t>平均第</w:t>
                  </w:r>
                  <w:r>
                    <w:rPr>
                      <w:rFonts w:hint="default" w:ascii="Times New Roman" w:hAnsi="Times New Roman" w:eastAsia="宋体" w:cs="Times New Roman"/>
                      <w:b w:val="0"/>
                      <w:bCs/>
                      <w:kern w:val="2"/>
                      <w:sz w:val="21"/>
                      <w:szCs w:val="24"/>
                      <w:lang w:val="en-US" w:eastAsia="zh-CN" w:bidi="ar"/>
                    </w:rPr>
                    <w:t>95</w:t>
                  </w:r>
                  <w:r>
                    <w:rPr>
                      <w:rFonts w:hint="eastAsia" w:ascii="Times New Roman" w:hAnsi="Times New Roman" w:eastAsia="宋体" w:cs="宋体"/>
                      <w:b w:val="0"/>
                      <w:bCs/>
                      <w:kern w:val="2"/>
                      <w:sz w:val="21"/>
                      <w:szCs w:val="24"/>
                      <w:lang w:val="en-US" w:eastAsia="zh-CN" w:bidi="ar"/>
                    </w:rPr>
                    <w:t>百分位数</w:t>
                  </w:r>
                </w:p>
                <w:p w14:paraId="41454C71">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leftChars="0" w:right="0" w:rightChars="0"/>
                    <w:jc w:val="center"/>
                    <w:textAlignment w:val="auto"/>
                    <w:rPr>
                      <w:rFonts w:hint="default"/>
                      <w:b w:val="0"/>
                      <w:bCs/>
                      <w:lang w:val="en-US"/>
                    </w:rPr>
                  </w:pPr>
                  <w:r>
                    <w:rPr>
                      <w:rFonts w:hint="default" w:ascii="Times New Roman" w:hAnsi="Times New Roman" w:eastAsia="宋体" w:cs="Times New Roman"/>
                      <w:b w:val="0"/>
                      <w:bCs/>
                      <w:kern w:val="2"/>
                      <w:sz w:val="21"/>
                      <w:szCs w:val="24"/>
                      <w:lang w:val="en-US" w:eastAsia="zh-CN" w:bidi="ar"/>
                    </w:rPr>
                    <w:t>(mg/m</w:t>
                  </w:r>
                  <w:r>
                    <w:rPr>
                      <w:rFonts w:hint="default" w:ascii="Times New Roman" w:hAnsi="Times New Roman" w:eastAsia="宋体" w:cs="Times New Roman"/>
                      <w:b w:val="0"/>
                      <w:bCs/>
                      <w:kern w:val="2"/>
                      <w:sz w:val="21"/>
                      <w:szCs w:val="24"/>
                      <w:vertAlign w:val="superscript"/>
                      <w:lang w:val="en-US" w:eastAsia="zh-CN" w:bidi="ar"/>
                    </w:rPr>
                    <w:t>3</w:t>
                  </w:r>
                  <w:r>
                    <w:rPr>
                      <w:rFonts w:hint="default" w:ascii="Times New Roman" w:hAnsi="Times New Roman" w:eastAsia="宋体" w:cs="Times New Roman"/>
                      <w:b w:val="0"/>
                      <w:bCs/>
                      <w:kern w:val="2"/>
                      <w:sz w:val="21"/>
                      <w:szCs w:val="24"/>
                      <w:lang w:val="en-US" w:eastAsia="zh-CN" w:bidi="ar"/>
                    </w:rPr>
                    <w:t>)</w:t>
                  </w:r>
                </w:p>
              </w:tc>
              <w:tc>
                <w:tcPr>
                  <w:tcW w:w="868" w:type="dxa"/>
                  <w:tcBorders>
                    <w:tl2br w:val="nil"/>
                    <w:tr2bl w:val="nil"/>
                  </w:tcBorders>
                  <w:shd w:val="clear" w:color="auto" w:fill="auto"/>
                  <w:vAlign w:val="center"/>
                </w:tcPr>
                <w:p w14:paraId="16E70E3D">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leftChars="0" w:right="0" w:rightChars="0"/>
                    <w:jc w:val="center"/>
                    <w:textAlignment w:val="auto"/>
                    <w:rPr>
                      <w:rFonts w:hint="default"/>
                      <w:b w:val="0"/>
                      <w:bCs/>
                      <w:lang w:val="en-US"/>
                    </w:rPr>
                  </w:pPr>
                  <w:r>
                    <w:rPr>
                      <w:rFonts w:hint="default" w:ascii="Times New Roman" w:hAnsi="Times New Roman" w:eastAsia="宋体" w:cs="Times New Roman"/>
                      <w:b w:val="0"/>
                      <w:bCs/>
                      <w:kern w:val="2"/>
                      <w:sz w:val="21"/>
                      <w:szCs w:val="24"/>
                      <w:lang w:val="en-US" w:eastAsia="zh-CN" w:bidi="ar"/>
                    </w:rPr>
                    <w:t>1.4</w:t>
                  </w:r>
                </w:p>
              </w:tc>
              <w:tc>
                <w:tcPr>
                  <w:tcW w:w="868" w:type="dxa"/>
                  <w:tcBorders>
                    <w:tl2br w:val="nil"/>
                    <w:tr2bl w:val="nil"/>
                  </w:tcBorders>
                  <w:shd w:val="clear" w:color="auto" w:fill="auto"/>
                  <w:vAlign w:val="center"/>
                </w:tcPr>
                <w:p w14:paraId="0B25B415">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leftChars="0" w:right="0" w:rightChars="0"/>
                    <w:jc w:val="center"/>
                    <w:textAlignment w:val="auto"/>
                    <w:rPr>
                      <w:rFonts w:hint="default"/>
                      <w:b w:val="0"/>
                      <w:bCs/>
                      <w:lang w:val="en-US"/>
                    </w:rPr>
                  </w:pPr>
                  <w:r>
                    <w:rPr>
                      <w:rFonts w:hint="default" w:ascii="Times New Roman" w:hAnsi="Times New Roman" w:eastAsia="宋体" w:cs="Times New Roman"/>
                      <w:b w:val="0"/>
                      <w:bCs/>
                      <w:kern w:val="2"/>
                      <w:sz w:val="21"/>
                      <w:szCs w:val="24"/>
                      <w:lang w:val="en-US" w:eastAsia="zh-CN" w:bidi="ar"/>
                    </w:rPr>
                    <w:t>4</w:t>
                  </w:r>
                </w:p>
              </w:tc>
              <w:tc>
                <w:tcPr>
                  <w:tcW w:w="1299" w:type="dxa"/>
                  <w:tcBorders>
                    <w:tl2br w:val="nil"/>
                    <w:tr2bl w:val="nil"/>
                  </w:tcBorders>
                  <w:shd w:val="clear" w:color="auto" w:fill="auto"/>
                  <w:vAlign w:val="center"/>
                </w:tcPr>
                <w:p w14:paraId="1FCA18ED">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leftChars="0" w:right="0" w:rightChars="0"/>
                    <w:jc w:val="center"/>
                    <w:textAlignment w:val="auto"/>
                    <w:rPr>
                      <w:rFonts w:hint="default"/>
                      <w:b w:val="0"/>
                      <w:bCs/>
                      <w:lang w:val="en-US"/>
                    </w:rPr>
                  </w:pPr>
                  <w:r>
                    <w:rPr>
                      <w:rFonts w:hint="default" w:ascii="Times New Roman" w:hAnsi="Times New Roman" w:eastAsia="宋体" w:cs="Times New Roman"/>
                      <w:b w:val="0"/>
                      <w:bCs/>
                      <w:kern w:val="2"/>
                      <w:sz w:val="21"/>
                      <w:szCs w:val="24"/>
                      <w:lang w:val="en-US" w:eastAsia="zh-CN" w:bidi="ar"/>
                    </w:rPr>
                    <w:t>35%</w:t>
                  </w:r>
                </w:p>
              </w:tc>
              <w:tc>
                <w:tcPr>
                  <w:tcW w:w="1086" w:type="dxa"/>
                  <w:tcBorders>
                    <w:tl2br w:val="nil"/>
                    <w:tr2bl w:val="nil"/>
                  </w:tcBorders>
                  <w:shd w:val="clear" w:color="auto" w:fill="auto"/>
                  <w:vAlign w:val="center"/>
                </w:tcPr>
                <w:p w14:paraId="04D08CD5">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leftChars="0" w:right="0" w:rightChars="0"/>
                    <w:jc w:val="center"/>
                    <w:textAlignment w:val="auto"/>
                    <w:rPr>
                      <w:rFonts w:hint="default"/>
                      <w:b w:val="0"/>
                      <w:bCs/>
                      <w:lang w:val="en-US"/>
                    </w:rPr>
                  </w:pPr>
                  <w:r>
                    <w:rPr>
                      <w:rFonts w:hint="eastAsia" w:ascii="Times New Roman" w:hAnsi="Times New Roman" w:eastAsia="宋体" w:cs="宋体"/>
                      <w:b w:val="0"/>
                      <w:bCs/>
                      <w:kern w:val="2"/>
                      <w:sz w:val="21"/>
                      <w:szCs w:val="24"/>
                      <w:lang w:val="en-US" w:eastAsia="zh-CN" w:bidi="ar"/>
                    </w:rPr>
                    <w:t>达标</w:t>
                  </w:r>
                </w:p>
              </w:tc>
            </w:tr>
            <w:tr w14:paraId="59FA943B">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shd w:val="clear" w:color="auto" w:fill="auto"/>
                <w:tblCellMar>
                  <w:top w:w="0" w:type="dxa"/>
                  <w:left w:w="108" w:type="dxa"/>
                  <w:bottom w:w="0" w:type="dxa"/>
                  <w:right w:w="108" w:type="dxa"/>
                </w:tblCellMar>
              </w:tblPrEx>
              <w:trPr>
                <w:trHeight w:val="20" w:hRule="atLeast"/>
              </w:trPr>
              <w:tc>
                <w:tcPr>
                  <w:tcW w:w="1085" w:type="dxa"/>
                  <w:tcBorders>
                    <w:tl2br w:val="nil"/>
                    <w:tr2bl w:val="nil"/>
                  </w:tcBorders>
                  <w:shd w:val="clear" w:color="auto" w:fill="auto"/>
                  <w:vAlign w:val="center"/>
                </w:tcPr>
                <w:p w14:paraId="54F60FC2">
                  <w:pPr>
                    <w:keepNext w:val="0"/>
                    <w:keepLines w:val="0"/>
                    <w:pageBreakBefore w:val="0"/>
                    <w:widowControl/>
                    <w:suppressLineNumbers w:val="0"/>
                    <w:kinsoku/>
                    <w:wordWrap/>
                    <w:overflowPunct/>
                    <w:topLinePunct w:val="0"/>
                    <w:autoSpaceDE/>
                    <w:autoSpaceDN/>
                    <w:bidi w:val="0"/>
                    <w:spacing w:before="0" w:beforeAutospacing="0" w:after="0" w:afterAutospacing="0" w:line="360" w:lineRule="exact"/>
                    <w:ind w:left="0" w:leftChars="0" w:right="0" w:rightChars="0"/>
                    <w:jc w:val="center"/>
                    <w:textAlignment w:val="auto"/>
                    <w:rPr>
                      <w:rFonts w:hint="default"/>
                      <w:b w:val="0"/>
                      <w:bCs/>
                      <w:vertAlign w:val="subscript"/>
                      <w:lang w:val="en-US"/>
                    </w:rPr>
                  </w:pPr>
                  <w:r>
                    <w:rPr>
                      <w:rFonts w:hint="default" w:ascii="Times New Roman" w:hAnsi="Times New Roman" w:eastAsia="宋体" w:cs="Times New Roman"/>
                      <w:b w:val="0"/>
                      <w:bCs/>
                      <w:kern w:val="2"/>
                      <w:sz w:val="21"/>
                      <w:szCs w:val="24"/>
                      <w:lang w:val="en-US" w:eastAsia="zh-CN" w:bidi="ar"/>
                    </w:rPr>
                    <w:t>O</w:t>
                  </w:r>
                  <w:r>
                    <w:rPr>
                      <w:rFonts w:hint="default" w:ascii="Times New Roman" w:hAnsi="Times New Roman" w:eastAsia="宋体" w:cs="Times New Roman"/>
                      <w:b w:val="0"/>
                      <w:bCs/>
                      <w:kern w:val="2"/>
                      <w:sz w:val="21"/>
                      <w:szCs w:val="24"/>
                      <w:vertAlign w:val="subscript"/>
                      <w:lang w:val="en-US" w:eastAsia="zh-CN" w:bidi="ar"/>
                    </w:rPr>
                    <w:t>3</w:t>
                  </w:r>
                </w:p>
              </w:tc>
              <w:tc>
                <w:tcPr>
                  <w:tcW w:w="3013" w:type="dxa"/>
                  <w:tcBorders>
                    <w:tl2br w:val="nil"/>
                    <w:tr2bl w:val="nil"/>
                  </w:tcBorders>
                  <w:shd w:val="clear" w:color="auto" w:fill="auto"/>
                  <w:vAlign w:val="center"/>
                </w:tcPr>
                <w:p w14:paraId="7EB20BA8">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textAlignment w:val="auto"/>
                    <w:rPr>
                      <w:rFonts w:hint="default"/>
                      <w:b w:val="0"/>
                      <w:bCs/>
                      <w:lang w:val="en-US"/>
                    </w:rPr>
                  </w:pPr>
                  <w:r>
                    <w:rPr>
                      <w:rFonts w:hint="eastAsia" w:ascii="Times New Roman" w:hAnsi="Times New Roman" w:eastAsia="宋体" w:cs="宋体"/>
                      <w:b w:val="0"/>
                      <w:bCs/>
                      <w:kern w:val="2"/>
                      <w:sz w:val="21"/>
                      <w:szCs w:val="24"/>
                      <w:lang w:val="en-US" w:eastAsia="zh-CN" w:bidi="ar"/>
                    </w:rPr>
                    <w:t>日最大</w:t>
                  </w:r>
                  <w:r>
                    <w:rPr>
                      <w:rFonts w:hint="default" w:ascii="Times New Roman" w:hAnsi="Times New Roman" w:eastAsia="宋体" w:cs="Times New Roman"/>
                      <w:b w:val="0"/>
                      <w:bCs/>
                      <w:kern w:val="2"/>
                      <w:sz w:val="21"/>
                      <w:szCs w:val="24"/>
                      <w:lang w:val="en-US" w:eastAsia="zh-CN" w:bidi="ar"/>
                    </w:rPr>
                    <w:t>8h</w:t>
                  </w:r>
                  <w:r>
                    <w:rPr>
                      <w:rFonts w:hint="eastAsia" w:ascii="Times New Roman" w:hAnsi="Times New Roman" w:eastAsia="宋体" w:cs="宋体"/>
                      <w:b w:val="0"/>
                      <w:bCs/>
                      <w:kern w:val="2"/>
                      <w:sz w:val="21"/>
                      <w:szCs w:val="24"/>
                      <w:lang w:val="en-US" w:eastAsia="zh-CN" w:bidi="ar"/>
                    </w:rPr>
                    <w:t>平均第</w:t>
                  </w:r>
                  <w:r>
                    <w:rPr>
                      <w:rFonts w:hint="default" w:ascii="Times New Roman" w:hAnsi="Times New Roman" w:eastAsia="宋体" w:cs="Times New Roman"/>
                      <w:b w:val="0"/>
                      <w:bCs/>
                      <w:kern w:val="2"/>
                      <w:sz w:val="21"/>
                      <w:szCs w:val="24"/>
                      <w:lang w:val="en-US" w:eastAsia="zh-CN" w:bidi="ar"/>
                    </w:rPr>
                    <w:t>90</w:t>
                  </w:r>
                  <w:r>
                    <w:rPr>
                      <w:rFonts w:hint="eastAsia" w:ascii="Times New Roman" w:hAnsi="Times New Roman" w:eastAsia="宋体" w:cs="宋体"/>
                      <w:b w:val="0"/>
                      <w:bCs/>
                      <w:kern w:val="2"/>
                      <w:sz w:val="21"/>
                      <w:szCs w:val="24"/>
                      <w:lang w:val="en-US" w:eastAsia="zh-CN" w:bidi="ar"/>
                    </w:rPr>
                    <w:t>百分位数</w:t>
                  </w:r>
                </w:p>
                <w:p w14:paraId="1E679801">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leftChars="0" w:right="0" w:rightChars="0"/>
                    <w:jc w:val="center"/>
                    <w:textAlignment w:val="auto"/>
                    <w:rPr>
                      <w:rFonts w:hint="default"/>
                      <w:b w:val="0"/>
                      <w:bCs/>
                      <w:lang w:val="en-US"/>
                    </w:rPr>
                  </w:pPr>
                  <w:r>
                    <w:rPr>
                      <w:rFonts w:hint="default" w:ascii="Times New Roman" w:hAnsi="Times New Roman" w:eastAsia="宋体" w:cs="Times New Roman"/>
                      <w:b w:val="0"/>
                      <w:bCs/>
                      <w:kern w:val="2"/>
                      <w:sz w:val="21"/>
                      <w:szCs w:val="24"/>
                      <w:lang w:val="en-US" w:eastAsia="zh-CN" w:bidi="ar"/>
                    </w:rPr>
                    <w:t>(μg/m</w:t>
                  </w:r>
                  <w:r>
                    <w:rPr>
                      <w:rFonts w:hint="default" w:ascii="Times New Roman" w:hAnsi="Times New Roman" w:eastAsia="宋体" w:cs="Times New Roman"/>
                      <w:b w:val="0"/>
                      <w:bCs/>
                      <w:kern w:val="2"/>
                      <w:sz w:val="21"/>
                      <w:szCs w:val="24"/>
                      <w:vertAlign w:val="superscript"/>
                      <w:lang w:val="en-US" w:eastAsia="zh-CN" w:bidi="ar"/>
                    </w:rPr>
                    <w:t>3</w:t>
                  </w:r>
                  <w:r>
                    <w:rPr>
                      <w:rFonts w:hint="default" w:ascii="Times New Roman" w:hAnsi="Times New Roman" w:eastAsia="宋体" w:cs="Times New Roman"/>
                      <w:b w:val="0"/>
                      <w:bCs/>
                      <w:kern w:val="2"/>
                      <w:sz w:val="21"/>
                      <w:szCs w:val="24"/>
                      <w:lang w:val="en-US" w:eastAsia="zh-CN" w:bidi="ar"/>
                    </w:rPr>
                    <w:t>)</w:t>
                  </w:r>
                </w:p>
              </w:tc>
              <w:tc>
                <w:tcPr>
                  <w:tcW w:w="868" w:type="dxa"/>
                  <w:tcBorders>
                    <w:tl2br w:val="nil"/>
                    <w:tr2bl w:val="nil"/>
                  </w:tcBorders>
                  <w:shd w:val="clear" w:color="auto" w:fill="auto"/>
                  <w:vAlign w:val="center"/>
                </w:tcPr>
                <w:p w14:paraId="75712C5F">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leftChars="0" w:right="0" w:rightChars="0"/>
                    <w:jc w:val="center"/>
                    <w:textAlignment w:val="auto"/>
                    <w:rPr>
                      <w:rFonts w:hint="default"/>
                      <w:b w:val="0"/>
                      <w:bCs/>
                      <w:lang w:val="en-US"/>
                    </w:rPr>
                  </w:pPr>
                  <w:r>
                    <w:rPr>
                      <w:rFonts w:hint="default" w:ascii="Times New Roman" w:hAnsi="Times New Roman" w:eastAsia="宋体" w:cs="Times New Roman"/>
                      <w:b w:val="0"/>
                      <w:bCs/>
                      <w:kern w:val="2"/>
                      <w:sz w:val="21"/>
                      <w:szCs w:val="24"/>
                      <w:lang w:val="en-US" w:eastAsia="zh-CN" w:bidi="ar"/>
                    </w:rPr>
                    <w:t>178</w:t>
                  </w:r>
                </w:p>
              </w:tc>
              <w:tc>
                <w:tcPr>
                  <w:tcW w:w="868" w:type="dxa"/>
                  <w:tcBorders>
                    <w:tl2br w:val="nil"/>
                    <w:tr2bl w:val="nil"/>
                  </w:tcBorders>
                  <w:shd w:val="clear" w:color="auto" w:fill="auto"/>
                  <w:vAlign w:val="center"/>
                </w:tcPr>
                <w:p w14:paraId="0056998B">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leftChars="0" w:right="0" w:rightChars="0"/>
                    <w:jc w:val="center"/>
                    <w:textAlignment w:val="auto"/>
                    <w:rPr>
                      <w:rFonts w:hint="default"/>
                      <w:b w:val="0"/>
                      <w:bCs/>
                      <w:lang w:val="en-US"/>
                    </w:rPr>
                  </w:pPr>
                  <w:r>
                    <w:rPr>
                      <w:rFonts w:hint="default" w:ascii="Times New Roman" w:hAnsi="Times New Roman" w:eastAsia="宋体" w:cs="Times New Roman"/>
                      <w:b w:val="0"/>
                      <w:bCs/>
                      <w:kern w:val="2"/>
                      <w:sz w:val="21"/>
                      <w:szCs w:val="24"/>
                      <w:lang w:val="en-US" w:eastAsia="zh-CN" w:bidi="ar"/>
                    </w:rPr>
                    <w:t>160</w:t>
                  </w:r>
                </w:p>
              </w:tc>
              <w:tc>
                <w:tcPr>
                  <w:tcW w:w="1299" w:type="dxa"/>
                  <w:tcBorders>
                    <w:tl2br w:val="nil"/>
                    <w:tr2bl w:val="nil"/>
                  </w:tcBorders>
                  <w:shd w:val="clear" w:color="auto" w:fill="auto"/>
                  <w:vAlign w:val="center"/>
                </w:tcPr>
                <w:p w14:paraId="366AD8FE">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leftChars="0" w:right="0" w:rightChars="0"/>
                    <w:jc w:val="center"/>
                    <w:textAlignment w:val="auto"/>
                    <w:rPr>
                      <w:rFonts w:hint="default"/>
                      <w:b w:val="0"/>
                      <w:bCs/>
                      <w:lang w:val="en-US"/>
                    </w:rPr>
                  </w:pPr>
                  <w:r>
                    <w:rPr>
                      <w:rFonts w:hint="default" w:ascii="Times New Roman" w:hAnsi="Times New Roman" w:eastAsia="宋体" w:cs="Times New Roman"/>
                      <w:b w:val="0"/>
                      <w:bCs/>
                      <w:kern w:val="2"/>
                      <w:sz w:val="21"/>
                      <w:szCs w:val="24"/>
                      <w:lang w:val="en-US" w:eastAsia="zh-CN" w:bidi="ar"/>
                    </w:rPr>
                    <w:t>111.25%</w:t>
                  </w:r>
                </w:p>
              </w:tc>
              <w:tc>
                <w:tcPr>
                  <w:tcW w:w="1086" w:type="dxa"/>
                  <w:tcBorders>
                    <w:tl2br w:val="nil"/>
                    <w:tr2bl w:val="nil"/>
                  </w:tcBorders>
                  <w:shd w:val="clear" w:color="auto" w:fill="auto"/>
                  <w:vAlign w:val="center"/>
                </w:tcPr>
                <w:p w14:paraId="46F7B2CB">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leftChars="0" w:right="0" w:rightChars="0"/>
                    <w:jc w:val="center"/>
                    <w:textAlignment w:val="auto"/>
                    <w:rPr>
                      <w:rFonts w:hint="default"/>
                      <w:b w:val="0"/>
                      <w:bCs/>
                      <w:lang w:val="en-US"/>
                    </w:rPr>
                  </w:pPr>
                  <w:r>
                    <w:rPr>
                      <w:rFonts w:hint="eastAsia" w:ascii="Times New Roman" w:hAnsi="Times New Roman" w:eastAsia="宋体" w:cs="宋体"/>
                      <w:b w:val="0"/>
                      <w:bCs/>
                      <w:kern w:val="2"/>
                      <w:sz w:val="21"/>
                      <w:szCs w:val="24"/>
                      <w:lang w:val="en-US" w:eastAsia="zh-CN" w:bidi="ar"/>
                    </w:rPr>
                    <w:t>超标</w:t>
                  </w:r>
                </w:p>
              </w:tc>
            </w:tr>
          </w:tbl>
          <w:p w14:paraId="10344488">
            <w:pPr>
              <w:pStyle w:val="94"/>
              <w:keepNext w:val="0"/>
              <w:keepLines w:val="0"/>
              <w:pageBreakBefore w:val="0"/>
              <w:widowControl/>
              <w:kinsoku/>
              <w:wordWrap/>
              <w:overflowPunct/>
              <w:topLinePunct w:val="0"/>
              <w:autoSpaceDE/>
              <w:autoSpaceDN/>
              <w:bidi w:val="0"/>
              <w:adjustRightInd w:val="0"/>
              <w:snapToGrid w:val="0"/>
              <w:spacing w:before="0" w:beforeAutospacing="0" w:line="520" w:lineRule="exact"/>
              <w:ind w:left="0" w:firstLine="480" w:firstLineChars="200"/>
              <w:jc w:val="both"/>
              <w:textAlignment w:val="auto"/>
              <w:rPr>
                <w:rFonts w:eastAsia="宋体"/>
                <w:lang w:val="en-US"/>
              </w:rPr>
            </w:pPr>
            <w:r>
              <w:rPr>
                <w:rFonts w:hint="eastAsia" w:ascii="Times New Roman" w:hAnsi="Times New Roman" w:eastAsia="宋体" w:cs="宋体"/>
                <w:lang w:eastAsia="zh-CN"/>
              </w:rPr>
              <w:t>由上表可知，</w:t>
            </w:r>
            <w:r>
              <w:rPr>
                <w:rFonts w:eastAsia="宋体"/>
                <w:lang w:val="en-US"/>
              </w:rPr>
              <w:t>2023</w:t>
            </w:r>
            <w:r>
              <w:rPr>
                <w:rFonts w:hint="eastAsia" w:ascii="Times New Roman" w:hAnsi="Times New Roman" w:eastAsia="宋体" w:cs="宋体"/>
                <w:lang w:eastAsia="zh-CN"/>
              </w:rPr>
              <w:t>年项目所在区域</w:t>
            </w:r>
            <w:r>
              <w:rPr>
                <w:rFonts w:eastAsia="宋体"/>
                <w:lang w:val="en-US"/>
              </w:rPr>
              <w:t>SO</w:t>
            </w:r>
            <w:r>
              <w:rPr>
                <w:rFonts w:eastAsia="宋体"/>
                <w:vertAlign w:val="subscript"/>
                <w:lang w:val="en-US"/>
              </w:rPr>
              <w:t>2</w:t>
            </w:r>
            <w:r>
              <w:rPr>
                <w:rFonts w:hint="eastAsia" w:ascii="Times New Roman" w:hAnsi="Times New Roman" w:eastAsia="宋体" w:cs="宋体"/>
                <w:lang w:eastAsia="zh-CN"/>
              </w:rPr>
              <w:t>、</w:t>
            </w:r>
            <w:r>
              <w:rPr>
                <w:rFonts w:eastAsia="宋体"/>
                <w:lang w:val="en-US"/>
              </w:rPr>
              <w:t>NO</w:t>
            </w:r>
            <w:r>
              <w:rPr>
                <w:rFonts w:eastAsia="宋体"/>
                <w:vertAlign w:val="subscript"/>
                <w:lang w:val="en-US"/>
              </w:rPr>
              <w:t>2</w:t>
            </w:r>
            <w:r>
              <w:rPr>
                <w:rFonts w:hint="eastAsia" w:ascii="Times New Roman" w:hAnsi="Times New Roman" w:eastAsia="宋体" w:cs="宋体"/>
                <w:lang w:eastAsia="zh-CN"/>
              </w:rPr>
              <w:t>年平均质量浓度及</w:t>
            </w:r>
            <w:r>
              <w:rPr>
                <w:rFonts w:eastAsia="宋体"/>
                <w:lang w:val="en-US"/>
              </w:rPr>
              <w:t>CO</w:t>
            </w:r>
            <w:r>
              <w:rPr>
                <w:rFonts w:hint="eastAsia" w:eastAsia="宋体"/>
                <w:lang w:val="en-US" w:eastAsia="zh-CN"/>
              </w:rPr>
              <w:t xml:space="preserve"> </w:t>
            </w:r>
            <w:r>
              <w:rPr>
                <w:rFonts w:eastAsia="宋体"/>
                <w:lang w:val="en-US"/>
              </w:rPr>
              <w:t>24</w:t>
            </w:r>
            <w:r>
              <w:rPr>
                <w:rFonts w:hint="eastAsia" w:ascii="Times New Roman" w:hAnsi="Times New Roman" w:eastAsia="宋体" w:cs="宋体"/>
                <w:lang w:eastAsia="zh-CN"/>
              </w:rPr>
              <w:t>小时平均浓度第</w:t>
            </w:r>
            <w:r>
              <w:rPr>
                <w:rFonts w:eastAsia="宋体"/>
                <w:lang w:val="en-US"/>
              </w:rPr>
              <w:t>95</w:t>
            </w:r>
            <w:r>
              <w:rPr>
                <w:rFonts w:hint="eastAsia" w:ascii="Times New Roman" w:hAnsi="Times New Roman" w:eastAsia="宋体" w:cs="宋体"/>
                <w:lang w:eastAsia="zh-CN"/>
              </w:rPr>
              <w:t>百分位数达到《环境空气质量标准》（</w:t>
            </w:r>
            <w:r>
              <w:rPr>
                <w:rFonts w:eastAsia="宋体"/>
                <w:lang w:val="en-US"/>
              </w:rPr>
              <w:t>GB3095-2012</w:t>
            </w:r>
            <w:r>
              <w:rPr>
                <w:rFonts w:hint="eastAsia" w:ascii="Times New Roman" w:hAnsi="Times New Roman" w:eastAsia="宋体" w:cs="宋体"/>
                <w:lang w:eastAsia="zh-CN"/>
              </w:rPr>
              <w:t>）及修改单二级标准要求，</w:t>
            </w:r>
            <w:r>
              <w:rPr>
                <w:rFonts w:eastAsia="宋体"/>
                <w:lang w:val="en-US"/>
              </w:rPr>
              <w:t>PM</w:t>
            </w:r>
            <w:r>
              <w:rPr>
                <w:rFonts w:eastAsia="宋体"/>
                <w:vertAlign w:val="subscript"/>
                <w:lang w:val="en-US"/>
              </w:rPr>
              <w:t>10</w:t>
            </w:r>
            <w:r>
              <w:rPr>
                <w:rFonts w:hint="eastAsia" w:ascii="Times New Roman" w:hAnsi="Times New Roman" w:eastAsia="宋体" w:cs="宋体"/>
                <w:lang w:eastAsia="zh-CN"/>
              </w:rPr>
              <w:t>、</w:t>
            </w:r>
            <w:r>
              <w:rPr>
                <w:rFonts w:eastAsia="宋体"/>
                <w:lang w:val="en-US"/>
              </w:rPr>
              <w:t>PM</w:t>
            </w:r>
            <w:r>
              <w:rPr>
                <w:rFonts w:eastAsia="宋体"/>
                <w:vertAlign w:val="subscript"/>
                <w:lang w:val="en-US"/>
              </w:rPr>
              <w:t>2.5</w:t>
            </w:r>
            <w:r>
              <w:rPr>
                <w:rFonts w:hint="eastAsia" w:ascii="Times New Roman" w:hAnsi="Times New Roman" w:eastAsia="宋体" w:cs="宋体"/>
                <w:lang w:eastAsia="zh-CN"/>
              </w:rPr>
              <w:t>的年均浓度以及</w:t>
            </w:r>
            <w:r>
              <w:rPr>
                <w:rFonts w:eastAsia="宋体"/>
                <w:lang w:val="en-US"/>
              </w:rPr>
              <w:t>O</w:t>
            </w:r>
            <w:r>
              <w:rPr>
                <w:rFonts w:eastAsia="宋体"/>
                <w:vertAlign w:val="subscript"/>
                <w:lang w:val="en-US"/>
              </w:rPr>
              <w:t>3</w:t>
            </w:r>
            <w:r>
              <w:rPr>
                <w:rFonts w:hint="eastAsia" w:ascii="Times New Roman" w:hAnsi="Times New Roman" w:eastAsia="宋体" w:cs="宋体"/>
                <w:lang w:eastAsia="zh-CN"/>
              </w:rPr>
              <w:t>日最大</w:t>
            </w:r>
            <w:r>
              <w:rPr>
                <w:rFonts w:eastAsia="宋体"/>
                <w:lang w:val="en-US"/>
              </w:rPr>
              <w:t>8</w:t>
            </w:r>
            <w:r>
              <w:rPr>
                <w:rFonts w:hint="eastAsia" w:ascii="Times New Roman" w:hAnsi="Times New Roman" w:eastAsia="宋体" w:cs="宋体"/>
                <w:lang w:eastAsia="zh-CN"/>
              </w:rPr>
              <w:t>小时平均浓度第</w:t>
            </w:r>
            <w:r>
              <w:rPr>
                <w:rFonts w:eastAsia="宋体"/>
                <w:lang w:val="en-US"/>
              </w:rPr>
              <w:t>90</w:t>
            </w:r>
            <w:r>
              <w:rPr>
                <w:rFonts w:hint="eastAsia" w:ascii="Times New Roman" w:hAnsi="Times New Roman" w:eastAsia="宋体" w:cs="宋体"/>
                <w:lang w:eastAsia="zh-CN"/>
              </w:rPr>
              <w:t>百分位数未达到二级标准要求，因此本项目所在区域为环境空气质量</w:t>
            </w:r>
            <w:r>
              <w:rPr>
                <w:rFonts w:hint="eastAsia" w:eastAsia="宋体" w:cs="宋体"/>
                <w:lang w:val="en-US" w:eastAsia="zh-CN"/>
              </w:rPr>
              <w:t>为</w:t>
            </w:r>
            <w:r>
              <w:rPr>
                <w:rFonts w:hint="eastAsia" w:ascii="Times New Roman" w:hAnsi="Times New Roman" w:eastAsia="宋体" w:cs="宋体"/>
                <w:lang w:eastAsia="zh-CN"/>
              </w:rPr>
              <w:t>不达标区域</w:t>
            </w:r>
            <w:r>
              <w:rPr>
                <w:rFonts w:hint="eastAsia" w:ascii="Times New Roman" w:hAnsi="Times New Roman" w:eastAsia="宋体" w:cs="宋体"/>
                <w:color w:val="000000"/>
                <w:lang w:eastAsia="zh-CN"/>
              </w:rPr>
              <w:t>。</w:t>
            </w:r>
          </w:p>
          <w:p w14:paraId="1BDE9D17">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520" w:lineRule="exact"/>
              <w:ind w:left="0" w:right="0" w:firstLine="0" w:firstLineChars="0"/>
              <w:textAlignment w:val="auto"/>
              <w:rPr>
                <w:rFonts w:hint="default" w:ascii="Times New Roman" w:hAnsi="Times New Roman" w:eastAsia="宋体" w:cs="Times New Roman"/>
                <w:b/>
                <w:bCs/>
                <w:color w:val="000000" w:themeColor="text1"/>
                <w:spacing w:val="0"/>
                <w:sz w:val="24"/>
                <w:szCs w:val="24"/>
                <w:highlight w:val="none"/>
                <w14:textFill>
                  <w14:solidFill>
                    <w14:schemeClr w14:val="tx1"/>
                  </w14:solidFill>
                </w14:textFill>
              </w:rPr>
            </w:pPr>
            <w:r>
              <w:rPr>
                <w:rFonts w:hint="eastAsia" w:cs="Times New Roman"/>
                <w:b/>
                <w:bCs/>
                <w:color w:val="000000" w:themeColor="text1"/>
                <w:spacing w:val="0"/>
                <w:sz w:val="24"/>
                <w:szCs w:val="24"/>
                <w:highlight w:val="none"/>
                <w:lang w:val="en-US" w:eastAsia="zh-CN"/>
                <w14:textFill>
                  <w14:solidFill>
                    <w14:schemeClr w14:val="tx1"/>
                  </w14:solidFill>
                </w14:textFill>
              </w:rPr>
              <w:t>二</w:t>
            </w:r>
            <w:r>
              <w:rPr>
                <w:rFonts w:hint="default" w:ascii="Times New Roman" w:hAnsi="Times New Roman" w:eastAsia="宋体" w:cs="Times New Roman"/>
                <w:b/>
                <w:bCs/>
                <w:color w:val="000000" w:themeColor="text1"/>
                <w:spacing w:val="0"/>
                <w:sz w:val="24"/>
                <w:szCs w:val="24"/>
                <w:highlight w:val="none"/>
                <w14:textFill>
                  <w14:solidFill>
                    <w14:schemeClr w14:val="tx1"/>
                  </w14:solidFill>
                </w14:textFill>
              </w:rPr>
              <w:t>、</w:t>
            </w:r>
            <w:r>
              <w:rPr>
                <w:rFonts w:hint="eastAsia" w:ascii="Times New Roman" w:hAnsi="Times New Roman" w:eastAsia="宋体" w:cs="Times New Roman"/>
                <w:b/>
                <w:bCs/>
                <w:color w:val="000000" w:themeColor="text1"/>
                <w:spacing w:val="0"/>
                <w:sz w:val="24"/>
                <w:szCs w:val="24"/>
                <w:highlight w:val="none"/>
                <w:lang w:val="en-US" w:eastAsia="zh-CN"/>
                <w14:textFill>
                  <w14:solidFill>
                    <w14:schemeClr w14:val="tx1"/>
                  </w14:solidFill>
                </w14:textFill>
              </w:rPr>
              <w:t>地表水环境</w:t>
            </w:r>
          </w:p>
          <w:p w14:paraId="34E4830A">
            <w:pPr>
              <w:pStyle w:val="52"/>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520" w:lineRule="exact"/>
              <w:ind w:left="0" w:right="0" w:firstLine="504" w:firstLineChars="200"/>
              <w:jc w:val="both"/>
              <w:textAlignment w:val="auto"/>
              <w:rPr>
                <w:rFonts w:hint="default" w:ascii="Times New Roman" w:hAnsi="Times New Roman" w:eastAsia="宋体" w:cs="Times New Roman"/>
                <w:color w:val="000000" w:themeColor="text1"/>
                <w:kern w:val="0"/>
                <w:sz w:val="24"/>
                <w:szCs w:val="24"/>
                <w:highlight w:val="none"/>
                <w:u w:val="none"/>
                <w:lang w:val="en-US"/>
                <w14:textFill>
                  <w14:solidFill>
                    <w14:schemeClr w14:val="tx1"/>
                  </w14:solidFill>
                </w14:textFill>
              </w:rPr>
            </w:pPr>
            <w:r>
              <w:rPr>
                <w:rFonts w:hint="eastAsia" w:ascii="Times New Roman" w:hAnsi="Times New Roman" w:eastAsia="宋体" w:cs="Times New Roman"/>
                <w:color w:val="000000" w:themeColor="text1"/>
                <w:kern w:val="0"/>
                <w:sz w:val="24"/>
                <w:szCs w:val="24"/>
                <w:highlight w:val="none"/>
                <w:u w:val="none"/>
                <w:lang w:val="en-US" w:eastAsia="zh-CN"/>
                <w14:textFill>
                  <w14:solidFill>
                    <w14:schemeClr w14:val="tx1"/>
                  </w14:solidFill>
                </w14:textFill>
              </w:rPr>
              <w:t>项目</w:t>
            </w:r>
            <w:r>
              <w:rPr>
                <w:rFonts w:hint="eastAsia" w:cs="Times New Roman"/>
                <w:color w:val="000000" w:themeColor="text1"/>
                <w:kern w:val="0"/>
                <w:sz w:val="24"/>
                <w:szCs w:val="24"/>
                <w:highlight w:val="none"/>
                <w:u w:val="none"/>
                <w:lang w:val="en-US" w:eastAsia="zh-CN"/>
                <w14:textFill>
                  <w14:solidFill>
                    <w14:schemeClr w14:val="tx1"/>
                  </w14:solidFill>
                </w14:textFill>
              </w:rPr>
              <w:t>向南距离淤泥河990m，淤泥河下游汇入永通河，永通河下游汇入汤河</w:t>
            </w:r>
            <w:r>
              <w:rPr>
                <w:rFonts w:hint="eastAsia" w:ascii="Times New Roman" w:hAnsi="Times New Roman" w:eastAsia="宋体" w:cs="Times New Roman"/>
                <w:color w:val="000000" w:themeColor="text1"/>
                <w:kern w:val="0"/>
                <w:sz w:val="24"/>
                <w:szCs w:val="24"/>
                <w:highlight w:val="none"/>
                <w:u w:val="none"/>
                <w:lang w:val="en-US" w:eastAsia="zh-CN"/>
                <w14:textFill>
                  <w14:solidFill>
                    <w14:schemeClr w14:val="tx1"/>
                  </w14:solidFill>
                </w14:textFill>
              </w:rPr>
              <w:t>，</w:t>
            </w:r>
            <w:r>
              <w:rPr>
                <w:rFonts w:hint="eastAsia" w:ascii="Times New Roman" w:hAnsi="Times New Roman" w:eastAsia="宋体" w:cs="Times New Roman"/>
                <w:color w:val="000000" w:themeColor="text1"/>
                <w:kern w:val="0"/>
                <w:sz w:val="24"/>
                <w:szCs w:val="24"/>
                <w:highlight w:val="none"/>
                <w:u w:val="none" w:color="auto"/>
                <w:lang w:val="en-US" w:eastAsia="zh-CN"/>
                <w14:textFill>
                  <w14:solidFill>
                    <w14:schemeClr w14:val="tx1"/>
                  </w14:solidFill>
                </w14:textFill>
              </w:rPr>
              <w:t>根据</w:t>
            </w:r>
            <w:r>
              <w:rPr>
                <w:rFonts w:hint="eastAsia" w:ascii="Times New Roman" w:hAnsi="Times New Roman" w:eastAsia="宋体" w:cs="Times New Roman"/>
                <w:kern w:val="2"/>
                <w:sz w:val="24"/>
                <w:szCs w:val="24"/>
                <w:lang w:val="en-US" w:eastAsia="zh-CN" w:bidi="ar"/>
              </w:rPr>
              <w:t>《安阳市</w:t>
            </w:r>
            <w:r>
              <w:rPr>
                <w:rFonts w:hint="default" w:ascii="Times New Roman" w:hAnsi="Times New Roman" w:eastAsia="宋体" w:cs="Times New Roman"/>
                <w:kern w:val="2"/>
                <w:sz w:val="24"/>
                <w:szCs w:val="24"/>
                <w:lang w:val="en-US" w:eastAsia="zh-CN" w:bidi="ar"/>
              </w:rPr>
              <w:t>2025</w:t>
            </w:r>
            <w:r>
              <w:rPr>
                <w:rFonts w:hint="eastAsia" w:ascii="Times New Roman" w:hAnsi="Times New Roman" w:eastAsia="宋体" w:cs="Times New Roman"/>
                <w:kern w:val="2"/>
                <w:sz w:val="24"/>
                <w:szCs w:val="24"/>
                <w:lang w:val="en-US" w:eastAsia="zh-CN" w:bidi="ar"/>
              </w:rPr>
              <w:t>年碧水保卫战实施方案》附件中“各县（市、区）</w:t>
            </w:r>
            <w:r>
              <w:rPr>
                <w:rFonts w:hint="default" w:ascii="Times New Roman" w:hAnsi="Times New Roman" w:eastAsia="宋体" w:cs="Times New Roman"/>
                <w:kern w:val="2"/>
                <w:sz w:val="24"/>
                <w:szCs w:val="24"/>
                <w:lang w:val="en-US" w:eastAsia="zh-CN" w:bidi="ar"/>
              </w:rPr>
              <w:t>2025</w:t>
            </w:r>
            <w:r>
              <w:rPr>
                <w:rFonts w:hint="eastAsia" w:ascii="Times New Roman" w:hAnsi="Times New Roman" w:eastAsia="宋体" w:cs="Times New Roman"/>
                <w:kern w:val="2"/>
                <w:sz w:val="24"/>
                <w:szCs w:val="24"/>
                <w:lang w:val="en-US" w:eastAsia="zh-CN" w:bidi="ar"/>
              </w:rPr>
              <w:t>年地表水环境质量目标”（来自安环委</w:t>
            </w:r>
            <w:r>
              <w:rPr>
                <w:rFonts w:hint="default" w:ascii="Times New Roman" w:hAnsi="Times New Roman" w:eastAsia="宋体" w:cs="Times New Roman"/>
                <w:kern w:val="2"/>
                <w:sz w:val="24"/>
                <w:szCs w:val="24"/>
                <w:lang w:val="en-US" w:eastAsia="zh-CN" w:bidi="ar"/>
              </w:rPr>
              <w:t>[2025]2</w:t>
            </w:r>
            <w:r>
              <w:rPr>
                <w:rFonts w:hint="eastAsia" w:ascii="Times New Roman" w:hAnsi="Times New Roman" w:eastAsia="宋体" w:cs="Times New Roman"/>
                <w:kern w:val="2"/>
                <w:sz w:val="24"/>
                <w:szCs w:val="24"/>
                <w:lang w:val="en-US" w:eastAsia="zh-CN" w:bidi="ar"/>
              </w:rPr>
              <w:t>号）</w:t>
            </w:r>
            <w:r>
              <w:rPr>
                <w:rFonts w:hint="eastAsia" w:ascii="Times New Roman" w:hAnsi="Times New Roman" w:eastAsia="宋体" w:cs="Times New Roman"/>
                <w:color w:val="000000" w:themeColor="text1"/>
                <w:kern w:val="0"/>
                <w:sz w:val="24"/>
                <w:szCs w:val="24"/>
                <w:highlight w:val="none"/>
                <w:u w:val="none"/>
                <w:lang w:val="en-US" w:eastAsia="zh-CN"/>
                <w14:textFill>
                  <w14:solidFill>
                    <w14:schemeClr w14:val="tx1"/>
                  </w14:solidFill>
                </w14:textFill>
              </w:rPr>
              <w:t>，</w:t>
            </w:r>
            <w:r>
              <w:rPr>
                <w:rFonts w:hint="eastAsia" w:cs="Times New Roman"/>
                <w:color w:val="000000" w:themeColor="text1"/>
                <w:kern w:val="0"/>
                <w:sz w:val="24"/>
                <w:szCs w:val="24"/>
                <w:highlight w:val="none"/>
                <w:u w:val="none"/>
                <w:lang w:val="en-US" w:eastAsia="zh-CN"/>
                <w14:textFill>
                  <w14:solidFill>
                    <w14:schemeClr w14:val="tx1"/>
                  </w14:solidFill>
                </w14:textFill>
              </w:rPr>
              <w:t>汤河石辛庄</w:t>
            </w:r>
            <w:r>
              <w:rPr>
                <w:rFonts w:hint="eastAsia" w:ascii="Times New Roman" w:hAnsi="Times New Roman" w:eastAsia="宋体" w:cs="Times New Roman"/>
                <w:color w:val="000000" w:themeColor="text1"/>
                <w:kern w:val="0"/>
                <w:sz w:val="24"/>
                <w:szCs w:val="24"/>
                <w:highlight w:val="none"/>
                <w:u w:val="none"/>
                <w:lang w:val="en-US" w:eastAsia="zh-CN"/>
                <w14:textFill>
                  <w14:solidFill>
                    <w14:schemeClr w14:val="tx1"/>
                  </w14:solidFill>
                </w14:textFill>
              </w:rPr>
              <w:t>断面</w:t>
            </w:r>
            <w:r>
              <w:rPr>
                <w:rFonts w:hint="eastAsia" w:cs="Times New Roman"/>
                <w:color w:val="000000" w:themeColor="text1"/>
                <w:sz w:val="24"/>
                <w:szCs w:val="24"/>
                <w:lang w:val="en-US" w:eastAsia="zh-CN"/>
                <w14:textFill>
                  <w14:solidFill>
                    <w14:schemeClr w14:val="tx1"/>
                  </w14:solidFill>
                </w14:textFill>
              </w:rPr>
              <w:t>2025年地表水环境质量目标</w:t>
            </w:r>
            <w:r>
              <w:rPr>
                <w:rFonts w:hint="eastAsia" w:ascii="Times New Roman" w:hAnsi="Times New Roman" w:eastAsia="宋体" w:cs="Times New Roman"/>
                <w:color w:val="000000" w:themeColor="text1"/>
                <w:kern w:val="0"/>
                <w:sz w:val="24"/>
                <w:szCs w:val="24"/>
                <w:highlight w:val="none"/>
                <w:u w:val="none"/>
                <w:lang w:val="en-US" w:eastAsia="zh-CN"/>
                <w14:textFill>
                  <w14:solidFill>
                    <w14:schemeClr w14:val="tx1"/>
                  </w14:solidFill>
                </w14:textFill>
              </w:rPr>
              <w:t>为</w:t>
            </w:r>
            <w:r>
              <w:rPr>
                <w:rFonts w:hint="eastAsia" w:ascii="Times New Roman" w:hAnsi="Times New Roman" w:eastAsia="宋体" w:cs="Times New Roman"/>
                <w:kern w:val="2"/>
                <w:sz w:val="24"/>
                <w:szCs w:val="24"/>
                <w:lang w:val="en-US" w:eastAsia="zh-CN" w:bidi="ar"/>
              </w:rPr>
              <w:t>Ⅴ</w:t>
            </w:r>
            <w:r>
              <w:rPr>
                <w:rFonts w:hint="eastAsia" w:ascii="Times New Roman" w:hAnsi="Times New Roman" w:eastAsia="宋体" w:cs="Times New Roman"/>
                <w:color w:val="000000" w:themeColor="text1"/>
                <w:kern w:val="0"/>
                <w:sz w:val="24"/>
                <w:szCs w:val="24"/>
                <w:highlight w:val="none"/>
                <w:u w:val="none"/>
                <w:lang w:val="en-US" w:eastAsia="zh-CN"/>
                <w14:textFill>
                  <w14:solidFill>
                    <w14:schemeClr w14:val="tx1"/>
                  </w14:solidFill>
                </w14:textFill>
              </w:rPr>
              <w:t>类水，执行《地表水环境质量标准》（</w:t>
            </w:r>
            <w:r>
              <w:rPr>
                <w:rFonts w:hint="default" w:ascii="Times New Roman" w:hAnsi="Times New Roman" w:eastAsia="宋体" w:cs="Times New Roman"/>
                <w:color w:val="000000" w:themeColor="text1"/>
                <w:kern w:val="0"/>
                <w:sz w:val="24"/>
                <w:szCs w:val="24"/>
                <w:highlight w:val="none"/>
                <w:u w:val="none"/>
                <w:lang w:val="en-US" w:eastAsia="zh-CN"/>
                <w14:textFill>
                  <w14:solidFill>
                    <w14:schemeClr w14:val="tx1"/>
                  </w14:solidFill>
                </w14:textFill>
              </w:rPr>
              <w:t>GB3838-2002</w:t>
            </w:r>
            <w:r>
              <w:rPr>
                <w:rFonts w:hint="eastAsia" w:ascii="Times New Roman" w:hAnsi="Times New Roman" w:eastAsia="宋体" w:cs="Times New Roman"/>
                <w:color w:val="000000" w:themeColor="text1"/>
                <w:kern w:val="0"/>
                <w:sz w:val="24"/>
                <w:szCs w:val="24"/>
                <w:highlight w:val="none"/>
                <w:u w:val="none"/>
                <w:lang w:val="en-US" w:eastAsia="zh-CN"/>
                <w14:textFill>
                  <w14:solidFill>
                    <w14:schemeClr w14:val="tx1"/>
                  </w14:solidFill>
                </w14:textFill>
              </w:rPr>
              <w:t>）</w:t>
            </w:r>
            <w:r>
              <w:rPr>
                <w:rFonts w:hint="eastAsia" w:ascii="Times New Roman" w:hAnsi="Times New Roman" w:eastAsia="宋体" w:cs="Times New Roman"/>
                <w:kern w:val="2"/>
                <w:sz w:val="24"/>
                <w:szCs w:val="24"/>
                <w:lang w:val="en-US" w:eastAsia="zh-CN" w:bidi="ar"/>
              </w:rPr>
              <w:t>Ⅴ</w:t>
            </w:r>
            <w:r>
              <w:rPr>
                <w:rFonts w:hint="eastAsia" w:ascii="Times New Roman" w:hAnsi="Times New Roman" w:eastAsia="宋体" w:cs="Times New Roman"/>
                <w:color w:val="000000" w:themeColor="text1"/>
                <w:kern w:val="0"/>
                <w:sz w:val="24"/>
                <w:szCs w:val="24"/>
                <w:highlight w:val="none"/>
                <w:u w:val="none"/>
                <w:lang w:val="en-US" w:eastAsia="zh-CN"/>
                <w14:textFill>
                  <w14:solidFill>
                    <w14:schemeClr w14:val="tx1"/>
                  </w14:solidFill>
                </w14:textFill>
              </w:rPr>
              <w:t>类标准。根据</w:t>
            </w:r>
            <w:r>
              <w:rPr>
                <w:rFonts w:hint="default" w:ascii="Times New Roman" w:hAnsi="Times New Roman" w:eastAsia="宋体" w:cs="Times New Roman"/>
                <w:color w:val="000000" w:themeColor="text1"/>
                <w:kern w:val="0"/>
                <w:sz w:val="24"/>
                <w:szCs w:val="24"/>
                <w:highlight w:val="none"/>
                <w:u w:val="none"/>
                <w:lang w:val="en-US" w:eastAsia="zh-CN"/>
                <w14:textFill>
                  <w14:solidFill>
                    <w14:schemeClr w14:val="tx1"/>
                  </w14:solidFill>
                </w14:textFill>
              </w:rPr>
              <w:t>2024</w:t>
            </w:r>
            <w:r>
              <w:rPr>
                <w:rFonts w:hint="eastAsia" w:ascii="Times New Roman" w:hAnsi="Times New Roman" w:eastAsia="宋体" w:cs="Times New Roman"/>
                <w:color w:val="000000" w:themeColor="text1"/>
                <w:kern w:val="0"/>
                <w:sz w:val="24"/>
                <w:szCs w:val="24"/>
                <w:highlight w:val="none"/>
                <w:u w:val="none"/>
                <w:lang w:val="en-US" w:eastAsia="zh-CN"/>
                <w14:textFill>
                  <w14:solidFill>
                    <w14:schemeClr w14:val="tx1"/>
                  </w14:solidFill>
                </w14:textFill>
              </w:rPr>
              <w:t>年安阳市生态环境局发布的安阳市地表水环境质量周报监测结果，见下表。</w:t>
            </w:r>
          </w:p>
          <w:p w14:paraId="25730564">
            <w:pPr>
              <w:keepNext w:val="0"/>
              <w:keepLines w:val="0"/>
              <w:suppressLineNumbers w:val="0"/>
              <w:snapToGrid w:val="0"/>
              <w:spacing w:before="0" w:beforeAutospacing="0" w:after="0" w:afterAutospacing="0" w:line="520" w:lineRule="exact"/>
              <w:ind w:left="0" w:right="0"/>
              <w:jc w:val="center"/>
              <w:rPr>
                <w:rFonts w:hint="default" w:ascii="黑体" w:hAnsi="黑体" w:eastAsia="黑体" w:cs="黑体"/>
                <w:b w:val="0"/>
                <w:bCs/>
                <w:sz w:val="24"/>
                <w:lang w:val="en-US" w:eastAsia="zh-CN"/>
              </w:rPr>
            </w:pPr>
            <w:r>
              <w:rPr>
                <w:rFonts w:hint="eastAsia" w:ascii="黑体" w:hAnsi="黑体" w:eastAsia="黑体" w:cs="黑体"/>
                <w:b w:val="0"/>
                <w:bCs/>
                <w:sz w:val="24"/>
                <w:lang w:val="en-US" w:eastAsia="zh-CN"/>
              </w:rPr>
              <w:t>表</w:t>
            </w:r>
            <w:r>
              <w:rPr>
                <w:rFonts w:hint="default" w:ascii="黑体" w:hAnsi="黑体" w:eastAsia="黑体" w:cs="黑体"/>
                <w:b w:val="0"/>
                <w:bCs/>
                <w:sz w:val="24"/>
                <w:lang w:val="en-US" w:eastAsia="zh-CN"/>
              </w:rPr>
              <w:t>3-</w:t>
            </w:r>
            <w:r>
              <w:rPr>
                <w:rFonts w:hint="eastAsia" w:ascii="黑体" w:hAnsi="黑体" w:eastAsia="黑体" w:cs="黑体"/>
                <w:b w:val="0"/>
                <w:bCs/>
                <w:sz w:val="24"/>
                <w:lang w:val="en-US" w:eastAsia="zh-CN"/>
              </w:rPr>
              <w:t>2</w:t>
            </w:r>
            <w:r>
              <w:rPr>
                <w:rFonts w:hint="default" w:ascii="黑体" w:hAnsi="黑体" w:eastAsia="黑体" w:cs="黑体"/>
                <w:b w:val="0"/>
                <w:bCs/>
                <w:sz w:val="24"/>
                <w:lang w:val="en-US" w:eastAsia="zh-CN"/>
              </w:rPr>
              <w:t xml:space="preserve">  </w:t>
            </w:r>
            <w:r>
              <w:rPr>
                <w:rFonts w:hint="eastAsia" w:ascii="黑体" w:hAnsi="黑体" w:eastAsia="黑体" w:cs="黑体"/>
                <w:b w:val="0"/>
                <w:bCs/>
                <w:sz w:val="24"/>
                <w:lang w:val="en-US" w:eastAsia="zh-CN"/>
              </w:rPr>
              <w:t>石辛庄断面监测数据一览表</w:t>
            </w:r>
          </w:p>
          <w:tbl>
            <w:tblPr>
              <w:tblStyle w:val="2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autofit"/>
              <w:tblCellMar>
                <w:top w:w="0" w:type="dxa"/>
                <w:left w:w="0" w:type="dxa"/>
                <w:bottom w:w="0" w:type="dxa"/>
                <w:right w:w="0" w:type="dxa"/>
              </w:tblCellMar>
            </w:tblPr>
            <w:tblGrid>
              <w:gridCol w:w="2565"/>
              <w:gridCol w:w="1019"/>
              <w:gridCol w:w="1029"/>
              <w:gridCol w:w="1029"/>
              <w:gridCol w:w="2577"/>
            </w:tblGrid>
            <w:tr w14:paraId="1549EE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20" w:hRule="atLeast"/>
                <w:jc w:val="center"/>
              </w:trPr>
              <w:tc>
                <w:tcPr>
                  <w:tcW w:w="1560" w:type="pct"/>
                  <w:tcBorders>
                    <w:tl2br w:val="nil"/>
                    <w:tr2bl w:val="nil"/>
                  </w:tcBorders>
                  <w:shd w:val="clear" w:color="auto" w:fill="auto"/>
                  <w:tcMar>
                    <w:left w:w="28" w:type="dxa"/>
                    <w:right w:w="28" w:type="dxa"/>
                  </w:tcMar>
                  <w:vAlign w:val="center"/>
                </w:tcPr>
                <w:p w14:paraId="2DCD057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ascii="Times New Roman" w:hAnsi="Times New Roman" w:cs="Times New Roman"/>
                      <w:b w:val="0"/>
                      <w:bCs/>
                      <w:kern w:val="0"/>
                      <w:sz w:val="21"/>
                      <w:szCs w:val="21"/>
                      <w:lang w:val="en-US"/>
                    </w:rPr>
                  </w:pPr>
                  <w:r>
                    <w:rPr>
                      <w:rFonts w:hint="default" w:ascii="Times New Roman" w:hAnsi="Times New Roman" w:eastAsia="宋体" w:cs="Times New Roman"/>
                      <w:b w:val="0"/>
                      <w:bCs/>
                      <w:kern w:val="2"/>
                      <w:sz w:val="21"/>
                      <w:szCs w:val="21"/>
                      <w:lang w:val="en-US" w:eastAsia="zh-CN" w:bidi="ar"/>
                    </w:rPr>
                    <w:t>时间</w:t>
                  </w:r>
                </w:p>
              </w:tc>
              <w:tc>
                <w:tcPr>
                  <w:tcW w:w="620" w:type="pct"/>
                  <w:tcBorders>
                    <w:tl2br w:val="nil"/>
                    <w:tr2bl w:val="nil"/>
                  </w:tcBorders>
                  <w:shd w:val="clear" w:color="auto" w:fill="auto"/>
                  <w:tcMar>
                    <w:left w:w="28" w:type="dxa"/>
                    <w:right w:w="28" w:type="dxa"/>
                  </w:tcMar>
                  <w:vAlign w:val="center"/>
                </w:tcPr>
                <w:p w14:paraId="63AF9DC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ascii="Times New Roman" w:hAnsi="Times New Roman" w:cs="Times New Roman"/>
                      <w:b w:val="0"/>
                      <w:bCs/>
                      <w:sz w:val="21"/>
                      <w:szCs w:val="21"/>
                      <w:lang w:val="en-US"/>
                    </w:rPr>
                  </w:pPr>
                  <w:r>
                    <w:rPr>
                      <w:rFonts w:hint="default" w:ascii="Times New Roman" w:hAnsi="Times New Roman" w:eastAsia="宋体" w:cs="Times New Roman"/>
                      <w:b w:val="0"/>
                      <w:bCs/>
                      <w:kern w:val="2"/>
                      <w:sz w:val="21"/>
                      <w:szCs w:val="21"/>
                      <w:lang w:val="en-US" w:eastAsia="zh-CN" w:bidi="ar"/>
                    </w:rPr>
                    <w:t>COD</w:t>
                  </w:r>
                </w:p>
              </w:tc>
              <w:tc>
                <w:tcPr>
                  <w:tcW w:w="626" w:type="pct"/>
                  <w:tcBorders>
                    <w:tl2br w:val="nil"/>
                    <w:tr2bl w:val="nil"/>
                  </w:tcBorders>
                  <w:shd w:val="clear" w:color="auto" w:fill="auto"/>
                  <w:tcMar>
                    <w:left w:w="28" w:type="dxa"/>
                    <w:right w:w="28" w:type="dxa"/>
                  </w:tcMar>
                  <w:vAlign w:val="center"/>
                </w:tcPr>
                <w:p w14:paraId="211F554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ascii="Times New Roman" w:hAnsi="Times New Roman" w:cs="Times New Roman"/>
                      <w:b w:val="0"/>
                      <w:bCs/>
                      <w:sz w:val="21"/>
                      <w:szCs w:val="21"/>
                      <w:lang w:val="en-US"/>
                    </w:rPr>
                  </w:pPr>
                  <w:r>
                    <w:rPr>
                      <w:rFonts w:hint="default" w:ascii="Times New Roman" w:hAnsi="Times New Roman" w:eastAsia="宋体" w:cs="Times New Roman"/>
                      <w:b w:val="0"/>
                      <w:bCs/>
                      <w:kern w:val="2"/>
                      <w:sz w:val="21"/>
                      <w:szCs w:val="21"/>
                      <w:lang w:val="en-US" w:eastAsia="zh-CN" w:bidi="ar"/>
                    </w:rPr>
                    <w:t>氨氮</w:t>
                  </w:r>
                </w:p>
              </w:tc>
              <w:tc>
                <w:tcPr>
                  <w:tcW w:w="626" w:type="pct"/>
                  <w:tcBorders>
                    <w:tl2br w:val="nil"/>
                    <w:tr2bl w:val="nil"/>
                  </w:tcBorders>
                  <w:shd w:val="clear" w:color="auto" w:fill="auto"/>
                  <w:tcMar>
                    <w:left w:w="28" w:type="dxa"/>
                    <w:right w:w="28" w:type="dxa"/>
                  </w:tcMar>
                  <w:vAlign w:val="center"/>
                </w:tcPr>
                <w:p w14:paraId="7FFA7EF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ascii="Times New Roman" w:hAnsi="Times New Roman" w:cs="Times New Roman"/>
                      <w:b w:val="0"/>
                      <w:bCs/>
                      <w:sz w:val="21"/>
                      <w:szCs w:val="21"/>
                      <w:lang w:val="en-US"/>
                    </w:rPr>
                  </w:pPr>
                  <w:r>
                    <w:rPr>
                      <w:rFonts w:hint="default" w:ascii="Times New Roman" w:hAnsi="Times New Roman" w:eastAsia="宋体" w:cs="Times New Roman"/>
                      <w:b w:val="0"/>
                      <w:bCs/>
                      <w:kern w:val="2"/>
                      <w:sz w:val="21"/>
                      <w:szCs w:val="21"/>
                      <w:lang w:val="en-US" w:eastAsia="zh-CN" w:bidi="ar"/>
                    </w:rPr>
                    <w:t>总磷</w:t>
                  </w:r>
                </w:p>
              </w:tc>
              <w:tc>
                <w:tcPr>
                  <w:tcW w:w="1566" w:type="pct"/>
                  <w:tcBorders>
                    <w:tl2br w:val="nil"/>
                    <w:tr2bl w:val="nil"/>
                  </w:tcBorders>
                  <w:shd w:val="clear" w:color="auto" w:fill="auto"/>
                  <w:tcMar>
                    <w:left w:w="28" w:type="dxa"/>
                    <w:right w:w="28" w:type="dxa"/>
                  </w:tcMar>
                  <w:vAlign w:val="center"/>
                </w:tcPr>
                <w:p w14:paraId="5F16CA7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ascii="Times New Roman" w:hAnsi="Times New Roman" w:cs="Times New Roman"/>
                      <w:b w:val="0"/>
                      <w:bCs/>
                      <w:sz w:val="21"/>
                      <w:szCs w:val="21"/>
                      <w:lang w:val="en-US"/>
                    </w:rPr>
                  </w:pPr>
                  <w:r>
                    <w:rPr>
                      <w:rFonts w:hint="default" w:ascii="Times New Roman" w:hAnsi="Times New Roman" w:eastAsia="宋体" w:cs="Times New Roman"/>
                      <w:b w:val="0"/>
                      <w:bCs/>
                      <w:kern w:val="2"/>
                      <w:sz w:val="21"/>
                      <w:szCs w:val="21"/>
                      <w:lang w:val="en-US" w:eastAsia="zh-CN" w:bidi="ar"/>
                    </w:rPr>
                    <w:t>高锰酸盐指数</w:t>
                  </w:r>
                </w:p>
              </w:tc>
            </w:tr>
            <w:tr w14:paraId="1C8A20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20" w:hRule="atLeast"/>
                <w:jc w:val="center"/>
              </w:trPr>
              <w:tc>
                <w:tcPr>
                  <w:tcW w:w="1560" w:type="pct"/>
                  <w:tcBorders>
                    <w:tl2br w:val="nil"/>
                    <w:tr2bl w:val="nil"/>
                  </w:tcBorders>
                  <w:shd w:val="clear" w:color="auto" w:fill="auto"/>
                  <w:tcMar>
                    <w:left w:w="28" w:type="dxa"/>
                    <w:right w:w="28" w:type="dxa"/>
                  </w:tcMar>
                  <w:vAlign w:val="center"/>
                </w:tcPr>
                <w:p w14:paraId="64C71D55">
                  <w:pPr>
                    <w:pStyle w:val="21"/>
                    <w:keepNext w:val="0"/>
                    <w:keepLines w:val="0"/>
                    <w:pageBreakBefore w:val="0"/>
                    <w:widowControl/>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2024</w:t>
                  </w:r>
                  <w:r>
                    <w:rPr>
                      <w:rFonts w:hint="default" w:ascii="Times New Roman" w:hAnsi="Times New Roman" w:eastAsia="宋体" w:cs="Times New Roman"/>
                      <w:sz w:val="21"/>
                      <w:szCs w:val="21"/>
                    </w:rPr>
                    <w:t>年</w:t>
                  </w:r>
                  <w:r>
                    <w:rPr>
                      <w:rFonts w:hint="default" w:ascii="Times New Roman" w:hAnsi="Times New Roman" w:eastAsia="宋体" w:cs="Times New Roman"/>
                      <w:sz w:val="21"/>
                      <w:szCs w:val="21"/>
                      <w:lang w:val="en-US"/>
                    </w:rPr>
                    <w:t>1</w:t>
                  </w:r>
                  <w:r>
                    <w:rPr>
                      <w:rFonts w:hint="default" w:ascii="Times New Roman" w:hAnsi="Times New Roman" w:eastAsia="宋体" w:cs="Times New Roman"/>
                      <w:sz w:val="21"/>
                      <w:szCs w:val="21"/>
                    </w:rPr>
                    <w:t>周</w:t>
                  </w:r>
                </w:p>
              </w:tc>
              <w:tc>
                <w:tcPr>
                  <w:tcW w:w="620" w:type="pct"/>
                  <w:tcBorders>
                    <w:tl2br w:val="nil"/>
                    <w:tr2bl w:val="nil"/>
                  </w:tcBorders>
                  <w:shd w:val="clear" w:color="auto" w:fill="auto"/>
                  <w:tcMar>
                    <w:left w:w="28" w:type="dxa"/>
                    <w:right w:w="28" w:type="dxa"/>
                  </w:tcMar>
                  <w:vAlign w:val="center"/>
                </w:tcPr>
                <w:p w14:paraId="5AEBD6D3">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16.5</w:t>
                  </w:r>
                </w:p>
              </w:tc>
              <w:tc>
                <w:tcPr>
                  <w:tcW w:w="626" w:type="pct"/>
                  <w:tcBorders>
                    <w:tl2br w:val="nil"/>
                    <w:tr2bl w:val="nil"/>
                  </w:tcBorders>
                  <w:shd w:val="clear" w:color="auto" w:fill="auto"/>
                  <w:tcMar>
                    <w:left w:w="28" w:type="dxa"/>
                    <w:right w:w="28" w:type="dxa"/>
                  </w:tcMar>
                  <w:vAlign w:val="center"/>
                </w:tcPr>
                <w:p w14:paraId="7A612DF6">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1.278</w:t>
                  </w:r>
                </w:p>
              </w:tc>
              <w:tc>
                <w:tcPr>
                  <w:tcW w:w="626" w:type="pct"/>
                  <w:tcBorders>
                    <w:tl2br w:val="nil"/>
                    <w:tr2bl w:val="nil"/>
                  </w:tcBorders>
                  <w:shd w:val="clear" w:color="auto" w:fill="auto"/>
                  <w:tcMar>
                    <w:left w:w="28" w:type="dxa"/>
                    <w:right w:w="28" w:type="dxa"/>
                  </w:tcMar>
                  <w:vAlign w:val="center"/>
                </w:tcPr>
                <w:p w14:paraId="3FCB9183">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0.142</w:t>
                  </w:r>
                </w:p>
              </w:tc>
              <w:tc>
                <w:tcPr>
                  <w:tcW w:w="1566" w:type="pct"/>
                  <w:tcBorders>
                    <w:tl2br w:val="nil"/>
                    <w:tr2bl w:val="nil"/>
                  </w:tcBorders>
                  <w:shd w:val="clear" w:color="auto" w:fill="auto"/>
                  <w:tcMar>
                    <w:left w:w="28" w:type="dxa"/>
                    <w:right w:w="28" w:type="dxa"/>
                  </w:tcMar>
                  <w:vAlign w:val="center"/>
                </w:tcPr>
                <w:p w14:paraId="193CB13F">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6.6</w:t>
                  </w:r>
                </w:p>
              </w:tc>
            </w:tr>
            <w:tr w14:paraId="2AFC82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jc w:val="center"/>
              </w:trPr>
              <w:tc>
                <w:tcPr>
                  <w:tcW w:w="1560" w:type="pct"/>
                  <w:tcBorders>
                    <w:tl2br w:val="nil"/>
                    <w:tr2bl w:val="nil"/>
                  </w:tcBorders>
                  <w:shd w:val="clear" w:color="auto" w:fill="auto"/>
                  <w:tcMar>
                    <w:left w:w="28" w:type="dxa"/>
                    <w:right w:w="28" w:type="dxa"/>
                  </w:tcMar>
                  <w:vAlign w:val="center"/>
                </w:tcPr>
                <w:p w14:paraId="6DAD2774">
                  <w:pPr>
                    <w:pStyle w:val="21"/>
                    <w:keepNext w:val="0"/>
                    <w:keepLines w:val="0"/>
                    <w:pageBreakBefore w:val="0"/>
                    <w:widowControl/>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2024</w:t>
                  </w:r>
                  <w:r>
                    <w:rPr>
                      <w:rFonts w:hint="default" w:ascii="Times New Roman" w:hAnsi="Times New Roman" w:eastAsia="宋体" w:cs="Times New Roman"/>
                      <w:sz w:val="21"/>
                      <w:szCs w:val="21"/>
                    </w:rPr>
                    <w:t>年</w:t>
                  </w:r>
                  <w:r>
                    <w:rPr>
                      <w:rFonts w:hint="default" w:ascii="Times New Roman" w:hAnsi="Times New Roman" w:eastAsia="宋体" w:cs="Times New Roman"/>
                      <w:sz w:val="21"/>
                      <w:szCs w:val="21"/>
                      <w:lang w:val="en-US"/>
                    </w:rPr>
                    <w:t>2</w:t>
                  </w:r>
                  <w:r>
                    <w:rPr>
                      <w:rFonts w:hint="default" w:ascii="Times New Roman" w:hAnsi="Times New Roman" w:eastAsia="宋体" w:cs="Times New Roman"/>
                      <w:sz w:val="21"/>
                      <w:szCs w:val="21"/>
                    </w:rPr>
                    <w:t>周</w:t>
                  </w:r>
                </w:p>
              </w:tc>
              <w:tc>
                <w:tcPr>
                  <w:tcW w:w="620" w:type="pct"/>
                  <w:tcBorders>
                    <w:tl2br w:val="nil"/>
                    <w:tr2bl w:val="nil"/>
                  </w:tcBorders>
                  <w:shd w:val="clear" w:color="auto" w:fill="auto"/>
                  <w:tcMar>
                    <w:left w:w="28" w:type="dxa"/>
                    <w:right w:w="28" w:type="dxa"/>
                  </w:tcMar>
                  <w:vAlign w:val="center"/>
                </w:tcPr>
                <w:p w14:paraId="40AD34B1">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20.3</w:t>
                  </w:r>
                </w:p>
              </w:tc>
              <w:tc>
                <w:tcPr>
                  <w:tcW w:w="626" w:type="pct"/>
                  <w:tcBorders>
                    <w:tl2br w:val="nil"/>
                    <w:tr2bl w:val="nil"/>
                  </w:tcBorders>
                  <w:shd w:val="clear" w:color="auto" w:fill="auto"/>
                  <w:tcMar>
                    <w:left w:w="28" w:type="dxa"/>
                    <w:right w:w="28" w:type="dxa"/>
                  </w:tcMar>
                  <w:vAlign w:val="center"/>
                </w:tcPr>
                <w:p w14:paraId="4AF92A16">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1.74</w:t>
                  </w:r>
                </w:p>
              </w:tc>
              <w:tc>
                <w:tcPr>
                  <w:tcW w:w="626" w:type="pct"/>
                  <w:tcBorders>
                    <w:tl2br w:val="nil"/>
                    <w:tr2bl w:val="nil"/>
                  </w:tcBorders>
                  <w:shd w:val="clear" w:color="auto" w:fill="auto"/>
                  <w:tcMar>
                    <w:left w:w="28" w:type="dxa"/>
                    <w:right w:w="28" w:type="dxa"/>
                  </w:tcMar>
                  <w:vAlign w:val="center"/>
                </w:tcPr>
                <w:p w14:paraId="6A397864">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0.193</w:t>
                  </w:r>
                </w:p>
              </w:tc>
              <w:tc>
                <w:tcPr>
                  <w:tcW w:w="1566" w:type="pct"/>
                  <w:tcBorders>
                    <w:tl2br w:val="nil"/>
                    <w:tr2bl w:val="nil"/>
                  </w:tcBorders>
                  <w:shd w:val="clear" w:color="auto" w:fill="auto"/>
                  <w:tcMar>
                    <w:left w:w="28" w:type="dxa"/>
                    <w:right w:w="28" w:type="dxa"/>
                  </w:tcMar>
                  <w:vAlign w:val="center"/>
                </w:tcPr>
                <w:p w14:paraId="552CF3CF">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7.2</w:t>
                  </w:r>
                </w:p>
              </w:tc>
            </w:tr>
            <w:tr w14:paraId="39856A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jc w:val="center"/>
              </w:trPr>
              <w:tc>
                <w:tcPr>
                  <w:tcW w:w="1560" w:type="pct"/>
                  <w:tcBorders>
                    <w:tl2br w:val="nil"/>
                    <w:tr2bl w:val="nil"/>
                  </w:tcBorders>
                  <w:shd w:val="clear" w:color="auto" w:fill="auto"/>
                  <w:tcMar>
                    <w:left w:w="28" w:type="dxa"/>
                    <w:right w:w="28" w:type="dxa"/>
                  </w:tcMar>
                  <w:vAlign w:val="center"/>
                </w:tcPr>
                <w:p w14:paraId="7C53A49E">
                  <w:pPr>
                    <w:pStyle w:val="21"/>
                    <w:keepNext w:val="0"/>
                    <w:keepLines w:val="0"/>
                    <w:pageBreakBefore w:val="0"/>
                    <w:widowControl/>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2024</w:t>
                  </w:r>
                  <w:r>
                    <w:rPr>
                      <w:rFonts w:hint="default" w:ascii="Times New Roman" w:hAnsi="Times New Roman" w:eastAsia="宋体" w:cs="Times New Roman"/>
                      <w:sz w:val="21"/>
                      <w:szCs w:val="21"/>
                    </w:rPr>
                    <w:t>年</w:t>
                  </w:r>
                  <w:r>
                    <w:rPr>
                      <w:rFonts w:hint="default" w:ascii="Times New Roman" w:hAnsi="Times New Roman" w:eastAsia="宋体" w:cs="Times New Roman"/>
                      <w:sz w:val="21"/>
                      <w:szCs w:val="21"/>
                      <w:lang w:val="en-US"/>
                    </w:rPr>
                    <w:t>3</w:t>
                  </w:r>
                  <w:r>
                    <w:rPr>
                      <w:rFonts w:hint="default" w:ascii="Times New Roman" w:hAnsi="Times New Roman" w:eastAsia="宋体" w:cs="Times New Roman"/>
                      <w:sz w:val="21"/>
                      <w:szCs w:val="21"/>
                    </w:rPr>
                    <w:t>周</w:t>
                  </w:r>
                </w:p>
              </w:tc>
              <w:tc>
                <w:tcPr>
                  <w:tcW w:w="620" w:type="pct"/>
                  <w:tcBorders>
                    <w:tl2br w:val="nil"/>
                    <w:tr2bl w:val="nil"/>
                  </w:tcBorders>
                  <w:shd w:val="clear" w:color="auto" w:fill="auto"/>
                  <w:tcMar>
                    <w:left w:w="28" w:type="dxa"/>
                    <w:right w:w="28" w:type="dxa"/>
                  </w:tcMar>
                  <w:vAlign w:val="center"/>
                </w:tcPr>
                <w:p w14:paraId="2883E390">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18.9</w:t>
                  </w:r>
                </w:p>
              </w:tc>
              <w:tc>
                <w:tcPr>
                  <w:tcW w:w="626" w:type="pct"/>
                  <w:tcBorders>
                    <w:tl2br w:val="nil"/>
                    <w:tr2bl w:val="nil"/>
                  </w:tcBorders>
                  <w:shd w:val="clear" w:color="auto" w:fill="auto"/>
                  <w:tcMar>
                    <w:left w:w="28" w:type="dxa"/>
                    <w:right w:w="28" w:type="dxa"/>
                  </w:tcMar>
                  <w:vAlign w:val="center"/>
                </w:tcPr>
                <w:p w14:paraId="7C0BD2F4">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1.69</w:t>
                  </w:r>
                </w:p>
              </w:tc>
              <w:tc>
                <w:tcPr>
                  <w:tcW w:w="626" w:type="pct"/>
                  <w:tcBorders>
                    <w:tl2br w:val="nil"/>
                    <w:tr2bl w:val="nil"/>
                  </w:tcBorders>
                  <w:shd w:val="clear" w:color="auto" w:fill="auto"/>
                  <w:tcMar>
                    <w:left w:w="28" w:type="dxa"/>
                    <w:right w:w="28" w:type="dxa"/>
                  </w:tcMar>
                  <w:vAlign w:val="center"/>
                </w:tcPr>
                <w:p w14:paraId="5D371DA6">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0.22</w:t>
                  </w:r>
                </w:p>
              </w:tc>
              <w:tc>
                <w:tcPr>
                  <w:tcW w:w="1566" w:type="pct"/>
                  <w:tcBorders>
                    <w:tl2br w:val="nil"/>
                    <w:tr2bl w:val="nil"/>
                  </w:tcBorders>
                  <w:shd w:val="clear" w:color="auto" w:fill="auto"/>
                  <w:tcMar>
                    <w:left w:w="28" w:type="dxa"/>
                    <w:right w:w="28" w:type="dxa"/>
                  </w:tcMar>
                  <w:vAlign w:val="center"/>
                </w:tcPr>
                <w:p w14:paraId="4CB7AC13">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6.9</w:t>
                  </w:r>
                </w:p>
              </w:tc>
            </w:tr>
            <w:tr w14:paraId="4EA411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20" w:hRule="atLeast"/>
                <w:jc w:val="center"/>
              </w:trPr>
              <w:tc>
                <w:tcPr>
                  <w:tcW w:w="1560" w:type="pct"/>
                  <w:tcBorders>
                    <w:tl2br w:val="nil"/>
                    <w:tr2bl w:val="nil"/>
                  </w:tcBorders>
                  <w:shd w:val="clear" w:color="auto" w:fill="auto"/>
                  <w:tcMar>
                    <w:left w:w="28" w:type="dxa"/>
                    <w:right w:w="28" w:type="dxa"/>
                  </w:tcMar>
                  <w:vAlign w:val="center"/>
                </w:tcPr>
                <w:p w14:paraId="6E833A29">
                  <w:pPr>
                    <w:pStyle w:val="21"/>
                    <w:keepNext w:val="0"/>
                    <w:keepLines w:val="0"/>
                    <w:pageBreakBefore w:val="0"/>
                    <w:widowControl/>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2024</w:t>
                  </w:r>
                  <w:r>
                    <w:rPr>
                      <w:rFonts w:hint="default" w:ascii="Times New Roman" w:hAnsi="Times New Roman" w:eastAsia="宋体" w:cs="Times New Roman"/>
                      <w:sz w:val="21"/>
                      <w:szCs w:val="21"/>
                    </w:rPr>
                    <w:t>年</w:t>
                  </w:r>
                  <w:r>
                    <w:rPr>
                      <w:rFonts w:hint="default" w:ascii="Times New Roman" w:hAnsi="Times New Roman" w:eastAsia="宋体" w:cs="Times New Roman"/>
                      <w:sz w:val="21"/>
                      <w:szCs w:val="21"/>
                      <w:lang w:val="en-US"/>
                    </w:rPr>
                    <w:t>4</w:t>
                  </w:r>
                  <w:r>
                    <w:rPr>
                      <w:rFonts w:hint="default" w:ascii="Times New Roman" w:hAnsi="Times New Roman" w:eastAsia="宋体" w:cs="Times New Roman"/>
                      <w:sz w:val="21"/>
                      <w:szCs w:val="21"/>
                    </w:rPr>
                    <w:t>周</w:t>
                  </w:r>
                </w:p>
              </w:tc>
              <w:tc>
                <w:tcPr>
                  <w:tcW w:w="620" w:type="pct"/>
                  <w:tcBorders>
                    <w:tl2br w:val="nil"/>
                    <w:tr2bl w:val="nil"/>
                  </w:tcBorders>
                  <w:shd w:val="clear" w:color="auto" w:fill="auto"/>
                  <w:tcMar>
                    <w:left w:w="28" w:type="dxa"/>
                    <w:right w:w="28" w:type="dxa"/>
                  </w:tcMar>
                  <w:vAlign w:val="center"/>
                </w:tcPr>
                <w:p w14:paraId="3A35201D">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16.9</w:t>
                  </w:r>
                </w:p>
              </w:tc>
              <w:tc>
                <w:tcPr>
                  <w:tcW w:w="626" w:type="pct"/>
                  <w:tcBorders>
                    <w:tl2br w:val="nil"/>
                    <w:tr2bl w:val="nil"/>
                  </w:tcBorders>
                  <w:shd w:val="clear" w:color="auto" w:fill="auto"/>
                  <w:tcMar>
                    <w:left w:w="28" w:type="dxa"/>
                    <w:right w:w="28" w:type="dxa"/>
                  </w:tcMar>
                  <w:vAlign w:val="center"/>
                </w:tcPr>
                <w:p w14:paraId="07A7004B">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1.12</w:t>
                  </w:r>
                </w:p>
              </w:tc>
              <w:tc>
                <w:tcPr>
                  <w:tcW w:w="626" w:type="pct"/>
                  <w:tcBorders>
                    <w:tl2br w:val="nil"/>
                    <w:tr2bl w:val="nil"/>
                  </w:tcBorders>
                  <w:shd w:val="clear" w:color="auto" w:fill="auto"/>
                  <w:tcMar>
                    <w:left w:w="28" w:type="dxa"/>
                    <w:right w:w="28" w:type="dxa"/>
                  </w:tcMar>
                  <w:vAlign w:val="center"/>
                </w:tcPr>
                <w:p w14:paraId="15471726">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0.205</w:t>
                  </w:r>
                </w:p>
              </w:tc>
              <w:tc>
                <w:tcPr>
                  <w:tcW w:w="1566" w:type="pct"/>
                  <w:tcBorders>
                    <w:tl2br w:val="nil"/>
                    <w:tr2bl w:val="nil"/>
                  </w:tcBorders>
                  <w:shd w:val="clear" w:color="auto" w:fill="auto"/>
                  <w:tcMar>
                    <w:left w:w="28" w:type="dxa"/>
                    <w:right w:w="28" w:type="dxa"/>
                  </w:tcMar>
                  <w:vAlign w:val="center"/>
                </w:tcPr>
                <w:p w14:paraId="17B6B8B6">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6.8</w:t>
                  </w:r>
                </w:p>
              </w:tc>
            </w:tr>
            <w:tr w14:paraId="48115F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jc w:val="center"/>
              </w:trPr>
              <w:tc>
                <w:tcPr>
                  <w:tcW w:w="1560" w:type="pct"/>
                  <w:tcBorders>
                    <w:tl2br w:val="nil"/>
                    <w:tr2bl w:val="nil"/>
                  </w:tcBorders>
                  <w:shd w:val="clear" w:color="auto" w:fill="auto"/>
                  <w:tcMar>
                    <w:left w:w="28" w:type="dxa"/>
                    <w:right w:w="28" w:type="dxa"/>
                  </w:tcMar>
                  <w:vAlign w:val="center"/>
                </w:tcPr>
                <w:p w14:paraId="1DD06AE8">
                  <w:pPr>
                    <w:pStyle w:val="21"/>
                    <w:keepNext w:val="0"/>
                    <w:keepLines w:val="0"/>
                    <w:pageBreakBefore w:val="0"/>
                    <w:widowControl/>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2024</w:t>
                  </w:r>
                  <w:r>
                    <w:rPr>
                      <w:rFonts w:hint="default" w:ascii="Times New Roman" w:hAnsi="Times New Roman" w:eastAsia="宋体" w:cs="Times New Roman"/>
                      <w:sz w:val="21"/>
                      <w:szCs w:val="21"/>
                    </w:rPr>
                    <w:t>年</w:t>
                  </w:r>
                  <w:r>
                    <w:rPr>
                      <w:rFonts w:hint="default" w:ascii="Times New Roman" w:hAnsi="Times New Roman" w:eastAsia="宋体" w:cs="Times New Roman"/>
                      <w:sz w:val="21"/>
                      <w:szCs w:val="21"/>
                      <w:lang w:val="en-US"/>
                    </w:rPr>
                    <w:t>5</w:t>
                  </w:r>
                  <w:r>
                    <w:rPr>
                      <w:rFonts w:hint="default" w:ascii="Times New Roman" w:hAnsi="Times New Roman" w:eastAsia="宋体" w:cs="Times New Roman"/>
                      <w:sz w:val="21"/>
                      <w:szCs w:val="21"/>
                    </w:rPr>
                    <w:t>周</w:t>
                  </w:r>
                </w:p>
              </w:tc>
              <w:tc>
                <w:tcPr>
                  <w:tcW w:w="620" w:type="pct"/>
                  <w:tcBorders>
                    <w:tl2br w:val="nil"/>
                    <w:tr2bl w:val="nil"/>
                  </w:tcBorders>
                  <w:shd w:val="clear" w:color="auto" w:fill="auto"/>
                  <w:tcMar>
                    <w:left w:w="28" w:type="dxa"/>
                    <w:right w:w="28" w:type="dxa"/>
                  </w:tcMar>
                  <w:vAlign w:val="center"/>
                </w:tcPr>
                <w:p w14:paraId="19AC39A0">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19.1</w:t>
                  </w:r>
                </w:p>
              </w:tc>
              <w:tc>
                <w:tcPr>
                  <w:tcW w:w="626" w:type="pct"/>
                  <w:tcBorders>
                    <w:tl2br w:val="nil"/>
                    <w:tr2bl w:val="nil"/>
                  </w:tcBorders>
                  <w:shd w:val="clear" w:color="auto" w:fill="auto"/>
                  <w:tcMar>
                    <w:left w:w="28" w:type="dxa"/>
                    <w:right w:w="28" w:type="dxa"/>
                  </w:tcMar>
                  <w:vAlign w:val="center"/>
                </w:tcPr>
                <w:p w14:paraId="6017505B">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0.79</w:t>
                  </w:r>
                </w:p>
              </w:tc>
              <w:tc>
                <w:tcPr>
                  <w:tcW w:w="626" w:type="pct"/>
                  <w:tcBorders>
                    <w:tl2br w:val="nil"/>
                    <w:tr2bl w:val="nil"/>
                  </w:tcBorders>
                  <w:shd w:val="clear" w:color="auto" w:fill="auto"/>
                  <w:tcMar>
                    <w:left w:w="28" w:type="dxa"/>
                    <w:right w:w="28" w:type="dxa"/>
                  </w:tcMar>
                  <w:vAlign w:val="center"/>
                </w:tcPr>
                <w:p w14:paraId="39CBE543">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0.178</w:t>
                  </w:r>
                </w:p>
              </w:tc>
              <w:tc>
                <w:tcPr>
                  <w:tcW w:w="1566" w:type="pct"/>
                  <w:tcBorders>
                    <w:tl2br w:val="nil"/>
                    <w:tr2bl w:val="nil"/>
                  </w:tcBorders>
                  <w:shd w:val="clear" w:color="auto" w:fill="auto"/>
                  <w:tcMar>
                    <w:left w:w="28" w:type="dxa"/>
                    <w:right w:w="28" w:type="dxa"/>
                  </w:tcMar>
                  <w:vAlign w:val="center"/>
                </w:tcPr>
                <w:p w14:paraId="76773AEE">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6</w:t>
                  </w:r>
                </w:p>
              </w:tc>
            </w:tr>
            <w:tr w14:paraId="69446C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20" w:hRule="atLeast"/>
                <w:jc w:val="center"/>
              </w:trPr>
              <w:tc>
                <w:tcPr>
                  <w:tcW w:w="1560" w:type="pct"/>
                  <w:tcBorders>
                    <w:tl2br w:val="nil"/>
                    <w:tr2bl w:val="nil"/>
                  </w:tcBorders>
                  <w:shd w:val="clear" w:color="auto" w:fill="auto"/>
                  <w:tcMar>
                    <w:left w:w="28" w:type="dxa"/>
                    <w:right w:w="28" w:type="dxa"/>
                  </w:tcMar>
                  <w:vAlign w:val="center"/>
                </w:tcPr>
                <w:p w14:paraId="0E8DCC84">
                  <w:pPr>
                    <w:pStyle w:val="21"/>
                    <w:keepNext w:val="0"/>
                    <w:keepLines w:val="0"/>
                    <w:pageBreakBefore w:val="0"/>
                    <w:widowControl/>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2024</w:t>
                  </w:r>
                  <w:r>
                    <w:rPr>
                      <w:rFonts w:hint="default" w:ascii="Times New Roman" w:hAnsi="Times New Roman" w:eastAsia="宋体" w:cs="Times New Roman"/>
                      <w:sz w:val="21"/>
                      <w:szCs w:val="21"/>
                    </w:rPr>
                    <w:t>年</w:t>
                  </w:r>
                  <w:r>
                    <w:rPr>
                      <w:rFonts w:hint="default" w:ascii="Times New Roman" w:hAnsi="Times New Roman" w:eastAsia="宋体" w:cs="Times New Roman"/>
                      <w:sz w:val="21"/>
                      <w:szCs w:val="21"/>
                      <w:lang w:val="en-US"/>
                    </w:rPr>
                    <w:t>6</w:t>
                  </w:r>
                  <w:r>
                    <w:rPr>
                      <w:rFonts w:hint="default" w:ascii="Times New Roman" w:hAnsi="Times New Roman" w:eastAsia="宋体" w:cs="Times New Roman"/>
                      <w:sz w:val="21"/>
                      <w:szCs w:val="21"/>
                    </w:rPr>
                    <w:t>周</w:t>
                  </w:r>
                </w:p>
              </w:tc>
              <w:tc>
                <w:tcPr>
                  <w:tcW w:w="620" w:type="pct"/>
                  <w:tcBorders>
                    <w:tl2br w:val="nil"/>
                    <w:tr2bl w:val="nil"/>
                  </w:tcBorders>
                  <w:shd w:val="clear" w:color="auto" w:fill="auto"/>
                  <w:tcMar>
                    <w:left w:w="28" w:type="dxa"/>
                    <w:right w:w="28" w:type="dxa"/>
                  </w:tcMar>
                  <w:vAlign w:val="center"/>
                </w:tcPr>
                <w:p w14:paraId="01E1D7D8">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16.7</w:t>
                  </w:r>
                </w:p>
              </w:tc>
              <w:tc>
                <w:tcPr>
                  <w:tcW w:w="626" w:type="pct"/>
                  <w:tcBorders>
                    <w:tl2br w:val="nil"/>
                    <w:tr2bl w:val="nil"/>
                  </w:tcBorders>
                  <w:shd w:val="clear" w:color="auto" w:fill="auto"/>
                  <w:tcMar>
                    <w:left w:w="28" w:type="dxa"/>
                    <w:right w:w="28" w:type="dxa"/>
                  </w:tcMar>
                  <w:vAlign w:val="center"/>
                </w:tcPr>
                <w:p w14:paraId="1B1F08DF">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1.374</w:t>
                  </w:r>
                </w:p>
              </w:tc>
              <w:tc>
                <w:tcPr>
                  <w:tcW w:w="626" w:type="pct"/>
                  <w:tcBorders>
                    <w:tl2br w:val="nil"/>
                    <w:tr2bl w:val="nil"/>
                  </w:tcBorders>
                  <w:shd w:val="clear" w:color="auto" w:fill="auto"/>
                  <w:tcMar>
                    <w:left w:w="28" w:type="dxa"/>
                    <w:right w:w="28" w:type="dxa"/>
                  </w:tcMar>
                  <w:vAlign w:val="center"/>
                </w:tcPr>
                <w:p w14:paraId="51C5A43E">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0.197</w:t>
                  </w:r>
                </w:p>
              </w:tc>
              <w:tc>
                <w:tcPr>
                  <w:tcW w:w="1566" w:type="pct"/>
                  <w:tcBorders>
                    <w:tl2br w:val="nil"/>
                    <w:tr2bl w:val="nil"/>
                  </w:tcBorders>
                  <w:shd w:val="clear" w:color="auto" w:fill="auto"/>
                  <w:tcMar>
                    <w:left w:w="28" w:type="dxa"/>
                    <w:right w:w="28" w:type="dxa"/>
                  </w:tcMar>
                  <w:vAlign w:val="center"/>
                </w:tcPr>
                <w:p w14:paraId="60B0F835">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6.3</w:t>
                  </w:r>
                </w:p>
              </w:tc>
            </w:tr>
            <w:tr w14:paraId="020042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20" w:hRule="atLeast"/>
                <w:jc w:val="center"/>
              </w:trPr>
              <w:tc>
                <w:tcPr>
                  <w:tcW w:w="1560" w:type="pct"/>
                  <w:tcBorders>
                    <w:tl2br w:val="nil"/>
                    <w:tr2bl w:val="nil"/>
                  </w:tcBorders>
                  <w:shd w:val="clear" w:color="auto" w:fill="auto"/>
                  <w:tcMar>
                    <w:left w:w="28" w:type="dxa"/>
                    <w:right w:w="28" w:type="dxa"/>
                  </w:tcMar>
                  <w:vAlign w:val="center"/>
                </w:tcPr>
                <w:p w14:paraId="10B2219B">
                  <w:pPr>
                    <w:pStyle w:val="21"/>
                    <w:keepNext w:val="0"/>
                    <w:keepLines w:val="0"/>
                    <w:pageBreakBefore w:val="0"/>
                    <w:widowControl/>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2024</w:t>
                  </w:r>
                  <w:r>
                    <w:rPr>
                      <w:rFonts w:hint="default" w:ascii="Times New Roman" w:hAnsi="Times New Roman" w:eastAsia="宋体" w:cs="Times New Roman"/>
                      <w:sz w:val="21"/>
                      <w:szCs w:val="21"/>
                    </w:rPr>
                    <w:t>年</w:t>
                  </w:r>
                  <w:r>
                    <w:rPr>
                      <w:rFonts w:hint="default" w:ascii="Times New Roman" w:hAnsi="Times New Roman" w:eastAsia="宋体" w:cs="Times New Roman"/>
                      <w:sz w:val="21"/>
                      <w:szCs w:val="21"/>
                      <w:lang w:val="en-US"/>
                    </w:rPr>
                    <w:t>7</w:t>
                  </w:r>
                  <w:r>
                    <w:rPr>
                      <w:rFonts w:hint="default" w:ascii="Times New Roman" w:hAnsi="Times New Roman" w:eastAsia="宋体" w:cs="Times New Roman"/>
                      <w:sz w:val="21"/>
                      <w:szCs w:val="21"/>
                    </w:rPr>
                    <w:t>周</w:t>
                  </w:r>
                </w:p>
              </w:tc>
              <w:tc>
                <w:tcPr>
                  <w:tcW w:w="620" w:type="pct"/>
                  <w:tcBorders>
                    <w:tl2br w:val="nil"/>
                    <w:tr2bl w:val="nil"/>
                  </w:tcBorders>
                  <w:shd w:val="clear" w:color="auto" w:fill="auto"/>
                  <w:tcMar>
                    <w:left w:w="28" w:type="dxa"/>
                    <w:right w:w="28" w:type="dxa"/>
                  </w:tcMar>
                  <w:vAlign w:val="center"/>
                </w:tcPr>
                <w:p w14:paraId="539B18A9">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14.7</w:t>
                  </w:r>
                </w:p>
              </w:tc>
              <w:tc>
                <w:tcPr>
                  <w:tcW w:w="626" w:type="pct"/>
                  <w:tcBorders>
                    <w:tl2br w:val="nil"/>
                    <w:tr2bl w:val="nil"/>
                  </w:tcBorders>
                  <w:shd w:val="clear" w:color="auto" w:fill="auto"/>
                  <w:tcMar>
                    <w:left w:w="28" w:type="dxa"/>
                    <w:right w:w="28" w:type="dxa"/>
                  </w:tcMar>
                  <w:vAlign w:val="center"/>
                </w:tcPr>
                <w:p w14:paraId="0A0D3267">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1.73</w:t>
                  </w:r>
                </w:p>
              </w:tc>
              <w:tc>
                <w:tcPr>
                  <w:tcW w:w="626" w:type="pct"/>
                  <w:tcBorders>
                    <w:tl2br w:val="nil"/>
                    <w:tr2bl w:val="nil"/>
                  </w:tcBorders>
                  <w:shd w:val="clear" w:color="auto" w:fill="auto"/>
                  <w:tcMar>
                    <w:left w:w="28" w:type="dxa"/>
                    <w:right w:w="28" w:type="dxa"/>
                  </w:tcMar>
                  <w:vAlign w:val="center"/>
                </w:tcPr>
                <w:p w14:paraId="16293ED8">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0.22</w:t>
                  </w:r>
                </w:p>
              </w:tc>
              <w:tc>
                <w:tcPr>
                  <w:tcW w:w="1566" w:type="pct"/>
                  <w:tcBorders>
                    <w:tl2br w:val="nil"/>
                    <w:tr2bl w:val="nil"/>
                  </w:tcBorders>
                  <w:shd w:val="clear" w:color="auto" w:fill="auto"/>
                  <w:tcMar>
                    <w:left w:w="28" w:type="dxa"/>
                    <w:right w:w="28" w:type="dxa"/>
                  </w:tcMar>
                  <w:vAlign w:val="center"/>
                </w:tcPr>
                <w:p w14:paraId="01574BA3">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5.7</w:t>
                  </w:r>
                </w:p>
              </w:tc>
            </w:tr>
            <w:tr w14:paraId="1CCA2B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jc w:val="center"/>
              </w:trPr>
              <w:tc>
                <w:tcPr>
                  <w:tcW w:w="1560" w:type="pct"/>
                  <w:tcBorders>
                    <w:tl2br w:val="nil"/>
                    <w:tr2bl w:val="nil"/>
                  </w:tcBorders>
                  <w:shd w:val="clear" w:color="auto" w:fill="auto"/>
                  <w:tcMar>
                    <w:left w:w="28" w:type="dxa"/>
                    <w:right w:w="28" w:type="dxa"/>
                  </w:tcMar>
                  <w:vAlign w:val="center"/>
                </w:tcPr>
                <w:p w14:paraId="7FACECE2">
                  <w:pPr>
                    <w:pStyle w:val="21"/>
                    <w:keepNext w:val="0"/>
                    <w:keepLines w:val="0"/>
                    <w:pageBreakBefore w:val="0"/>
                    <w:widowControl/>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2024</w:t>
                  </w:r>
                  <w:r>
                    <w:rPr>
                      <w:rFonts w:hint="default" w:ascii="Times New Roman" w:hAnsi="Times New Roman" w:eastAsia="宋体" w:cs="Times New Roman"/>
                      <w:sz w:val="21"/>
                      <w:szCs w:val="21"/>
                    </w:rPr>
                    <w:t>年</w:t>
                  </w:r>
                  <w:r>
                    <w:rPr>
                      <w:rFonts w:hint="default" w:ascii="Times New Roman" w:hAnsi="Times New Roman" w:eastAsia="宋体" w:cs="Times New Roman"/>
                      <w:sz w:val="21"/>
                      <w:szCs w:val="21"/>
                      <w:lang w:val="en-US"/>
                    </w:rPr>
                    <w:t>8</w:t>
                  </w:r>
                  <w:r>
                    <w:rPr>
                      <w:rFonts w:hint="default" w:ascii="Times New Roman" w:hAnsi="Times New Roman" w:eastAsia="宋体" w:cs="Times New Roman"/>
                      <w:sz w:val="21"/>
                      <w:szCs w:val="21"/>
                    </w:rPr>
                    <w:t>周</w:t>
                  </w:r>
                </w:p>
              </w:tc>
              <w:tc>
                <w:tcPr>
                  <w:tcW w:w="620" w:type="pct"/>
                  <w:tcBorders>
                    <w:tl2br w:val="nil"/>
                    <w:tr2bl w:val="nil"/>
                  </w:tcBorders>
                  <w:shd w:val="clear" w:color="auto" w:fill="auto"/>
                  <w:tcMar>
                    <w:left w:w="28" w:type="dxa"/>
                    <w:right w:w="28" w:type="dxa"/>
                  </w:tcMar>
                  <w:vAlign w:val="center"/>
                </w:tcPr>
                <w:p w14:paraId="731B9F20">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16.3</w:t>
                  </w:r>
                </w:p>
              </w:tc>
              <w:tc>
                <w:tcPr>
                  <w:tcW w:w="626" w:type="pct"/>
                  <w:tcBorders>
                    <w:tl2br w:val="nil"/>
                    <w:tr2bl w:val="nil"/>
                  </w:tcBorders>
                  <w:shd w:val="clear" w:color="auto" w:fill="auto"/>
                  <w:tcMar>
                    <w:left w:w="28" w:type="dxa"/>
                    <w:right w:w="28" w:type="dxa"/>
                  </w:tcMar>
                  <w:vAlign w:val="center"/>
                </w:tcPr>
                <w:p w14:paraId="5147024D">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1.77</w:t>
                  </w:r>
                </w:p>
              </w:tc>
              <w:tc>
                <w:tcPr>
                  <w:tcW w:w="626" w:type="pct"/>
                  <w:tcBorders>
                    <w:tl2br w:val="nil"/>
                    <w:tr2bl w:val="nil"/>
                  </w:tcBorders>
                  <w:shd w:val="clear" w:color="auto" w:fill="auto"/>
                  <w:tcMar>
                    <w:left w:w="28" w:type="dxa"/>
                    <w:right w:w="28" w:type="dxa"/>
                  </w:tcMar>
                  <w:vAlign w:val="center"/>
                </w:tcPr>
                <w:p w14:paraId="584DC5E9">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0.253</w:t>
                  </w:r>
                </w:p>
              </w:tc>
              <w:tc>
                <w:tcPr>
                  <w:tcW w:w="1566" w:type="pct"/>
                  <w:tcBorders>
                    <w:tl2br w:val="nil"/>
                    <w:tr2bl w:val="nil"/>
                  </w:tcBorders>
                  <w:shd w:val="clear" w:color="auto" w:fill="auto"/>
                  <w:tcMar>
                    <w:left w:w="28" w:type="dxa"/>
                    <w:right w:w="28" w:type="dxa"/>
                  </w:tcMar>
                  <w:vAlign w:val="center"/>
                </w:tcPr>
                <w:p w14:paraId="2BCB9C47">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6.2</w:t>
                  </w:r>
                </w:p>
              </w:tc>
            </w:tr>
            <w:tr w14:paraId="7BC538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jc w:val="center"/>
              </w:trPr>
              <w:tc>
                <w:tcPr>
                  <w:tcW w:w="1560" w:type="pct"/>
                  <w:tcBorders>
                    <w:tl2br w:val="nil"/>
                    <w:tr2bl w:val="nil"/>
                  </w:tcBorders>
                  <w:shd w:val="clear" w:color="auto" w:fill="auto"/>
                  <w:tcMar>
                    <w:left w:w="28" w:type="dxa"/>
                    <w:right w:w="28" w:type="dxa"/>
                  </w:tcMar>
                  <w:vAlign w:val="center"/>
                </w:tcPr>
                <w:p w14:paraId="45A79F08">
                  <w:pPr>
                    <w:pStyle w:val="21"/>
                    <w:keepNext w:val="0"/>
                    <w:keepLines w:val="0"/>
                    <w:pageBreakBefore w:val="0"/>
                    <w:widowControl/>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2024</w:t>
                  </w:r>
                  <w:r>
                    <w:rPr>
                      <w:rFonts w:hint="default" w:ascii="Times New Roman" w:hAnsi="Times New Roman" w:eastAsia="宋体" w:cs="Times New Roman"/>
                      <w:sz w:val="21"/>
                      <w:szCs w:val="21"/>
                    </w:rPr>
                    <w:t>年</w:t>
                  </w:r>
                  <w:r>
                    <w:rPr>
                      <w:rFonts w:hint="default" w:ascii="Times New Roman" w:hAnsi="Times New Roman" w:eastAsia="宋体" w:cs="Times New Roman"/>
                      <w:sz w:val="21"/>
                      <w:szCs w:val="21"/>
                      <w:lang w:val="en-US"/>
                    </w:rPr>
                    <w:t>9</w:t>
                  </w:r>
                  <w:r>
                    <w:rPr>
                      <w:rFonts w:hint="default" w:ascii="Times New Roman" w:hAnsi="Times New Roman" w:eastAsia="宋体" w:cs="Times New Roman"/>
                      <w:sz w:val="21"/>
                      <w:szCs w:val="21"/>
                    </w:rPr>
                    <w:t>周</w:t>
                  </w:r>
                </w:p>
              </w:tc>
              <w:tc>
                <w:tcPr>
                  <w:tcW w:w="620" w:type="pct"/>
                  <w:tcBorders>
                    <w:tl2br w:val="nil"/>
                    <w:tr2bl w:val="nil"/>
                  </w:tcBorders>
                  <w:shd w:val="clear" w:color="auto" w:fill="auto"/>
                  <w:tcMar>
                    <w:left w:w="28" w:type="dxa"/>
                    <w:right w:w="28" w:type="dxa"/>
                  </w:tcMar>
                  <w:vAlign w:val="center"/>
                </w:tcPr>
                <w:p w14:paraId="011A5F6D">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17.2</w:t>
                  </w:r>
                </w:p>
              </w:tc>
              <w:tc>
                <w:tcPr>
                  <w:tcW w:w="626" w:type="pct"/>
                  <w:tcBorders>
                    <w:tl2br w:val="nil"/>
                    <w:tr2bl w:val="nil"/>
                  </w:tcBorders>
                  <w:shd w:val="clear" w:color="auto" w:fill="auto"/>
                  <w:tcMar>
                    <w:left w:w="28" w:type="dxa"/>
                    <w:right w:w="28" w:type="dxa"/>
                  </w:tcMar>
                  <w:vAlign w:val="center"/>
                </w:tcPr>
                <w:p w14:paraId="27F61373">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1.562</w:t>
                  </w:r>
                </w:p>
              </w:tc>
              <w:tc>
                <w:tcPr>
                  <w:tcW w:w="626" w:type="pct"/>
                  <w:tcBorders>
                    <w:tl2br w:val="nil"/>
                    <w:tr2bl w:val="nil"/>
                  </w:tcBorders>
                  <w:shd w:val="clear" w:color="auto" w:fill="auto"/>
                  <w:tcMar>
                    <w:left w:w="28" w:type="dxa"/>
                    <w:right w:w="28" w:type="dxa"/>
                  </w:tcMar>
                  <w:vAlign w:val="center"/>
                </w:tcPr>
                <w:p w14:paraId="49E2CC14">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0.229</w:t>
                  </w:r>
                </w:p>
              </w:tc>
              <w:tc>
                <w:tcPr>
                  <w:tcW w:w="1566" w:type="pct"/>
                  <w:tcBorders>
                    <w:tl2br w:val="nil"/>
                    <w:tr2bl w:val="nil"/>
                  </w:tcBorders>
                  <w:shd w:val="clear" w:color="auto" w:fill="auto"/>
                  <w:tcMar>
                    <w:left w:w="28" w:type="dxa"/>
                    <w:right w:w="28" w:type="dxa"/>
                  </w:tcMar>
                  <w:vAlign w:val="center"/>
                </w:tcPr>
                <w:p w14:paraId="352FD0F1">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6.9</w:t>
                  </w:r>
                </w:p>
              </w:tc>
            </w:tr>
            <w:tr w14:paraId="5D20D9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jc w:val="center"/>
              </w:trPr>
              <w:tc>
                <w:tcPr>
                  <w:tcW w:w="1560" w:type="pct"/>
                  <w:tcBorders>
                    <w:tl2br w:val="nil"/>
                    <w:tr2bl w:val="nil"/>
                  </w:tcBorders>
                  <w:shd w:val="clear" w:color="auto" w:fill="auto"/>
                  <w:tcMar>
                    <w:left w:w="28" w:type="dxa"/>
                    <w:right w:w="28" w:type="dxa"/>
                  </w:tcMar>
                  <w:vAlign w:val="center"/>
                </w:tcPr>
                <w:p w14:paraId="6B8DC94E">
                  <w:pPr>
                    <w:pStyle w:val="21"/>
                    <w:keepNext w:val="0"/>
                    <w:keepLines w:val="0"/>
                    <w:pageBreakBefore w:val="0"/>
                    <w:widowControl/>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2024</w:t>
                  </w:r>
                  <w:r>
                    <w:rPr>
                      <w:rFonts w:hint="default" w:ascii="Times New Roman" w:hAnsi="Times New Roman" w:eastAsia="宋体" w:cs="Times New Roman"/>
                      <w:sz w:val="21"/>
                      <w:szCs w:val="21"/>
                    </w:rPr>
                    <w:t>年</w:t>
                  </w:r>
                  <w:r>
                    <w:rPr>
                      <w:rFonts w:hint="default" w:ascii="Times New Roman" w:hAnsi="Times New Roman" w:eastAsia="宋体" w:cs="Times New Roman"/>
                      <w:sz w:val="21"/>
                      <w:szCs w:val="21"/>
                      <w:lang w:val="en-US"/>
                    </w:rPr>
                    <w:t>10</w:t>
                  </w:r>
                  <w:r>
                    <w:rPr>
                      <w:rFonts w:hint="default" w:ascii="Times New Roman" w:hAnsi="Times New Roman" w:eastAsia="宋体" w:cs="Times New Roman"/>
                      <w:sz w:val="21"/>
                      <w:szCs w:val="21"/>
                    </w:rPr>
                    <w:t>周</w:t>
                  </w:r>
                </w:p>
              </w:tc>
              <w:tc>
                <w:tcPr>
                  <w:tcW w:w="620" w:type="pct"/>
                  <w:tcBorders>
                    <w:tl2br w:val="nil"/>
                    <w:tr2bl w:val="nil"/>
                  </w:tcBorders>
                  <w:shd w:val="clear" w:color="auto" w:fill="auto"/>
                  <w:tcMar>
                    <w:left w:w="28" w:type="dxa"/>
                    <w:right w:w="28" w:type="dxa"/>
                  </w:tcMar>
                  <w:vAlign w:val="center"/>
                </w:tcPr>
                <w:p w14:paraId="5686994C">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17.6</w:t>
                  </w:r>
                </w:p>
              </w:tc>
              <w:tc>
                <w:tcPr>
                  <w:tcW w:w="626" w:type="pct"/>
                  <w:tcBorders>
                    <w:tl2br w:val="nil"/>
                    <w:tr2bl w:val="nil"/>
                  </w:tcBorders>
                  <w:shd w:val="clear" w:color="auto" w:fill="auto"/>
                  <w:tcMar>
                    <w:left w:w="28" w:type="dxa"/>
                    <w:right w:w="28" w:type="dxa"/>
                  </w:tcMar>
                  <w:vAlign w:val="center"/>
                </w:tcPr>
                <w:p w14:paraId="6BCF76A2">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1.37</w:t>
                  </w:r>
                </w:p>
              </w:tc>
              <w:tc>
                <w:tcPr>
                  <w:tcW w:w="626" w:type="pct"/>
                  <w:tcBorders>
                    <w:tl2br w:val="nil"/>
                    <w:tr2bl w:val="nil"/>
                  </w:tcBorders>
                  <w:shd w:val="clear" w:color="auto" w:fill="auto"/>
                  <w:tcMar>
                    <w:left w:w="28" w:type="dxa"/>
                    <w:right w:w="28" w:type="dxa"/>
                  </w:tcMar>
                  <w:vAlign w:val="center"/>
                </w:tcPr>
                <w:p w14:paraId="7605B307">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0.225</w:t>
                  </w:r>
                </w:p>
              </w:tc>
              <w:tc>
                <w:tcPr>
                  <w:tcW w:w="1566" w:type="pct"/>
                  <w:tcBorders>
                    <w:tl2br w:val="nil"/>
                    <w:tr2bl w:val="nil"/>
                  </w:tcBorders>
                  <w:shd w:val="clear" w:color="auto" w:fill="auto"/>
                  <w:tcMar>
                    <w:left w:w="28" w:type="dxa"/>
                    <w:right w:w="28" w:type="dxa"/>
                  </w:tcMar>
                  <w:vAlign w:val="center"/>
                </w:tcPr>
                <w:p w14:paraId="012DF6DD">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7.3</w:t>
                  </w:r>
                </w:p>
              </w:tc>
            </w:tr>
            <w:tr w14:paraId="5342FD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90" w:hRule="atLeast"/>
                <w:jc w:val="center"/>
              </w:trPr>
              <w:tc>
                <w:tcPr>
                  <w:tcW w:w="1560" w:type="pct"/>
                  <w:tcBorders>
                    <w:tl2br w:val="nil"/>
                    <w:tr2bl w:val="nil"/>
                  </w:tcBorders>
                  <w:shd w:val="clear" w:color="auto" w:fill="auto"/>
                  <w:tcMar>
                    <w:left w:w="28" w:type="dxa"/>
                    <w:right w:w="28" w:type="dxa"/>
                  </w:tcMar>
                  <w:vAlign w:val="center"/>
                </w:tcPr>
                <w:p w14:paraId="48852F09">
                  <w:pPr>
                    <w:pStyle w:val="21"/>
                    <w:keepNext w:val="0"/>
                    <w:keepLines w:val="0"/>
                    <w:pageBreakBefore w:val="0"/>
                    <w:widowControl/>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2024</w:t>
                  </w:r>
                  <w:r>
                    <w:rPr>
                      <w:rFonts w:hint="default" w:ascii="Times New Roman" w:hAnsi="Times New Roman" w:eastAsia="宋体" w:cs="Times New Roman"/>
                      <w:sz w:val="21"/>
                      <w:szCs w:val="21"/>
                    </w:rPr>
                    <w:t>年</w:t>
                  </w:r>
                  <w:r>
                    <w:rPr>
                      <w:rFonts w:hint="default" w:ascii="Times New Roman" w:hAnsi="Times New Roman" w:eastAsia="宋体" w:cs="Times New Roman"/>
                      <w:sz w:val="21"/>
                      <w:szCs w:val="21"/>
                      <w:lang w:val="en-US"/>
                    </w:rPr>
                    <w:t>11</w:t>
                  </w:r>
                  <w:r>
                    <w:rPr>
                      <w:rFonts w:hint="default" w:ascii="Times New Roman" w:hAnsi="Times New Roman" w:eastAsia="宋体" w:cs="Times New Roman"/>
                      <w:sz w:val="21"/>
                      <w:szCs w:val="21"/>
                    </w:rPr>
                    <w:t>周</w:t>
                  </w:r>
                </w:p>
              </w:tc>
              <w:tc>
                <w:tcPr>
                  <w:tcW w:w="620" w:type="pct"/>
                  <w:tcBorders>
                    <w:tl2br w:val="nil"/>
                    <w:tr2bl w:val="nil"/>
                  </w:tcBorders>
                  <w:shd w:val="clear" w:color="auto" w:fill="auto"/>
                  <w:tcMar>
                    <w:left w:w="28" w:type="dxa"/>
                    <w:right w:w="28" w:type="dxa"/>
                  </w:tcMar>
                  <w:vAlign w:val="center"/>
                </w:tcPr>
                <w:p w14:paraId="1E58B5BD">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25.6</w:t>
                  </w:r>
                </w:p>
              </w:tc>
              <w:tc>
                <w:tcPr>
                  <w:tcW w:w="626" w:type="pct"/>
                  <w:tcBorders>
                    <w:tl2br w:val="nil"/>
                    <w:tr2bl w:val="nil"/>
                  </w:tcBorders>
                  <w:shd w:val="clear" w:color="auto" w:fill="auto"/>
                  <w:tcMar>
                    <w:left w:w="28" w:type="dxa"/>
                    <w:right w:w="28" w:type="dxa"/>
                  </w:tcMar>
                  <w:vAlign w:val="center"/>
                </w:tcPr>
                <w:p w14:paraId="0002F34C">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1.142</w:t>
                  </w:r>
                </w:p>
              </w:tc>
              <w:tc>
                <w:tcPr>
                  <w:tcW w:w="626" w:type="pct"/>
                  <w:tcBorders>
                    <w:tl2br w:val="nil"/>
                    <w:tr2bl w:val="nil"/>
                  </w:tcBorders>
                  <w:shd w:val="clear" w:color="auto" w:fill="auto"/>
                  <w:tcMar>
                    <w:left w:w="28" w:type="dxa"/>
                    <w:right w:w="28" w:type="dxa"/>
                  </w:tcMar>
                  <w:vAlign w:val="center"/>
                </w:tcPr>
                <w:p w14:paraId="397F856F">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0.244</w:t>
                  </w:r>
                </w:p>
              </w:tc>
              <w:tc>
                <w:tcPr>
                  <w:tcW w:w="1566" w:type="pct"/>
                  <w:tcBorders>
                    <w:tl2br w:val="nil"/>
                    <w:tr2bl w:val="nil"/>
                  </w:tcBorders>
                  <w:shd w:val="clear" w:color="auto" w:fill="auto"/>
                  <w:tcMar>
                    <w:left w:w="28" w:type="dxa"/>
                    <w:right w:w="28" w:type="dxa"/>
                  </w:tcMar>
                  <w:vAlign w:val="center"/>
                </w:tcPr>
                <w:p w14:paraId="49918CB3">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8.8</w:t>
                  </w:r>
                </w:p>
              </w:tc>
            </w:tr>
            <w:tr w14:paraId="08DA0B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20" w:hRule="atLeast"/>
                <w:jc w:val="center"/>
              </w:trPr>
              <w:tc>
                <w:tcPr>
                  <w:tcW w:w="1560" w:type="pct"/>
                  <w:tcBorders>
                    <w:tl2br w:val="nil"/>
                    <w:tr2bl w:val="nil"/>
                  </w:tcBorders>
                  <w:shd w:val="clear" w:color="auto" w:fill="auto"/>
                  <w:tcMar>
                    <w:left w:w="28" w:type="dxa"/>
                    <w:right w:w="28" w:type="dxa"/>
                  </w:tcMar>
                  <w:vAlign w:val="center"/>
                </w:tcPr>
                <w:p w14:paraId="18E84DC8">
                  <w:pPr>
                    <w:pStyle w:val="21"/>
                    <w:keepNext w:val="0"/>
                    <w:keepLines w:val="0"/>
                    <w:pageBreakBefore w:val="0"/>
                    <w:widowControl/>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2024</w:t>
                  </w:r>
                  <w:r>
                    <w:rPr>
                      <w:rFonts w:hint="default" w:ascii="Times New Roman" w:hAnsi="Times New Roman" w:eastAsia="宋体" w:cs="Times New Roman"/>
                      <w:sz w:val="21"/>
                      <w:szCs w:val="21"/>
                    </w:rPr>
                    <w:t>年</w:t>
                  </w:r>
                  <w:r>
                    <w:rPr>
                      <w:rFonts w:hint="default" w:ascii="Times New Roman" w:hAnsi="Times New Roman" w:eastAsia="宋体" w:cs="Times New Roman"/>
                      <w:sz w:val="21"/>
                      <w:szCs w:val="21"/>
                      <w:lang w:val="en-US"/>
                    </w:rPr>
                    <w:t>12</w:t>
                  </w:r>
                  <w:r>
                    <w:rPr>
                      <w:rFonts w:hint="default" w:ascii="Times New Roman" w:hAnsi="Times New Roman" w:eastAsia="宋体" w:cs="Times New Roman"/>
                      <w:sz w:val="21"/>
                      <w:szCs w:val="21"/>
                    </w:rPr>
                    <w:t>周</w:t>
                  </w:r>
                </w:p>
              </w:tc>
              <w:tc>
                <w:tcPr>
                  <w:tcW w:w="620" w:type="pct"/>
                  <w:tcBorders>
                    <w:tl2br w:val="nil"/>
                    <w:tr2bl w:val="nil"/>
                  </w:tcBorders>
                  <w:shd w:val="clear" w:color="auto" w:fill="auto"/>
                  <w:tcMar>
                    <w:left w:w="28" w:type="dxa"/>
                    <w:right w:w="28" w:type="dxa"/>
                  </w:tcMar>
                  <w:vAlign w:val="center"/>
                </w:tcPr>
                <w:p w14:paraId="7A79C595">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37.1</w:t>
                  </w:r>
                </w:p>
              </w:tc>
              <w:tc>
                <w:tcPr>
                  <w:tcW w:w="626" w:type="pct"/>
                  <w:tcBorders>
                    <w:tl2br w:val="nil"/>
                    <w:tr2bl w:val="nil"/>
                  </w:tcBorders>
                  <w:shd w:val="clear" w:color="auto" w:fill="auto"/>
                  <w:tcMar>
                    <w:left w:w="28" w:type="dxa"/>
                    <w:right w:w="28" w:type="dxa"/>
                  </w:tcMar>
                  <w:vAlign w:val="center"/>
                </w:tcPr>
                <w:p w14:paraId="11EE6CB9">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0.231</w:t>
                  </w:r>
                </w:p>
              </w:tc>
              <w:tc>
                <w:tcPr>
                  <w:tcW w:w="626" w:type="pct"/>
                  <w:tcBorders>
                    <w:tl2br w:val="nil"/>
                    <w:tr2bl w:val="nil"/>
                  </w:tcBorders>
                  <w:shd w:val="clear" w:color="auto" w:fill="auto"/>
                  <w:tcMar>
                    <w:left w:w="28" w:type="dxa"/>
                    <w:right w:w="28" w:type="dxa"/>
                  </w:tcMar>
                  <w:vAlign w:val="center"/>
                </w:tcPr>
                <w:p w14:paraId="4764D836">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0.243</w:t>
                  </w:r>
                </w:p>
              </w:tc>
              <w:tc>
                <w:tcPr>
                  <w:tcW w:w="1566" w:type="pct"/>
                  <w:tcBorders>
                    <w:tl2br w:val="nil"/>
                    <w:tr2bl w:val="nil"/>
                  </w:tcBorders>
                  <w:shd w:val="clear" w:color="auto" w:fill="auto"/>
                  <w:tcMar>
                    <w:left w:w="28" w:type="dxa"/>
                    <w:right w:w="28" w:type="dxa"/>
                  </w:tcMar>
                  <w:vAlign w:val="center"/>
                </w:tcPr>
                <w:p w14:paraId="54B9ED1F">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13.3</w:t>
                  </w:r>
                </w:p>
              </w:tc>
            </w:tr>
            <w:tr w14:paraId="44EA06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jc w:val="center"/>
              </w:trPr>
              <w:tc>
                <w:tcPr>
                  <w:tcW w:w="1560" w:type="pct"/>
                  <w:tcBorders>
                    <w:tl2br w:val="nil"/>
                    <w:tr2bl w:val="nil"/>
                  </w:tcBorders>
                  <w:shd w:val="clear" w:color="auto" w:fill="auto"/>
                  <w:tcMar>
                    <w:left w:w="28" w:type="dxa"/>
                    <w:right w:w="28" w:type="dxa"/>
                  </w:tcMar>
                  <w:vAlign w:val="center"/>
                </w:tcPr>
                <w:p w14:paraId="768928FD">
                  <w:pPr>
                    <w:pStyle w:val="21"/>
                    <w:keepNext w:val="0"/>
                    <w:keepLines w:val="0"/>
                    <w:pageBreakBefore w:val="0"/>
                    <w:widowControl/>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2024</w:t>
                  </w:r>
                  <w:r>
                    <w:rPr>
                      <w:rFonts w:hint="default" w:ascii="Times New Roman" w:hAnsi="Times New Roman" w:eastAsia="宋体" w:cs="Times New Roman"/>
                      <w:sz w:val="21"/>
                      <w:szCs w:val="21"/>
                    </w:rPr>
                    <w:t>年</w:t>
                  </w:r>
                  <w:r>
                    <w:rPr>
                      <w:rFonts w:hint="default" w:ascii="Times New Roman" w:hAnsi="Times New Roman" w:eastAsia="宋体" w:cs="Times New Roman"/>
                      <w:sz w:val="21"/>
                      <w:szCs w:val="21"/>
                      <w:lang w:val="en-US"/>
                    </w:rPr>
                    <w:t>13</w:t>
                  </w:r>
                  <w:r>
                    <w:rPr>
                      <w:rFonts w:hint="default" w:ascii="Times New Roman" w:hAnsi="Times New Roman" w:eastAsia="宋体" w:cs="Times New Roman"/>
                      <w:sz w:val="21"/>
                      <w:szCs w:val="21"/>
                    </w:rPr>
                    <w:t>周</w:t>
                  </w:r>
                </w:p>
              </w:tc>
              <w:tc>
                <w:tcPr>
                  <w:tcW w:w="620" w:type="pct"/>
                  <w:tcBorders>
                    <w:tl2br w:val="nil"/>
                    <w:tr2bl w:val="nil"/>
                  </w:tcBorders>
                  <w:shd w:val="clear" w:color="auto" w:fill="auto"/>
                  <w:tcMar>
                    <w:left w:w="28" w:type="dxa"/>
                    <w:right w:w="28" w:type="dxa"/>
                  </w:tcMar>
                  <w:vAlign w:val="center"/>
                </w:tcPr>
                <w:p w14:paraId="4F10AC8F">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33.2</w:t>
                  </w:r>
                </w:p>
              </w:tc>
              <w:tc>
                <w:tcPr>
                  <w:tcW w:w="626" w:type="pct"/>
                  <w:tcBorders>
                    <w:tl2br w:val="nil"/>
                    <w:tr2bl w:val="nil"/>
                  </w:tcBorders>
                  <w:shd w:val="clear" w:color="auto" w:fill="auto"/>
                  <w:tcMar>
                    <w:left w:w="28" w:type="dxa"/>
                    <w:right w:w="28" w:type="dxa"/>
                  </w:tcMar>
                  <w:vAlign w:val="center"/>
                </w:tcPr>
                <w:p w14:paraId="580A3BE1">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1.04</w:t>
                  </w:r>
                </w:p>
              </w:tc>
              <w:tc>
                <w:tcPr>
                  <w:tcW w:w="626" w:type="pct"/>
                  <w:tcBorders>
                    <w:tl2br w:val="nil"/>
                    <w:tr2bl w:val="nil"/>
                  </w:tcBorders>
                  <w:shd w:val="clear" w:color="auto" w:fill="auto"/>
                  <w:tcMar>
                    <w:left w:w="28" w:type="dxa"/>
                    <w:right w:w="28" w:type="dxa"/>
                  </w:tcMar>
                  <w:vAlign w:val="center"/>
                </w:tcPr>
                <w:p w14:paraId="788135F0">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0.354</w:t>
                  </w:r>
                </w:p>
              </w:tc>
              <w:tc>
                <w:tcPr>
                  <w:tcW w:w="1566" w:type="pct"/>
                  <w:tcBorders>
                    <w:tl2br w:val="nil"/>
                    <w:tr2bl w:val="nil"/>
                  </w:tcBorders>
                  <w:shd w:val="clear" w:color="auto" w:fill="auto"/>
                  <w:tcMar>
                    <w:left w:w="28" w:type="dxa"/>
                    <w:right w:w="28" w:type="dxa"/>
                  </w:tcMar>
                  <w:vAlign w:val="center"/>
                </w:tcPr>
                <w:p w14:paraId="639C36DC">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11</w:t>
                  </w:r>
                </w:p>
              </w:tc>
            </w:tr>
            <w:tr w14:paraId="3752BB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20" w:hRule="atLeast"/>
                <w:jc w:val="center"/>
              </w:trPr>
              <w:tc>
                <w:tcPr>
                  <w:tcW w:w="1560" w:type="pct"/>
                  <w:tcBorders>
                    <w:tl2br w:val="nil"/>
                    <w:tr2bl w:val="nil"/>
                  </w:tcBorders>
                  <w:shd w:val="clear" w:color="auto" w:fill="auto"/>
                  <w:tcMar>
                    <w:left w:w="28" w:type="dxa"/>
                    <w:right w:w="28" w:type="dxa"/>
                  </w:tcMar>
                  <w:vAlign w:val="center"/>
                </w:tcPr>
                <w:p w14:paraId="55CD1A90">
                  <w:pPr>
                    <w:pStyle w:val="21"/>
                    <w:keepNext w:val="0"/>
                    <w:keepLines w:val="0"/>
                    <w:pageBreakBefore w:val="0"/>
                    <w:widowControl/>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2024</w:t>
                  </w:r>
                  <w:r>
                    <w:rPr>
                      <w:rFonts w:hint="default" w:ascii="Times New Roman" w:hAnsi="Times New Roman" w:eastAsia="宋体" w:cs="Times New Roman"/>
                      <w:sz w:val="21"/>
                      <w:szCs w:val="21"/>
                    </w:rPr>
                    <w:t>年</w:t>
                  </w:r>
                  <w:r>
                    <w:rPr>
                      <w:rFonts w:hint="default" w:ascii="Times New Roman" w:hAnsi="Times New Roman" w:eastAsia="宋体" w:cs="Times New Roman"/>
                      <w:sz w:val="21"/>
                      <w:szCs w:val="21"/>
                      <w:lang w:val="en-US"/>
                    </w:rPr>
                    <w:t>14</w:t>
                  </w:r>
                  <w:r>
                    <w:rPr>
                      <w:rFonts w:hint="default" w:ascii="Times New Roman" w:hAnsi="Times New Roman" w:eastAsia="宋体" w:cs="Times New Roman"/>
                      <w:sz w:val="21"/>
                      <w:szCs w:val="21"/>
                    </w:rPr>
                    <w:t>周</w:t>
                  </w:r>
                </w:p>
              </w:tc>
              <w:tc>
                <w:tcPr>
                  <w:tcW w:w="620" w:type="pct"/>
                  <w:tcBorders>
                    <w:tl2br w:val="nil"/>
                    <w:tr2bl w:val="nil"/>
                  </w:tcBorders>
                  <w:shd w:val="clear" w:color="auto" w:fill="auto"/>
                  <w:tcMar>
                    <w:left w:w="28" w:type="dxa"/>
                    <w:right w:w="28" w:type="dxa"/>
                  </w:tcMar>
                  <w:vAlign w:val="center"/>
                </w:tcPr>
                <w:p w14:paraId="4FFDB520">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25.6</w:t>
                  </w:r>
                </w:p>
              </w:tc>
              <w:tc>
                <w:tcPr>
                  <w:tcW w:w="626" w:type="pct"/>
                  <w:tcBorders>
                    <w:tl2br w:val="nil"/>
                    <w:tr2bl w:val="nil"/>
                  </w:tcBorders>
                  <w:shd w:val="clear" w:color="auto" w:fill="auto"/>
                  <w:vAlign w:val="center"/>
                </w:tcPr>
                <w:p w14:paraId="47728F8C">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0.22</w:t>
                  </w:r>
                </w:p>
              </w:tc>
              <w:tc>
                <w:tcPr>
                  <w:tcW w:w="626" w:type="pct"/>
                  <w:tcBorders>
                    <w:tl2br w:val="nil"/>
                    <w:tr2bl w:val="nil"/>
                  </w:tcBorders>
                  <w:shd w:val="clear" w:color="auto" w:fill="auto"/>
                  <w:vAlign w:val="center"/>
                </w:tcPr>
                <w:p w14:paraId="1C5BB830">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0.199</w:t>
                  </w:r>
                </w:p>
              </w:tc>
              <w:tc>
                <w:tcPr>
                  <w:tcW w:w="1566" w:type="pct"/>
                  <w:tcBorders>
                    <w:tl2br w:val="nil"/>
                    <w:tr2bl w:val="nil"/>
                  </w:tcBorders>
                  <w:shd w:val="clear" w:color="auto" w:fill="auto"/>
                  <w:vAlign w:val="center"/>
                </w:tcPr>
                <w:p w14:paraId="715A3A2D">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7.9</w:t>
                  </w:r>
                </w:p>
              </w:tc>
            </w:tr>
            <w:tr w14:paraId="110430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jc w:val="center"/>
              </w:trPr>
              <w:tc>
                <w:tcPr>
                  <w:tcW w:w="1560" w:type="pct"/>
                  <w:tcBorders>
                    <w:tl2br w:val="nil"/>
                    <w:tr2bl w:val="nil"/>
                  </w:tcBorders>
                  <w:shd w:val="clear" w:color="auto" w:fill="auto"/>
                  <w:tcMar>
                    <w:left w:w="28" w:type="dxa"/>
                    <w:right w:w="28" w:type="dxa"/>
                  </w:tcMar>
                  <w:vAlign w:val="center"/>
                </w:tcPr>
                <w:p w14:paraId="26FEDB13">
                  <w:pPr>
                    <w:pStyle w:val="21"/>
                    <w:keepNext w:val="0"/>
                    <w:keepLines w:val="0"/>
                    <w:pageBreakBefore w:val="0"/>
                    <w:widowControl/>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2024</w:t>
                  </w:r>
                  <w:r>
                    <w:rPr>
                      <w:rFonts w:hint="default" w:ascii="Times New Roman" w:hAnsi="Times New Roman" w:eastAsia="宋体" w:cs="Times New Roman"/>
                      <w:sz w:val="21"/>
                      <w:szCs w:val="21"/>
                    </w:rPr>
                    <w:t>年</w:t>
                  </w:r>
                  <w:r>
                    <w:rPr>
                      <w:rFonts w:hint="default" w:ascii="Times New Roman" w:hAnsi="Times New Roman" w:eastAsia="宋体" w:cs="Times New Roman"/>
                      <w:sz w:val="21"/>
                      <w:szCs w:val="21"/>
                      <w:lang w:val="en-US"/>
                    </w:rPr>
                    <w:t>15</w:t>
                  </w:r>
                  <w:r>
                    <w:rPr>
                      <w:rFonts w:hint="default" w:ascii="Times New Roman" w:hAnsi="Times New Roman" w:eastAsia="宋体" w:cs="Times New Roman"/>
                      <w:sz w:val="21"/>
                      <w:szCs w:val="21"/>
                    </w:rPr>
                    <w:t>周</w:t>
                  </w:r>
                </w:p>
              </w:tc>
              <w:tc>
                <w:tcPr>
                  <w:tcW w:w="620" w:type="pct"/>
                  <w:tcBorders>
                    <w:tl2br w:val="nil"/>
                    <w:tr2bl w:val="nil"/>
                  </w:tcBorders>
                  <w:shd w:val="clear" w:color="auto" w:fill="auto"/>
                  <w:tcMar>
                    <w:left w:w="28" w:type="dxa"/>
                    <w:right w:w="28" w:type="dxa"/>
                  </w:tcMar>
                  <w:vAlign w:val="center"/>
                </w:tcPr>
                <w:p w14:paraId="4A2C4C4C">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31.8</w:t>
                  </w:r>
                </w:p>
              </w:tc>
              <w:tc>
                <w:tcPr>
                  <w:tcW w:w="626" w:type="pct"/>
                  <w:tcBorders>
                    <w:tl2br w:val="nil"/>
                    <w:tr2bl w:val="nil"/>
                  </w:tcBorders>
                  <w:shd w:val="clear" w:color="auto" w:fill="auto"/>
                  <w:tcMar>
                    <w:left w:w="28" w:type="dxa"/>
                    <w:right w:w="28" w:type="dxa"/>
                  </w:tcMar>
                  <w:vAlign w:val="center"/>
                </w:tcPr>
                <w:p w14:paraId="5495BC9F">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0.036</w:t>
                  </w:r>
                </w:p>
              </w:tc>
              <w:tc>
                <w:tcPr>
                  <w:tcW w:w="626" w:type="pct"/>
                  <w:tcBorders>
                    <w:tl2br w:val="nil"/>
                    <w:tr2bl w:val="nil"/>
                  </w:tcBorders>
                  <w:shd w:val="clear" w:color="auto" w:fill="auto"/>
                  <w:tcMar>
                    <w:left w:w="28" w:type="dxa"/>
                    <w:right w:w="28" w:type="dxa"/>
                  </w:tcMar>
                  <w:vAlign w:val="center"/>
                </w:tcPr>
                <w:p w14:paraId="66F27FEA">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0.163</w:t>
                  </w:r>
                </w:p>
              </w:tc>
              <w:tc>
                <w:tcPr>
                  <w:tcW w:w="1566" w:type="pct"/>
                  <w:tcBorders>
                    <w:tl2br w:val="nil"/>
                    <w:tr2bl w:val="nil"/>
                  </w:tcBorders>
                  <w:shd w:val="clear" w:color="auto" w:fill="auto"/>
                  <w:tcMar>
                    <w:left w:w="28" w:type="dxa"/>
                    <w:right w:w="28" w:type="dxa"/>
                  </w:tcMar>
                  <w:vAlign w:val="center"/>
                </w:tcPr>
                <w:p w14:paraId="563A1BCD">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10.1</w:t>
                  </w:r>
                </w:p>
              </w:tc>
            </w:tr>
            <w:tr w14:paraId="54A716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jc w:val="center"/>
              </w:trPr>
              <w:tc>
                <w:tcPr>
                  <w:tcW w:w="1560" w:type="pct"/>
                  <w:tcBorders>
                    <w:tl2br w:val="nil"/>
                    <w:tr2bl w:val="nil"/>
                  </w:tcBorders>
                  <w:shd w:val="clear" w:color="auto" w:fill="auto"/>
                  <w:tcMar>
                    <w:left w:w="28" w:type="dxa"/>
                    <w:right w:w="28" w:type="dxa"/>
                  </w:tcMar>
                  <w:vAlign w:val="center"/>
                </w:tcPr>
                <w:p w14:paraId="2A8789E4">
                  <w:pPr>
                    <w:pStyle w:val="21"/>
                    <w:keepNext w:val="0"/>
                    <w:keepLines w:val="0"/>
                    <w:pageBreakBefore w:val="0"/>
                    <w:widowControl/>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2024</w:t>
                  </w:r>
                  <w:r>
                    <w:rPr>
                      <w:rFonts w:hint="default" w:ascii="Times New Roman" w:hAnsi="Times New Roman" w:eastAsia="宋体" w:cs="Times New Roman"/>
                      <w:sz w:val="21"/>
                      <w:szCs w:val="21"/>
                    </w:rPr>
                    <w:t>年</w:t>
                  </w:r>
                  <w:r>
                    <w:rPr>
                      <w:rFonts w:hint="default" w:ascii="Times New Roman" w:hAnsi="Times New Roman" w:eastAsia="宋体" w:cs="Times New Roman"/>
                      <w:sz w:val="21"/>
                      <w:szCs w:val="21"/>
                      <w:lang w:val="en-US"/>
                    </w:rPr>
                    <w:t>16</w:t>
                  </w:r>
                  <w:r>
                    <w:rPr>
                      <w:rFonts w:hint="default" w:ascii="Times New Roman" w:hAnsi="Times New Roman" w:eastAsia="宋体" w:cs="Times New Roman"/>
                      <w:sz w:val="21"/>
                      <w:szCs w:val="21"/>
                    </w:rPr>
                    <w:t>周</w:t>
                  </w:r>
                </w:p>
              </w:tc>
              <w:tc>
                <w:tcPr>
                  <w:tcW w:w="620" w:type="pct"/>
                  <w:tcBorders>
                    <w:tl2br w:val="nil"/>
                    <w:tr2bl w:val="nil"/>
                  </w:tcBorders>
                  <w:shd w:val="clear" w:color="auto" w:fill="auto"/>
                  <w:tcMar>
                    <w:left w:w="28" w:type="dxa"/>
                    <w:right w:w="28" w:type="dxa"/>
                  </w:tcMar>
                  <w:vAlign w:val="center"/>
                </w:tcPr>
                <w:p w14:paraId="25C9FF61">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29.7</w:t>
                  </w:r>
                </w:p>
              </w:tc>
              <w:tc>
                <w:tcPr>
                  <w:tcW w:w="626" w:type="pct"/>
                  <w:tcBorders>
                    <w:tl2br w:val="nil"/>
                    <w:tr2bl w:val="nil"/>
                  </w:tcBorders>
                  <w:shd w:val="clear" w:color="auto" w:fill="auto"/>
                  <w:tcMar>
                    <w:left w:w="28" w:type="dxa"/>
                    <w:right w:w="28" w:type="dxa"/>
                  </w:tcMar>
                  <w:vAlign w:val="center"/>
                </w:tcPr>
                <w:p w14:paraId="5D40D55E">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0.122</w:t>
                  </w:r>
                </w:p>
              </w:tc>
              <w:tc>
                <w:tcPr>
                  <w:tcW w:w="626" w:type="pct"/>
                  <w:tcBorders>
                    <w:tl2br w:val="nil"/>
                    <w:tr2bl w:val="nil"/>
                  </w:tcBorders>
                  <w:shd w:val="clear" w:color="auto" w:fill="auto"/>
                  <w:tcMar>
                    <w:left w:w="28" w:type="dxa"/>
                    <w:right w:w="28" w:type="dxa"/>
                  </w:tcMar>
                  <w:vAlign w:val="center"/>
                </w:tcPr>
                <w:p w14:paraId="4A6492E3">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0.176</w:t>
                  </w:r>
                </w:p>
              </w:tc>
              <w:tc>
                <w:tcPr>
                  <w:tcW w:w="1566" w:type="pct"/>
                  <w:tcBorders>
                    <w:tl2br w:val="nil"/>
                    <w:tr2bl w:val="nil"/>
                  </w:tcBorders>
                  <w:shd w:val="clear" w:color="auto" w:fill="auto"/>
                  <w:tcMar>
                    <w:left w:w="28" w:type="dxa"/>
                    <w:right w:w="28" w:type="dxa"/>
                  </w:tcMar>
                  <w:vAlign w:val="center"/>
                </w:tcPr>
                <w:p w14:paraId="771880FF">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9.4</w:t>
                  </w:r>
                </w:p>
              </w:tc>
            </w:tr>
            <w:tr w14:paraId="02090A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jc w:val="center"/>
              </w:trPr>
              <w:tc>
                <w:tcPr>
                  <w:tcW w:w="1560" w:type="pct"/>
                  <w:tcBorders>
                    <w:tl2br w:val="nil"/>
                    <w:tr2bl w:val="nil"/>
                  </w:tcBorders>
                  <w:shd w:val="clear" w:color="auto" w:fill="auto"/>
                  <w:tcMar>
                    <w:left w:w="28" w:type="dxa"/>
                    <w:right w:w="28" w:type="dxa"/>
                  </w:tcMar>
                  <w:vAlign w:val="center"/>
                </w:tcPr>
                <w:p w14:paraId="627E9BA4">
                  <w:pPr>
                    <w:pStyle w:val="21"/>
                    <w:keepNext w:val="0"/>
                    <w:keepLines w:val="0"/>
                    <w:pageBreakBefore w:val="0"/>
                    <w:widowControl/>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2024</w:t>
                  </w:r>
                  <w:r>
                    <w:rPr>
                      <w:rFonts w:hint="default" w:ascii="Times New Roman" w:hAnsi="Times New Roman" w:eastAsia="宋体" w:cs="Times New Roman"/>
                      <w:sz w:val="21"/>
                      <w:szCs w:val="21"/>
                    </w:rPr>
                    <w:t>年</w:t>
                  </w:r>
                  <w:r>
                    <w:rPr>
                      <w:rFonts w:hint="default" w:ascii="Times New Roman" w:hAnsi="Times New Roman" w:eastAsia="宋体" w:cs="Times New Roman"/>
                      <w:sz w:val="21"/>
                      <w:szCs w:val="21"/>
                      <w:lang w:val="en-US"/>
                    </w:rPr>
                    <w:t>17</w:t>
                  </w:r>
                  <w:r>
                    <w:rPr>
                      <w:rFonts w:hint="default" w:ascii="Times New Roman" w:hAnsi="Times New Roman" w:eastAsia="宋体" w:cs="Times New Roman"/>
                      <w:sz w:val="21"/>
                      <w:szCs w:val="21"/>
                    </w:rPr>
                    <w:t>周</w:t>
                  </w:r>
                </w:p>
              </w:tc>
              <w:tc>
                <w:tcPr>
                  <w:tcW w:w="620" w:type="pct"/>
                  <w:tcBorders>
                    <w:tl2br w:val="nil"/>
                    <w:tr2bl w:val="nil"/>
                  </w:tcBorders>
                  <w:shd w:val="clear" w:color="auto" w:fill="auto"/>
                  <w:tcMar>
                    <w:left w:w="28" w:type="dxa"/>
                    <w:right w:w="28" w:type="dxa"/>
                  </w:tcMar>
                  <w:vAlign w:val="center"/>
                </w:tcPr>
                <w:p w14:paraId="1DC09AB3">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35.2</w:t>
                  </w:r>
                </w:p>
              </w:tc>
              <w:tc>
                <w:tcPr>
                  <w:tcW w:w="626" w:type="pct"/>
                  <w:tcBorders>
                    <w:tl2br w:val="nil"/>
                    <w:tr2bl w:val="nil"/>
                  </w:tcBorders>
                  <w:shd w:val="clear" w:color="auto" w:fill="auto"/>
                  <w:tcMar>
                    <w:left w:w="28" w:type="dxa"/>
                    <w:right w:w="28" w:type="dxa"/>
                  </w:tcMar>
                  <w:vAlign w:val="center"/>
                </w:tcPr>
                <w:p w14:paraId="23653DBE">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0.36</w:t>
                  </w:r>
                </w:p>
              </w:tc>
              <w:tc>
                <w:tcPr>
                  <w:tcW w:w="626" w:type="pct"/>
                  <w:tcBorders>
                    <w:tl2br w:val="nil"/>
                    <w:tr2bl w:val="nil"/>
                  </w:tcBorders>
                  <w:shd w:val="clear" w:color="auto" w:fill="auto"/>
                  <w:tcMar>
                    <w:left w:w="28" w:type="dxa"/>
                    <w:right w:w="28" w:type="dxa"/>
                  </w:tcMar>
                  <w:vAlign w:val="center"/>
                </w:tcPr>
                <w:p w14:paraId="581A939D">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0.196</w:t>
                  </w:r>
                </w:p>
              </w:tc>
              <w:tc>
                <w:tcPr>
                  <w:tcW w:w="1566" w:type="pct"/>
                  <w:tcBorders>
                    <w:tl2br w:val="nil"/>
                    <w:tr2bl w:val="nil"/>
                  </w:tcBorders>
                  <w:shd w:val="clear" w:color="auto" w:fill="auto"/>
                  <w:tcMar>
                    <w:left w:w="28" w:type="dxa"/>
                    <w:right w:w="28" w:type="dxa"/>
                  </w:tcMar>
                  <w:vAlign w:val="center"/>
                </w:tcPr>
                <w:p w14:paraId="60CC821E">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11.1</w:t>
                  </w:r>
                </w:p>
              </w:tc>
            </w:tr>
            <w:tr w14:paraId="17A99A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20" w:hRule="atLeast"/>
                <w:jc w:val="center"/>
              </w:trPr>
              <w:tc>
                <w:tcPr>
                  <w:tcW w:w="1560" w:type="pct"/>
                  <w:tcBorders>
                    <w:tl2br w:val="nil"/>
                    <w:tr2bl w:val="nil"/>
                  </w:tcBorders>
                  <w:shd w:val="clear" w:color="auto" w:fill="auto"/>
                  <w:tcMar>
                    <w:left w:w="28" w:type="dxa"/>
                    <w:right w:w="28" w:type="dxa"/>
                  </w:tcMar>
                  <w:vAlign w:val="center"/>
                </w:tcPr>
                <w:p w14:paraId="158EF72D">
                  <w:pPr>
                    <w:pStyle w:val="21"/>
                    <w:keepNext w:val="0"/>
                    <w:keepLines w:val="0"/>
                    <w:pageBreakBefore w:val="0"/>
                    <w:widowControl/>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2024</w:t>
                  </w:r>
                  <w:r>
                    <w:rPr>
                      <w:rFonts w:hint="default" w:ascii="Times New Roman" w:hAnsi="Times New Roman" w:eastAsia="宋体" w:cs="Times New Roman"/>
                      <w:sz w:val="21"/>
                      <w:szCs w:val="21"/>
                    </w:rPr>
                    <w:t>年</w:t>
                  </w:r>
                  <w:r>
                    <w:rPr>
                      <w:rFonts w:hint="default" w:ascii="Times New Roman" w:hAnsi="Times New Roman" w:eastAsia="宋体" w:cs="Times New Roman"/>
                      <w:sz w:val="21"/>
                      <w:szCs w:val="21"/>
                      <w:lang w:val="en-US"/>
                    </w:rPr>
                    <w:t>18</w:t>
                  </w:r>
                  <w:r>
                    <w:rPr>
                      <w:rFonts w:hint="default" w:ascii="Times New Roman" w:hAnsi="Times New Roman" w:eastAsia="宋体" w:cs="Times New Roman"/>
                      <w:sz w:val="21"/>
                      <w:szCs w:val="21"/>
                    </w:rPr>
                    <w:t>周</w:t>
                  </w:r>
                </w:p>
              </w:tc>
              <w:tc>
                <w:tcPr>
                  <w:tcW w:w="620" w:type="pct"/>
                  <w:tcBorders>
                    <w:tl2br w:val="nil"/>
                    <w:tr2bl w:val="nil"/>
                  </w:tcBorders>
                  <w:shd w:val="clear" w:color="auto" w:fill="auto"/>
                  <w:tcMar>
                    <w:left w:w="28" w:type="dxa"/>
                    <w:right w:w="28" w:type="dxa"/>
                  </w:tcMar>
                  <w:vAlign w:val="center"/>
                </w:tcPr>
                <w:p w14:paraId="17C5CB43">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45.8</w:t>
                  </w:r>
                </w:p>
              </w:tc>
              <w:tc>
                <w:tcPr>
                  <w:tcW w:w="626" w:type="pct"/>
                  <w:tcBorders>
                    <w:tl2br w:val="nil"/>
                    <w:tr2bl w:val="nil"/>
                  </w:tcBorders>
                  <w:shd w:val="clear" w:color="auto" w:fill="auto"/>
                  <w:tcMar>
                    <w:left w:w="28" w:type="dxa"/>
                    <w:right w:w="28" w:type="dxa"/>
                  </w:tcMar>
                  <w:vAlign w:val="center"/>
                </w:tcPr>
                <w:p w14:paraId="5A296696">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0.27</w:t>
                  </w:r>
                </w:p>
              </w:tc>
              <w:tc>
                <w:tcPr>
                  <w:tcW w:w="626" w:type="pct"/>
                  <w:tcBorders>
                    <w:tl2br w:val="nil"/>
                    <w:tr2bl w:val="nil"/>
                  </w:tcBorders>
                  <w:shd w:val="clear" w:color="auto" w:fill="auto"/>
                  <w:tcMar>
                    <w:left w:w="28" w:type="dxa"/>
                    <w:right w:w="28" w:type="dxa"/>
                  </w:tcMar>
                  <w:vAlign w:val="center"/>
                </w:tcPr>
                <w:p w14:paraId="590F0980">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0.332</w:t>
                  </w:r>
                </w:p>
              </w:tc>
              <w:tc>
                <w:tcPr>
                  <w:tcW w:w="1566" w:type="pct"/>
                  <w:tcBorders>
                    <w:tl2br w:val="nil"/>
                    <w:tr2bl w:val="nil"/>
                  </w:tcBorders>
                  <w:shd w:val="clear" w:color="auto" w:fill="auto"/>
                  <w:tcMar>
                    <w:left w:w="28" w:type="dxa"/>
                    <w:right w:w="28" w:type="dxa"/>
                  </w:tcMar>
                  <w:vAlign w:val="center"/>
                </w:tcPr>
                <w:p w14:paraId="15C0079E">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10.5</w:t>
                  </w:r>
                </w:p>
              </w:tc>
            </w:tr>
            <w:tr w14:paraId="03698C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jc w:val="center"/>
              </w:trPr>
              <w:tc>
                <w:tcPr>
                  <w:tcW w:w="1560" w:type="pct"/>
                  <w:tcBorders>
                    <w:tl2br w:val="nil"/>
                    <w:tr2bl w:val="nil"/>
                  </w:tcBorders>
                  <w:shd w:val="clear" w:color="auto" w:fill="auto"/>
                  <w:tcMar>
                    <w:left w:w="28" w:type="dxa"/>
                    <w:right w:w="28" w:type="dxa"/>
                  </w:tcMar>
                  <w:vAlign w:val="center"/>
                </w:tcPr>
                <w:p w14:paraId="4AE01BB8">
                  <w:pPr>
                    <w:pStyle w:val="21"/>
                    <w:keepNext w:val="0"/>
                    <w:keepLines w:val="0"/>
                    <w:pageBreakBefore w:val="0"/>
                    <w:widowControl/>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2024</w:t>
                  </w:r>
                  <w:r>
                    <w:rPr>
                      <w:rFonts w:hint="default" w:ascii="Times New Roman" w:hAnsi="Times New Roman" w:eastAsia="宋体" w:cs="Times New Roman"/>
                      <w:sz w:val="21"/>
                      <w:szCs w:val="21"/>
                    </w:rPr>
                    <w:t>年</w:t>
                  </w:r>
                  <w:r>
                    <w:rPr>
                      <w:rFonts w:hint="default" w:ascii="Times New Roman" w:hAnsi="Times New Roman" w:eastAsia="宋体" w:cs="Times New Roman"/>
                      <w:sz w:val="21"/>
                      <w:szCs w:val="21"/>
                      <w:lang w:val="en-US"/>
                    </w:rPr>
                    <w:t>19</w:t>
                  </w:r>
                  <w:r>
                    <w:rPr>
                      <w:rFonts w:hint="default" w:ascii="Times New Roman" w:hAnsi="Times New Roman" w:eastAsia="宋体" w:cs="Times New Roman"/>
                      <w:sz w:val="21"/>
                      <w:szCs w:val="21"/>
                    </w:rPr>
                    <w:t>周</w:t>
                  </w:r>
                </w:p>
              </w:tc>
              <w:tc>
                <w:tcPr>
                  <w:tcW w:w="620" w:type="pct"/>
                  <w:tcBorders>
                    <w:tl2br w:val="nil"/>
                    <w:tr2bl w:val="nil"/>
                  </w:tcBorders>
                  <w:shd w:val="clear" w:color="auto" w:fill="auto"/>
                  <w:tcMar>
                    <w:left w:w="28" w:type="dxa"/>
                    <w:right w:w="28" w:type="dxa"/>
                  </w:tcMar>
                  <w:vAlign w:val="center"/>
                </w:tcPr>
                <w:p w14:paraId="76C4C6FD">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30.3</w:t>
                  </w:r>
                </w:p>
              </w:tc>
              <w:tc>
                <w:tcPr>
                  <w:tcW w:w="626" w:type="pct"/>
                  <w:tcBorders>
                    <w:tl2br w:val="nil"/>
                    <w:tr2bl w:val="nil"/>
                  </w:tcBorders>
                  <w:shd w:val="clear" w:color="auto" w:fill="auto"/>
                  <w:tcMar>
                    <w:left w:w="28" w:type="dxa"/>
                    <w:right w:w="28" w:type="dxa"/>
                  </w:tcMar>
                  <w:vAlign w:val="center"/>
                </w:tcPr>
                <w:p w14:paraId="16EB7A81">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0.04</w:t>
                  </w:r>
                </w:p>
              </w:tc>
              <w:tc>
                <w:tcPr>
                  <w:tcW w:w="626" w:type="pct"/>
                  <w:tcBorders>
                    <w:tl2br w:val="nil"/>
                    <w:tr2bl w:val="nil"/>
                  </w:tcBorders>
                  <w:shd w:val="clear" w:color="auto" w:fill="auto"/>
                  <w:tcMar>
                    <w:left w:w="28" w:type="dxa"/>
                    <w:right w:w="28" w:type="dxa"/>
                  </w:tcMar>
                  <w:vAlign w:val="center"/>
                </w:tcPr>
                <w:p w14:paraId="494D248E">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0.178</w:t>
                  </w:r>
                </w:p>
              </w:tc>
              <w:tc>
                <w:tcPr>
                  <w:tcW w:w="1566" w:type="pct"/>
                  <w:tcBorders>
                    <w:tl2br w:val="nil"/>
                    <w:tr2bl w:val="nil"/>
                  </w:tcBorders>
                  <w:shd w:val="clear" w:color="auto" w:fill="auto"/>
                  <w:tcMar>
                    <w:left w:w="28" w:type="dxa"/>
                    <w:right w:w="28" w:type="dxa"/>
                  </w:tcMar>
                  <w:vAlign w:val="center"/>
                </w:tcPr>
                <w:p w14:paraId="5E3B18DF">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8.3</w:t>
                  </w:r>
                </w:p>
              </w:tc>
            </w:tr>
            <w:tr w14:paraId="0698A4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jc w:val="center"/>
              </w:trPr>
              <w:tc>
                <w:tcPr>
                  <w:tcW w:w="1560" w:type="pct"/>
                  <w:tcBorders>
                    <w:tl2br w:val="nil"/>
                    <w:tr2bl w:val="nil"/>
                  </w:tcBorders>
                  <w:shd w:val="clear" w:color="auto" w:fill="auto"/>
                  <w:tcMar>
                    <w:left w:w="28" w:type="dxa"/>
                    <w:right w:w="28" w:type="dxa"/>
                  </w:tcMar>
                  <w:vAlign w:val="center"/>
                </w:tcPr>
                <w:p w14:paraId="438A8C95">
                  <w:pPr>
                    <w:pStyle w:val="21"/>
                    <w:keepNext w:val="0"/>
                    <w:keepLines w:val="0"/>
                    <w:pageBreakBefore w:val="0"/>
                    <w:widowControl/>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2024</w:t>
                  </w:r>
                  <w:r>
                    <w:rPr>
                      <w:rFonts w:hint="default" w:ascii="Times New Roman" w:hAnsi="Times New Roman" w:eastAsia="宋体" w:cs="Times New Roman"/>
                      <w:sz w:val="21"/>
                      <w:szCs w:val="21"/>
                    </w:rPr>
                    <w:t>年</w:t>
                  </w:r>
                  <w:r>
                    <w:rPr>
                      <w:rFonts w:hint="default" w:ascii="Times New Roman" w:hAnsi="Times New Roman" w:eastAsia="宋体" w:cs="Times New Roman"/>
                      <w:sz w:val="21"/>
                      <w:szCs w:val="21"/>
                      <w:lang w:val="en-US"/>
                    </w:rPr>
                    <w:t>20</w:t>
                  </w:r>
                  <w:r>
                    <w:rPr>
                      <w:rFonts w:hint="default" w:ascii="Times New Roman" w:hAnsi="Times New Roman" w:eastAsia="宋体" w:cs="Times New Roman"/>
                      <w:sz w:val="21"/>
                      <w:szCs w:val="21"/>
                    </w:rPr>
                    <w:t>周</w:t>
                  </w:r>
                </w:p>
              </w:tc>
              <w:tc>
                <w:tcPr>
                  <w:tcW w:w="620" w:type="pct"/>
                  <w:tcBorders>
                    <w:tl2br w:val="nil"/>
                    <w:tr2bl w:val="nil"/>
                  </w:tcBorders>
                  <w:shd w:val="clear" w:color="auto" w:fill="auto"/>
                  <w:tcMar>
                    <w:left w:w="28" w:type="dxa"/>
                    <w:right w:w="28" w:type="dxa"/>
                  </w:tcMar>
                  <w:vAlign w:val="center"/>
                </w:tcPr>
                <w:p w14:paraId="190B7CB3">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26.3</w:t>
                  </w:r>
                </w:p>
              </w:tc>
              <w:tc>
                <w:tcPr>
                  <w:tcW w:w="626" w:type="pct"/>
                  <w:tcBorders>
                    <w:tl2br w:val="nil"/>
                    <w:tr2bl w:val="nil"/>
                  </w:tcBorders>
                  <w:shd w:val="clear" w:color="auto" w:fill="auto"/>
                  <w:tcMar>
                    <w:left w:w="28" w:type="dxa"/>
                    <w:right w:w="28" w:type="dxa"/>
                  </w:tcMar>
                  <w:vAlign w:val="center"/>
                </w:tcPr>
                <w:p w14:paraId="6B6F0D40">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0.04</w:t>
                  </w:r>
                </w:p>
              </w:tc>
              <w:tc>
                <w:tcPr>
                  <w:tcW w:w="626" w:type="pct"/>
                  <w:tcBorders>
                    <w:tl2br w:val="nil"/>
                    <w:tr2bl w:val="nil"/>
                  </w:tcBorders>
                  <w:shd w:val="clear" w:color="auto" w:fill="auto"/>
                  <w:tcMar>
                    <w:left w:w="28" w:type="dxa"/>
                    <w:right w:w="28" w:type="dxa"/>
                  </w:tcMar>
                  <w:vAlign w:val="center"/>
                </w:tcPr>
                <w:p w14:paraId="750445FA">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0.124</w:t>
                  </w:r>
                </w:p>
              </w:tc>
              <w:tc>
                <w:tcPr>
                  <w:tcW w:w="1566" w:type="pct"/>
                  <w:tcBorders>
                    <w:tl2br w:val="nil"/>
                    <w:tr2bl w:val="nil"/>
                  </w:tcBorders>
                  <w:shd w:val="clear" w:color="auto" w:fill="auto"/>
                  <w:tcMar>
                    <w:left w:w="28" w:type="dxa"/>
                    <w:right w:w="28" w:type="dxa"/>
                  </w:tcMar>
                  <w:vAlign w:val="center"/>
                </w:tcPr>
                <w:p w14:paraId="4D9F24B9">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8.2</w:t>
                  </w:r>
                </w:p>
              </w:tc>
            </w:tr>
            <w:tr w14:paraId="1879E7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jc w:val="center"/>
              </w:trPr>
              <w:tc>
                <w:tcPr>
                  <w:tcW w:w="1560" w:type="pct"/>
                  <w:tcBorders>
                    <w:tl2br w:val="nil"/>
                    <w:tr2bl w:val="nil"/>
                  </w:tcBorders>
                  <w:shd w:val="clear" w:color="auto" w:fill="auto"/>
                  <w:tcMar>
                    <w:left w:w="28" w:type="dxa"/>
                    <w:right w:w="28" w:type="dxa"/>
                  </w:tcMar>
                  <w:vAlign w:val="center"/>
                </w:tcPr>
                <w:p w14:paraId="68561DE0">
                  <w:pPr>
                    <w:pStyle w:val="21"/>
                    <w:keepNext w:val="0"/>
                    <w:keepLines w:val="0"/>
                    <w:pageBreakBefore w:val="0"/>
                    <w:widowControl/>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2024</w:t>
                  </w:r>
                  <w:r>
                    <w:rPr>
                      <w:rFonts w:hint="default" w:ascii="Times New Roman" w:hAnsi="Times New Roman" w:eastAsia="宋体" w:cs="Times New Roman"/>
                      <w:sz w:val="21"/>
                      <w:szCs w:val="21"/>
                    </w:rPr>
                    <w:t>年</w:t>
                  </w:r>
                  <w:r>
                    <w:rPr>
                      <w:rFonts w:hint="default" w:ascii="Times New Roman" w:hAnsi="Times New Roman" w:eastAsia="宋体" w:cs="Times New Roman"/>
                      <w:sz w:val="21"/>
                      <w:szCs w:val="21"/>
                      <w:lang w:val="en-US"/>
                    </w:rPr>
                    <w:t>21</w:t>
                  </w:r>
                  <w:r>
                    <w:rPr>
                      <w:rFonts w:hint="default" w:ascii="Times New Roman" w:hAnsi="Times New Roman" w:eastAsia="宋体" w:cs="Times New Roman"/>
                      <w:sz w:val="21"/>
                      <w:szCs w:val="21"/>
                    </w:rPr>
                    <w:t>周</w:t>
                  </w:r>
                </w:p>
              </w:tc>
              <w:tc>
                <w:tcPr>
                  <w:tcW w:w="3439" w:type="pct"/>
                  <w:gridSpan w:val="4"/>
                  <w:tcBorders>
                    <w:tl2br w:val="nil"/>
                    <w:tr2bl w:val="nil"/>
                  </w:tcBorders>
                  <w:shd w:val="clear" w:color="auto" w:fill="auto"/>
                  <w:tcMar>
                    <w:left w:w="28" w:type="dxa"/>
                    <w:right w:w="28" w:type="dxa"/>
                  </w:tcMar>
                  <w:vAlign w:val="center"/>
                </w:tcPr>
                <w:p w14:paraId="5C4BEE5F">
                  <w:pPr>
                    <w:pStyle w:val="21"/>
                    <w:keepNext w:val="0"/>
                    <w:keepLines w:val="0"/>
                    <w:pageBreakBefore w:val="0"/>
                    <w:widowControl/>
                    <w:suppressLineNumbers w:val="0"/>
                    <w:kinsoku/>
                    <w:wordWrap/>
                    <w:overflowPunct/>
                    <w:topLinePunct w:val="0"/>
                    <w:autoSpaceDE/>
                    <w:autoSpaceDN/>
                    <w:bidi w:val="0"/>
                    <w:spacing w:before="0" w:beforeAutospacing="0" w:after="0" w:afterAutospacing="0" w:line="360" w:lineRule="exact"/>
                    <w:ind w:left="0" w:right="0"/>
                    <w:contextualSpacing w:val="0"/>
                    <w:jc w:val="center"/>
                    <w:textAlignment w:val="center"/>
                    <w:rPr>
                      <w:rFonts w:hint="default" w:ascii="Times New Roman" w:hAnsi="Times New Roman" w:cs="Times New Roman"/>
                      <w:sz w:val="21"/>
                      <w:szCs w:val="21"/>
                      <w:lang w:val="en-US"/>
                    </w:rPr>
                  </w:pPr>
                  <w:r>
                    <w:rPr>
                      <w:rFonts w:hint="default" w:ascii="Times New Roman" w:hAnsi="Times New Roman" w:cs="Times New Roman"/>
                      <w:sz w:val="21"/>
                      <w:szCs w:val="21"/>
                    </w:rPr>
                    <w:t>未公示</w:t>
                  </w:r>
                </w:p>
              </w:tc>
            </w:tr>
            <w:tr w14:paraId="44C058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jc w:val="center"/>
              </w:trPr>
              <w:tc>
                <w:tcPr>
                  <w:tcW w:w="1560" w:type="pct"/>
                  <w:tcBorders>
                    <w:tl2br w:val="nil"/>
                    <w:tr2bl w:val="nil"/>
                  </w:tcBorders>
                  <w:shd w:val="clear" w:color="auto" w:fill="auto"/>
                  <w:tcMar>
                    <w:left w:w="28" w:type="dxa"/>
                    <w:right w:w="28" w:type="dxa"/>
                  </w:tcMar>
                  <w:vAlign w:val="center"/>
                </w:tcPr>
                <w:p w14:paraId="0E868E5C">
                  <w:pPr>
                    <w:pStyle w:val="21"/>
                    <w:keepNext w:val="0"/>
                    <w:keepLines w:val="0"/>
                    <w:pageBreakBefore w:val="0"/>
                    <w:widowControl/>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2024</w:t>
                  </w:r>
                  <w:r>
                    <w:rPr>
                      <w:rFonts w:hint="default" w:ascii="Times New Roman" w:hAnsi="Times New Roman" w:eastAsia="宋体" w:cs="Times New Roman"/>
                      <w:sz w:val="21"/>
                      <w:szCs w:val="21"/>
                    </w:rPr>
                    <w:t>年</w:t>
                  </w:r>
                  <w:r>
                    <w:rPr>
                      <w:rFonts w:hint="default" w:ascii="Times New Roman" w:hAnsi="Times New Roman" w:eastAsia="宋体" w:cs="Times New Roman"/>
                      <w:sz w:val="21"/>
                      <w:szCs w:val="21"/>
                      <w:lang w:val="en-US"/>
                    </w:rPr>
                    <w:t>22</w:t>
                  </w:r>
                  <w:r>
                    <w:rPr>
                      <w:rFonts w:hint="default" w:ascii="Times New Roman" w:hAnsi="Times New Roman" w:eastAsia="宋体" w:cs="Times New Roman"/>
                      <w:sz w:val="21"/>
                      <w:szCs w:val="21"/>
                    </w:rPr>
                    <w:t>周</w:t>
                  </w:r>
                </w:p>
              </w:tc>
              <w:tc>
                <w:tcPr>
                  <w:tcW w:w="620" w:type="pct"/>
                  <w:tcBorders>
                    <w:tl2br w:val="nil"/>
                    <w:tr2bl w:val="nil"/>
                  </w:tcBorders>
                  <w:shd w:val="clear" w:color="auto" w:fill="auto"/>
                  <w:tcMar>
                    <w:left w:w="28" w:type="dxa"/>
                    <w:right w:w="28" w:type="dxa"/>
                  </w:tcMar>
                  <w:vAlign w:val="center"/>
                </w:tcPr>
                <w:p w14:paraId="60F08A64">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40.9</w:t>
                  </w:r>
                </w:p>
              </w:tc>
              <w:tc>
                <w:tcPr>
                  <w:tcW w:w="626" w:type="pct"/>
                  <w:tcBorders>
                    <w:tl2br w:val="nil"/>
                    <w:tr2bl w:val="nil"/>
                  </w:tcBorders>
                  <w:shd w:val="clear" w:color="auto" w:fill="auto"/>
                  <w:tcMar>
                    <w:left w:w="28" w:type="dxa"/>
                    <w:right w:w="28" w:type="dxa"/>
                  </w:tcMar>
                  <w:vAlign w:val="center"/>
                </w:tcPr>
                <w:p w14:paraId="34A1C237">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0.05</w:t>
                  </w:r>
                </w:p>
              </w:tc>
              <w:tc>
                <w:tcPr>
                  <w:tcW w:w="626" w:type="pct"/>
                  <w:tcBorders>
                    <w:tl2br w:val="nil"/>
                    <w:tr2bl w:val="nil"/>
                  </w:tcBorders>
                  <w:shd w:val="clear" w:color="auto" w:fill="auto"/>
                  <w:tcMar>
                    <w:left w:w="28" w:type="dxa"/>
                    <w:right w:w="28" w:type="dxa"/>
                  </w:tcMar>
                  <w:vAlign w:val="center"/>
                </w:tcPr>
                <w:p w14:paraId="43F38296">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0.237</w:t>
                  </w:r>
                </w:p>
              </w:tc>
              <w:tc>
                <w:tcPr>
                  <w:tcW w:w="1566" w:type="pct"/>
                  <w:tcBorders>
                    <w:tl2br w:val="nil"/>
                    <w:tr2bl w:val="nil"/>
                  </w:tcBorders>
                  <w:shd w:val="clear" w:color="auto" w:fill="auto"/>
                  <w:tcMar>
                    <w:left w:w="28" w:type="dxa"/>
                    <w:right w:w="28" w:type="dxa"/>
                  </w:tcMar>
                  <w:vAlign w:val="center"/>
                </w:tcPr>
                <w:p w14:paraId="5FAC2539">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10.1</w:t>
                  </w:r>
                </w:p>
              </w:tc>
            </w:tr>
            <w:tr w14:paraId="3BD508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jc w:val="center"/>
              </w:trPr>
              <w:tc>
                <w:tcPr>
                  <w:tcW w:w="1560" w:type="pct"/>
                  <w:tcBorders>
                    <w:tl2br w:val="nil"/>
                    <w:tr2bl w:val="nil"/>
                  </w:tcBorders>
                  <w:shd w:val="clear" w:color="auto" w:fill="auto"/>
                  <w:tcMar>
                    <w:left w:w="28" w:type="dxa"/>
                    <w:right w:w="28" w:type="dxa"/>
                  </w:tcMar>
                  <w:vAlign w:val="center"/>
                </w:tcPr>
                <w:p w14:paraId="352256E9">
                  <w:pPr>
                    <w:pStyle w:val="21"/>
                    <w:keepNext w:val="0"/>
                    <w:keepLines w:val="0"/>
                    <w:pageBreakBefore w:val="0"/>
                    <w:widowControl/>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2024</w:t>
                  </w:r>
                  <w:r>
                    <w:rPr>
                      <w:rFonts w:hint="default" w:ascii="Times New Roman" w:hAnsi="Times New Roman" w:eastAsia="宋体" w:cs="Times New Roman"/>
                      <w:sz w:val="21"/>
                      <w:szCs w:val="21"/>
                    </w:rPr>
                    <w:t>年</w:t>
                  </w:r>
                  <w:r>
                    <w:rPr>
                      <w:rFonts w:hint="default" w:ascii="Times New Roman" w:hAnsi="Times New Roman" w:eastAsia="宋体" w:cs="Times New Roman"/>
                      <w:sz w:val="21"/>
                      <w:szCs w:val="21"/>
                      <w:lang w:val="en-US"/>
                    </w:rPr>
                    <w:t>23</w:t>
                  </w:r>
                  <w:r>
                    <w:rPr>
                      <w:rFonts w:hint="default" w:ascii="Times New Roman" w:hAnsi="Times New Roman" w:eastAsia="宋体" w:cs="Times New Roman"/>
                      <w:sz w:val="21"/>
                      <w:szCs w:val="21"/>
                    </w:rPr>
                    <w:t>周</w:t>
                  </w:r>
                </w:p>
              </w:tc>
              <w:tc>
                <w:tcPr>
                  <w:tcW w:w="620" w:type="pct"/>
                  <w:tcBorders>
                    <w:tl2br w:val="nil"/>
                    <w:tr2bl w:val="nil"/>
                  </w:tcBorders>
                  <w:shd w:val="clear" w:color="auto" w:fill="auto"/>
                  <w:tcMar>
                    <w:left w:w="28" w:type="dxa"/>
                    <w:right w:w="28" w:type="dxa"/>
                  </w:tcMar>
                  <w:vAlign w:val="center"/>
                </w:tcPr>
                <w:p w14:paraId="1DC42896">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26.9</w:t>
                  </w:r>
                </w:p>
              </w:tc>
              <w:tc>
                <w:tcPr>
                  <w:tcW w:w="626" w:type="pct"/>
                  <w:tcBorders>
                    <w:tl2br w:val="nil"/>
                    <w:tr2bl w:val="nil"/>
                  </w:tcBorders>
                  <w:shd w:val="clear" w:color="auto" w:fill="auto"/>
                  <w:tcMar>
                    <w:left w:w="28" w:type="dxa"/>
                    <w:right w:w="28" w:type="dxa"/>
                  </w:tcMar>
                  <w:vAlign w:val="center"/>
                </w:tcPr>
                <w:p w14:paraId="23EAC460">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0.07</w:t>
                  </w:r>
                </w:p>
              </w:tc>
              <w:tc>
                <w:tcPr>
                  <w:tcW w:w="626" w:type="pct"/>
                  <w:tcBorders>
                    <w:tl2br w:val="nil"/>
                    <w:tr2bl w:val="nil"/>
                  </w:tcBorders>
                  <w:shd w:val="clear" w:color="auto" w:fill="auto"/>
                  <w:tcMar>
                    <w:left w:w="28" w:type="dxa"/>
                    <w:right w:w="28" w:type="dxa"/>
                  </w:tcMar>
                  <w:vAlign w:val="center"/>
                </w:tcPr>
                <w:p w14:paraId="09F97F0B">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0.142</w:t>
                  </w:r>
                </w:p>
              </w:tc>
              <w:tc>
                <w:tcPr>
                  <w:tcW w:w="1566" w:type="pct"/>
                  <w:tcBorders>
                    <w:tl2br w:val="nil"/>
                    <w:tr2bl w:val="nil"/>
                  </w:tcBorders>
                  <w:shd w:val="clear" w:color="auto" w:fill="auto"/>
                  <w:tcMar>
                    <w:left w:w="28" w:type="dxa"/>
                    <w:right w:w="28" w:type="dxa"/>
                  </w:tcMar>
                  <w:vAlign w:val="center"/>
                </w:tcPr>
                <w:p w14:paraId="604A3D3F">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7.5</w:t>
                  </w:r>
                </w:p>
              </w:tc>
            </w:tr>
            <w:tr w14:paraId="725535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jc w:val="center"/>
              </w:trPr>
              <w:tc>
                <w:tcPr>
                  <w:tcW w:w="1560" w:type="pct"/>
                  <w:tcBorders>
                    <w:tl2br w:val="nil"/>
                    <w:tr2bl w:val="nil"/>
                  </w:tcBorders>
                  <w:shd w:val="clear" w:color="auto" w:fill="auto"/>
                  <w:tcMar>
                    <w:left w:w="28" w:type="dxa"/>
                    <w:right w:w="28" w:type="dxa"/>
                  </w:tcMar>
                  <w:vAlign w:val="center"/>
                </w:tcPr>
                <w:p w14:paraId="02EF11D7">
                  <w:pPr>
                    <w:pStyle w:val="21"/>
                    <w:keepNext w:val="0"/>
                    <w:keepLines w:val="0"/>
                    <w:pageBreakBefore w:val="0"/>
                    <w:widowControl/>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2024</w:t>
                  </w:r>
                  <w:r>
                    <w:rPr>
                      <w:rFonts w:hint="default" w:ascii="Times New Roman" w:hAnsi="Times New Roman" w:eastAsia="宋体" w:cs="Times New Roman"/>
                      <w:sz w:val="21"/>
                      <w:szCs w:val="21"/>
                    </w:rPr>
                    <w:t>年</w:t>
                  </w:r>
                  <w:r>
                    <w:rPr>
                      <w:rFonts w:hint="default" w:ascii="Times New Roman" w:hAnsi="Times New Roman" w:eastAsia="宋体" w:cs="Times New Roman"/>
                      <w:sz w:val="21"/>
                      <w:szCs w:val="21"/>
                      <w:lang w:val="en-US"/>
                    </w:rPr>
                    <w:t>24</w:t>
                  </w:r>
                  <w:r>
                    <w:rPr>
                      <w:rFonts w:hint="default" w:ascii="Times New Roman" w:hAnsi="Times New Roman" w:eastAsia="宋体" w:cs="Times New Roman"/>
                      <w:sz w:val="21"/>
                      <w:szCs w:val="21"/>
                    </w:rPr>
                    <w:t>周</w:t>
                  </w:r>
                </w:p>
              </w:tc>
              <w:tc>
                <w:tcPr>
                  <w:tcW w:w="620" w:type="pct"/>
                  <w:tcBorders>
                    <w:tl2br w:val="nil"/>
                    <w:tr2bl w:val="nil"/>
                  </w:tcBorders>
                  <w:shd w:val="clear" w:color="auto" w:fill="auto"/>
                  <w:tcMar>
                    <w:left w:w="28" w:type="dxa"/>
                    <w:right w:w="28" w:type="dxa"/>
                  </w:tcMar>
                  <w:vAlign w:val="center"/>
                </w:tcPr>
                <w:p w14:paraId="637172E4">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33.6</w:t>
                  </w:r>
                </w:p>
              </w:tc>
              <w:tc>
                <w:tcPr>
                  <w:tcW w:w="626" w:type="pct"/>
                  <w:tcBorders>
                    <w:tl2br w:val="nil"/>
                    <w:tr2bl w:val="nil"/>
                  </w:tcBorders>
                  <w:shd w:val="clear" w:color="auto" w:fill="auto"/>
                  <w:tcMar>
                    <w:left w:w="28" w:type="dxa"/>
                    <w:right w:w="28" w:type="dxa"/>
                  </w:tcMar>
                  <w:vAlign w:val="center"/>
                </w:tcPr>
                <w:p w14:paraId="259C1B05">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0.06</w:t>
                  </w:r>
                </w:p>
              </w:tc>
              <w:tc>
                <w:tcPr>
                  <w:tcW w:w="626" w:type="pct"/>
                  <w:tcBorders>
                    <w:tl2br w:val="nil"/>
                    <w:tr2bl w:val="nil"/>
                  </w:tcBorders>
                  <w:shd w:val="clear" w:color="auto" w:fill="auto"/>
                  <w:tcMar>
                    <w:left w:w="28" w:type="dxa"/>
                    <w:right w:w="28" w:type="dxa"/>
                  </w:tcMar>
                  <w:vAlign w:val="center"/>
                </w:tcPr>
                <w:p w14:paraId="3D76C200">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0.176</w:t>
                  </w:r>
                </w:p>
              </w:tc>
              <w:tc>
                <w:tcPr>
                  <w:tcW w:w="1566" w:type="pct"/>
                  <w:tcBorders>
                    <w:tl2br w:val="nil"/>
                    <w:tr2bl w:val="nil"/>
                  </w:tcBorders>
                  <w:shd w:val="clear" w:color="auto" w:fill="auto"/>
                  <w:tcMar>
                    <w:left w:w="28" w:type="dxa"/>
                    <w:right w:w="28" w:type="dxa"/>
                  </w:tcMar>
                  <w:vAlign w:val="center"/>
                </w:tcPr>
                <w:p w14:paraId="79F40FF4">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7.9</w:t>
                  </w:r>
                </w:p>
              </w:tc>
            </w:tr>
            <w:tr w14:paraId="0410E5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jc w:val="center"/>
              </w:trPr>
              <w:tc>
                <w:tcPr>
                  <w:tcW w:w="1560" w:type="pct"/>
                  <w:tcBorders>
                    <w:tl2br w:val="nil"/>
                    <w:tr2bl w:val="nil"/>
                  </w:tcBorders>
                  <w:shd w:val="clear" w:color="auto" w:fill="auto"/>
                  <w:tcMar>
                    <w:left w:w="28" w:type="dxa"/>
                    <w:right w:w="28" w:type="dxa"/>
                  </w:tcMar>
                  <w:vAlign w:val="center"/>
                </w:tcPr>
                <w:p w14:paraId="7BAE1271">
                  <w:pPr>
                    <w:pStyle w:val="21"/>
                    <w:keepNext w:val="0"/>
                    <w:keepLines w:val="0"/>
                    <w:pageBreakBefore w:val="0"/>
                    <w:widowControl/>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2024</w:t>
                  </w:r>
                  <w:r>
                    <w:rPr>
                      <w:rFonts w:hint="default" w:ascii="Times New Roman" w:hAnsi="Times New Roman" w:eastAsia="宋体" w:cs="Times New Roman"/>
                      <w:sz w:val="21"/>
                      <w:szCs w:val="21"/>
                    </w:rPr>
                    <w:t>年</w:t>
                  </w:r>
                  <w:r>
                    <w:rPr>
                      <w:rFonts w:hint="default" w:ascii="Times New Roman" w:hAnsi="Times New Roman" w:eastAsia="宋体" w:cs="Times New Roman"/>
                      <w:sz w:val="21"/>
                      <w:szCs w:val="21"/>
                      <w:lang w:val="en-US"/>
                    </w:rPr>
                    <w:t>25</w:t>
                  </w:r>
                  <w:r>
                    <w:rPr>
                      <w:rFonts w:hint="default" w:ascii="Times New Roman" w:hAnsi="Times New Roman" w:eastAsia="宋体" w:cs="Times New Roman"/>
                      <w:sz w:val="21"/>
                      <w:szCs w:val="21"/>
                    </w:rPr>
                    <w:t>周</w:t>
                  </w:r>
                </w:p>
              </w:tc>
              <w:tc>
                <w:tcPr>
                  <w:tcW w:w="620" w:type="pct"/>
                  <w:tcBorders>
                    <w:tl2br w:val="nil"/>
                    <w:tr2bl w:val="nil"/>
                  </w:tcBorders>
                  <w:shd w:val="clear" w:color="auto" w:fill="auto"/>
                  <w:tcMar>
                    <w:left w:w="28" w:type="dxa"/>
                    <w:right w:w="28" w:type="dxa"/>
                  </w:tcMar>
                  <w:vAlign w:val="center"/>
                </w:tcPr>
                <w:p w14:paraId="0EC5D085">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38.4</w:t>
                  </w:r>
                </w:p>
              </w:tc>
              <w:tc>
                <w:tcPr>
                  <w:tcW w:w="626" w:type="pct"/>
                  <w:tcBorders>
                    <w:tl2br w:val="nil"/>
                    <w:tr2bl w:val="nil"/>
                  </w:tcBorders>
                  <w:shd w:val="clear" w:color="auto" w:fill="auto"/>
                  <w:tcMar>
                    <w:left w:w="28" w:type="dxa"/>
                    <w:right w:w="28" w:type="dxa"/>
                  </w:tcMar>
                  <w:vAlign w:val="center"/>
                </w:tcPr>
                <w:p w14:paraId="4D2ADC1D">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0.39</w:t>
                  </w:r>
                </w:p>
              </w:tc>
              <w:tc>
                <w:tcPr>
                  <w:tcW w:w="626" w:type="pct"/>
                  <w:tcBorders>
                    <w:tl2br w:val="nil"/>
                    <w:tr2bl w:val="nil"/>
                  </w:tcBorders>
                  <w:shd w:val="clear" w:color="auto" w:fill="auto"/>
                  <w:tcMar>
                    <w:left w:w="28" w:type="dxa"/>
                    <w:right w:w="28" w:type="dxa"/>
                  </w:tcMar>
                  <w:vAlign w:val="center"/>
                </w:tcPr>
                <w:p w14:paraId="067FC638">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0.217</w:t>
                  </w:r>
                </w:p>
              </w:tc>
              <w:tc>
                <w:tcPr>
                  <w:tcW w:w="1566" w:type="pct"/>
                  <w:tcBorders>
                    <w:tl2br w:val="nil"/>
                    <w:tr2bl w:val="nil"/>
                  </w:tcBorders>
                  <w:shd w:val="clear" w:color="auto" w:fill="auto"/>
                  <w:tcMar>
                    <w:left w:w="28" w:type="dxa"/>
                    <w:right w:w="28" w:type="dxa"/>
                  </w:tcMar>
                  <w:vAlign w:val="center"/>
                </w:tcPr>
                <w:p w14:paraId="4D107B1C">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9.7</w:t>
                  </w:r>
                </w:p>
              </w:tc>
            </w:tr>
            <w:tr w14:paraId="62BE8A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jc w:val="center"/>
              </w:trPr>
              <w:tc>
                <w:tcPr>
                  <w:tcW w:w="1560" w:type="pct"/>
                  <w:tcBorders>
                    <w:tl2br w:val="nil"/>
                    <w:tr2bl w:val="nil"/>
                  </w:tcBorders>
                  <w:shd w:val="clear" w:color="auto" w:fill="auto"/>
                  <w:tcMar>
                    <w:left w:w="28" w:type="dxa"/>
                    <w:right w:w="28" w:type="dxa"/>
                  </w:tcMar>
                  <w:vAlign w:val="center"/>
                </w:tcPr>
                <w:p w14:paraId="350F866F">
                  <w:pPr>
                    <w:pStyle w:val="21"/>
                    <w:keepNext w:val="0"/>
                    <w:keepLines w:val="0"/>
                    <w:pageBreakBefore w:val="0"/>
                    <w:widowControl/>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2024</w:t>
                  </w:r>
                  <w:r>
                    <w:rPr>
                      <w:rFonts w:hint="default" w:ascii="Times New Roman" w:hAnsi="Times New Roman" w:eastAsia="宋体" w:cs="Times New Roman"/>
                      <w:sz w:val="21"/>
                      <w:szCs w:val="21"/>
                    </w:rPr>
                    <w:t>年</w:t>
                  </w:r>
                  <w:r>
                    <w:rPr>
                      <w:rFonts w:hint="default" w:ascii="Times New Roman" w:hAnsi="Times New Roman" w:eastAsia="宋体" w:cs="Times New Roman"/>
                      <w:sz w:val="21"/>
                      <w:szCs w:val="21"/>
                      <w:lang w:val="en-US"/>
                    </w:rPr>
                    <w:t>26</w:t>
                  </w:r>
                  <w:r>
                    <w:rPr>
                      <w:rFonts w:hint="default" w:ascii="Times New Roman" w:hAnsi="Times New Roman" w:eastAsia="宋体" w:cs="Times New Roman"/>
                      <w:sz w:val="21"/>
                      <w:szCs w:val="21"/>
                    </w:rPr>
                    <w:t>周</w:t>
                  </w:r>
                </w:p>
              </w:tc>
              <w:tc>
                <w:tcPr>
                  <w:tcW w:w="620" w:type="pct"/>
                  <w:tcBorders>
                    <w:tl2br w:val="nil"/>
                    <w:tr2bl w:val="nil"/>
                  </w:tcBorders>
                  <w:shd w:val="clear" w:color="auto" w:fill="auto"/>
                  <w:tcMar>
                    <w:left w:w="28" w:type="dxa"/>
                    <w:right w:w="28" w:type="dxa"/>
                  </w:tcMar>
                  <w:vAlign w:val="center"/>
                </w:tcPr>
                <w:p w14:paraId="26E57157">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41.4</w:t>
                  </w:r>
                </w:p>
              </w:tc>
              <w:tc>
                <w:tcPr>
                  <w:tcW w:w="626" w:type="pct"/>
                  <w:tcBorders>
                    <w:tl2br w:val="nil"/>
                    <w:tr2bl w:val="nil"/>
                  </w:tcBorders>
                  <w:shd w:val="clear" w:color="auto" w:fill="auto"/>
                  <w:tcMar>
                    <w:left w:w="28" w:type="dxa"/>
                    <w:right w:w="28" w:type="dxa"/>
                  </w:tcMar>
                  <w:vAlign w:val="center"/>
                </w:tcPr>
                <w:p w14:paraId="7D4CFC97">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0.35</w:t>
                  </w:r>
                </w:p>
              </w:tc>
              <w:tc>
                <w:tcPr>
                  <w:tcW w:w="626" w:type="pct"/>
                  <w:tcBorders>
                    <w:tl2br w:val="nil"/>
                    <w:tr2bl w:val="nil"/>
                  </w:tcBorders>
                  <w:shd w:val="clear" w:color="auto" w:fill="auto"/>
                  <w:tcMar>
                    <w:left w:w="28" w:type="dxa"/>
                    <w:right w:w="28" w:type="dxa"/>
                  </w:tcMar>
                  <w:vAlign w:val="center"/>
                </w:tcPr>
                <w:p w14:paraId="7D5F5F01">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0.153</w:t>
                  </w:r>
                </w:p>
              </w:tc>
              <w:tc>
                <w:tcPr>
                  <w:tcW w:w="1566" w:type="pct"/>
                  <w:tcBorders>
                    <w:tl2br w:val="nil"/>
                    <w:tr2bl w:val="nil"/>
                  </w:tcBorders>
                  <w:shd w:val="clear" w:color="auto" w:fill="auto"/>
                  <w:tcMar>
                    <w:left w:w="28" w:type="dxa"/>
                    <w:right w:w="28" w:type="dxa"/>
                  </w:tcMar>
                  <w:vAlign w:val="center"/>
                </w:tcPr>
                <w:p w14:paraId="2D762C34">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11.5</w:t>
                  </w:r>
                </w:p>
              </w:tc>
            </w:tr>
            <w:tr w14:paraId="64A5DD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jc w:val="center"/>
              </w:trPr>
              <w:tc>
                <w:tcPr>
                  <w:tcW w:w="1560" w:type="pct"/>
                  <w:tcBorders>
                    <w:tl2br w:val="nil"/>
                    <w:tr2bl w:val="nil"/>
                  </w:tcBorders>
                  <w:shd w:val="clear" w:color="auto" w:fill="auto"/>
                  <w:tcMar>
                    <w:left w:w="28" w:type="dxa"/>
                    <w:right w:w="28" w:type="dxa"/>
                  </w:tcMar>
                  <w:vAlign w:val="center"/>
                </w:tcPr>
                <w:p w14:paraId="0E7EE007">
                  <w:pPr>
                    <w:pStyle w:val="21"/>
                    <w:keepNext w:val="0"/>
                    <w:keepLines w:val="0"/>
                    <w:pageBreakBefore w:val="0"/>
                    <w:widowControl/>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2024</w:t>
                  </w:r>
                  <w:r>
                    <w:rPr>
                      <w:rFonts w:hint="default" w:ascii="Times New Roman" w:hAnsi="Times New Roman" w:eastAsia="宋体" w:cs="Times New Roman"/>
                      <w:sz w:val="21"/>
                      <w:szCs w:val="21"/>
                    </w:rPr>
                    <w:t>年</w:t>
                  </w:r>
                  <w:r>
                    <w:rPr>
                      <w:rFonts w:hint="default" w:ascii="Times New Roman" w:hAnsi="Times New Roman" w:eastAsia="宋体" w:cs="Times New Roman"/>
                      <w:sz w:val="21"/>
                      <w:szCs w:val="21"/>
                      <w:lang w:val="en-US"/>
                    </w:rPr>
                    <w:t>27</w:t>
                  </w:r>
                  <w:r>
                    <w:rPr>
                      <w:rFonts w:hint="default" w:ascii="Times New Roman" w:hAnsi="Times New Roman" w:eastAsia="宋体" w:cs="Times New Roman"/>
                      <w:sz w:val="21"/>
                      <w:szCs w:val="21"/>
                    </w:rPr>
                    <w:t>周</w:t>
                  </w:r>
                </w:p>
              </w:tc>
              <w:tc>
                <w:tcPr>
                  <w:tcW w:w="620" w:type="pct"/>
                  <w:tcBorders>
                    <w:tl2br w:val="nil"/>
                    <w:tr2bl w:val="nil"/>
                  </w:tcBorders>
                  <w:shd w:val="clear" w:color="auto" w:fill="auto"/>
                  <w:tcMar>
                    <w:left w:w="28" w:type="dxa"/>
                    <w:right w:w="28" w:type="dxa"/>
                  </w:tcMar>
                  <w:vAlign w:val="center"/>
                </w:tcPr>
                <w:p w14:paraId="57DC40B4">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50.1</w:t>
                  </w:r>
                </w:p>
              </w:tc>
              <w:tc>
                <w:tcPr>
                  <w:tcW w:w="626" w:type="pct"/>
                  <w:tcBorders>
                    <w:tl2br w:val="nil"/>
                    <w:tr2bl w:val="nil"/>
                  </w:tcBorders>
                  <w:shd w:val="clear" w:color="auto" w:fill="auto"/>
                  <w:tcMar>
                    <w:left w:w="28" w:type="dxa"/>
                    <w:right w:w="28" w:type="dxa"/>
                  </w:tcMar>
                  <w:vAlign w:val="center"/>
                </w:tcPr>
                <w:p w14:paraId="535DB13A">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1.252</w:t>
                  </w:r>
                </w:p>
              </w:tc>
              <w:tc>
                <w:tcPr>
                  <w:tcW w:w="626" w:type="pct"/>
                  <w:tcBorders>
                    <w:tl2br w:val="nil"/>
                    <w:tr2bl w:val="nil"/>
                  </w:tcBorders>
                  <w:shd w:val="clear" w:color="auto" w:fill="auto"/>
                  <w:tcMar>
                    <w:left w:w="28" w:type="dxa"/>
                    <w:right w:w="28" w:type="dxa"/>
                  </w:tcMar>
                  <w:vAlign w:val="center"/>
                </w:tcPr>
                <w:p w14:paraId="2ACABBC5">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0.37</w:t>
                  </w:r>
                </w:p>
              </w:tc>
              <w:tc>
                <w:tcPr>
                  <w:tcW w:w="1566" w:type="pct"/>
                  <w:tcBorders>
                    <w:tl2br w:val="nil"/>
                    <w:tr2bl w:val="nil"/>
                  </w:tcBorders>
                  <w:shd w:val="clear" w:color="auto" w:fill="auto"/>
                  <w:tcMar>
                    <w:left w:w="28" w:type="dxa"/>
                    <w:right w:w="28" w:type="dxa"/>
                  </w:tcMar>
                  <w:vAlign w:val="center"/>
                </w:tcPr>
                <w:p w14:paraId="53ADF798">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9.4</w:t>
                  </w:r>
                </w:p>
              </w:tc>
            </w:tr>
            <w:tr w14:paraId="1B0C201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90" w:hRule="atLeast"/>
                <w:jc w:val="center"/>
              </w:trPr>
              <w:tc>
                <w:tcPr>
                  <w:tcW w:w="1560" w:type="pct"/>
                  <w:tcBorders>
                    <w:tl2br w:val="nil"/>
                    <w:tr2bl w:val="nil"/>
                  </w:tcBorders>
                  <w:shd w:val="clear" w:color="auto" w:fill="auto"/>
                  <w:tcMar>
                    <w:left w:w="28" w:type="dxa"/>
                    <w:right w:w="28" w:type="dxa"/>
                  </w:tcMar>
                  <w:vAlign w:val="center"/>
                </w:tcPr>
                <w:p w14:paraId="3D86BB0F">
                  <w:pPr>
                    <w:pStyle w:val="21"/>
                    <w:keepNext w:val="0"/>
                    <w:keepLines w:val="0"/>
                    <w:pageBreakBefore w:val="0"/>
                    <w:widowControl/>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2024</w:t>
                  </w:r>
                  <w:r>
                    <w:rPr>
                      <w:rFonts w:hint="default" w:ascii="Times New Roman" w:hAnsi="Times New Roman" w:eastAsia="宋体" w:cs="Times New Roman"/>
                      <w:sz w:val="21"/>
                      <w:szCs w:val="21"/>
                    </w:rPr>
                    <w:t>年</w:t>
                  </w:r>
                  <w:r>
                    <w:rPr>
                      <w:rFonts w:hint="default" w:ascii="Times New Roman" w:hAnsi="Times New Roman" w:eastAsia="宋体" w:cs="Times New Roman"/>
                      <w:sz w:val="21"/>
                      <w:szCs w:val="21"/>
                      <w:lang w:val="en-US"/>
                    </w:rPr>
                    <w:t>28</w:t>
                  </w:r>
                  <w:r>
                    <w:rPr>
                      <w:rFonts w:hint="default" w:ascii="Times New Roman" w:hAnsi="Times New Roman" w:eastAsia="宋体" w:cs="Times New Roman"/>
                      <w:sz w:val="21"/>
                      <w:szCs w:val="21"/>
                    </w:rPr>
                    <w:t>周</w:t>
                  </w:r>
                </w:p>
              </w:tc>
              <w:tc>
                <w:tcPr>
                  <w:tcW w:w="620" w:type="pct"/>
                  <w:tcBorders>
                    <w:tl2br w:val="nil"/>
                    <w:tr2bl w:val="nil"/>
                  </w:tcBorders>
                  <w:shd w:val="clear" w:color="auto" w:fill="auto"/>
                  <w:tcMar>
                    <w:left w:w="28" w:type="dxa"/>
                    <w:right w:w="28" w:type="dxa"/>
                  </w:tcMar>
                  <w:vAlign w:val="center"/>
                </w:tcPr>
                <w:p w14:paraId="3605A394">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41.4</w:t>
                  </w:r>
                </w:p>
              </w:tc>
              <w:tc>
                <w:tcPr>
                  <w:tcW w:w="626" w:type="pct"/>
                  <w:tcBorders>
                    <w:tl2br w:val="nil"/>
                    <w:tr2bl w:val="nil"/>
                  </w:tcBorders>
                  <w:shd w:val="clear" w:color="auto" w:fill="auto"/>
                  <w:tcMar>
                    <w:left w:w="28" w:type="dxa"/>
                    <w:right w:w="28" w:type="dxa"/>
                  </w:tcMar>
                  <w:vAlign w:val="center"/>
                </w:tcPr>
                <w:p w14:paraId="23F3C9F7">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1.471</w:t>
                  </w:r>
                </w:p>
              </w:tc>
              <w:tc>
                <w:tcPr>
                  <w:tcW w:w="626" w:type="pct"/>
                  <w:tcBorders>
                    <w:tl2br w:val="nil"/>
                    <w:tr2bl w:val="nil"/>
                  </w:tcBorders>
                  <w:shd w:val="clear" w:color="auto" w:fill="auto"/>
                  <w:tcMar>
                    <w:left w:w="28" w:type="dxa"/>
                    <w:right w:w="28" w:type="dxa"/>
                  </w:tcMar>
                  <w:vAlign w:val="center"/>
                </w:tcPr>
                <w:p w14:paraId="0BF7DBF6">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0.48</w:t>
                  </w:r>
                </w:p>
              </w:tc>
              <w:tc>
                <w:tcPr>
                  <w:tcW w:w="1566" w:type="pct"/>
                  <w:tcBorders>
                    <w:tl2br w:val="nil"/>
                    <w:tr2bl w:val="nil"/>
                  </w:tcBorders>
                  <w:shd w:val="clear" w:color="auto" w:fill="auto"/>
                  <w:tcMar>
                    <w:left w:w="28" w:type="dxa"/>
                    <w:right w:w="28" w:type="dxa"/>
                  </w:tcMar>
                  <w:vAlign w:val="center"/>
                </w:tcPr>
                <w:p w14:paraId="4DDEF852">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10.1</w:t>
                  </w:r>
                </w:p>
              </w:tc>
            </w:tr>
            <w:tr w14:paraId="11EB83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20" w:hRule="atLeast"/>
                <w:jc w:val="center"/>
              </w:trPr>
              <w:tc>
                <w:tcPr>
                  <w:tcW w:w="1560" w:type="pct"/>
                  <w:tcBorders>
                    <w:tl2br w:val="nil"/>
                    <w:tr2bl w:val="nil"/>
                  </w:tcBorders>
                  <w:shd w:val="clear" w:color="auto" w:fill="auto"/>
                  <w:tcMar>
                    <w:left w:w="28" w:type="dxa"/>
                    <w:right w:w="28" w:type="dxa"/>
                  </w:tcMar>
                  <w:vAlign w:val="center"/>
                </w:tcPr>
                <w:p w14:paraId="2BBAE3A4">
                  <w:pPr>
                    <w:pStyle w:val="21"/>
                    <w:keepNext w:val="0"/>
                    <w:keepLines w:val="0"/>
                    <w:pageBreakBefore w:val="0"/>
                    <w:widowControl/>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2024</w:t>
                  </w:r>
                  <w:r>
                    <w:rPr>
                      <w:rFonts w:hint="default" w:ascii="Times New Roman" w:hAnsi="Times New Roman" w:eastAsia="宋体" w:cs="Times New Roman"/>
                      <w:sz w:val="21"/>
                      <w:szCs w:val="21"/>
                    </w:rPr>
                    <w:t>年</w:t>
                  </w:r>
                  <w:r>
                    <w:rPr>
                      <w:rFonts w:hint="default" w:ascii="Times New Roman" w:hAnsi="Times New Roman" w:eastAsia="宋体" w:cs="Times New Roman"/>
                      <w:sz w:val="21"/>
                      <w:szCs w:val="21"/>
                      <w:lang w:val="en-US"/>
                    </w:rPr>
                    <w:t>29</w:t>
                  </w:r>
                  <w:r>
                    <w:rPr>
                      <w:rFonts w:hint="default" w:ascii="Times New Roman" w:hAnsi="Times New Roman" w:eastAsia="宋体" w:cs="Times New Roman"/>
                      <w:sz w:val="21"/>
                      <w:szCs w:val="21"/>
                    </w:rPr>
                    <w:t>周</w:t>
                  </w:r>
                </w:p>
              </w:tc>
              <w:tc>
                <w:tcPr>
                  <w:tcW w:w="620" w:type="pct"/>
                  <w:tcBorders>
                    <w:tl2br w:val="nil"/>
                    <w:tr2bl w:val="nil"/>
                  </w:tcBorders>
                  <w:shd w:val="clear" w:color="auto" w:fill="auto"/>
                  <w:tcMar>
                    <w:left w:w="28" w:type="dxa"/>
                    <w:right w:w="28" w:type="dxa"/>
                  </w:tcMar>
                  <w:vAlign w:val="center"/>
                </w:tcPr>
                <w:p w14:paraId="00D9A092">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37.7</w:t>
                  </w:r>
                </w:p>
              </w:tc>
              <w:tc>
                <w:tcPr>
                  <w:tcW w:w="626" w:type="pct"/>
                  <w:tcBorders>
                    <w:tl2br w:val="nil"/>
                    <w:tr2bl w:val="nil"/>
                  </w:tcBorders>
                  <w:shd w:val="clear" w:color="auto" w:fill="auto"/>
                  <w:tcMar>
                    <w:left w:w="28" w:type="dxa"/>
                    <w:right w:w="28" w:type="dxa"/>
                  </w:tcMar>
                  <w:vAlign w:val="center"/>
                </w:tcPr>
                <w:p w14:paraId="6E87EDA0">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1.16</w:t>
                  </w:r>
                </w:p>
              </w:tc>
              <w:tc>
                <w:tcPr>
                  <w:tcW w:w="626" w:type="pct"/>
                  <w:tcBorders>
                    <w:tl2br w:val="nil"/>
                    <w:tr2bl w:val="nil"/>
                  </w:tcBorders>
                  <w:shd w:val="clear" w:color="auto" w:fill="auto"/>
                  <w:tcMar>
                    <w:left w:w="28" w:type="dxa"/>
                    <w:right w:w="28" w:type="dxa"/>
                  </w:tcMar>
                  <w:vAlign w:val="center"/>
                </w:tcPr>
                <w:p w14:paraId="622CA8BF">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0.557</w:t>
                  </w:r>
                </w:p>
              </w:tc>
              <w:tc>
                <w:tcPr>
                  <w:tcW w:w="1566" w:type="pct"/>
                  <w:tcBorders>
                    <w:tl2br w:val="nil"/>
                    <w:tr2bl w:val="nil"/>
                  </w:tcBorders>
                  <w:shd w:val="clear" w:color="auto" w:fill="auto"/>
                  <w:tcMar>
                    <w:left w:w="28" w:type="dxa"/>
                    <w:right w:w="28" w:type="dxa"/>
                  </w:tcMar>
                  <w:vAlign w:val="center"/>
                </w:tcPr>
                <w:p w14:paraId="158B3B79">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10</w:t>
                  </w:r>
                </w:p>
              </w:tc>
            </w:tr>
            <w:tr w14:paraId="160ABE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jc w:val="center"/>
              </w:trPr>
              <w:tc>
                <w:tcPr>
                  <w:tcW w:w="1560" w:type="pct"/>
                  <w:tcBorders>
                    <w:tl2br w:val="nil"/>
                    <w:tr2bl w:val="nil"/>
                  </w:tcBorders>
                  <w:shd w:val="clear" w:color="auto" w:fill="auto"/>
                  <w:tcMar>
                    <w:left w:w="28" w:type="dxa"/>
                    <w:right w:w="28" w:type="dxa"/>
                  </w:tcMar>
                  <w:vAlign w:val="center"/>
                </w:tcPr>
                <w:p w14:paraId="5AF5F161">
                  <w:pPr>
                    <w:pStyle w:val="21"/>
                    <w:keepNext w:val="0"/>
                    <w:keepLines w:val="0"/>
                    <w:pageBreakBefore w:val="0"/>
                    <w:widowControl/>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2024</w:t>
                  </w:r>
                  <w:r>
                    <w:rPr>
                      <w:rFonts w:hint="default" w:ascii="Times New Roman" w:hAnsi="Times New Roman" w:eastAsia="宋体" w:cs="Times New Roman"/>
                      <w:sz w:val="21"/>
                      <w:szCs w:val="21"/>
                    </w:rPr>
                    <w:t>年</w:t>
                  </w:r>
                  <w:r>
                    <w:rPr>
                      <w:rFonts w:hint="default" w:ascii="Times New Roman" w:hAnsi="Times New Roman" w:eastAsia="宋体" w:cs="Times New Roman"/>
                      <w:sz w:val="21"/>
                      <w:szCs w:val="21"/>
                      <w:lang w:val="en-US"/>
                    </w:rPr>
                    <w:t>30</w:t>
                  </w:r>
                  <w:r>
                    <w:rPr>
                      <w:rFonts w:hint="default" w:ascii="Times New Roman" w:hAnsi="Times New Roman" w:eastAsia="宋体" w:cs="Times New Roman"/>
                      <w:sz w:val="21"/>
                      <w:szCs w:val="21"/>
                    </w:rPr>
                    <w:t>周</w:t>
                  </w:r>
                </w:p>
              </w:tc>
              <w:tc>
                <w:tcPr>
                  <w:tcW w:w="620" w:type="pct"/>
                  <w:tcBorders>
                    <w:tl2br w:val="nil"/>
                    <w:tr2bl w:val="nil"/>
                  </w:tcBorders>
                  <w:shd w:val="clear" w:color="auto" w:fill="auto"/>
                  <w:tcMar>
                    <w:left w:w="28" w:type="dxa"/>
                    <w:right w:w="28" w:type="dxa"/>
                  </w:tcMar>
                  <w:vAlign w:val="center"/>
                </w:tcPr>
                <w:p w14:paraId="699E5B9F">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49.2</w:t>
                  </w:r>
                </w:p>
              </w:tc>
              <w:tc>
                <w:tcPr>
                  <w:tcW w:w="626" w:type="pct"/>
                  <w:tcBorders>
                    <w:tl2br w:val="nil"/>
                    <w:tr2bl w:val="nil"/>
                  </w:tcBorders>
                  <w:shd w:val="clear" w:color="auto" w:fill="auto"/>
                  <w:tcMar>
                    <w:left w:w="28" w:type="dxa"/>
                    <w:right w:w="28" w:type="dxa"/>
                  </w:tcMar>
                  <w:vAlign w:val="center"/>
                </w:tcPr>
                <w:p w14:paraId="6AD7E2B4">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0.75</w:t>
                  </w:r>
                </w:p>
              </w:tc>
              <w:tc>
                <w:tcPr>
                  <w:tcW w:w="626" w:type="pct"/>
                  <w:tcBorders>
                    <w:tl2br w:val="nil"/>
                    <w:tr2bl w:val="nil"/>
                  </w:tcBorders>
                  <w:shd w:val="clear" w:color="auto" w:fill="auto"/>
                  <w:tcMar>
                    <w:left w:w="28" w:type="dxa"/>
                    <w:right w:w="28" w:type="dxa"/>
                  </w:tcMar>
                  <w:vAlign w:val="center"/>
                </w:tcPr>
                <w:p w14:paraId="29B2FACA">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0.573</w:t>
                  </w:r>
                </w:p>
              </w:tc>
              <w:tc>
                <w:tcPr>
                  <w:tcW w:w="1566" w:type="pct"/>
                  <w:tcBorders>
                    <w:tl2br w:val="nil"/>
                    <w:tr2bl w:val="nil"/>
                  </w:tcBorders>
                  <w:shd w:val="clear" w:color="auto" w:fill="auto"/>
                  <w:tcMar>
                    <w:left w:w="28" w:type="dxa"/>
                    <w:right w:w="28" w:type="dxa"/>
                  </w:tcMar>
                  <w:vAlign w:val="center"/>
                </w:tcPr>
                <w:p w14:paraId="759AB785">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7.9</w:t>
                  </w:r>
                </w:p>
              </w:tc>
            </w:tr>
            <w:tr w14:paraId="3902A1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jc w:val="center"/>
              </w:trPr>
              <w:tc>
                <w:tcPr>
                  <w:tcW w:w="1560" w:type="pct"/>
                  <w:tcBorders>
                    <w:tl2br w:val="nil"/>
                    <w:tr2bl w:val="nil"/>
                  </w:tcBorders>
                  <w:shd w:val="clear" w:color="auto" w:fill="auto"/>
                  <w:tcMar>
                    <w:left w:w="28" w:type="dxa"/>
                    <w:right w:w="28" w:type="dxa"/>
                  </w:tcMar>
                  <w:vAlign w:val="center"/>
                </w:tcPr>
                <w:p w14:paraId="48E7B3B5">
                  <w:pPr>
                    <w:pStyle w:val="21"/>
                    <w:keepNext w:val="0"/>
                    <w:keepLines w:val="0"/>
                    <w:pageBreakBefore w:val="0"/>
                    <w:widowControl/>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2024</w:t>
                  </w:r>
                  <w:r>
                    <w:rPr>
                      <w:rFonts w:hint="default" w:ascii="Times New Roman" w:hAnsi="Times New Roman" w:eastAsia="宋体" w:cs="Times New Roman"/>
                      <w:sz w:val="21"/>
                      <w:szCs w:val="21"/>
                    </w:rPr>
                    <w:t>年</w:t>
                  </w:r>
                  <w:r>
                    <w:rPr>
                      <w:rFonts w:hint="default" w:ascii="Times New Roman" w:hAnsi="Times New Roman" w:eastAsia="宋体" w:cs="Times New Roman"/>
                      <w:sz w:val="21"/>
                      <w:szCs w:val="21"/>
                      <w:lang w:val="en-US"/>
                    </w:rPr>
                    <w:t>31</w:t>
                  </w:r>
                  <w:r>
                    <w:rPr>
                      <w:rFonts w:hint="default" w:ascii="Times New Roman" w:hAnsi="Times New Roman" w:eastAsia="宋体" w:cs="Times New Roman"/>
                      <w:sz w:val="21"/>
                      <w:szCs w:val="21"/>
                    </w:rPr>
                    <w:t>周</w:t>
                  </w:r>
                </w:p>
              </w:tc>
              <w:tc>
                <w:tcPr>
                  <w:tcW w:w="620" w:type="pct"/>
                  <w:tcBorders>
                    <w:tl2br w:val="nil"/>
                    <w:tr2bl w:val="nil"/>
                  </w:tcBorders>
                  <w:shd w:val="clear" w:color="auto" w:fill="auto"/>
                  <w:tcMar>
                    <w:left w:w="28" w:type="dxa"/>
                    <w:right w:w="28" w:type="dxa"/>
                  </w:tcMar>
                  <w:vAlign w:val="center"/>
                </w:tcPr>
                <w:p w14:paraId="7D8CD6D3">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28.3</w:t>
                  </w:r>
                </w:p>
              </w:tc>
              <w:tc>
                <w:tcPr>
                  <w:tcW w:w="626" w:type="pct"/>
                  <w:tcBorders>
                    <w:tl2br w:val="nil"/>
                    <w:tr2bl w:val="nil"/>
                  </w:tcBorders>
                  <w:shd w:val="clear" w:color="auto" w:fill="auto"/>
                  <w:tcMar>
                    <w:left w:w="28" w:type="dxa"/>
                    <w:right w:w="28" w:type="dxa"/>
                  </w:tcMar>
                  <w:vAlign w:val="center"/>
                </w:tcPr>
                <w:p w14:paraId="5EC4B544">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0.385</w:t>
                  </w:r>
                </w:p>
              </w:tc>
              <w:tc>
                <w:tcPr>
                  <w:tcW w:w="626" w:type="pct"/>
                  <w:tcBorders>
                    <w:tl2br w:val="nil"/>
                    <w:tr2bl w:val="nil"/>
                  </w:tcBorders>
                  <w:shd w:val="clear" w:color="auto" w:fill="auto"/>
                  <w:tcMar>
                    <w:left w:w="28" w:type="dxa"/>
                    <w:right w:w="28" w:type="dxa"/>
                  </w:tcMar>
                  <w:vAlign w:val="center"/>
                </w:tcPr>
                <w:p w14:paraId="690590C0">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0.357</w:t>
                  </w:r>
                </w:p>
              </w:tc>
              <w:tc>
                <w:tcPr>
                  <w:tcW w:w="1566" w:type="pct"/>
                  <w:tcBorders>
                    <w:tl2br w:val="nil"/>
                    <w:tr2bl w:val="nil"/>
                  </w:tcBorders>
                  <w:shd w:val="clear" w:color="auto" w:fill="auto"/>
                  <w:tcMar>
                    <w:left w:w="28" w:type="dxa"/>
                    <w:right w:w="28" w:type="dxa"/>
                  </w:tcMar>
                  <w:vAlign w:val="center"/>
                </w:tcPr>
                <w:p w14:paraId="14F76CB0">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7.8</w:t>
                  </w:r>
                </w:p>
              </w:tc>
            </w:tr>
            <w:tr w14:paraId="7E8C4A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jc w:val="center"/>
              </w:trPr>
              <w:tc>
                <w:tcPr>
                  <w:tcW w:w="1560" w:type="pct"/>
                  <w:tcBorders>
                    <w:tl2br w:val="nil"/>
                    <w:tr2bl w:val="nil"/>
                  </w:tcBorders>
                  <w:shd w:val="clear" w:color="auto" w:fill="auto"/>
                  <w:tcMar>
                    <w:left w:w="28" w:type="dxa"/>
                    <w:right w:w="28" w:type="dxa"/>
                  </w:tcMar>
                  <w:vAlign w:val="center"/>
                </w:tcPr>
                <w:p w14:paraId="3D6C2BD4">
                  <w:pPr>
                    <w:pStyle w:val="21"/>
                    <w:keepNext w:val="0"/>
                    <w:keepLines w:val="0"/>
                    <w:pageBreakBefore w:val="0"/>
                    <w:widowControl/>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2024</w:t>
                  </w:r>
                  <w:r>
                    <w:rPr>
                      <w:rFonts w:hint="default" w:ascii="Times New Roman" w:hAnsi="Times New Roman" w:eastAsia="宋体" w:cs="Times New Roman"/>
                      <w:sz w:val="21"/>
                      <w:szCs w:val="21"/>
                    </w:rPr>
                    <w:t>年</w:t>
                  </w:r>
                  <w:r>
                    <w:rPr>
                      <w:rFonts w:hint="default" w:ascii="Times New Roman" w:hAnsi="Times New Roman" w:eastAsia="宋体" w:cs="Times New Roman"/>
                      <w:sz w:val="21"/>
                      <w:szCs w:val="21"/>
                      <w:lang w:val="en-US"/>
                    </w:rPr>
                    <w:t>32</w:t>
                  </w:r>
                  <w:r>
                    <w:rPr>
                      <w:rFonts w:hint="default" w:ascii="Times New Roman" w:hAnsi="Times New Roman" w:eastAsia="宋体" w:cs="Times New Roman"/>
                      <w:sz w:val="21"/>
                      <w:szCs w:val="21"/>
                    </w:rPr>
                    <w:t>周</w:t>
                  </w:r>
                </w:p>
              </w:tc>
              <w:tc>
                <w:tcPr>
                  <w:tcW w:w="620" w:type="pct"/>
                  <w:tcBorders>
                    <w:tl2br w:val="nil"/>
                    <w:tr2bl w:val="nil"/>
                  </w:tcBorders>
                  <w:shd w:val="clear" w:color="auto" w:fill="auto"/>
                  <w:tcMar>
                    <w:left w:w="28" w:type="dxa"/>
                    <w:right w:w="28" w:type="dxa"/>
                  </w:tcMar>
                  <w:vAlign w:val="center"/>
                </w:tcPr>
                <w:p w14:paraId="59EB39A6">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28</w:t>
                  </w:r>
                </w:p>
              </w:tc>
              <w:tc>
                <w:tcPr>
                  <w:tcW w:w="626" w:type="pct"/>
                  <w:tcBorders>
                    <w:tl2br w:val="nil"/>
                    <w:tr2bl w:val="nil"/>
                  </w:tcBorders>
                  <w:shd w:val="clear" w:color="auto" w:fill="auto"/>
                  <w:tcMar>
                    <w:left w:w="28" w:type="dxa"/>
                    <w:right w:w="28" w:type="dxa"/>
                  </w:tcMar>
                  <w:vAlign w:val="center"/>
                </w:tcPr>
                <w:p w14:paraId="2A1E2C48">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0.775</w:t>
                  </w:r>
                </w:p>
              </w:tc>
              <w:tc>
                <w:tcPr>
                  <w:tcW w:w="626" w:type="pct"/>
                  <w:tcBorders>
                    <w:tl2br w:val="nil"/>
                    <w:tr2bl w:val="nil"/>
                  </w:tcBorders>
                  <w:shd w:val="clear" w:color="auto" w:fill="auto"/>
                  <w:tcMar>
                    <w:left w:w="28" w:type="dxa"/>
                    <w:right w:w="28" w:type="dxa"/>
                  </w:tcMar>
                  <w:vAlign w:val="center"/>
                </w:tcPr>
                <w:p w14:paraId="36F8B6F8">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0.411</w:t>
                  </w:r>
                </w:p>
              </w:tc>
              <w:tc>
                <w:tcPr>
                  <w:tcW w:w="1566" w:type="pct"/>
                  <w:tcBorders>
                    <w:tl2br w:val="nil"/>
                    <w:tr2bl w:val="nil"/>
                  </w:tcBorders>
                  <w:shd w:val="clear" w:color="auto" w:fill="auto"/>
                  <w:tcMar>
                    <w:left w:w="28" w:type="dxa"/>
                    <w:right w:w="28" w:type="dxa"/>
                  </w:tcMar>
                  <w:vAlign w:val="center"/>
                </w:tcPr>
                <w:p w14:paraId="51779A6F">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8</w:t>
                  </w:r>
                </w:p>
              </w:tc>
            </w:tr>
            <w:tr w14:paraId="484FFB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jc w:val="center"/>
              </w:trPr>
              <w:tc>
                <w:tcPr>
                  <w:tcW w:w="1560" w:type="pct"/>
                  <w:tcBorders>
                    <w:tl2br w:val="nil"/>
                    <w:tr2bl w:val="nil"/>
                  </w:tcBorders>
                  <w:shd w:val="clear" w:color="auto" w:fill="auto"/>
                  <w:tcMar>
                    <w:left w:w="28" w:type="dxa"/>
                    <w:right w:w="28" w:type="dxa"/>
                  </w:tcMar>
                  <w:vAlign w:val="center"/>
                </w:tcPr>
                <w:p w14:paraId="29A0D73E">
                  <w:pPr>
                    <w:pStyle w:val="21"/>
                    <w:keepNext w:val="0"/>
                    <w:keepLines w:val="0"/>
                    <w:pageBreakBefore w:val="0"/>
                    <w:widowControl/>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2024</w:t>
                  </w:r>
                  <w:r>
                    <w:rPr>
                      <w:rFonts w:hint="default" w:ascii="Times New Roman" w:hAnsi="Times New Roman" w:eastAsia="宋体" w:cs="Times New Roman"/>
                      <w:sz w:val="21"/>
                      <w:szCs w:val="21"/>
                    </w:rPr>
                    <w:t>年</w:t>
                  </w:r>
                  <w:r>
                    <w:rPr>
                      <w:rFonts w:hint="default" w:ascii="Times New Roman" w:hAnsi="Times New Roman" w:eastAsia="宋体" w:cs="Times New Roman"/>
                      <w:sz w:val="21"/>
                      <w:szCs w:val="21"/>
                      <w:lang w:val="en-US"/>
                    </w:rPr>
                    <w:t>33</w:t>
                  </w:r>
                  <w:r>
                    <w:rPr>
                      <w:rFonts w:hint="default" w:ascii="Times New Roman" w:hAnsi="Times New Roman" w:eastAsia="宋体" w:cs="Times New Roman"/>
                      <w:sz w:val="21"/>
                      <w:szCs w:val="21"/>
                    </w:rPr>
                    <w:t>周</w:t>
                  </w:r>
                </w:p>
              </w:tc>
              <w:tc>
                <w:tcPr>
                  <w:tcW w:w="620" w:type="pct"/>
                  <w:tcBorders>
                    <w:tl2br w:val="nil"/>
                    <w:tr2bl w:val="nil"/>
                  </w:tcBorders>
                  <w:shd w:val="clear" w:color="auto" w:fill="auto"/>
                  <w:tcMar>
                    <w:left w:w="28" w:type="dxa"/>
                    <w:right w:w="28" w:type="dxa"/>
                  </w:tcMar>
                  <w:vAlign w:val="center"/>
                </w:tcPr>
                <w:p w14:paraId="291C87AD">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16.9</w:t>
                  </w:r>
                </w:p>
              </w:tc>
              <w:tc>
                <w:tcPr>
                  <w:tcW w:w="626" w:type="pct"/>
                  <w:tcBorders>
                    <w:tl2br w:val="nil"/>
                    <w:tr2bl w:val="nil"/>
                  </w:tcBorders>
                  <w:shd w:val="clear" w:color="auto" w:fill="auto"/>
                  <w:tcMar>
                    <w:left w:w="28" w:type="dxa"/>
                    <w:right w:w="28" w:type="dxa"/>
                  </w:tcMar>
                  <w:vAlign w:val="center"/>
                </w:tcPr>
                <w:p w14:paraId="1E390068">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1.934</w:t>
                  </w:r>
                </w:p>
              </w:tc>
              <w:tc>
                <w:tcPr>
                  <w:tcW w:w="626" w:type="pct"/>
                  <w:tcBorders>
                    <w:tl2br w:val="nil"/>
                    <w:tr2bl w:val="nil"/>
                  </w:tcBorders>
                  <w:shd w:val="clear" w:color="auto" w:fill="auto"/>
                  <w:tcMar>
                    <w:left w:w="28" w:type="dxa"/>
                    <w:right w:w="28" w:type="dxa"/>
                  </w:tcMar>
                  <w:vAlign w:val="center"/>
                </w:tcPr>
                <w:p w14:paraId="01F75EF3">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0.456</w:t>
                  </w:r>
                </w:p>
              </w:tc>
              <w:tc>
                <w:tcPr>
                  <w:tcW w:w="1566" w:type="pct"/>
                  <w:tcBorders>
                    <w:tl2br w:val="nil"/>
                    <w:tr2bl w:val="nil"/>
                  </w:tcBorders>
                  <w:shd w:val="clear" w:color="auto" w:fill="auto"/>
                  <w:tcMar>
                    <w:left w:w="28" w:type="dxa"/>
                    <w:right w:w="28" w:type="dxa"/>
                  </w:tcMar>
                  <w:vAlign w:val="center"/>
                </w:tcPr>
                <w:p w14:paraId="70220863">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8.2</w:t>
                  </w:r>
                </w:p>
              </w:tc>
            </w:tr>
            <w:tr w14:paraId="5AE5084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jc w:val="center"/>
              </w:trPr>
              <w:tc>
                <w:tcPr>
                  <w:tcW w:w="1560" w:type="pct"/>
                  <w:tcBorders>
                    <w:tl2br w:val="nil"/>
                    <w:tr2bl w:val="nil"/>
                  </w:tcBorders>
                  <w:shd w:val="clear" w:color="auto" w:fill="auto"/>
                  <w:tcMar>
                    <w:left w:w="28" w:type="dxa"/>
                    <w:right w:w="28" w:type="dxa"/>
                  </w:tcMar>
                  <w:vAlign w:val="center"/>
                </w:tcPr>
                <w:p w14:paraId="55100A87">
                  <w:pPr>
                    <w:pStyle w:val="21"/>
                    <w:keepNext w:val="0"/>
                    <w:keepLines w:val="0"/>
                    <w:pageBreakBefore w:val="0"/>
                    <w:widowControl/>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2024</w:t>
                  </w:r>
                  <w:r>
                    <w:rPr>
                      <w:rFonts w:hint="default" w:ascii="Times New Roman" w:hAnsi="Times New Roman" w:eastAsia="宋体" w:cs="Times New Roman"/>
                      <w:sz w:val="21"/>
                      <w:szCs w:val="21"/>
                    </w:rPr>
                    <w:t>年</w:t>
                  </w:r>
                  <w:r>
                    <w:rPr>
                      <w:rFonts w:hint="default" w:ascii="Times New Roman" w:hAnsi="Times New Roman" w:eastAsia="宋体" w:cs="Times New Roman"/>
                      <w:sz w:val="21"/>
                      <w:szCs w:val="21"/>
                      <w:lang w:val="en-US"/>
                    </w:rPr>
                    <w:t>34</w:t>
                  </w:r>
                  <w:r>
                    <w:rPr>
                      <w:rFonts w:hint="default" w:ascii="Times New Roman" w:hAnsi="Times New Roman" w:eastAsia="宋体" w:cs="Times New Roman"/>
                      <w:sz w:val="21"/>
                      <w:szCs w:val="21"/>
                    </w:rPr>
                    <w:t>周</w:t>
                  </w:r>
                </w:p>
              </w:tc>
              <w:tc>
                <w:tcPr>
                  <w:tcW w:w="620" w:type="pct"/>
                  <w:tcBorders>
                    <w:tl2br w:val="nil"/>
                    <w:tr2bl w:val="nil"/>
                  </w:tcBorders>
                  <w:shd w:val="clear" w:color="auto" w:fill="auto"/>
                  <w:tcMar>
                    <w:left w:w="28" w:type="dxa"/>
                    <w:right w:w="28" w:type="dxa"/>
                  </w:tcMar>
                  <w:vAlign w:val="center"/>
                </w:tcPr>
                <w:p w14:paraId="13D353E7">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31.8</w:t>
                  </w:r>
                </w:p>
              </w:tc>
              <w:tc>
                <w:tcPr>
                  <w:tcW w:w="626" w:type="pct"/>
                  <w:tcBorders>
                    <w:tl2br w:val="nil"/>
                    <w:tr2bl w:val="nil"/>
                  </w:tcBorders>
                  <w:shd w:val="clear" w:color="auto" w:fill="auto"/>
                  <w:tcMar>
                    <w:left w:w="28" w:type="dxa"/>
                    <w:right w:w="28" w:type="dxa"/>
                  </w:tcMar>
                  <w:vAlign w:val="center"/>
                </w:tcPr>
                <w:p w14:paraId="410D75BB">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1.39</w:t>
                  </w:r>
                </w:p>
              </w:tc>
              <w:tc>
                <w:tcPr>
                  <w:tcW w:w="626" w:type="pct"/>
                  <w:tcBorders>
                    <w:tl2br w:val="nil"/>
                    <w:tr2bl w:val="nil"/>
                  </w:tcBorders>
                  <w:shd w:val="clear" w:color="auto" w:fill="auto"/>
                  <w:tcMar>
                    <w:left w:w="28" w:type="dxa"/>
                    <w:right w:w="28" w:type="dxa"/>
                  </w:tcMar>
                  <w:vAlign w:val="center"/>
                </w:tcPr>
                <w:p w14:paraId="257BC134">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0.549</w:t>
                  </w:r>
                </w:p>
              </w:tc>
              <w:tc>
                <w:tcPr>
                  <w:tcW w:w="1566" w:type="pct"/>
                  <w:tcBorders>
                    <w:tl2br w:val="nil"/>
                    <w:tr2bl w:val="nil"/>
                  </w:tcBorders>
                  <w:shd w:val="clear" w:color="auto" w:fill="auto"/>
                  <w:tcMar>
                    <w:left w:w="28" w:type="dxa"/>
                    <w:right w:w="28" w:type="dxa"/>
                  </w:tcMar>
                  <w:vAlign w:val="center"/>
                </w:tcPr>
                <w:p w14:paraId="24918CF9">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9.7</w:t>
                  </w:r>
                </w:p>
              </w:tc>
            </w:tr>
            <w:tr w14:paraId="2E1ABF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jc w:val="center"/>
              </w:trPr>
              <w:tc>
                <w:tcPr>
                  <w:tcW w:w="1560" w:type="pct"/>
                  <w:tcBorders>
                    <w:tl2br w:val="nil"/>
                    <w:tr2bl w:val="nil"/>
                  </w:tcBorders>
                  <w:shd w:val="clear" w:color="auto" w:fill="auto"/>
                  <w:tcMar>
                    <w:left w:w="28" w:type="dxa"/>
                    <w:right w:w="28" w:type="dxa"/>
                  </w:tcMar>
                  <w:vAlign w:val="center"/>
                </w:tcPr>
                <w:p w14:paraId="6D0C5682">
                  <w:pPr>
                    <w:pStyle w:val="21"/>
                    <w:keepNext w:val="0"/>
                    <w:keepLines w:val="0"/>
                    <w:pageBreakBefore w:val="0"/>
                    <w:widowControl/>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2024</w:t>
                  </w:r>
                  <w:r>
                    <w:rPr>
                      <w:rFonts w:hint="default" w:ascii="Times New Roman" w:hAnsi="Times New Roman" w:eastAsia="宋体" w:cs="Times New Roman"/>
                      <w:sz w:val="21"/>
                      <w:szCs w:val="21"/>
                    </w:rPr>
                    <w:t>年</w:t>
                  </w:r>
                  <w:r>
                    <w:rPr>
                      <w:rFonts w:hint="default" w:ascii="Times New Roman" w:hAnsi="Times New Roman" w:eastAsia="宋体" w:cs="Times New Roman"/>
                      <w:sz w:val="21"/>
                      <w:szCs w:val="21"/>
                      <w:lang w:val="en-US"/>
                    </w:rPr>
                    <w:t>35</w:t>
                  </w:r>
                  <w:r>
                    <w:rPr>
                      <w:rFonts w:hint="default" w:ascii="Times New Roman" w:hAnsi="Times New Roman" w:eastAsia="宋体" w:cs="Times New Roman"/>
                      <w:sz w:val="21"/>
                      <w:szCs w:val="21"/>
                    </w:rPr>
                    <w:t>周</w:t>
                  </w:r>
                </w:p>
              </w:tc>
              <w:tc>
                <w:tcPr>
                  <w:tcW w:w="620" w:type="pct"/>
                  <w:tcBorders>
                    <w:tl2br w:val="nil"/>
                    <w:tr2bl w:val="nil"/>
                  </w:tcBorders>
                  <w:shd w:val="clear" w:color="auto" w:fill="auto"/>
                  <w:tcMar>
                    <w:left w:w="28" w:type="dxa"/>
                    <w:right w:w="28" w:type="dxa"/>
                  </w:tcMar>
                  <w:vAlign w:val="center"/>
                </w:tcPr>
                <w:p w14:paraId="676265EB">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13.8</w:t>
                  </w:r>
                </w:p>
              </w:tc>
              <w:tc>
                <w:tcPr>
                  <w:tcW w:w="626" w:type="pct"/>
                  <w:tcBorders>
                    <w:tl2br w:val="nil"/>
                    <w:tr2bl w:val="nil"/>
                  </w:tcBorders>
                  <w:shd w:val="clear" w:color="auto" w:fill="auto"/>
                  <w:tcMar>
                    <w:left w:w="28" w:type="dxa"/>
                    <w:right w:w="28" w:type="dxa"/>
                  </w:tcMar>
                  <w:vAlign w:val="center"/>
                </w:tcPr>
                <w:p w14:paraId="20B3EACF">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0.07</w:t>
                  </w:r>
                </w:p>
              </w:tc>
              <w:tc>
                <w:tcPr>
                  <w:tcW w:w="626" w:type="pct"/>
                  <w:tcBorders>
                    <w:tl2br w:val="nil"/>
                    <w:tr2bl w:val="nil"/>
                  </w:tcBorders>
                  <w:shd w:val="clear" w:color="auto" w:fill="auto"/>
                  <w:tcMar>
                    <w:left w:w="28" w:type="dxa"/>
                    <w:right w:w="28" w:type="dxa"/>
                  </w:tcMar>
                  <w:vAlign w:val="center"/>
                </w:tcPr>
                <w:p w14:paraId="78C5410C">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0.097</w:t>
                  </w:r>
                </w:p>
              </w:tc>
              <w:tc>
                <w:tcPr>
                  <w:tcW w:w="1566" w:type="pct"/>
                  <w:tcBorders>
                    <w:tl2br w:val="nil"/>
                    <w:tr2bl w:val="nil"/>
                  </w:tcBorders>
                  <w:shd w:val="clear" w:color="auto" w:fill="auto"/>
                  <w:tcMar>
                    <w:left w:w="28" w:type="dxa"/>
                    <w:right w:w="28" w:type="dxa"/>
                  </w:tcMar>
                  <w:vAlign w:val="center"/>
                </w:tcPr>
                <w:p w14:paraId="10AA4CEE">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2.3</w:t>
                  </w:r>
                </w:p>
              </w:tc>
            </w:tr>
            <w:tr w14:paraId="70BD5B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20" w:hRule="atLeast"/>
                <w:jc w:val="center"/>
              </w:trPr>
              <w:tc>
                <w:tcPr>
                  <w:tcW w:w="1560" w:type="pct"/>
                  <w:tcBorders>
                    <w:tl2br w:val="nil"/>
                    <w:tr2bl w:val="nil"/>
                  </w:tcBorders>
                  <w:shd w:val="clear" w:color="auto" w:fill="auto"/>
                  <w:tcMar>
                    <w:left w:w="28" w:type="dxa"/>
                    <w:right w:w="28" w:type="dxa"/>
                  </w:tcMar>
                  <w:vAlign w:val="center"/>
                </w:tcPr>
                <w:p w14:paraId="12B4C23E">
                  <w:pPr>
                    <w:pStyle w:val="21"/>
                    <w:keepNext w:val="0"/>
                    <w:keepLines w:val="0"/>
                    <w:pageBreakBefore w:val="0"/>
                    <w:widowControl/>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2024</w:t>
                  </w:r>
                  <w:r>
                    <w:rPr>
                      <w:rFonts w:hint="default" w:ascii="Times New Roman" w:hAnsi="Times New Roman" w:eastAsia="宋体" w:cs="Times New Roman"/>
                      <w:sz w:val="21"/>
                      <w:szCs w:val="21"/>
                    </w:rPr>
                    <w:t>年</w:t>
                  </w:r>
                  <w:r>
                    <w:rPr>
                      <w:rFonts w:hint="default" w:ascii="Times New Roman" w:hAnsi="Times New Roman" w:eastAsia="宋体" w:cs="Times New Roman"/>
                      <w:sz w:val="21"/>
                      <w:szCs w:val="21"/>
                      <w:lang w:val="en-US"/>
                    </w:rPr>
                    <w:t>36</w:t>
                  </w:r>
                  <w:r>
                    <w:rPr>
                      <w:rFonts w:hint="default" w:ascii="Times New Roman" w:hAnsi="Times New Roman" w:eastAsia="宋体" w:cs="Times New Roman"/>
                      <w:sz w:val="21"/>
                      <w:szCs w:val="21"/>
                    </w:rPr>
                    <w:t>周</w:t>
                  </w:r>
                </w:p>
              </w:tc>
              <w:tc>
                <w:tcPr>
                  <w:tcW w:w="620" w:type="pct"/>
                  <w:tcBorders>
                    <w:tl2br w:val="nil"/>
                    <w:tr2bl w:val="nil"/>
                  </w:tcBorders>
                  <w:shd w:val="clear" w:color="auto" w:fill="auto"/>
                  <w:tcMar>
                    <w:left w:w="28" w:type="dxa"/>
                    <w:right w:w="28" w:type="dxa"/>
                  </w:tcMar>
                  <w:vAlign w:val="center"/>
                </w:tcPr>
                <w:p w14:paraId="47E5AD64">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28.1</w:t>
                  </w:r>
                </w:p>
              </w:tc>
              <w:tc>
                <w:tcPr>
                  <w:tcW w:w="626" w:type="pct"/>
                  <w:tcBorders>
                    <w:tl2br w:val="nil"/>
                    <w:tr2bl w:val="nil"/>
                  </w:tcBorders>
                  <w:shd w:val="clear" w:color="auto" w:fill="auto"/>
                  <w:tcMar>
                    <w:left w:w="28" w:type="dxa"/>
                    <w:right w:w="28" w:type="dxa"/>
                  </w:tcMar>
                  <w:vAlign w:val="center"/>
                </w:tcPr>
                <w:p w14:paraId="06D723BF">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0.288</w:t>
                  </w:r>
                </w:p>
              </w:tc>
              <w:tc>
                <w:tcPr>
                  <w:tcW w:w="626" w:type="pct"/>
                  <w:tcBorders>
                    <w:tl2br w:val="nil"/>
                    <w:tr2bl w:val="nil"/>
                  </w:tcBorders>
                  <w:shd w:val="clear" w:color="auto" w:fill="auto"/>
                  <w:tcMar>
                    <w:left w:w="28" w:type="dxa"/>
                    <w:right w:w="28" w:type="dxa"/>
                  </w:tcMar>
                  <w:vAlign w:val="center"/>
                </w:tcPr>
                <w:p w14:paraId="5C12D55D">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0.407</w:t>
                  </w:r>
                </w:p>
              </w:tc>
              <w:tc>
                <w:tcPr>
                  <w:tcW w:w="1566" w:type="pct"/>
                  <w:tcBorders>
                    <w:tl2br w:val="nil"/>
                    <w:tr2bl w:val="nil"/>
                  </w:tcBorders>
                  <w:shd w:val="clear" w:color="auto" w:fill="auto"/>
                  <w:tcMar>
                    <w:left w:w="28" w:type="dxa"/>
                    <w:right w:w="28" w:type="dxa"/>
                  </w:tcMar>
                  <w:vAlign w:val="center"/>
                </w:tcPr>
                <w:p w14:paraId="24BDBC6B">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7.2</w:t>
                  </w:r>
                </w:p>
              </w:tc>
            </w:tr>
            <w:tr w14:paraId="1F9CBA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jc w:val="center"/>
              </w:trPr>
              <w:tc>
                <w:tcPr>
                  <w:tcW w:w="1560" w:type="pct"/>
                  <w:tcBorders>
                    <w:tl2br w:val="nil"/>
                    <w:tr2bl w:val="nil"/>
                  </w:tcBorders>
                  <w:shd w:val="clear" w:color="auto" w:fill="auto"/>
                  <w:tcMar>
                    <w:left w:w="28" w:type="dxa"/>
                    <w:right w:w="28" w:type="dxa"/>
                  </w:tcMar>
                  <w:vAlign w:val="center"/>
                </w:tcPr>
                <w:p w14:paraId="1E0E412B">
                  <w:pPr>
                    <w:pStyle w:val="21"/>
                    <w:keepNext w:val="0"/>
                    <w:keepLines w:val="0"/>
                    <w:pageBreakBefore w:val="0"/>
                    <w:widowControl/>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2024</w:t>
                  </w:r>
                  <w:r>
                    <w:rPr>
                      <w:rFonts w:hint="default" w:ascii="Times New Roman" w:hAnsi="Times New Roman" w:eastAsia="宋体" w:cs="Times New Roman"/>
                      <w:sz w:val="21"/>
                      <w:szCs w:val="21"/>
                    </w:rPr>
                    <w:t>年</w:t>
                  </w:r>
                  <w:r>
                    <w:rPr>
                      <w:rFonts w:hint="default" w:ascii="Times New Roman" w:hAnsi="Times New Roman" w:eastAsia="宋体" w:cs="Times New Roman"/>
                      <w:sz w:val="21"/>
                      <w:szCs w:val="21"/>
                      <w:lang w:val="en-US"/>
                    </w:rPr>
                    <w:t>37</w:t>
                  </w:r>
                  <w:r>
                    <w:rPr>
                      <w:rFonts w:hint="default" w:ascii="Times New Roman" w:hAnsi="Times New Roman" w:eastAsia="宋体" w:cs="Times New Roman"/>
                      <w:sz w:val="21"/>
                      <w:szCs w:val="21"/>
                    </w:rPr>
                    <w:t>周</w:t>
                  </w:r>
                </w:p>
              </w:tc>
              <w:tc>
                <w:tcPr>
                  <w:tcW w:w="620" w:type="pct"/>
                  <w:tcBorders>
                    <w:tl2br w:val="nil"/>
                    <w:tr2bl w:val="nil"/>
                  </w:tcBorders>
                  <w:shd w:val="clear" w:color="auto" w:fill="auto"/>
                  <w:tcMar>
                    <w:left w:w="28" w:type="dxa"/>
                    <w:right w:w="28" w:type="dxa"/>
                  </w:tcMar>
                  <w:vAlign w:val="center"/>
                </w:tcPr>
                <w:p w14:paraId="2AAFFC87">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30</w:t>
                  </w:r>
                </w:p>
              </w:tc>
              <w:tc>
                <w:tcPr>
                  <w:tcW w:w="626" w:type="pct"/>
                  <w:tcBorders>
                    <w:tl2br w:val="nil"/>
                    <w:tr2bl w:val="nil"/>
                  </w:tcBorders>
                  <w:shd w:val="clear" w:color="auto" w:fill="auto"/>
                  <w:tcMar>
                    <w:left w:w="28" w:type="dxa"/>
                    <w:right w:w="28" w:type="dxa"/>
                  </w:tcMar>
                  <w:vAlign w:val="center"/>
                </w:tcPr>
                <w:p w14:paraId="6C1BB410">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1.899</w:t>
                  </w:r>
                </w:p>
              </w:tc>
              <w:tc>
                <w:tcPr>
                  <w:tcW w:w="626" w:type="pct"/>
                  <w:tcBorders>
                    <w:tl2br w:val="nil"/>
                    <w:tr2bl w:val="nil"/>
                  </w:tcBorders>
                  <w:shd w:val="clear" w:color="auto" w:fill="auto"/>
                  <w:tcMar>
                    <w:left w:w="28" w:type="dxa"/>
                    <w:right w:w="28" w:type="dxa"/>
                  </w:tcMar>
                  <w:vAlign w:val="center"/>
                </w:tcPr>
                <w:p w14:paraId="64B379B2">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0.596</w:t>
                  </w:r>
                </w:p>
              </w:tc>
              <w:tc>
                <w:tcPr>
                  <w:tcW w:w="1566" w:type="pct"/>
                  <w:tcBorders>
                    <w:tl2br w:val="nil"/>
                    <w:tr2bl w:val="nil"/>
                  </w:tcBorders>
                  <w:shd w:val="clear" w:color="auto" w:fill="auto"/>
                  <w:tcMar>
                    <w:left w:w="28" w:type="dxa"/>
                    <w:right w:w="28" w:type="dxa"/>
                  </w:tcMar>
                  <w:vAlign w:val="center"/>
                </w:tcPr>
                <w:p w14:paraId="44CF46A6">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9.6</w:t>
                  </w:r>
                </w:p>
              </w:tc>
            </w:tr>
            <w:tr w14:paraId="48F192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jc w:val="center"/>
              </w:trPr>
              <w:tc>
                <w:tcPr>
                  <w:tcW w:w="1560" w:type="pct"/>
                  <w:tcBorders>
                    <w:tl2br w:val="nil"/>
                    <w:tr2bl w:val="nil"/>
                  </w:tcBorders>
                  <w:shd w:val="clear" w:color="auto" w:fill="auto"/>
                  <w:tcMar>
                    <w:left w:w="28" w:type="dxa"/>
                    <w:right w:w="28" w:type="dxa"/>
                  </w:tcMar>
                  <w:vAlign w:val="center"/>
                </w:tcPr>
                <w:p w14:paraId="7B894E40">
                  <w:pPr>
                    <w:pStyle w:val="21"/>
                    <w:keepNext w:val="0"/>
                    <w:keepLines w:val="0"/>
                    <w:pageBreakBefore w:val="0"/>
                    <w:widowControl/>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2024</w:t>
                  </w:r>
                  <w:r>
                    <w:rPr>
                      <w:rFonts w:hint="default" w:ascii="Times New Roman" w:hAnsi="Times New Roman" w:eastAsia="宋体" w:cs="Times New Roman"/>
                      <w:sz w:val="21"/>
                      <w:szCs w:val="21"/>
                    </w:rPr>
                    <w:t>年</w:t>
                  </w:r>
                  <w:r>
                    <w:rPr>
                      <w:rFonts w:hint="default" w:ascii="Times New Roman" w:hAnsi="Times New Roman" w:eastAsia="宋体" w:cs="Times New Roman"/>
                      <w:sz w:val="21"/>
                      <w:szCs w:val="21"/>
                      <w:lang w:val="en-US"/>
                    </w:rPr>
                    <w:t>38</w:t>
                  </w:r>
                  <w:r>
                    <w:rPr>
                      <w:rFonts w:hint="default" w:ascii="Times New Roman" w:hAnsi="Times New Roman" w:eastAsia="宋体" w:cs="Times New Roman"/>
                      <w:sz w:val="21"/>
                      <w:szCs w:val="21"/>
                    </w:rPr>
                    <w:t>周</w:t>
                  </w:r>
                </w:p>
              </w:tc>
              <w:tc>
                <w:tcPr>
                  <w:tcW w:w="3439" w:type="pct"/>
                  <w:gridSpan w:val="4"/>
                  <w:tcBorders>
                    <w:tl2br w:val="nil"/>
                    <w:tr2bl w:val="nil"/>
                  </w:tcBorders>
                  <w:shd w:val="clear" w:color="auto" w:fill="auto"/>
                  <w:tcMar>
                    <w:left w:w="28" w:type="dxa"/>
                    <w:right w:w="28" w:type="dxa"/>
                  </w:tcMar>
                  <w:vAlign w:val="center"/>
                </w:tcPr>
                <w:p w14:paraId="68128B9D">
                  <w:pPr>
                    <w:pStyle w:val="21"/>
                    <w:keepNext w:val="0"/>
                    <w:keepLines w:val="0"/>
                    <w:pageBreakBefore w:val="0"/>
                    <w:widowControl/>
                    <w:suppressLineNumbers w:val="0"/>
                    <w:kinsoku/>
                    <w:wordWrap/>
                    <w:overflowPunct/>
                    <w:topLinePunct w:val="0"/>
                    <w:autoSpaceDE/>
                    <w:autoSpaceDN/>
                    <w:bidi w:val="0"/>
                    <w:spacing w:before="0" w:beforeAutospacing="0" w:after="0" w:afterAutospacing="0" w:line="360" w:lineRule="exact"/>
                    <w:ind w:left="0" w:right="0"/>
                    <w:contextualSpacing w:val="0"/>
                    <w:jc w:val="center"/>
                    <w:textAlignment w:val="center"/>
                    <w:rPr>
                      <w:rFonts w:hint="default" w:ascii="Times New Roman" w:hAnsi="Times New Roman" w:cs="Times New Roman"/>
                      <w:sz w:val="21"/>
                      <w:szCs w:val="21"/>
                      <w:lang w:val="en-US"/>
                    </w:rPr>
                  </w:pPr>
                  <w:r>
                    <w:rPr>
                      <w:rFonts w:hint="default" w:ascii="Times New Roman" w:hAnsi="Times New Roman" w:cs="Times New Roman"/>
                      <w:sz w:val="21"/>
                      <w:szCs w:val="21"/>
                    </w:rPr>
                    <w:t>未公示</w:t>
                  </w:r>
                </w:p>
              </w:tc>
            </w:tr>
            <w:tr w14:paraId="663A18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20" w:hRule="atLeast"/>
                <w:jc w:val="center"/>
              </w:trPr>
              <w:tc>
                <w:tcPr>
                  <w:tcW w:w="1560" w:type="pct"/>
                  <w:tcBorders>
                    <w:tl2br w:val="nil"/>
                    <w:tr2bl w:val="nil"/>
                  </w:tcBorders>
                  <w:shd w:val="clear" w:color="auto" w:fill="auto"/>
                  <w:tcMar>
                    <w:left w:w="28" w:type="dxa"/>
                    <w:right w:w="28" w:type="dxa"/>
                  </w:tcMar>
                  <w:vAlign w:val="center"/>
                </w:tcPr>
                <w:p w14:paraId="0256C0BE">
                  <w:pPr>
                    <w:pStyle w:val="21"/>
                    <w:keepNext w:val="0"/>
                    <w:keepLines w:val="0"/>
                    <w:pageBreakBefore w:val="0"/>
                    <w:widowControl/>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2024</w:t>
                  </w:r>
                  <w:r>
                    <w:rPr>
                      <w:rFonts w:hint="default" w:ascii="Times New Roman" w:hAnsi="Times New Roman" w:eastAsia="宋体" w:cs="Times New Roman"/>
                      <w:sz w:val="21"/>
                      <w:szCs w:val="21"/>
                    </w:rPr>
                    <w:t>年</w:t>
                  </w:r>
                  <w:r>
                    <w:rPr>
                      <w:rFonts w:hint="default" w:ascii="Times New Roman" w:hAnsi="Times New Roman" w:eastAsia="宋体" w:cs="Times New Roman"/>
                      <w:sz w:val="21"/>
                      <w:szCs w:val="21"/>
                      <w:lang w:val="en-US"/>
                    </w:rPr>
                    <w:t>39</w:t>
                  </w:r>
                  <w:r>
                    <w:rPr>
                      <w:rFonts w:hint="default" w:ascii="Times New Roman" w:hAnsi="Times New Roman" w:eastAsia="宋体" w:cs="Times New Roman"/>
                      <w:sz w:val="21"/>
                      <w:szCs w:val="21"/>
                    </w:rPr>
                    <w:t>周</w:t>
                  </w:r>
                </w:p>
              </w:tc>
              <w:tc>
                <w:tcPr>
                  <w:tcW w:w="620" w:type="pct"/>
                  <w:tcBorders>
                    <w:tl2br w:val="nil"/>
                    <w:tr2bl w:val="nil"/>
                  </w:tcBorders>
                  <w:shd w:val="clear" w:color="auto" w:fill="auto"/>
                  <w:tcMar>
                    <w:left w:w="28" w:type="dxa"/>
                    <w:right w:w="28" w:type="dxa"/>
                  </w:tcMar>
                  <w:vAlign w:val="center"/>
                </w:tcPr>
                <w:p w14:paraId="6005A393">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27.8</w:t>
                  </w:r>
                </w:p>
              </w:tc>
              <w:tc>
                <w:tcPr>
                  <w:tcW w:w="626" w:type="pct"/>
                  <w:tcBorders>
                    <w:tl2br w:val="nil"/>
                    <w:tr2bl w:val="nil"/>
                  </w:tcBorders>
                  <w:shd w:val="clear" w:color="auto" w:fill="auto"/>
                  <w:tcMar>
                    <w:left w:w="28" w:type="dxa"/>
                    <w:right w:w="28" w:type="dxa"/>
                  </w:tcMar>
                  <w:vAlign w:val="center"/>
                </w:tcPr>
                <w:p w14:paraId="725D5FFE">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0.79</w:t>
                  </w:r>
                </w:p>
              </w:tc>
              <w:tc>
                <w:tcPr>
                  <w:tcW w:w="626" w:type="pct"/>
                  <w:tcBorders>
                    <w:tl2br w:val="nil"/>
                    <w:tr2bl w:val="nil"/>
                  </w:tcBorders>
                  <w:shd w:val="clear" w:color="auto" w:fill="auto"/>
                  <w:tcMar>
                    <w:left w:w="28" w:type="dxa"/>
                    <w:right w:w="28" w:type="dxa"/>
                  </w:tcMar>
                  <w:vAlign w:val="center"/>
                </w:tcPr>
                <w:p w14:paraId="1D65B221">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0.352</w:t>
                  </w:r>
                </w:p>
              </w:tc>
              <w:tc>
                <w:tcPr>
                  <w:tcW w:w="1566" w:type="pct"/>
                  <w:tcBorders>
                    <w:tl2br w:val="nil"/>
                    <w:tr2bl w:val="nil"/>
                  </w:tcBorders>
                  <w:shd w:val="clear" w:color="auto" w:fill="auto"/>
                  <w:tcMar>
                    <w:left w:w="28" w:type="dxa"/>
                    <w:right w:w="28" w:type="dxa"/>
                  </w:tcMar>
                  <w:vAlign w:val="center"/>
                </w:tcPr>
                <w:p w14:paraId="46100DE8">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10.1</w:t>
                  </w:r>
                </w:p>
              </w:tc>
            </w:tr>
            <w:tr w14:paraId="0669DF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jc w:val="center"/>
              </w:trPr>
              <w:tc>
                <w:tcPr>
                  <w:tcW w:w="1560" w:type="pct"/>
                  <w:tcBorders>
                    <w:tl2br w:val="nil"/>
                    <w:tr2bl w:val="nil"/>
                  </w:tcBorders>
                  <w:shd w:val="clear" w:color="auto" w:fill="auto"/>
                  <w:tcMar>
                    <w:left w:w="28" w:type="dxa"/>
                    <w:right w:w="28" w:type="dxa"/>
                  </w:tcMar>
                  <w:vAlign w:val="center"/>
                </w:tcPr>
                <w:p w14:paraId="5CA5068B">
                  <w:pPr>
                    <w:pStyle w:val="21"/>
                    <w:keepNext w:val="0"/>
                    <w:keepLines w:val="0"/>
                    <w:pageBreakBefore w:val="0"/>
                    <w:widowControl/>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2024</w:t>
                  </w:r>
                  <w:r>
                    <w:rPr>
                      <w:rFonts w:hint="default" w:ascii="Times New Roman" w:hAnsi="Times New Roman" w:eastAsia="宋体" w:cs="Times New Roman"/>
                      <w:sz w:val="21"/>
                      <w:szCs w:val="21"/>
                    </w:rPr>
                    <w:t>年</w:t>
                  </w:r>
                  <w:r>
                    <w:rPr>
                      <w:rFonts w:hint="default" w:ascii="Times New Roman" w:hAnsi="Times New Roman" w:eastAsia="宋体" w:cs="Times New Roman"/>
                      <w:sz w:val="21"/>
                      <w:szCs w:val="21"/>
                      <w:lang w:val="en-US"/>
                    </w:rPr>
                    <w:t>40</w:t>
                  </w:r>
                  <w:r>
                    <w:rPr>
                      <w:rFonts w:hint="default" w:ascii="Times New Roman" w:hAnsi="Times New Roman" w:eastAsia="宋体" w:cs="Times New Roman"/>
                      <w:sz w:val="21"/>
                      <w:szCs w:val="21"/>
                    </w:rPr>
                    <w:t>周</w:t>
                  </w:r>
                </w:p>
              </w:tc>
              <w:tc>
                <w:tcPr>
                  <w:tcW w:w="620" w:type="pct"/>
                  <w:tcBorders>
                    <w:tl2br w:val="nil"/>
                    <w:tr2bl w:val="nil"/>
                  </w:tcBorders>
                  <w:shd w:val="clear" w:color="auto" w:fill="auto"/>
                  <w:tcMar>
                    <w:left w:w="28" w:type="dxa"/>
                    <w:right w:w="28" w:type="dxa"/>
                  </w:tcMar>
                  <w:vAlign w:val="center"/>
                </w:tcPr>
                <w:p w14:paraId="4B2C3762">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22.4</w:t>
                  </w:r>
                </w:p>
              </w:tc>
              <w:tc>
                <w:tcPr>
                  <w:tcW w:w="626" w:type="pct"/>
                  <w:tcBorders>
                    <w:tl2br w:val="nil"/>
                    <w:tr2bl w:val="nil"/>
                  </w:tcBorders>
                  <w:shd w:val="clear" w:color="auto" w:fill="auto"/>
                  <w:tcMar>
                    <w:left w:w="28" w:type="dxa"/>
                    <w:right w:w="28" w:type="dxa"/>
                  </w:tcMar>
                  <w:vAlign w:val="center"/>
                </w:tcPr>
                <w:p w14:paraId="527010B4">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1.687</w:t>
                  </w:r>
                </w:p>
              </w:tc>
              <w:tc>
                <w:tcPr>
                  <w:tcW w:w="626" w:type="pct"/>
                  <w:tcBorders>
                    <w:tl2br w:val="nil"/>
                    <w:tr2bl w:val="nil"/>
                  </w:tcBorders>
                  <w:shd w:val="clear" w:color="auto" w:fill="auto"/>
                  <w:tcMar>
                    <w:left w:w="28" w:type="dxa"/>
                    <w:right w:w="28" w:type="dxa"/>
                  </w:tcMar>
                  <w:vAlign w:val="center"/>
                </w:tcPr>
                <w:p w14:paraId="5A32EEDA">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0.365</w:t>
                  </w:r>
                </w:p>
              </w:tc>
              <w:tc>
                <w:tcPr>
                  <w:tcW w:w="1566" w:type="pct"/>
                  <w:tcBorders>
                    <w:tl2br w:val="nil"/>
                    <w:tr2bl w:val="nil"/>
                  </w:tcBorders>
                  <w:shd w:val="clear" w:color="auto" w:fill="auto"/>
                  <w:tcMar>
                    <w:left w:w="28" w:type="dxa"/>
                    <w:right w:w="28" w:type="dxa"/>
                  </w:tcMar>
                  <w:vAlign w:val="center"/>
                </w:tcPr>
                <w:p w14:paraId="41B40ED3">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8.8</w:t>
                  </w:r>
                </w:p>
              </w:tc>
            </w:tr>
            <w:tr w14:paraId="34B853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20" w:hRule="atLeast"/>
                <w:jc w:val="center"/>
              </w:trPr>
              <w:tc>
                <w:tcPr>
                  <w:tcW w:w="1560" w:type="pct"/>
                  <w:tcBorders>
                    <w:tl2br w:val="nil"/>
                    <w:tr2bl w:val="nil"/>
                  </w:tcBorders>
                  <w:shd w:val="clear" w:color="auto" w:fill="auto"/>
                  <w:tcMar>
                    <w:left w:w="28" w:type="dxa"/>
                    <w:right w:w="28" w:type="dxa"/>
                  </w:tcMar>
                  <w:vAlign w:val="center"/>
                </w:tcPr>
                <w:p w14:paraId="6E437255">
                  <w:pPr>
                    <w:pStyle w:val="21"/>
                    <w:keepNext w:val="0"/>
                    <w:keepLines w:val="0"/>
                    <w:pageBreakBefore w:val="0"/>
                    <w:widowControl/>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2024</w:t>
                  </w:r>
                  <w:r>
                    <w:rPr>
                      <w:rFonts w:hint="default" w:ascii="Times New Roman" w:hAnsi="Times New Roman" w:eastAsia="宋体" w:cs="Times New Roman"/>
                      <w:sz w:val="21"/>
                      <w:szCs w:val="21"/>
                    </w:rPr>
                    <w:t>年</w:t>
                  </w:r>
                  <w:r>
                    <w:rPr>
                      <w:rFonts w:hint="default" w:ascii="Times New Roman" w:hAnsi="Times New Roman" w:eastAsia="宋体" w:cs="Times New Roman"/>
                      <w:sz w:val="21"/>
                      <w:szCs w:val="21"/>
                      <w:lang w:val="en-US"/>
                    </w:rPr>
                    <w:t>41</w:t>
                  </w:r>
                  <w:r>
                    <w:rPr>
                      <w:rFonts w:hint="default" w:ascii="Times New Roman" w:hAnsi="Times New Roman" w:eastAsia="宋体" w:cs="Times New Roman"/>
                      <w:sz w:val="21"/>
                      <w:szCs w:val="21"/>
                    </w:rPr>
                    <w:t>周</w:t>
                  </w:r>
                </w:p>
              </w:tc>
              <w:tc>
                <w:tcPr>
                  <w:tcW w:w="620" w:type="pct"/>
                  <w:tcBorders>
                    <w:tl2br w:val="nil"/>
                    <w:tr2bl w:val="nil"/>
                  </w:tcBorders>
                  <w:shd w:val="clear" w:color="auto" w:fill="auto"/>
                  <w:tcMar>
                    <w:left w:w="28" w:type="dxa"/>
                    <w:right w:w="28" w:type="dxa"/>
                  </w:tcMar>
                  <w:vAlign w:val="center"/>
                </w:tcPr>
                <w:p w14:paraId="722BEF96">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23.1</w:t>
                  </w:r>
                </w:p>
              </w:tc>
              <w:tc>
                <w:tcPr>
                  <w:tcW w:w="626" w:type="pct"/>
                  <w:tcBorders>
                    <w:tl2br w:val="nil"/>
                    <w:tr2bl w:val="nil"/>
                  </w:tcBorders>
                  <w:shd w:val="clear" w:color="auto" w:fill="auto"/>
                  <w:tcMar>
                    <w:left w:w="28" w:type="dxa"/>
                    <w:right w:w="28" w:type="dxa"/>
                  </w:tcMar>
                  <w:vAlign w:val="center"/>
                </w:tcPr>
                <w:p w14:paraId="39016129">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0.394</w:t>
                  </w:r>
                </w:p>
              </w:tc>
              <w:tc>
                <w:tcPr>
                  <w:tcW w:w="626" w:type="pct"/>
                  <w:tcBorders>
                    <w:tl2br w:val="nil"/>
                    <w:tr2bl w:val="nil"/>
                  </w:tcBorders>
                  <w:shd w:val="clear" w:color="auto" w:fill="auto"/>
                  <w:tcMar>
                    <w:left w:w="28" w:type="dxa"/>
                    <w:right w:w="28" w:type="dxa"/>
                  </w:tcMar>
                  <w:vAlign w:val="center"/>
                </w:tcPr>
                <w:p w14:paraId="5257A777">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0.244</w:t>
                  </w:r>
                </w:p>
              </w:tc>
              <w:tc>
                <w:tcPr>
                  <w:tcW w:w="1566" w:type="pct"/>
                  <w:tcBorders>
                    <w:tl2br w:val="nil"/>
                    <w:tr2bl w:val="nil"/>
                  </w:tcBorders>
                  <w:shd w:val="clear" w:color="auto" w:fill="auto"/>
                  <w:tcMar>
                    <w:left w:w="28" w:type="dxa"/>
                    <w:right w:w="28" w:type="dxa"/>
                  </w:tcMar>
                  <w:vAlign w:val="center"/>
                </w:tcPr>
                <w:p w14:paraId="6E041ED8">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8.8</w:t>
                  </w:r>
                </w:p>
              </w:tc>
            </w:tr>
            <w:tr w14:paraId="636272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20" w:hRule="atLeast"/>
                <w:jc w:val="center"/>
              </w:trPr>
              <w:tc>
                <w:tcPr>
                  <w:tcW w:w="1560" w:type="pct"/>
                  <w:tcBorders>
                    <w:tl2br w:val="nil"/>
                    <w:tr2bl w:val="nil"/>
                  </w:tcBorders>
                  <w:shd w:val="clear" w:color="auto" w:fill="auto"/>
                  <w:tcMar>
                    <w:left w:w="28" w:type="dxa"/>
                    <w:right w:w="28" w:type="dxa"/>
                  </w:tcMar>
                  <w:vAlign w:val="center"/>
                </w:tcPr>
                <w:p w14:paraId="6ED92C86">
                  <w:pPr>
                    <w:pStyle w:val="21"/>
                    <w:keepNext w:val="0"/>
                    <w:keepLines w:val="0"/>
                    <w:pageBreakBefore w:val="0"/>
                    <w:widowControl/>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2024</w:t>
                  </w:r>
                  <w:r>
                    <w:rPr>
                      <w:rFonts w:hint="default" w:ascii="Times New Roman" w:hAnsi="Times New Roman" w:eastAsia="宋体" w:cs="Times New Roman"/>
                      <w:sz w:val="21"/>
                      <w:szCs w:val="21"/>
                    </w:rPr>
                    <w:t>年</w:t>
                  </w:r>
                  <w:r>
                    <w:rPr>
                      <w:rFonts w:hint="default" w:ascii="Times New Roman" w:hAnsi="Times New Roman" w:eastAsia="宋体" w:cs="Times New Roman"/>
                      <w:sz w:val="21"/>
                      <w:szCs w:val="21"/>
                      <w:lang w:val="en-US"/>
                    </w:rPr>
                    <w:t>42</w:t>
                  </w:r>
                  <w:r>
                    <w:rPr>
                      <w:rFonts w:hint="default" w:ascii="Times New Roman" w:hAnsi="Times New Roman" w:eastAsia="宋体" w:cs="Times New Roman"/>
                      <w:sz w:val="21"/>
                      <w:szCs w:val="21"/>
                    </w:rPr>
                    <w:t>周</w:t>
                  </w:r>
                </w:p>
              </w:tc>
              <w:tc>
                <w:tcPr>
                  <w:tcW w:w="620" w:type="pct"/>
                  <w:tcBorders>
                    <w:tl2br w:val="nil"/>
                    <w:tr2bl w:val="nil"/>
                  </w:tcBorders>
                  <w:shd w:val="clear" w:color="auto" w:fill="auto"/>
                  <w:tcMar>
                    <w:left w:w="28" w:type="dxa"/>
                    <w:right w:w="28" w:type="dxa"/>
                  </w:tcMar>
                  <w:vAlign w:val="center"/>
                </w:tcPr>
                <w:p w14:paraId="6D404F81">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28</w:t>
                  </w:r>
                </w:p>
              </w:tc>
              <w:tc>
                <w:tcPr>
                  <w:tcW w:w="626" w:type="pct"/>
                  <w:tcBorders>
                    <w:tl2br w:val="nil"/>
                    <w:tr2bl w:val="nil"/>
                  </w:tcBorders>
                  <w:shd w:val="clear" w:color="auto" w:fill="auto"/>
                  <w:tcMar>
                    <w:left w:w="28" w:type="dxa"/>
                    <w:right w:w="28" w:type="dxa"/>
                  </w:tcMar>
                  <w:vAlign w:val="center"/>
                </w:tcPr>
                <w:p w14:paraId="4B8611B7">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1.35</w:t>
                  </w:r>
                </w:p>
              </w:tc>
              <w:tc>
                <w:tcPr>
                  <w:tcW w:w="626" w:type="pct"/>
                  <w:tcBorders>
                    <w:tl2br w:val="nil"/>
                    <w:tr2bl w:val="nil"/>
                  </w:tcBorders>
                  <w:shd w:val="clear" w:color="auto" w:fill="auto"/>
                  <w:tcMar>
                    <w:left w:w="28" w:type="dxa"/>
                    <w:right w:w="28" w:type="dxa"/>
                  </w:tcMar>
                  <w:vAlign w:val="center"/>
                </w:tcPr>
                <w:p w14:paraId="0F5485A1">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0.491</w:t>
                  </w:r>
                </w:p>
              </w:tc>
              <w:tc>
                <w:tcPr>
                  <w:tcW w:w="1566" w:type="pct"/>
                  <w:tcBorders>
                    <w:tl2br w:val="nil"/>
                    <w:tr2bl w:val="nil"/>
                  </w:tcBorders>
                  <w:shd w:val="clear" w:color="auto" w:fill="auto"/>
                  <w:tcMar>
                    <w:left w:w="28" w:type="dxa"/>
                    <w:right w:w="28" w:type="dxa"/>
                  </w:tcMar>
                  <w:vAlign w:val="center"/>
                </w:tcPr>
                <w:p w14:paraId="3C380506">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10.2</w:t>
                  </w:r>
                </w:p>
              </w:tc>
            </w:tr>
            <w:tr w14:paraId="0528C03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20" w:hRule="atLeast"/>
                <w:jc w:val="center"/>
              </w:trPr>
              <w:tc>
                <w:tcPr>
                  <w:tcW w:w="1560" w:type="pct"/>
                  <w:tcBorders>
                    <w:tl2br w:val="nil"/>
                    <w:tr2bl w:val="nil"/>
                  </w:tcBorders>
                  <w:shd w:val="clear" w:color="auto" w:fill="auto"/>
                  <w:tcMar>
                    <w:left w:w="28" w:type="dxa"/>
                    <w:right w:w="28" w:type="dxa"/>
                  </w:tcMar>
                  <w:vAlign w:val="center"/>
                </w:tcPr>
                <w:p w14:paraId="3AF23B05">
                  <w:pPr>
                    <w:pStyle w:val="21"/>
                    <w:keepNext w:val="0"/>
                    <w:keepLines w:val="0"/>
                    <w:pageBreakBefore w:val="0"/>
                    <w:widowControl/>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2024</w:t>
                  </w:r>
                  <w:r>
                    <w:rPr>
                      <w:rFonts w:hint="default" w:ascii="Times New Roman" w:hAnsi="Times New Roman" w:eastAsia="宋体" w:cs="Times New Roman"/>
                      <w:sz w:val="21"/>
                      <w:szCs w:val="21"/>
                    </w:rPr>
                    <w:t>年</w:t>
                  </w:r>
                  <w:r>
                    <w:rPr>
                      <w:rFonts w:hint="default" w:ascii="Times New Roman" w:hAnsi="Times New Roman" w:eastAsia="宋体" w:cs="Times New Roman"/>
                      <w:sz w:val="21"/>
                      <w:szCs w:val="21"/>
                      <w:lang w:val="en-US"/>
                    </w:rPr>
                    <w:t>43</w:t>
                  </w:r>
                  <w:r>
                    <w:rPr>
                      <w:rFonts w:hint="default" w:ascii="Times New Roman" w:hAnsi="Times New Roman" w:eastAsia="宋体" w:cs="Times New Roman"/>
                      <w:sz w:val="21"/>
                      <w:szCs w:val="21"/>
                    </w:rPr>
                    <w:t>周</w:t>
                  </w:r>
                </w:p>
              </w:tc>
              <w:tc>
                <w:tcPr>
                  <w:tcW w:w="620" w:type="pct"/>
                  <w:tcBorders>
                    <w:tl2br w:val="nil"/>
                    <w:tr2bl w:val="nil"/>
                  </w:tcBorders>
                  <w:shd w:val="clear" w:color="auto" w:fill="auto"/>
                  <w:tcMar>
                    <w:left w:w="28" w:type="dxa"/>
                    <w:right w:w="28" w:type="dxa"/>
                  </w:tcMar>
                  <w:vAlign w:val="center"/>
                </w:tcPr>
                <w:p w14:paraId="3C220518">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22.7</w:t>
                  </w:r>
                </w:p>
              </w:tc>
              <w:tc>
                <w:tcPr>
                  <w:tcW w:w="626" w:type="pct"/>
                  <w:tcBorders>
                    <w:tl2br w:val="nil"/>
                    <w:tr2bl w:val="nil"/>
                  </w:tcBorders>
                  <w:shd w:val="clear" w:color="auto" w:fill="auto"/>
                  <w:tcMar>
                    <w:left w:w="28" w:type="dxa"/>
                    <w:right w:w="28" w:type="dxa"/>
                  </w:tcMar>
                  <w:vAlign w:val="center"/>
                </w:tcPr>
                <w:p w14:paraId="4F2E4D0E">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1.1</w:t>
                  </w:r>
                </w:p>
              </w:tc>
              <w:tc>
                <w:tcPr>
                  <w:tcW w:w="626" w:type="pct"/>
                  <w:tcBorders>
                    <w:tl2br w:val="nil"/>
                    <w:tr2bl w:val="nil"/>
                  </w:tcBorders>
                  <w:shd w:val="clear" w:color="auto" w:fill="auto"/>
                  <w:tcMar>
                    <w:left w:w="28" w:type="dxa"/>
                    <w:right w:w="28" w:type="dxa"/>
                  </w:tcMar>
                  <w:vAlign w:val="center"/>
                </w:tcPr>
                <w:p w14:paraId="2D2F47F3">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0.4</w:t>
                  </w:r>
                </w:p>
              </w:tc>
              <w:tc>
                <w:tcPr>
                  <w:tcW w:w="1566" w:type="pct"/>
                  <w:tcBorders>
                    <w:tl2br w:val="nil"/>
                    <w:tr2bl w:val="nil"/>
                  </w:tcBorders>
                  <w:shd w:val="clear" w:color="auto" w:fill="auto"/>
                  <w:tcMar>
                    <w:left w:w="28" w:type="dxa"/>
                    <w:right w:w="28" w:type="dxa"/>
                  </w:tcMar>
                  <w:vAlign w:val="center"/>
                </w:tcPr>
                <w:p w14:paraId="57AC3B1E">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8.7</w:t>
                  </w:r>
                </w:p>
              </w:tc>
            </w:tr>
            <w:tr w14:paraId="60D59D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20" w:hRule="atLeast"/>
                <w:jc w:val="center"/>
              </w:trPr>
              <w:tc>
                <w:tcPr>
                  <w:tcW w:w="1560" w:type="pct"/>
                  <w:tcBorders>
                    <w:tl2br w:val="nil"/>
                    <w:tr2bl w:val="nil"/>
                  </w:tcBorders>
                  <w:shd w:val="clear" w:color="auto" w:fill="auto"/>
                  <w:tcMar>
                    <w:left w:w="28" w:type="dxa"/>
                    <w:right w:w="28" w:type="dxa"/>
                  </w:tcMar>
                  <w:vAlign w:val="center"/>
                </w:tcPr>
                <w:p w14:paraId="708F9B51">
                  <w:pPr>
                    <w:pStyle w:val="21"/>
                    <w:keepNext w:val="0"/>
                    <w:keepLines w:val="0"/>
                    <w:pageBreakBefore w:val="0"/>
                    <w:widowControl/>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2024</w:t>
                  </w:r>
                  <w:r>
                    <w:rPr>
                      <w:rFonts w:hint="default" w:ascii="Times New Roman" w:hAnsi="Times New Roman" w:eastAsia="宋体" w:cs="Times New Roman"/>
                      <w:sz w:val="21"/>
                      <w:szCs w:val="21"/>
                    </w:rPr>
                    <w:t>年</w:t>
                  </w:r>
                  <w:r>
                    <w:rPr>
                      <w:rFonts w:hint="default" w:ascii="Times New Roman" w:hAnsi="Times New Roman" w:eastAsia="宋体" w:cs="Times New Roman"/>
                      <w:sz w:val="21"/>
                      <w:szCs w:val="21"/>
                      <w:lang w:val="en-US"/>
                    </w:rPr>
                    <w:t>44</w:t>
                  </w:r>
                  <w:r>
                    <w:rPr>
                      <w:rFonts w:hint="default" w:ascii="Times New Roman" w:hAnsi="Times New Roman" w:eastAsia="宋体" w:cs="Times New Roman"/>
                      <w:sz w:val="21"/>
                      <w:szCs w:val="21"/>
                    </w:rPr>
                    <w:t>周</w:t>
                  </w:r>
                </w:p>
              </w:tc>
              <w:tc>
                <w:tcPr>
                  <w:tcW w:w="620" w:type="pct"/>
                  <w:tcBorders>
                    <w:tl2br w:val="nil"/>
                    <w:tr2bl w:val="nil"/>
                  </w:tcBorders>
                  <w:shd w:val="clear" w:color="auto" w:fill="auto"/>
                  <w:tcMar>
                    <w:left w:w="28" w:type="dxa"/>
                    <w:right w:w="28" w:type="dxa"/>
                  </w:tcMar>
                  <w:vAlign w:val="center"/>
                </w:tcPr>
                <w:p w14:paraId="1916EF51">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24.9</w:t>
                  </w:r>
                </w:p>
              </w:tc>
              <w:tc>
                <w:tcPr>
                  <w:tcW w:w="626" w:type="pct"/>
                  <w:tcBorders>
                    <w:tl2br w:val="nil"/>
                    <w:tr2bl w:val="nil"/>
                  </w:tcBorders>
                  <w:shd w:val="clear" w:color="auto" w:fill="auto"/>
                  <w:tcMar>
                    <w:left w:w="28" w:type="dxa"/>
                    <w:right w:w="28" w:type="dxa"/>
                  </w:tcMar>
                  <w:vAlign w:val="center"/>
                </w:tcPr>
                <w:p w14:paraId="146A3E66">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0.656</w:t>
                  </w:r>
                </w:p>
              </w:tc>
              <w:tc>
                <w:tcPr>
                  <w:tcW w:w="626" w:type="pct"/>
                  <w:tcBorders>
                    <w:tl2br w:val="nil"/>
                    <w:tr2bl w:val="nil"/>
                  </w:tcBorders>
                  <w:shd w:val="clear" w:color="auto" w:fill="auto"/>
                  <w:tcMar>
                    <w:left w:w="28" w:type="dxa"/>
                    <w:right w:w="28" w:type="dxa"/>
                  </w:tcMar>
                  <w:vAlign w:val="center"/>
                </w:tcPr>
                <w:p w14:paraId="4B7853C4">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0.312</w:t>
                  </w:r>
                </w:p>
              </w:tc>
              <w:tc>
                <w:tcPr>
                  <w:tcW w:w="1566" w:type="pct"/>
                  <w:tcBorders>
                    <w:tl2br w:val="nil"/>
                    <w:tr2bl w:val="nil"/>
                  </w:tcBorders>
                  <w:shd w:val="clear" w:color="auto" w:fill="auto"/>
                  <w:tcMar>
                    <w:left w:w="28" w:type="dxa"/>
                    <w:right w:w="28" w:type="dxa"/>
                  </w:tcMar>
                  <w:vAlign w:val="center"/>
                </w:tcPr>
                <w:p w14:paraId="02DAF798">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9.2</w:t>
                  </w:r>
                </w:p>
              </w:tc>
            </w:tr>
            <w:tr w14:paraId="240C2A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jc w:val="center"/>
              </w:trPr>
              <w:tc>
                <w:tcPr>
                  <w:tcW w:w="1560" w:type="pct"/>
                  <w:tcBorders>
                    <w:tl2br w:val="nil"/>
                    <w:tr2bl w:val="nil"/>
                  </w:tcBorders>
                  <w:shd w:val="clear" w:color="auto" w:fill="auto"/>
                  <w:tcMar>
                    <w:left w:w="28" w:type="dxa"/>
                    <w:right w:w="28" w:type="dxa"/>
                  </w:tcMar>
                  <w:vAlign w:val="center"/>
                </w:tcPr>
                <w:p w14:paraId="64C2791A">
                  <w:pPr>
                    <w:pStyle w:val="21"/>
                    <w:keepNext w:val="0"/>
                    <w:keepLines w:val="0"/>
                    <w:pageBreakBefore w:val="0"/>
                    <w:widowControl/>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2024</w:t>
                  </w:r>
                  <w:r>
                    <w:rPr>
                      <w:rFonts w:hint="default" w:ascii="Times New Roman" w:hAnsi="Times New Roman" w:eastAsia="宋体" w:cs="Times New Roman"/>
                      <w:sz w:val="21"/>
                      <w:szCs w:val="21"/>
                    </w:rPr>
                    <w:t>年</w:t>
                  </w:r>
                  <w:r>
                    <w:rPr>
                      <w:rFonts w:hint="default" w:ascii="Times New Roman" w:hAnsi="Times New Roman" w:eastAsia="宋体" w:cs="Times New Roman"/>
                      <w:sz w:val="21"/>
                      <w:szCs w:val="21"/>
                      <w:lang w:val="en-US"/>
                    </w:rPr>
                    <w:t>45</w:t>
                  </w:r>
                  <w:r>
                    <w:rPr>
                      <w:rFonts w:hint="default" w:ascii="Times New Roman" w:hAnsi="Times New Roman" w:eastAsia="宋体" w:cs="Times New Roman"/>
                      <w:sz w:val="21"/>
                      <w:szCs w:val="21"/>
                    </w:rPr>
                    <w:t>周</w:t>
                  </w:r>
                </w:p>
              </w:tc>
              <w:tc>
                <w:tcPr>
                  <w:tcW w:w="620" w:type="pct"/>
                  <w:tcBorders>
                    <w:tl2br w:val="nil"/>
                    <w:tr2bl w:val="nil"/>
                  </w:tcBorders>
                  <w:shd w:val="clear" w:color="auto" w:fill="auto"/>
                  <w:tcMar>
                    <w:left w:w="28" w:type="dxa"/>
                    <w:right w:w="28" w:type="dxa"/>
                  </w:tcMar>
                  <w:vAlign w:val="center"/>
                </w:tcPr>
                <w:p w14:paraId="71123A99">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21.9</w:t>
                  </w:r>
                </w:p>
              </w:tc>
              <w:tc>
                <w:tcPr>
                  <w:tcW w:w="626" w:type="pct"/>
                  <w:tcBorders>
                    <w:tl2br w:val="nil"/>
                    <w:tr2bl w:val="nil"/>
                  </w:tcBorders>
                  <w:shd w:val="clear" w:color="auto" w:fill="auto"/>
                  <w:tcMar>
                    <w:left w:w="28" w:type="dxa"/>
                    <w:right w:w="28" w:type="dxa"/>
                  </w:tcMar>
                  <w:vAlign w:val="center"/>
                </w:tcPr>
                <w:p w14:paraId="6867E114">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0.364</w:t>
                  </w:r>
                </w:p>
              </w:tc>
              <w:tc>
                <w:tcPr>
                  <w:tcW w:w="626" w:type="pct"/>
                  <w:tcBorders>
                    <w:tl2br w:val="nil"/>
                    <w:tr2bl w:val="nil"/>
                  </w:tcBorders>
                  <w:shd w:val="clear" w:color="auto" w:fill="auto"/>
                  <w:tcMar>
                    <w:left w:w="28" w:type="dxa"/>
                    <w:right w:w="28" w:type="dxa"/>
                  </w:tcMar>
                  <w:vAlign w:val="center"/>
                </w:tcPr>
                <w:p w14:paraId="2B19FA87">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0.238</w:t>
                  </w:r>
                </w:p>
              </w:tc>
              <w:tc>
                <w:tcPr>
                  <w:tcW w:w="1566" w:type="pct"/>
                  <w:tcBorders>
                    <w:tl2br w:val="nil"/>
                    <w:tr2bl w:val="nil"/>
                  </w:tcBorders>
                  <w:shd w:val="clear" w:color="auto" w:fill="auto"/>
                  <w:tcMar>
                    <w:left w:w="28" w:type="dxa"/>
                    <w:right w:w="28" w:type="dxa"/>
                  </w:tcMar>
                  <w:vAlign w:val="center"/>
                </w:tcPr>
                <w:p w14:paraId="4DC34EBE">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8</w:t>
                  </w:r>
                </w:p>
              </w:tc>
            </w:tr>
            <w:tr w14:paraId="325157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jc w:val="center"/>
              </w:trPr>
              <w:tc>
                <w:tcPr>
                  <w:tcW w:w="1560" w:type="pct"/>
                  <w:tcBorders>
                    <w:tl2br w:val="nil"/>
                    <w:tr2bl w:val="nil"/>
                  </w:tcBorders>
                  <w:shd w:val="clear" w:color="auto" w:fill="auto"/>
                  <w:tcMar>
                    <w:left w:w="28" w:type="dxa"/>
                    <w:right w:w="28" w:type="dxa"/>
                  </w:tcMar>
                  <w:vAlign w:val="center"/>
                </w:tcPr>
                <w:p w14:paraId="711796B5">
                  <w:pPr>
                    <w:pStyle w:val="21"/>
                    <w:keepNext w:val="0"/>
                    <w:keepLines w:val="0"/>
                    <w:pageBreakBefore w:val="0"/>
                    <w:widowControl/>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2024</w:t>
                  </w:r>
                  <w:r>
                    <w:rPr>
                      <w:rFonts w:hint="default" w:ascii="Times New Roman" w:hAnsi="Times New Roman" w:eastAsia="宋体" w:cs="Times New Roman"/>
                      <w:sz w:val="21"/>
                      <w:szCs w:val="21"/>
                    </w:rPr>
                    <w:t>年</w:t>
                  </w:r>
                  <w:r>
                    <w:rPr>
                      <w:rFonts w:hint="default" w:ascii="Times New Roman" w:hAnsi="Times New Roman" w:eastAsia="宋体" w:cs="Times New Roman"/>
                      <w:sz w:val="21"/>
                      <w:szCs w:val="21"/>
                      <w:lang w:val="en-US"/>
                    </w:rPr>
                    <w:t>46</w:t>
                  </w:r>
                  <w:r>
                    <w:rPr>
                      <w:rFonts w:hint="default" w:ascii="Times New Roman" w:hAnsi="Times New Roman" w:eastAsia="宋体" w:cs="Times New Roman"/>
                      <w:sz w:val="21"/>
                      <w:szCs w:val="21"/>
                    </w:rPr>
                    <w:t>周</w:t>
                  </w:r>
                </w:p>
              </w:tc>
              <w:tc>
                <w:tcPr>
                  <w:tcW w:w="620" w:type="pct"/>
                  <w:tcBorders>
                    <w:tl2br w:val="nil"/>
                    <w:tr2bl w:val="nil"/>
                  </w:tcBorders>
                  <w:shd w:val="clear" w:color="auto" w:fill="auto"/>
                  <w:tcMar>
                    <w:left w:w="28" w:type="dxa"/>
                    <w:right w:w="28" w:type="dxa"/>
                  </w:tcMar>
                  <w:vAlign w:val="center"/>
                </w:tcPr>
                <w:p w14:paraId="1978F143">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20</w:t>
                  </w:r>
                </w:p>
              </w:tc>
              <w:tc>
                <w:tcPr>
                  <w:tcW w:w="626" w:type="pct"/>
                  <w:tcBorders>
                    <w:tl2br w:val="nil"/>
                    <w:tr2bl w:val="nil"/>
                  </w:tcBorders>
                  <w:shd w:val="clear" w:color="auto" w:fill="auto"/>
                  <w:tcMar>
                    <w:left w:w="28" w:type="dxa"/>
                    <w:right w:w="28" w:type="dxa"/>
                  </w:tcMar>
                  <w:vAlign w:val="center"/>
                </w:tcPr>
                <w:p w14:paraId="34134007">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0.55</w:t>
                  </w:r>
                </w:p>
              </w:tc>
              <w:tc>
                <w:tcPr>
                  <w:tcW w:w="626" w:type="pct"/>
                  <w:tcBorders>
                    <w:tl2br w:val="nil"/>
                    <w:tr2bl w:val="nil"/>
                  </w:tcBorders>
                  <w:shd w:val="clear" w:color="auto" w:fill="auto"/>
                  <w:tcMar>
                    <w:left w:w="28" w:type="dxa"/>
                    <w:right w:w="28" w:type="dxa"/>
                  </w:tcMar>
                  <w:vAlign w:val="center"/>
                </w:tcPr>
                <w:p w14:paraId="7F2B03D4">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0.421</w:t>
                  </w:r>
                </w:p>
              </w:tc>
              <w:tc>
                <w:tcPr>
                  <w:tcW w:w="1566" w:type="pct"/>
                  <w:tcBorders>
                    <w:tl2br w:val="nil"/>
                    <w:tr2bl w:val="nil"/>
                  </w:tcBorders>
                  <w:shd w:val="clear" w:color="auto" w:fill="auto"/>
                  <w:tcMar>
                    <w:left w:w="28" w:type="dxa"/>
                    <w:right w:w="28" w:type="dxa"/>
                  </w:tcMar>
                  <w:vAlign w:val="center"/>
                </w:tcPr>
                <w:p w14:paraId="5CE8E368">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6.8</w:t>
                  </w:r>
                </w:p>
              </w:tc>
            </w:tr>
            <w:tr w14:paraId="3EEBBD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jc w:val="center"/>
              </w:trPr>
              <w:tc>
                <w:tcPr>
                  <w:tcW w:w="1560" w:type="pct"/>
                  <w:tcBorders>
                    <w:tl2br w:val="nil"/>
                    <w:tr2bl w:val="nil"/>
                  </w:tcBorders>
                  <w:shd w:val="clear" w:color="auto" w:fill="auto"/>
                  <w:tcMar>
                    <w:left w:w="28" w:type="dxa"/>
                    <w:right w:w="28" w:type="dxa"/>
                  </w:tcMar>
                  <w:vAlign w:val="center"/>
                </w:tcPr>
                <w:p w14:paraId="5D8D18C7">
                  <w:pPr>
                    <w:pStyle w:val="21"/>
                    <w:keepNext w:val="0"/>
                    <w:keepLines w:val="0"/>
                    <w:pageBreakBefore w:val="0"/>
                    <w:widowControl/>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2024</w:t>
                  </w:r>
                  <w:r>
                    <w:rPr>
                      <w:rFonts w:hint="default" w:ascii="Times New Roman" w:hAnsi="Times New Roman" w:eastAsia="宋体" w:cs="Times New Roman"/>
                      <w:sz w:val="21"/>
                      <w:szCs w:val="21"/>
                    </w:rPr>
                    <w:t>年</w:t>
                  </w:r>
                  <w:r>
                    <w:rPr>
                      <w:rFonts w:hint="default" w:ascii="Times New Roman" w:hAnsi="Times New Roman" w:eastAsia="宋体" w:cs="Times New Roman"/>
                      <w:sz w:val="21"/>
                      <w:szCs w:val="21"/>
                      <w:lang w:val="en-US"/>
                    </w:rPr>
                    <w:t>47</w:t>
                  </w:r>
                  <w:r>
                    <w:rPr>
                      <w:rFonts w:hint="default" w:ascii="Times New Roman" w:hAnsi="Times New Roman" w:eastAsia="宋体" w:cs="Times New Roman"/>
                      <w:sz w:val="21"/>
                      <w:szCs w:val="21"/>
                    </w:rPr>
                    <w:t>周</w:t>
                  </w:r>
                </w:p>
              </w:tc>
              <w:tc>
                <w:tcPr>
                  <w:tcW w:w="620" w:type="pct"/>
                  <w:tcBorders>
                    <w:tl2br w:val="nil"/>
                    <w:tr2bl w:val="nil"/>
                  </w:tcBorders>
                  <w:shd w:val="clear" w:color="auto" w:fill="auto"/>
                  <w:tcMar>
                    <w:left w:w="28" w:type="dxa"/>
                    <w:right w:w="28" w:type="dxa"/>
                  </w:tcMar>
                  <w:vAlign w:val="center"/>
                </w:tcPr>
                <w:p w14:paraId="674A7025">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15.5</w:t>
                  </w:r>
                </w:p>
              </w:tc>
              <w:tc>
                <w:tcPr>
                  <w:tcW w:w="626" w:type="pct"/>
                  <w:tcBorders>
                    <w:tl2br w:val="nil"/>
                    <w:tr2bl w:val="nil"/>
                  </w:tcBorders>
                  <w:shd w:val="clear" w:color="auto" w:fill="auto"/>
                  <w:tcMar>
                    <w:left w:w="28" w:type="dxa"/>
                    <w:right w:w="28" w:type="dxa"/>
                  </w:tcMar>
                  <w:vAlign w:val="center"/>
                </w:tcPr>
                <w:p w14:paraId="577035AA">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0.518</w:t>
                  </w:r>
                </w:p>
              </w:tc>
              <w:tc>
                <w:tcPr>
                  <w:tcW w:w="626" w:type="pct"/>
                  <w:tcBorders>
                    <w:tl2br w:val="nil"/>
                    <w:tr2bl w:val="nil"/>
                  </w:tcBorders>
                  <w:shd w:val="clear" w:color="auto" w:fill="auto"/>
                  <w:tcMar>
                    <w:left w:w="28" w:type="dxa"/>
                    <w:right w:w="28" w:type="dxa"/>
                  </w:tcMar>
                  <w:vAlign w:val="center"/>
                </w:tcPr>
                <w:p w14:paraId="0B1CECC7">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0.34</w:t>
                  </w:r>
                </w:p>
              </w:tc>
              <w:tc>
                <w:tcPr>
                  <w:tcW w:w="1566" w:type="pct"/>
                  <w:tcBorders>
                    <w:tl2br w:val="nil"/>
                    <w:tr2bl w:val="nil"/>
                  </w:tcBorders>
                  <w:shd w:val="clear" w:color="auto" w:fill="auto"/>
                  <w:tcMar>
                    <w:left w:w="28" w:type="dxa"/>
                    <w:right w:w="28" w:type="dxa"/>
                  </w:tcMar>
                  <w:vAlign w:val="center"/>
                </w:tcPr>
                <w:p w14:paraId="107B4C47">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5.7</w:t>
                  </w:r>
                </w:p>
              </w:tc>
            </w:tr>
            <w:tr w14:paraId="3C0685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20" w:hRule="atLeast"/>
                <w:jc w:val="center"/>
              </w:trPr>
              <w:tc>
                <w:tcPr>
                  <w:tcW w:w="1560" w:type="pct"/>
                  <w:tcBorders>
                    <w:tl2br w:val="nil"/>
                    <w:tr2bl w:val="nil"/>
                  </w:tcBorders>
                  <w:shd w:val="clear" w:color="auto" w:fill="auto"/>
                  <w:tcMar>
                    <w:left w:w="28" w:type="dxa"/>
                    <w:right w:w="28" w:type="dxa"/>
                  </w:tcMar>
                  <w:vAlign w:val="center"/>
                </w:tcPr>
                <w:p w14:paraId="14D18E98">
                  <w:pPr>
                    <w:pStyle w:val="21"/>
                    <w:keepNext w:val="0"/>
                    <w:keepLines w:val="0"/>
                    <w:pageBreakBefore w:val="0"/>
                    <w:widowControl/>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2024</w:t>
                  </w:r>
                  <w:r>
                    <w:rPr>
                      <w:rFonts w:hint="default" w:ascii="Times New Roman" w:hAnsi="Times New Roman" w:eastAsia="宋体" w:cs="Times New Roman"/>
                      <w:sz w:val="21"/>
                      <w:szCs w:val="21"/>
                    </w:rPr>
                    <w:t>年</w:t>
                  </w:r>
                  <w:r>
                    <w:rPr>
                      <w:rFonts w:hint="default" w:ascii="Times New Roman" w:hAnsi="Times New Roman" w:eastAsia="宋体" w:cs="Times New Roman"/>
                      <w:sz w:val="21"/>
                      <w:szCs w:val="21"/>
                      <w:lang w:val="en-US"/>
                    </w:rPr>
                    <w:t>48</w:t>
                  </w:r>
                  <w:r>
                    <w:rPr>
                      <w:rFonts w:hint="default" w:ascii="Times New Roman" w:hAnsi="Times New Roman" w:eastAsia="宋体" w:cs="Times New Roman"/>
                      <w:sz w:val="21"/>
                      <w:szCs w:val="21"/>
                    </w:rPr>
                    <w:t>周</w:t>
                  </w:r>
                </w:p>
              </w:tc>
              <w:tc>
                <w:tcPr>
                  <w:tcW w:w="620" w:type="pct"/>
                  <w:tcBorders>
                    <w:tl2br w:val="nil"/>
                    <w:tr2bl w:val="nil"/>
                  </w:tcBorders>
                  <w:shd w:val="clear" w:color="auto" w:fill="auto"/>
                  <w:tcMar>
                    <w:left w:w="28" w:type="dxa"/>
                    <w:right w:w="28" w:type="dxa"/>
                  </w:tcMar>
                  <w:vAlign w:val="center"/>
                </w:tcPr>
                <w:p w14:paraId="0E009CDD">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15.1</w:t>
                  </w:r>
                </w:p>
              </w:tc>
              <w:tc>
                <w:tcPr>
                  <w:tcW w:w="626" w:type="pct"/>
                  <w:tcBorders>
                    <w:tl2br w:val="nil"/>
                    <w:tr2bl w:val="nil"/>
                  </w:tcBorders>
                  <w:shd w:val="clear" w:color="auto" w:fill="auto"/>
                  <w:tcMar>
                    <w:left w:w="28" w:type="dxa"/>
                    <w:right w:w="28" w:type="dxa"/>
                  </w:tcMar>
                  <w:vAlign w:val="center"/>
                </w:tcPr>
                <w:p w14:paraId="27EA4832">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0.855</w:t>
                  </w:r>
                </w:p>
              </w:tc>
              <w:tc>
                <w:tcPr>
                  <w:tcW w:w="626" w:type="pct"/>
                  <w:tcBorders>
                    <w:tl2br w:val="nil"/>
                    <w:tr2bl w:val="nil"/>
                  </w:tcBorders>
                  <w:shd w:val="clear" w:color="auto" w:fill="auto"/>
                  <w:tcMar>
                    <w:left w:w="28" w:type="dxa"/>
                    <w:right w:w="28" w:type="dxa"/>
                  </w:tcMar>
                  <w:vAlign w:val="center"/>
                </w:tcPr>
                <w:p w14:paraId="247776C4">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0.3</w:t>
                  </w:r>
                </w:p>
              </w:tc>
              <w:tc>
                <w:tcPr>
                  <w:tcW w:w="1566" w:type="pct"/>
                  <w:tcBorders>
                    <w:tl2br w:val="nil"/>
                    <w:tr2bl w:val="nil"/>
                  </w:tcBorders>
                  <w:shd w:val="clear" w:color="auto" w:fill="auto"/>
                  <w:tcMar>
                    <w:left w:w="28" w:type="dxa"/>
                    <w:right w:w="28" w:type="dxa"/>
                  </w:tcMar>
                  <w:vAlign w:val="center"/>
                </w:tcPr>
                <w:p w14:paraId="7A9E1D6B">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3.4</w:t>
                  </w:r>
                </w:p>
              </w:tc>
            </w:tr>
            <w:tr w14:paraId="18472F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jc w:val="center"/>
              </w:trPr>
              <w:tc>
                <w:tcPr>
                  <w:tcW w:w="1560" w:type="pct"/>
                  <w:tcBorders>
                    <w:tl2br w:val="nil"/>
                    <w:tr2bl w:val="nil"/>
                  </w:tcBorders>
                  <w:shd w:val="clear" w:color="auto" w:fill="auto"/>
                  <w:tcMar>
                    <w:left w:w="28" w:type="dxa"/>
                    <w:right w:w="28" w:type="dxa"/>
                  </w:tcMar>
                  <w:vAlign w:val="center"/>
                </w:tcPr>
                <w:p w14:paraId="7D3DAAFA">
                  <w:pPr>
                    <w:pStyle w:val="21"/>
                    <w:keepNext w:val="0"/>
                    <w:keepLines w:val="0"/>
                    <w:pageBreakBefore w:val="0"/>
                    <w:widowControl/>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2024</w:t>
                  </w:r>
                  <w:r>
                    <w:rPr>
                      <w:rFonts w:hint="default" w:ascii="Times New Roman" w:hAnsi="Times New Roman" w:eastAsia="宋体" w:cs="Times New Roman"/>
                      <w:sz w:val="21"/>
                      <w:szCs w:val="21"/>
                    </w:rPr>
                    <w:t>年</w:t>
                  </w:r>
                  <w:r>
                    <w:rPr>
                      <w:rFonts w:hint="default" w:ascii="Times New Roman" w:hAnsi="Times New Roman" w:eastAsia="宋体" w:cs="Times New Roman"/>
                      <w:sz w:val="21"/>
                      <w:szCs w:val="21"/>
                      <w:lang w:val="en-US"/>
                    </w:rPr>
                    <w:t>49</w:t>
                  </w:r>
                  <w:r>
                    <w:rPr>
                      <w:rFonts w:hint="default" w:ascii="Times New Roman" w:hAnsi="Times New Roman" w:eastAsia="宋体" w:cs="Times New Roman"/>
                      <w:sz w:val="21"/>
                      <w:szCs w:val="21"/>
                    </w:rPr>
                    <w:t>周</w:t>
                  </w:r>
                </w:p>
              </w:tc>
              <w:tc>
                <w:tcPr>
                  <w:tcW w:w="620" w:type="pct"/>
                  <w:tcBorders>
                    <w:tl2br w:val="nil"/>
                    <w:tr2bl w:val="nil"/>
                  </w:tcBorders>
                  <w:shd w:val="clear" w:color="auto" w:fill="auto"/>
                  <w:tcMar>
                    <w:left w:w="28" w:type="dxa"/>
                    <w:right w:w="28" w:type="dxa"/>
                  </w:tcMar>
                  <w:vAlign w:val="center"/>
                </w:tcPr>
                <w:p w14:paraId="1395B588">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17.6</w:t>
                  </w:r>
                </w:p>
              </w:tc>
              <w:tc>
                <w:tcPr>
                  <w:tcW w:w="626" w:type="pct"/>
                  <w:tcBorders>
                    <w:tl2br w:val="nil"/>
                    <w:tr2bl w:val="nil"/>
                  </w:tcBorders>
                  <w:shd w:val="clear" w:color="auto" w:fill="auto"/>
                  <w:tcMar>
                    <w:left w:w="28" w:type="dxa"/>
                    <w:right w:w="28" w:type="dxa"/>
                  </w:tcMar>
                  <w:vAlign w:val="center"/>
                </w:tcPr>
                <w:p w14:paraId="2C00FDB7">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1.39</w:t>
                  </w:r>
                </w:p>
              </w:tc>
              <w:tc>
                <w:tcPr>
                  <w:tcW w:w="626" w:type="pct"/>
                  <w:tcBorders>
                    <w:tl2br w:val="nil"/>
                    <w:tr2bl w:val="nil"/>
                  </w:tcBorders>
                  <w:shd w:val="clear" w:color="auto" w:fill="auto"/>
                  <w:tcMar>
                    <w:left w:w="28" w:type="dxa"/>
                    <w:right w:w="28" w:type="dxa"/>
                  </w:tcMar>
                  <w:vAlign w:val="center"/>
                </w:tcPr>
                <w:p w14:paraId="76BE7617">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0.252</w:t>
                  </w:r>
                </w:p>
              </w:tc>
              <w:tc>
                <w:tcPr>
                  <w:tcW w:w="1566" w:type="pct"/>
                  <w:tcBorders>
                    <w:tl2br w:val="nil"/>
                    <w:tr2bl w:val="nil"/>
                  </w:tcBorders>
                  <w:shd w:val="clear" w:color="auto" w:fill="auto"/>
                  <w:tcMar>
                    <w:left w:w="28" w:type="dxa"/>
                    <w:right w:w="28" w:type="dxa"/>
                  </w:tcMar>
                  <w:vAlign w:val="center"/>
                </w:tcPr>
                <w:p w14:paraId="700C63DF">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1.4</w:t>
                  </w:r>
                </w:p>
              </w:tc>
            </w:tr>
            <w:tr w14:paraId="47F54E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jc w:val="center"/>
              </w:trPr>
              <w:tc>
                <w:tcPr>
                  <w:tcW w:w="1560" w:type="pct"/>
                  <w:tcBorders>
                    <w:tl2br w:val="nil"/>
                    <w:tr2bl w:val="nil"/>
                  </w:tcBorders>
                  <w:shd w:val="clear" w:color="auto" w:fill="auto"/>
                  <w:tcMar>
                    <w:left w:w="28" w:type="dxa"/>
                    <w:right w:w="28" w:type="dxa"/>
                  </w:tcMar>
                  <w:vAlign w:val="center"/>
                </w:tcPr>
                <w:p w14:paraId="761006DD">
                  <w:pPr>
                    <w:pStyle w:val="21"/>
                    <w:keepNext w:val="0"/>
                    <w:keepLines w:val="0"/>
                    <w:pageBreakBefore w:val="0"/>
                    <w:widowControl/>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2024</w:t>
                  </w:r>
                  <w:r>
                    <w:rPr>
                      <w:rFonts w:hint="default" w:ascii="Times New Roman" w:hAnsi="Times New Roman" w:eastAsia="宋体" w:cs="Times New Roman"/>
                      <w:sz w:val="21"/>
                      <w:szCs w:val="21"/>
                    </w:rPr>
                    <w:t>年</w:t>
                  </w:r>
                  <w:r>
                    <w:rPr>
                      <w:rFonts w:hint="default" w:ascii="Times New Roman" w:hAnsi="Times New Roman" w:eastAsia="宋体" w:cs="Times New Roman"/>
                      <w:sz w:val="21"/>
                      <w:szCs w:val="21"/>
                      <w:lang w:val="en-US"/>
                    </w:rPr>
                    <w:t>50</w:t>
                  </w:r>
                  <w:r>
                    <w:rPr>
                      <w:rFonts w:hint="default" w:ascii="Times New Roman" w:hAnsi="Times New Roman" w:eastAsia="宋体" w:cs="Times New Roman"/>
                      <w:sz w:val="21"/>
                      <w:szCs w:val="21"/>
                    </w:rPr>
                    <w:t>周</w:t>
                  </w:r>
                </w:p>
              </w:tc>
              <w:tc>
                <w:tcPr>
                  <w:tcW w:w="620" w:type="pct"/>
                  <w:tcBorders>
                    <w:tl2br w:val="nil"/>
                    <w:tr2bl w:val="nil"/>
                  </w:tcBorders>
                  <w:shd w:val="clear" w:color="auto" w:fill="auto"/>
                  <w:tcMar>
                    <w:left w:w="28" w:type="dxa"/>
                    <w:right w:w="28" w:type="dxa"/>
                  </w:tcMar>
                  <w:vAlign w:val="center"/>
                </w:tcPr>
                <w:p w14:paraId="62E9DCF8">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19.7</w:t>
                  </w:r>
                </w:p>
              </w:tc>
              <w:tc>
                <w:tcPr>
                  <w:tcW w:w="626" w:type="pct"/>
                  <w:tcBorders>
                    <w:tl2br w:val="nil"/>
                    <w:tr2bl w:val="nil"/>
                  </w:tcBorders>
                  <w:shd w:val="clear" w:color="auto" w:fill="auto"/>
                  <w:tcMar>
                    <w:left w:w="28" w:type="dxa"/>
                    <w:right w:w="28" w:type="dxa"/>
                  </w:tcMar>
                  <w:vAlign w:val="center"/>
                </w:tcPr>
                <w:p w14:paraId="07930535">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1.86</w:t>
                  </w:r>
                </w:p>
              </w:tc>
              <w:tc>
                <w:tcPr>
                  <w:tcW w:w="626" w:type="pct"/>
                  <w:tcBorders>
                    <w:tl2br w:val="nil"/>
                    <w:tr2bl w:val="nil"/>
                  </w:tcBorders>
                  <w:shd w:val="clear" w:color="auto" w:fill="auto"/>
                  <w:tcMar>
                    <w:left w:w="28" w:type="dxa"/>
                    <w:right w:w="28" w:type="dxa"/>
                  </w:tcMar>
                  <w:vAlign w:val="center"/>
                </w:tcPr>
                <w:p w14:paraId="4CAFD89B">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0.368</w:t>
                  </w:r>
                </w:p>
              </w:tc>
              <w:tc>
                <w:tcPr>
                  <w:tcW w:w="1566" w:type="pct"/>
                  <w:tcBorders>
                    <w:tl2br w:val="nil"/>
                    <w:tr2bl w:val="nil"/>
                  </w:tcBorders>
                  <w:shd w:val="clear" w:color="auto" w:fill="auto"/>
                  <w:tcMar>
                    <w:left w:w="28" w:type="dxa"/>
                    <w:right w:w="28" w:type="dxa"/>
                  </w:tcMar>
                  <w:vAlign w:val="center"/>
                </w:tcPr>
                <w:p w14:paraId="72E1BA10">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2.2</w:t>
                  </w:r>
                </w:p>
              </w:tc>
            </w:tr>
            <w:tr w14:paraId="065E2B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jc w:val="center"/>
              </w:trPr>
              <w:tc>
                <w:tcPr>
                  <w:tcW w:w="1560" w:type="pct"/>
                  <w:tcBorders>
                    <w:tl2br w:val="nil"/>
                    <w:tr2bl w:val="nil"/>
                  </w:tcBorders>
                  <w:shd w:val="clear" w:color="auto" w:fill="auto"/>
                  <w:tcMar>
                    <w:left w:w="28" w:type="dxa"/>
                    <w:right w:w="28" w:type="dxa"/>
                  </w:tcMar>
                  <w:vAlign w:val="center"/>
                </w:tcPr>
                <w:p w14:paraId="6C3908CA">
                  <w:pPr>
                    <w:pStyle w:val="21"/>
                    <w:keepNext w:val="0"/>
                    <w:keepLines w:val="0"/>
                    <w:pageBreakBefore w:val="0"/>
                    <w:widowControl/>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2024</w:t>
                  </w:r>
                  <w:r>
                    <w:rPr>
                      <w:rFonts w:hint="default" w:ascii="Times New Roman" w:hAnsi="Times New Roman" w:eastAsia="宋体" w:cs="Times New Roman"/>
                      <w:sz w:val="21"/>
                      <w:szCs w:val="21"/>
                    </w:rPr>
                    <w:t>年</w:t>
                  </w:r>
                  <w:r>
                    <w:rPr>
                      <w:rFonts w:hint="default" w:ascii="Times New Roman" w:hAnsi="Times New Roman" w:eastAsia="宋体" w:cs="Times New Roman"/>
                      <w:sz w:val="21"/>
                      <w:szCs w:val="21"/>
                      <w:lang w:val="en-US"/>
                    </w:rPr>
                    <w:t>51</w:t>
                  </w:r>
                  <w:r>
                    <w:rPr>
                      <w:rFonts w:hint="default" w:ascii="Times New Roman" w:hAnsi="Times New Roman" w:eastAsia="宋体" w:cs="Times New Roman"/>
                      <w:sz w:val="21"/>
                      <w:szCs w:val="21"/>
                    </w:rPr>
                    <w:t>周</w:t>
                  </w:r>
                </w:p>
              </w:tc>
              <w:tc>
                <w:tcPr>
                  <w:tcW w:w="620" w:type="pct"/>
                  <w:tcBorders>
                    <w:tl2br w:val="nil"/>
                    <w:tr2bl w:val="nil"/>
                  </w:tcBorders>
                  <w:shd w:val="clear" w:color="auto" w:fill="auto"/>
                  <w:tcMar>
                    <w:left w:w="28" w:type="dxa"/>
                    <w:right w:w="28" w:type="dxa"/>
                  </w:tcMar>
                  <w:vAlign w:val="center"/>
                </w:tcPr>
                <w:p w14:paraId="4B8AB833">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20.2</w:t>
                  </w:r>
                </w:p>
              </w:tc>
              <w:tc>
                <w:tcPr>
                  <w:tcW w:w="626" w:type="pct"/>
                  <w:tcBorders>
                    <w:tl2br w:val="nil"/>
                    <w:tr2bl w:val="nil"/>
                  </w:tcBorders>
                  <w:shd w:val="clear" w:color="auto" w:fill="auto"/>
                  <w:tcMar>
                    <w:left w:w="28" w:type="dxa"/>
                    <w:right w:w="28" w:type="dxa"/>
                  </w:tcMar>
                  <w:vAlign w:val="center"/>
                </w:tcPr>
                <w:p w14:paraId="465E37C1">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2.79</w:t>
                  </w:r>
                </w:p>
              </w:tc>
              <w:tc>
                <w:tcPr>
                  <w:tcW w:w="626" w:type="pct"/>
                  <w:tcBorders>
                    <w:tl2br w:val="nil"/>
                    <w:tr2bl w:val="nil"/>
                  </w:tcBorders>
                  <w:shd w:val="clear" w:color="auto" w:fill="auto"/>
                  <w:tcMar>
                    <w:left w:w="28" w:type="dxa"/>
                    <w:right w:w="28" w:type="dxa"/>
                  </w:tcMar>
                  <w:vAlign w:val="center"/>
                </w:tcPr>
                <w:p w14:paraId="7110F3B8">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0.573</w:t>
                  </w:r>
                </w:p>
              </w:tc>
              <w:tc>
                <w:tcPr>
                  <w:tcW w:w="1566" w:type="pct"/>
                  <w:tcBorders>
                    <w:tl2br w:val="nil"/>
                    <w:tr2bl w:val="nil"/>
                  </w:tcBorders>
                  <w:shd w:val="clear" w:color="auto" w:fill="auto"/>
                  <w:tcMar>
                    <w:left w:w="28" w:type="dxa"/>
                    <w:right w:w="28" w:type="dxa"/>
                  </w:tcMar>
                  <w:vAlign w:val="center"/>
                </w:tcPr>
                <w:p w14:paraId="6CFAA913">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3</w:t>
                  </w:r>
                </w:p>
              </w:tc>
            </w:tr>
            <w:tr w14:paraId="418C46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jc w:val="center"/>
              </w:trPr>
              <w:tc>
                <w:tcPr>
                  <w:tcW w:w="1560" w:type="pct"/>
                  <w:tcBorders>
                    <w:tl2br w:val="nil"/>
                    <w:tr2bl w:val="nil"/>
                  </w:tcBorders>
                  <w:shd w:val="clear" w:color="auto" w:fill="auto"/>
                  <w:tcMar>
                    <w:left w:w="28" w:type="dxa"/>
                    <w:right w:w="28" w:type="dxa"/>
                  </w:tcMar>
                  <w:vAlign w:val="center"/>
                </w:tcPr>
                <w:p w14:paraId="5470860F">
                  <w:pPr>
                    <w:pStyle w:val="21"/>
                    <w:keepNext w:val="0"/>
                    <w:keepLines w:val="0"/>
                    <w:pageBreakBefore w:val="0"/>
                    <w:widowControl/>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2024</w:t>
                  </w:r>
                  <w:r>
                    <w:rPr>
                      <w:rFonts w:hint="default" w:ascii="Times New Roman" w:hAnsi="Times New Roman" w:eastAsia="宋体" w:cs="Times New Roman"/>
                      <w:sz w:val="21"/>
                      <w:szCs w:val="21"/>
                    </w:rPr>
                    <w:t>年</w:t>
                  </w:r>
                  <w:r>
                    <w:rPr>
                      <w:rFonts w:hint="default" w:ascii="Times New Roman" w:hAnsi="Times New Roman" w:eastAsia="宋体" w:cs="Times New Roman"/>
                      <w:sz w:val="21"/>
                      <w:szCs w:val="21"/>
                      <w:lang w:val="en-US"/>
                    </w:rPr>
                    <w:t>52</w:t>
                  </w:r>
                  <w:r>
                    <w:rPr>
                      <w:rFonts w:hint="default" w:ascii="Times New Roman" w:hAnsi="Times New Roman" w:eastAsia="宋体" w:cs="Times New Roman"/>
                      <w:sz w:val="21"/>
                      <w:szCs w:val="21"/>
                    </w:rPr>
                    <w:t>周</w:t>
                  </w:r>
                </w:p>
              </w:tc>
              <w:tc>
                <w:tcPr>
                  <w:tcW w:w="620" w:type="pct"/>
                  <w:tcBorders>
                    <w:tl2br w:val="nil"/>
                    <w:tr2bl w:val="nil"/>
                  </w:tcBorders>
                  <w:shd w:val="clear" w:color="auto" w:fill="auto"/>
                  <w:tcMar>
                    <w:left w:w="28" w:type="dxa"/>
                    <w:right w:w="28" w:type="dxa"/>
                  </w:tcMar>
                  <w:vAlign w:val="center"/>
                </w:tcPr>
                <w:p w14:paraId="6EFE098A">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16.2</w:t>
                  </w:r>
                </w:p>
              </w:tc>
              <w:tc>
                <w:tcPr>
                  <w:tcW w:w="626" w:type="pct"/>
                  <w:tcBorders>
                    <w:tl2br w:val="nil"/>
                    <w:tr2bl w:val="nil"/>
                  </w:tcBorders>
                  <w:shd w:val="clear" w:color="auto" w:fill="auto"/>
                  <w:tcMar>
                    <w:left w:w="28" w:type="dxa"/>
                    <w:right w:w="28" w:type="dxa"/>
                  </w:tcMar>
                  <w:vAlign w:val="center"/>
                </w:tcPr>
                <w:p w14:paraId="2235704F">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1.26</w:t>
                  </w:r>
                </w:p>
              </w:tc>
              <w:tc>
                <w:tcPr>
                  <w:tcW w:w="626" w:type="pct"/>
                  <w:tcBorders>
                    <w:tl2br w:val="nil"/>
                    <w:tr2bl w:val="nil"/>
                  </w:tcBorders>
                  <w:shd w:val="clear" w:color="auto" w:fill="auto"/>
                  <w:tcMar>
                    <w:left w:w="28" w:type="dxa"/>
                    <w:right w:w="28" w:type="dxa"/>
                  </w:tcMar>
                  <w:vAlign w:val="center"/>
                </w:tcPr>
                <w:p w14:paraId="00E0BF3F">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0.246</w:t>
                  </w:r>
                </w:p>
              </w:tc>
              <w:tc>
                <w:tcPr>
                  <w:tcW w:w="1566" w:type="pct"/>
                  <w:tcBorders>
                    <w:tl2br w:val="nil"/>
                    <w:tr2bl w:val="nil"/>
                  </w:tcBorders>
                  <w:shd w:val="clear" w:color="auto" w:fill="auto"/>
                  <w:tcMar>
                    <w:left w:w="28" w:type="dxa"/>
                    <w:right w:w="28" w:type="dxa"/>
                  </w:tcMar>
                  <w:vAlign w:val="center"/>
                </w:tcPr>
                <w:p w14:paraId="6D6B1333">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rPr>
                      <w:rFonts w:hint="default" w:ascii="Times New Roman" w:hAnsi="Times New Roman" w:cs="Times New Roman"/>
                      <w:color w:val="000000"/>
                      <w:sz w:val="21"/>
                      <w:szCs w:val="21"/>
                      <w:lang w:val="en-US"/>
                    </w:rPr>
                  </w:pPr>
                  <w:r>
                    <w:rPr>
                      <w:rFonts w:hint="default" w:ascii="Times New Roman" w:hAnsi="Times New Roman" w:eastAsia="宋体" w:cs="Times New Roman"/>
                      <w:color w:val="000000"/>
                      <w:kern w:val="2"/>
                      <w:sz w:val="21"/>
                      <w:szCs w:val="21"/>
                      <w:lang w:val="en-US" w:eastAsia="zh-CN" w:bidi="ar"/>
                    </w:rPr>
                    <w:t>2.6</w:t>
                  </w:r>
                </w:p>
              </w:tc>
            </w:tr>
            <w:tr w14:paraId="3B69E5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20" w:hRule="atLeast"/>
                <w:jc w:val="center"/>
              </w:trPr>
              <w:tc>
                <w:tcPr>
                  <w:tcW w:w="1560" w:type="pct"/>
                  <w:tcBorders>
                    <w:tl2br w:val="nil"/>
                    <w:tr2bl w:val="nil"/>
                  </w:tcBorders>
                  <w:shd w:val="clear" w:color="auto" w:fill="auto"/>
                  <w:tcMar>
                    <w:left w:w="28" w:type="dxa"/>
                    <w:right w:w="28" w:type="dxa"/>
                  </w:tcMar>
                  <w:vAlign w:val="center"/>
                </w:tcPr>
                <w:p w14:paraId="5251C37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ascii="Times New Roman" w:hAnsi="Times New Roman" w:cs="Times New Roman"/>
                      <w:sz w:val="21"/>
                      <w:szCs w:val="21"/>
                      <w:lang w:val="en-US"/>
                    </w:rPr>
                  </w:pPr>
                  <w:r>
                    <w:rPr>
                      <w:rFonts w:hint="default" w:ascii="Times New Roman" w:hAnsi="Times New Roman" w:eastAsia="宋体" w:cs="Times New Roman"/>
                      <w:kern w:val="2"/>
                      <w:sz w:val="21"/>
                      <w:szCs w:val="21"/>
                      <w:lang w:val="en-US" w:eastAsia="zh-CN" w:bidi="ar"/>
                    </w:rPr>
                    <w:t>平均值</w:t>
                  </w:r>
                </w:p>
              </w:tc>
              <w:tc>
                <w:tcPr>
                  <w:tcW w:w="620" w:type="pct"/>
                  <w:tcBorders>
                    <w:tl2br w:val="nil"/>
                    <w:tr2bl w:val="nil"/>
                  </w:tcBorders>
                  <w:shd w:val="clear" w:color="auto" w:fill="auto"/>
                  <w:tcMar>
                    <w:left w:w="28" w:type="dxa"/>
                    <w:right w:w="28" w:type="dxa"/>
                  </w:tcMar>
                  <w:vAlign w:val="center"/>
                </w:tcPr>
                <w:p w14:paraId="58B390BE">
                  <w:pPr>
                    <w:pStyle w:val="21"/>
                    <w:keepNext w:val="0"/>
                    <w:keepLines w:val="0"/>
                    <w:pageBreakBefore w:val="0"/>
                    <w:widowControl/>
                    <w:suppressLineNumbers w:val="0"/>
                    <w:kinsoku/>
                    <w:wordWrap/>
                    <w:overflowPunct/>
                    <w:topLinePunct w:val="0"/>
                    <w:autoSpaceDE/>
                    <w:autoSpaceDN/>
                    <w:bidi w:val="0"/>
                    <w:spacing w:before="0" w:beforeAutospacing="0" w:after="0" w:afterAutospacing="0" w:line="360" w:lineRule="exact"/>
                    <w:ind w:left="0" w:right="0"/>
                    <w:contextualSpacing w:val="0"/>
                    <w:jc w:val="center"/>
                    <w:textAlignment w:val="center"/>
                    <w:rPr>
                      <w:rFonts w:hint="default" w:ascii="Times New Roman" w:hAnsi="Times New Roman" w:cs="Times New Roman"/>
                      <w:sz w:val="21"/>
                      <w:szCs w:val="21"/>
                      <w:lang w:val="en-US"/>
                    </w:rPr>
                  </w:pPr>
                  <w:r>
                    <w:rPr>
                      <w:rFonts w:hint="default" w:ascii="Times New Roman" w:hAnsi="Times New Roman" w:cs="Times New Roman"/>
                      <w:sz w:val="21"/>
                      <w:szCs w:val="21"/>
                      <w:lang w:val="en-US"/>
                    </w:rPr>
                    <w:t>26.5</w:t>
                  </w:r>
                </w:p>
              </w:tc>
              <w:tc>
                <w:tcPr>
                  <w:tcW w:w="626" w:type="pct"/>
                  <w:tcBorders>
                    <w:tl2br w:val="nil"/>
                    <w:tr2bl w:val="nil"/>
                  </w:tcBorders>
                  <w:shd w:val="clear" w:color="auto" w:fill="auto"/>
                  <w:tcMar>
                    <w:left w:w="28" w:type="dxa"/>
                    <w:right w:w="28" w:type="dxa"/>
                  </w:tcMar>
                  <w:vAlign w:val="center"/>
                </w:tcPr>
                <w:p w14:paraId="781FA2CF">
                  <w:pPr>
                    <w:pStyle w:val="21"/>
                    <w:keepNext w:val="0"/>
                    <w:keepLines w:val="0"/>
                    <w:pageBreakBefore w:val="0"/>
                    <w:widowControl/>
                    <w:suppressLineNumbers w:val="0"/>
                    <w:kinsoku/>
                    <w:wordWrap/>
                    <w:overflowPunct/>
                    <w:topLinePunct w:val="0"/>
                    <w:autoSpaceDE/>
                    <w:autoSpaceDN/>
                    <w:bidi w:val="0"/>
                    <w:spacing w:before="0" w:beforeAutospacing="0" w:after="0" w:afterAutospacing="0" w:line="360" w:lineRule="exact"/>
                    <w:ind w:left="0" w:right="0"/>
                    <w:contextualSpacing w:val="0"/>
                    <w:jc w:val="center"/>
                    <w:textAlignment w:val="center"/>
                    <w:rPr>
                      <w:rFonts w:hint="default" w:ascii="Times New Roman" w:hAnsi="Times New Roman" w:cs="Times New Roman"/>
                      <w:sz w:val="21"/>
                      <w:szCs w:val="21"/>
                      <w:lang w:val="en-US"/>
                    </w:rPr>
                  </w:pPr>
                  <w:r>
                    <w:rPr>
                      <w:rFonts w:hint="default" w:ascii="Times New Roman" w:hAnsi="Times New Roman" w:cs="Times New Roman"/>
                      <w:sz w:val="21"/>
                      <w:szCs w:val="21"/>
                      <w:lang w:val="en-US"/>
                    </w:rPr>
                    <w:t>0.916</w:t>
                  </w:r>
                </w:p>
              </w:tc>
              <w:tc>
                <w:tcPr>
                  <w:tcW w:w="626" w:type="pct"/>
                  <w:tcBorders>
                    <w:tl2br w:val="nil"/>
                    <w:tr2bl w:val="nil"/>
                  </w:tcBorders>
                  <w:shd w:val="clear" w:color="auto" w:fill="auto"/>
                  <w:tcMar>
                    <w:left w:w="28" w:type="dxa"/>
                    <w:right w:w="28" w:type="dxa"/>
                  </w:tcMar>
                  <w:vAlign w:val="center"/>
                </w:tcPr>
                <w:p w14:paraId="61C5CADA">
                  <w:pPr>
                    <w:pStyle w:val="21"/>
                    <w:keepNext w:val="0"/>
                    <w:keepLines w:val="0"/>
                    <w:pageBreakBefore w:val="0"/>
                    <w:widowControl/>
                    <w:suppressLineNumbers w:val="0"/>
                    <w:kinsoku/>
                    <w:wordWrap/>
                    <w:overflowPunct/>
                    <w:topLinePunct w:val="0"/>
                    <w:autoSpaceDE/>
                    <w:autoSpaceDN/>
                    <w:bidi w:val="0"/>
                    <w:spacing w:before="0" w:beforeAutospacing="0" w:after="0" w:afterAutospacing="0" w:line="360" w:lineRule="exact"/>
                    <w:ind w:left="0" w:right="0"/>
                    <w:contextualSpacing w:val="0"/>
                    <w:jc w:val="center"/>
                    <w:textAlignment w:val="center"/>
                    <w:rPr>
                      <w:rFonts w:hint="default" w:ascii="Times New Roman" w:hAnsi="Times New Roman" w:cs="Times New Roman"/>
                      <w:sz w:val="21"/>
                      <w:szCs w:val="21"/>
                      <w:lang w:val="en-US"/>
                    </w:rPr>
                  </w:pPr>
                  <w:r>
                    <w:rPr>
                      <w:rFonts w:hint="default" w:ascii="Times New Roman" w:hAnsi="Times New Roman" w:cs="Times New Roman"/>
                      <w:sz w:val="21"/>
                      <w:szCs w:val="21"/>
                      <w:lang w:val="en-US"/>
                    </w:rPr>
                    <w:t>0.299</w:t>
                  </w:r>
                </w:p>
              </w:tc>
              <w:tc>
                <w:tcPr>
                  <w:tcW w:w="1566" w:type="pct"/>
                  <w:tcBorders>
                    <w:tl2br w:val="nil"/>
                    <w:tr2bl w:val="nil"/>
                  </w:tcBorders>
                  <w:shd w:val="clear" w:color="auto" w:fill="auto"/>
                  <w:tcMar>
                    <w:left w:w="28" w:type="dxa"/>
                    <w:right w:w="28" w:type="dxa"/>
                  </w:tcMar>
                  <w:vAlign w:val="center"/>
                </w:tcPr>
                <w:p w14:paraId="63E056B7">
                  <w:pPr>
                    <w:pStyle w:val="21"/>
                    <w:keepNext w:val="0"/>
                    <w:keepLines w:val="0"/>
                    <w:pageBreakBefore w:val="0"/>
                    <w:widowControl/>
                    <w:suppressLineNumbers w:val="0"/>
                    <w:kinsoku/>
                    <w:wordWrap/>
                    <w:overflowPunct/>
                    <w:topLinePunct w:val="0"/>
                    <w:autoSpaceDE/>
                    <w:autoSpaceDN/>
                    <w:bidi w:val="0"/>
                    <w:spacing w:before="0" w:beforeAutospacing="0" w:after="0" w:afterAutospacing="0" w:line="360" w:lineRule="exact"/>
                    <w:ind w:left="0" w:right="0"/>
                    <w:contextualSpacing w:val="0"/>
                    <w:jc w:val="center"/>
                    <w:textAlignment w:val="center"/>
                    <w:rPr>
                      <w:rFonts w:hint="default" w:ascii="Times New Roman" w:hAnsi="Times New Roman" w:cs="Times New Roman"/>
                      <w:sz w:val="21"/>
                      <w:szCs w:val="21"/>
                      <w:lang w:val="en-US"/>
                    </w:rPr>
                  </w:pPr>
                  <w:r>
                    <w:rPr>
                      <w:rFonts w:hint="default" w:ascii="Times New Roman" w:hAnsi="Times New Roman" w:cs="Times New Roman"/>
                      <w:sz w:val="21"/>
                      <w:szCs w:val="21"/>
                      <w:lang w:val="en-US"/>
                    </w:rPr>
                    <w:t>7.806</w:t>
                  </w:r>
                </w:p>
              </w:tc>
            </w:tr>
            <w:tr w14:paraId="7B47D7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jc w:val="center"/>
              </w:trPr>
              <w:tc>
                <w:tcPr>
                  <w:tcW w:w="1560" w:type="pct"/>
                  <w:tcBorders>
                    <w:tl2br w:val="nil"/>
                    <w:tr2bl w:val="nil"/>
                  </w:tcBorders>
                  <w:shd w:val="clear" w:color="auto" w:fill="auto"/>
                  <w:tcMar>
                    <w:left w:w="28" w:type="dxa"/>
                    <w:right w:w="28" w:type="dxa"/>
                  </w:tcMar>
                  <w:vAlign w:val="center"/>
                </w:tcPr>
                <w:p w14:paraId="65BC1C48">
                  <w:pPr>
                    <w:pStyle w:val="21"/>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rPr>
                    <w:t>Ⅴ类水质标准</w:t>
                  </w:r>
                </w:p>
              </w:tc>
              <w:tc>
                <w:tcPr>
                  <w:tcW w:w="620" w:type="pct"/>
                  <w:tcBorders>
                    <w:tl2br w:val="nil"/>
                    <w:tr2bl w:val="nil"/>
                  </w:tcBorders>
                  <w:shd w:val="clear" w:color="auto" w:fill="auto"/>
                  <w:tcMar>
                    <w:left w:w="28" w:type="dxa"/>
                    <w:right w:w="28" w:type="dxa"/>
                  </w:tcMar>
                  <w:vAlign w:val="center"/>
                </w:tcPr>
                <w:p w14:paraId="3A5155E8">
                  <w:pPr>
                    <w:pStyle w:val="21"/>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40</w:t>
                  </w:r>
                </w:p>
              </w:tc>
              <w:tc>
                <w:tcPr>
                  <w:tcW w:w="626" w:type="pct"/>
                  <w:tcBorders>
                    <w:tl2br w:val="nil"/>
                    <w:tr2bl w:val="nil"/>
                  </w:tcBorders>
                  <w:shd w:val="clear" w:color="auto" w:fill="auto"/>
                  <w:tcMar>
                    <w:left w:w="28" w:type="dxa"/>
                    <w:right w:w="28" w:type="dxa"/>
                  </w:tcMar>
                  <w:vAlign w:val="center"/>
                </w:tcPr>
                <w:p w14:paraId="506541A4">
                  <w:pPr>
                    <w:pStyle w:val="21"/>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2.0</w:t>
                  </w:r>
                </w:p>
              </w:tc>
              <w:tc>
                <w:tcPr>
                  <w:tcW w:w="626" w:type="pct"/>
                  <w:tcBorders>
                    <w:tl2br w:val="nil"/>
                    <w:tr2bl w:val="nil"/>
                  </w:tcBorders>
                  <w:shd w:val="clear" w:color="auto" w:fill="auto"/>
                  <w:tcMar>
                    <w:left w:w="28" w:type="dxa"/>
                    <w:right w:w="28" w:type="dxa"/>
                  </w:tcMar>
                  <w:vAlign w:val="center"/>
                </w:tcPr>
                <w:p w14:paraId="3EDF95F3">
                  <w:pPr>
                    <w:pStyle w:val="21"/>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0.4</w:t>
                  </w:r>
                </w:p>
              </w:tc>
              <w:tc>
                <w:tcPr>
                  <w:tcW w:w="1566" w:type="pct"/>
                  <w:tcBorders>
                    <w:tl2br w:val="nil"/>
                    <w:tr2bl w:val="nil"/>
                  </w:tcBorders>
                  <w:shd w:val="clear" w:color="auto" w:fill="auto"/>
                  <w:tcMar>
                    <w:left w:w="28" w:type="dxa"/>
                    <w:right w:w="28" w:type="dxa"/>
                  </w:tcMar>
                  <w:vAlign w:val="center"/>
                </w:tcPr>
                <w:p w14:paraId="6BECCAA2">
                  <w:pPr>
                    <w:pStyle w:val="21"/>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rPr>
                    <w:t>15</w:t>
                  </w:r>
                </w:p>
              </w:tc>
            </w:tr>
            <w:tr w14:paraId="1EBB22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cantSplit/>
                <w:trHeight w:val="20" w:hRule="atLeast"/>
                <w:jc w:val="center"/>
              </w:trPr>
              <w:tc>
                <w:tcPr>
                  <w:tcW w:w="1560" w:type="pct"/>
                  <w:tcBorders>
                    <w:tl2br w:val="nil"/>
                    <w:tr2bl w:val="nil"/>
                  </w:tcBorders>
                  <w:shd w:val="clear" w:color="auto" w:fill="auto"/>
                  <w:tcMar>
                    <w:left w:w="28" w:type="dxa"/>
                    <w:right w:w="28" w:type="dxa"/>
                  </w:tcMar>
                  <w:vAlign w:val="center"/>
                </w:tcPr>
                <w:p w14:paraId="5AED6053">
                  <w:pPr>
                    <w:pStyle w:val="21"/>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rPr>
                    <w:t>是否达标</w:t>
                  </w:r>
                </w:p>
              </w:tc>
              <w:tc>
                <w:tcPr>
                  <w:tcW w:w="620" w:type="pct"/>
                  <w:tcBorders>
                    <w:tl2br w:val="nil"/>
                    <w:tr2bl w:val="nil"/>
                  </w:tcBorders>
                  <w:shd w:val="clear" w:color="auto" w:fill="auto"/>
                  <w:tcMar>
                    <w:left w:w="28" w:type="dxa"/>
                    <w:right w:w="28" w:type="dxa"/>
                  </w:tcMar>
                  <w:vAlign w:val="center"/>
                </w:tcPr>
                <w:p w14:paraId="007EBD3E">
                  <w:pPr>
                    <w:pStyle w:val="21"/>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rPr>
                    <w:t>是</w:t>
                  </w:r>
                </w:p>
              </w:tc>
              <w:tc>
                <w:tcPr>
                  <w:tcW w:w="626" w:type="pct"/>
                  <w:tcBorders>
                    <w:tl2br w:val="nil"/>
                    <w:tr2bl w:val="nil"/>
                  </w:tcBorders>
                  <w:shd w:val="clear" w:color="auto" w:fill="auto"/>
                  <w:tcMar>
                    <w:left w:w="28" w:type="dxa"/>
                    <w:right w:w="28" w:type="dxa"/>
                  </w:tcMar>
                  <w:vAlign w:val="center"/>
                </w:tcPr>
                <w:p w14:paraId="29D3B453">
                  <w:pPr>
                    <w:pStyle w:val="21"/>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rPr>
                    <w:t>是</w:t>
                  </w:r>
                </w:p>
              </w:tc>
              <w:tc>
                <w:tcPr>
                  <w:tcW w:w="626" w:type="pct"/>
                  <w:tcBorders>
                    <w:tl2br w:val="nil"/>
                    <w:tr2bl w:val="nil"/>
                  </w:tcBorders>
                  <w:shd w:val="clear" w:color="auto" w:fill="auto"/>
                  <w:tcMar>
                    <w:left w:w="28" w:type="dxa"/>
                    <w:right w:w="28" w:type="dxa"/>
                  </w:tcMar>
                  <w:vAlign w:val="center"/>
                </w:tcPr>
                <w:p w14:paraId="4E186BB0">
                  <w:pPr>
                    <w:pStyle w:val="21"/>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rPr>
                    <w:t>是</w:t>
                  </w:r>
                </w:p>
              </w:tc>
              <w:tc>
                <w:tcPr>
                  <w:tcW w:w="1566" w:type="pct"/>
                  <w:tcBorders>
                    <w:tl2br w:val="nil"/>
                    <w:tr2bl w:val="nil"/>
                  </w:tcBorders>
                  <w:shd w:val="clear" w:color="auto" w:fill="auto"/>
                  <w:tcMar>
                    <w:left w:w="28" w:type="dxa"/>
                    <w:right w:w="28" w:type="dxa"/>
                  </w:tcMar>
                  <w:vAlign w:val="center"/>
                </w:tcPr>
                <w:p w14:paraId="096891BE">
                  <w:pPr>
                    <w:pStyle w:val="21"/>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rPr>
                    <w:t>是</w:t>
                  </w:r>
                </w:p>
              </w:tc>
            </w:tr>
          </w:tbl>
          <w:p w14:paraId="37087DD5">
            <w:pPr>
              <w:pStyle w:val="7"/>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520" w:lineRule="exact"/>
              <w:ind w:left="0" w:right="0" w:firstLine="496" w:firstLineChars="200"/>
              <w:textAlignment w:val="auto"/>
              <w:rPr>
                <w:rFonts w:hint="default" w:ascii="Times New Roman" w:hAnsi="Times New Roman" w:eastAsia="宋体" w:cs="Times New Roman"/>
                <w:color w:val="000000" w:themeColor="text1"/>
                <w:spacing w:val="4"/>
                <w:sz w:val="24"/>
                <w:szCs w:val="24"/>
                <w:highlight w:val="none"/>
                <w14:textFill>
                  <w14:solidFill>
                    <w14:schemeClr w14:val="tx1"/>
                  </w14:solidFill>
                </w14:textFill>
              </w:rPr>
            </w:pPr>
            <w:r>
              <w:rPr>
                <w:rFonts w:hint="eastAsia" w:ascii="Times New Roman" w:hAnsi="Times New Roman" w:eastAsia="宋体" w:cs="Times New Roman"/>
                <w:color w:val="000000" w:themeColor="text1"/>
                <w:spacing w:val="4"/>
                <w:sz w:val="24"/>
                <w:szCs w:val="24"/>
                <w:highlight w:val="none"/>
                <w:lang w:val="en-US" w:eastAsia="zh-CN"/>
                <w14:textFill>
                  <w14:solidFill>
                    <w14:schemeClr w14:val="tx1"/>
                  </w14:solidFill>
                </w14:textFill>
              </w:rPr>
              <w:t>由上表可知，</w:t>
            </w:r>
            <w:r>
              <w:rPr>
                <w:rFonts w:hint="default" w:ascii="Times New Roman" w:hAnsi="Times New Roman" w:eastAsia="宋体" w:cs="Times New Roman"/>
                <w:color w:val="000000" w:themeColor="text1"/>
                <w:spacing w:val="4"/>
                <w:sz w:val="24"/>
                <w:szCs w:val="24"/>
                <w:highlight w:val="none"/>
                <w:lang w:val="en-US" w:eastAsia="zh-CN"/>
                <w14:textFill>
                  <w14:solidFill>
                    <w14:schemeClr w14:val="tx1"/>
                  </w14:solidFill>
                </w14:textFill>
              </w:rPr>
              <w:t>2024</w:t>
            </w:r>
            <w:r>
              <w:rPr>
                <w:rFonts w:hint="eastAsia" w:ascii="Times New Roman" w:hAnsi="Times New Roman" w:eastAsia="宋体" w:cs="Times New Roman"/>
                <w:color w:val="000000" w:themeColor="text1"/>
                <w:spacing w:val="4"/>
                <w:sz w:val="24"/>
                <w:szCs w:val="24"/>
                <w:highlight w:val="none"/>
                <w:lang w:val="en-US" w:eastAsia="zh-CN"/>
                <w14:textFill>
                  <w14:solidFill>
                    <w14:schemeClr w14:val="tx1"/>
                  </w14:solidFill>
                </w14:textFill>
              </w:rPr>
              <w:t>年</w:t>
            </w:r>
            <w:r>
              <w:rPr>
                <w:rFonts w:hint="eastAsia" w:cs="Times New Roman"/>
                <w:color w:val="000000" w:themeColor="text1"/>
                <w:spacing w:val="4"/>
                <w:sz w:val="24"/>
                <w:szCs w:val="24"/>
                <w:highlight w:val="none"/>
                <w:lang w:val="en-US" w:eastAsia="zh-CN"/>
                <w14:textFill>
                  <w14:solidFill>
                    <w14:schemeClr w14:val="tx1"/>
                  </w14:solidFill>
                </w14:textFill>
              </w:rPr>
              <w:t>汤河石辛庄</w:t>
            </w:r>
            <w:r>
              <w:rPr>
                <w:rFonts w:hint="eastAsia" w:ascii="Times New Roman" w:hAnsi="Times New Roman" w:eastAsia="宋体" w:cs="Times New Roman"/>
                <w:color w:val="000000" w:themeColor="text1"/>
                <w:spacing w:val="4"/>
                <w:sz w:val="24"/>
                <w:szCs w:val="24"/>
                <w:highlight w:val="none"/>
                <w:lang w:val="en-US" w:eastAsia="zh-CN"/>
                <w14:textFill>
                  <w14:solidFill>
                    <w14:schemeClr w14:val="tx1"/>
                  </w14:solidFill>
                </w14:textFill>
              </w:rPr>
              <w:t>断面中</w:t>
            </w:r>
            <w:r>
              <w:rPr>
                <w:rFonts w:hint="default" w:ascii="Times New Roman" w:hAnsi="Times New Roman" w:eastAsia="宋体" w:cs="Times New Roman"/>
                <w:color w:val="000000" w:themeColor="text1"/>
                <w:spacing w:val="4"/>
                <w:sz w:val="24"/>
                <w:szCs w:val="24"/>
                <w:highlight w:val="none"/>
                <w:lang w:val="en-US" w:eastAsia="zh-CN"/>
                <w14:textFill>
                  <w14:solidFill>
                    <w14:schemeClr w14:val="tx1"/>
                  </w14:solidFill>
                </w14:textFill>
              </w:rPr>
              <w:t>COD</w:t>
            </w:r>
            <w:r>
              <w:rPr>
                <w:rFonts w:hint="eastAsia" w:ascii="Times New Roman" w:hAnsi="Times New Roman" w:eastAsia="宋体" w:cs="Times New Roman"/>
                <w:color w:val="000000" w:themeColor="text1"/>
                <w:spacing w:val="4"/>
                <w:sz w:val="24"/>
                <w:szCs w:val="24"/>
                <w:highlight w:val="none"/>
                <w:lang w:val="en-US" w:eastAsia="zh-CN"/>
                <w14:textFill>
                  <w14:solidFill>
                    <w14:schemeClr w14:val="tx1"/>
                  </w14:solidFill>
                </w14:textFill>
              </w:rPr>
              <w:t>、</w:t>
            </w:r>
            <w:r>
              <w:rPr>
                <w:rFonts w:hint="eastAsia" w:cs="Times New Roman"/>
                <w:color w:val="000000" w:themeColor="text1"/>
                <w:spacing w:val="4"/>
                <w:sz w:val="24"/>
                <w:szCs w:val="24"/>
                <w:highlight w:val="none"/>
                <w:lang w:val="en-US" w:eastAsia="zh-CN"/>
                <w14:textFill>
                  <w14:solidFill>
                    <w14:schemeClr w14:val="tx1"/>
                  </w14:solidFill>
                </w14:textFill>
              </w:rPr>
              <w:t>氨氮、总磷</w:t>
            </w:r>
            <w:r>
              <w:rPr>
                <w:rFonts w:hint="eastAsia" w:ascii="Times New Roman" w:hAnsi="Times New Roman" w:eastAsia="宋体" w:cs="Times New Roman"/>
                <w:color w:val="000000" w:themeColor="text1"/>
                <w:spacing w:val="4"/>
                <w:sz w:val="24"/>
                <w:szCs w:val="24"/>
                <w:highlight w:val="none"/>
                <w:lang w:val="en-US" w:eastAsia="zh-CN"/>
                <w14:textFill>
                  <w14:solidFill>
                    <w14:schemeClr w14:val="tx1"/>
                  </w14:solidFill>
                </w14:textFill>
              </w:rPr>
              <w:t>、高锰酸盐指数</w:t>
            </w:r>
            <w:r>
              <w:rPr>
                <w:rFonts w:hint="eastAsia" w:cs="Times New Roman"/>
                <w:color w:val="000000" w:themeColor="text1"/>
                <w:spacing w:val="4"/>
                <w:sz w:val="24"/>
                <w:szCs w:val="24"/>
                <w:highlight w:val="none"/>
                <w:lang w:val="en-US" w:eastAsia="zh-CN"/>
                <w14:textFill>
                  <w14:solidFill>
                    <w14:schemeClr w14:val="tx1"/>
                  </w14:solidFill>
                </w14:textFill>
              </w:rPr>
              <w:t>等因子均能够</w:t>
            </w:r>
            <w:r>
              <w:rPr>
                <w:rFonts w:hint="eastAsia" w:ascii="Times New Roman" w:hAnsi="Times New Roman" w:eastAsia="宋体" w:cs="Times New Roman"/>
                <w:color w:val="000000" w:themeColor="text1"/>
                <w:spacing w:val="4"/>
                <w:sz w:val="24"/>
                <w:szCs w:val="24"/>
                <w:highlight w:val="none"/>
                <w:lang w:val="en-US" w:eastAsia="zh-CN"/>
                <w14:textFill>
                  <w14:solidFill>
                    <w14:schemeClr w14:val="tx1"/>
                  </w14:solidFill>
                </w14:textFill>
              </w:rPr>
              <w:t>满足《地表水环境质量标准》（</w:t>
            </w:r>
            <w:r>
              <w:rPr>
                <w:rFonts w:hint="default" w:ascii="Times New Roman" w:hAnsi="Times New Roman" w:eastAsia="宋体" w:cs="Times New Roman"/>
                <w:color w:val="000000" w:themeColor="text1"/>
                <w:spacing w:val="4"/>
                <w:sz w:val="24"/>
                <w:szCs w:val="24"/>
                <w:highlight w:val="none"/>
                <w:lang w:val="en-US" w:eastAsia="zh-CN"/>
                <w14:textFill>
                  <w14:solidFill>
                    <w14:schemeClr w14:val="tx1"/>
                  </w14:solidFill>
                </w14:textFill>
              </w:rPr>
              <w:t>GB3838-2002</w:t>
            </w:r>
            <w:r>
              <w:rPr>
                <w:rFonts w:hint="eastAsia" w:ascii="Times New Roman" w:hAnsi="Times New Roman" w:eastAsia="宋体" w:cs="Times New Roman"/>
                <w:color w:val="000000" w:themeColor="text1"/>
                <w:spacing w:val="4"/>
                <w:sz w:val="24"/>
                <w:szCs w:val="24"/>
                <w:highlight w:val="none"/>
                <w:lang w:val="en-US" w:eastAsia="zh-CN"/>
                <w14:textFill>
                  <w14:solidFill>
                    <w14:schemeClr w14:val="tx1"/>
                  </w14:solidFill>
                </w14:textFill>
              </w:rPr>
              <w:t>）</w:t>
            </w:r>
            <w:r>
              <w:rPr>
                <w:rFonts w:hint="eastAsia" w:cs="Times New Roman"/>
                <w:color w:val="000000" w:themeColor="text1"/>
                <w:spacing w:val="4"/>
                <w:sz w:val="24"/>
                <w:szCs w:val="24"/>
                <w:highlight w:val="none"/>
                <w:lang w:val="en-US" w:eastAsia="zh-CN"/>
                <w14:textFill>
                  <w14:solidFill>
                    <w14:schemeClr w14:val="tx1"/>
                  </w14:solidFill>
                </w14:textFill>
              </w:rPr>
              <w:t>中Ⅴ</w:t>
            </w:r>
            <w:r>
              <w:rPr>
                <w:rFonts w:hint="eastAsia" w:ascii="Times New Roman" w:hAnsi="Times New Roman" w:eastAsia="宋体" w:cs="Times New Roman"/>
                <w:color w:val="000000" w:themeColor="text1"/>
                <w:spacing w:val="4"/>
                <w:sz w:val="24"/>
                <w:szCs w:val="24"/>
                <w:highlight w:val="none"/>
                <w:lang w:val="en-US" w:eastAsia="zh-CN"/>
                <w14:textFill>
                  <w14:solidFill>
                    <w14:schemeClr w14:val="tx1"/>
                  </w14:solidFill>
                </w14:textFill>
              </w:rPr>
              <w:t>类标准。</w:t>
            </w:r>
          </w:p>
          <w:p w14:paraId="51FBE993">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520" w:lineRule="exact"/>
              <w:ind w:left="0" w:right="0" w:firstLine="0"/>
              <w:textAlignment w:val="auto"/>
              <w:rPr>
                <w:rFonts w:hint="eastAsia" w:ascii="Times New Roman" w:hAnsi="Times New Roman" w:eastAsia="宋体" w:cs="Times New Roman"/>
                <w:b/>
                <w:bCs/>
                <w:color w:val="000000" w:themeColor="text1"/>
                <w:spacing w:val="0"/>
                <w:sz w:val="24"/>
                <w:szCs w:val="24"/>
                <w14:textFill>
                  <w14:solidFill>
                    <w14:schemeClr w14:val="tx1"/>
                  </w14:solidFill>
                </w14:textFill>
              </w:rPr>
            </w:pPr>
            <w:r>
              <w:rPr>
                <w:rFonts w:hint="eastAsia" w:cs="Times New Roman"/>
                <w:b/>
                <w:bCs/>
                <w:color w:val="000000" w:themeColor="text1"/>
                <w:spacing w:val="0"/>
                <w:sz w:val="24"/>
                <w:szCs w:val="24"/>
                <w:lang w:val="en-US" w:eastAsia="zh-CN"/>
                <w14:textFill>
                  <w14:solidFill>
                    <w14:schemeClr w14:val="tx1"/>
                  </w14:solidFill>
                </w14:textFill>
              </w:rPr>
              <w:t>三</w:t>
            </w:r>
            <w:r>
              <w:rPr>
                <w:rFonts w:hint="eastAsia" w:ascii="Times New Roman" w:hAnsi="Times New Roman" w:eastAsia="宋体" w:cs="Times New Roman"/>
                <w:b/>
                <w:bCs/>
                <w:color w:val="000000" w:themeColor="text1"/>
                <w:spacing w:val="0"/>
                <w:sz w:val="24"/>
                <w:szCs w:val="24"/>
                <w14:textFill>
                  <w14:solidFill>
                    <w14:schemeClr w14:val="tx1"/>
                  </w14:solidFill>
                </w14:textFill>
              </w:rPr>
              <w:t>、声环境</w:t>
            </w:r>
          </w:p>
          <w:p w14:paraId="550A9CD5">
            <w:pPr>
              <w:pStyle w:val="7"/>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520" w:lineRule="exact"/>
              <w:ind w:left="0" w:right="0" w:firstLine="496" w:firstLineChars="200"/>
              <w:textAlignment w:val="auto"/>
              <w:rPr>
                <w:rFonts w:hint="default" w:ascii="Times New Roman" w:hAnsi="Times New Roman" w:cs="Times New Roman"/>
                <w:color w:val="000000" w:themeColor="text1"/>
                <w:spacing w:val="4"/>
                <w:sz w:val="24"/>
                <w:szCs w:val="24"/>
                <w:highlight w:val="none"/>
                <w:lang w:val="en-US"/>
                <w14:textFill>
                  <w14:solidFill>
                    <w14:schemeClr w14:val="tx1"/>
                  </w14:solidFill>
                </w14:textFill>
              </w:rPr>
            </w:pPr>
            <w:r>
              <w:rPr>
                <w:rFonts w:hint="default" w:ascii="Times New Roman" w:hAnsi="Times New Roman" w:cs="Times New Roman"/>
                <w:color w:val="000000" w:themeColor="text1"/>
                <w:spacing w:val="4"/>
                <w:sz w:val="24"/>
                <w:szCs w:val="24"/>
                <w:highlight w:val="none"/>
                <w:lang w:val="en-US" w:eastAsia="zh-CN"/>
                <w14:textFill>
                  <w14:solidFill>
                    <w14:schemeClr w14:val="tx1"/>
                  </w14:solidFill>
                </w14:textFill>
              </w:rPr>
              <w:t>根据声环境功能区划原则，</w:t>
            </w:r>
            <w:r>
              <w:rPr>
                <w:rFonts w:hint="default" w:ascii="Times New Roman" w:hAnsi="Times New Roman" w:cs="Times New Roman"/>
                <w:color w:val="000000" w:themeColor="text1"/>
                <w:spacing w:val="4"/>
                <w:sz w:val="24"/>
                <w:szCs w:val="24"/>
                <w:highlight w:val="none"/>
                <w14:textFill>
                  <w14:solidFill>
                    <w14:schemeClr w14:val="tx1"/>
                  </w14:solidFill>
                </w14:textFill>
              </w:rPr>
              <w:t>项目所在区域声环境属</w:t>
            </w:r>
            <w:r>
              <w:rPr>
                <w:rFonts w:hint="eastAsia" w:cs="Times New Roman"/>
                <w:color w:val="000000" w:themeColor="text1"/>
                <w:spacing w:val="4"/>
                <w:sz w:val="24"/>
                <w:szCs w:val="24"/>
                <w:highlight w:val="none"/>
                <w:lang w:val="en-US" w:eastAsia="zh-CN"/>
                <w14:textFill>
                  <w14:solidFill>
                    <w14:schemeClr w14:val="tx1"/>
                  </w14:solidFill>
                </w14:textFill>
              </w:rPr>
              <w:t>3</w:t>
            </w:r>
            <w:r>
              <w:rPr>
                <w:rFonts w:hint="default" w:ascii="Times New Roman" w:hAnsi="Times New Roman" w:cs="Times New Roman"/>
                <w:color w:val="000000" w:themeColor="text1"/>
                <w:spacing w:val="4"/>
                <w:sz w:val="24"/>
                <w:szCs w:val="24"/>
                <w:highlight w:val="none"/>
                <w14:textFill>
                  <w14:solidFill>
                    <w14:schemeClr w14:val="tx1"/>
                  </w14:solidFill>
                </w14:textFill>
              </w:rPr>
              <w:t>类区，环境噪声执行《声环境质量标准》（GB3096-2008）</w:t>
            </w:r>
            <w:r>
              <w:rPr>
                <w:rFonts w:hint="eastAsia" w:cs="Times New Roman"/>
                <w:color w:val="000000" w:themeColor="text1"/>
                <w:spacing w:val="4"/>
                <w:sz w:val="24"/>
                <w:szCs w:val="24"/>
                <w:highlight w:val="none"/>
                <w:lang w:val="en-US" w:eastAsia="zh-CN"/>
                <w14:textFill>
                  <w14:solidFill>
                    <w14:schemeClr w14:val="tx1"/>
                  </w14:solidFill>
                </w14:textFill>
              </w:rPr>
              <w:t>3</w:t>
            </w:r>
            <w:r>
              <w:rPr>
                <w:rFonts w:hint="default" w:ascii="Times New Roman" w:hAnsi="Times New Roman" w:cs="Times New Roman"/>
                <w:color w:val="000000" w:themeColor="text1"/>
                <w:spacing w:val="4"/>
                <w:sz w:val="24"/>
                <w:szCs w:val="24"/>
                <w:highlight w:val="none"/>
                <w14:textFill>
                  <w14:solidFill>
                    <w14:schemeClr w14:val="tx1"/>
                  </w14:solidFill>
                </w14:textFill>
              </w:rPr>
              <w:t>类标准要求</w:t>
            </w:r>
            <w:r>
              <w:rPr>
                <w:rFonts w:hint="eastAsia" w:ascii="Times New Roman" w:hAnsi="Times New Roman" w:cs="Times New Roman"/>
                <w:color w:val="000000" w:themeColor="text1"/>
                <w:spacing w:val="4"/>
                <w:sz w:val="24"/>
                <w:szCs w:val="24"/>
                <w:highlight w:val="none"/>
                <w:lang w:eastAsia="zh-CN"/>
                <w14:textFill>
                  <w14:solidFill>
                    <w14:schemeClr w14:val="tx1"/>
                  </w14:solidFill>
                </w14:textFill>
              </w:rPr>
              <w:t>：</w:t>
            </w:r>
            <w:r>
              <w:rPr>
                <w:rFonts w:hint="eastAsia" w:ascii="Times New Roman" w:hAnsi="Times New Roman" w:cs="Times New Roman"/>
                <w:color w:val="000000" w:themeColor="text1"/>
                <w:spacing w:val="4"/>
                <w:sz w:val="24"/>
                <w:szCs w:val="24"/>
                <w:highlight w:val="none"/>
                <w:lang w:val="en-US" w:eastAsia="zh-CN"/>
                <w14:textFill>
                  <w14:solidFill>
                    <w14:schemeClr w14:val="tx1"/>
                  </w14:solidFill>
                </w14:textFill>
              </w:rPr>
              <w:t>昼间</w:t>
            </w:r>
            <w:r>
              <w:rPr>
                <w:rFonts w:hint="eastAsia" w:cs="Times New Roman"/>
                <w:color w:val="000000" w:themeColor="text1"/>
                <w:spacing w:val="4"/>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spacing w:val="4"/>
                <w:sz w:val="24"/>
                <w:szCs w:val="24"/>
                <w:highlight w:val="none"/>
                <w:lang w:val="en-US" w:eastAsia="zh-CN"/>
                <w14:textFill>
                  <w14:solidFill>
                    <w14:schemeClr w14:val="tx1"/>
                  </w14:solidFill>
                </w14:textFill>
              </w:rPr>
              <w:t>6</w:t>
            </w:r>
            <w:r>
              <w:rPr>
                <w:rFonts w:hint="eastAsia" w:cs="Times New Roman"/>
                <w:color w:val="000000" w:themeColor="text1"/>
                <w:spacing w:val="4"/>
                <w:sz w:val="24"/>
                <w:szCs w:val="24"/>
                <w:highlight w:val="none"/>
                <w:lang w:val="en-US" w:eastAsia="zh-CN"/>
                <w14:textFill>
                  <w14:solidFill>
                    <w14:schemeClr w14:val="tx1"/>
                  </w14:solidFill>
                </w14:textFill>
              </w:rPr>
              <w:t>5</w:t>
            </w:r>
            <w:r>
              <w:rPr>
                <w:rFonts w:hint="eastAsia" w:ascii="Times New Roman" w:hAnsi="Times New Roman" w:cs="Times New Roman"/>
                <w:color w:val="000000" w:themeColor="text1"/>
                <w:spacing w:val="4"/>
                <w:sz w:val="24"/>
                <w:szCs w:val="24"/>
                <w:highlight w:val="none"/>
                <w:lang w:val="en-US" w:eastAsia="zh-CN"/>
                <w14:textFill>
                  <w14:solidFill>
                    <w14:schemeClr w14:val="tx1"/>
                  </w14:solidFill>
                </w14:textFill>
              </w:rPr>
              <w:t>dB(A)、夜间</w:t>
            </w:r>
            <w:r>
              <w:rPr>
                <w:rFonts w:hint="eastAsia" w:cs="Times New Roman"/>
                <w:color w:val="000000" w:themeColor="text1"/>
                <w:spacing w:val="4"/>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spacing w:val="4"/>
                <w:sz w:val="24"/>
                <w:szCs w:val="24"/>
                <w:highlight w:val="none"/>
                <w:lang w:val="en-US" w:eastAsia="zh-CN"/>
                <w14:textFill>
                  <w14:solidFill>
                    <w14:schemeClr w14:val="tx1"/>
                  </w14:solidFill>
                </w14:textFill>
              </w:rPr>
              <w:t>5</w:t>
            </w:r>
            <w:r>
              <w:rPr>
                <w:rFonts w:hint="eastAsia" w:cs="Times New Roman"/>
                <w:color w:val="000000" w:themeColor="text1"/>
                <w:spacing w:val="4"/>
                <w:sz w:val="24"/>
                <w:szCs w:val="24"/>
                <w:highlight w:val="none"/>
                <w:lang w:val="en-US" w:eastAsia="zh-CN"/>
                <w14:textFill>
                  <w14:solidFill>
                    <w14:schemeClr w14:val="tx1"/>
                  </w14:solidFill>
                </w14:textFill>
              </w:rPr>
              <w:t>5</w:t>
            </w:r>
            <w:r>
              <w:rPr>
                <w:rFonts w:hint="eastAsia" w:ascii="Times New Roman" w:hAnsi="Times New Roman" w:cs="Times New Roman"/>
                <w:color w:val="000000" w:themeColor="text1"/>
                <w:spacing w:val="4"/>
                <w:sz w:val="24"/>
                <w:szCs w:val="24"/>
                <w:highlight w:val="none"/>
                <w:lang w:val="en-US" w:eastAsia="zh-CN"/>
                <w14:textFill>
                  <w14:solidFill>
                    <w14:schemeClr w14:val="tx1"/>
                  </w14:solidFill>
                </w14:textFill>
              </w:rPr>
              <w:t>dB(A)</w:t>
            </w:r>
            <w:r>
              <w:rPr>
                <w:rFonts w:hint="eastAsia" w:cs="Times New Roman"/>
                <w:color w:val="000000" w:themeColor="text1"/>
                <w:spacing w:val="4"/>
                <w:sz w:val="24"/>
                <w:szCs w:val="24"/>
                <w:highlight w:val="none"/>
                <w:lang w:val="en-US" w:eastAsia="zh-CN"/>
                <w14:textFill>
                  <w14:solidFill>
                    <w14:schemeClr w14:val="tx1"/>
                  </w14:solidFill>
                </w14:textFill>
              </w:rPr>
              <w:t>。经调查，</w:t>
            </w:r>
            <w:r>
              <w:rPr>
                <w:rFonts w:hint="eastAsia" w:cs="Times New Roman"/>
                <w:color w:val="000000" w:themeColor="text1"/>
                <w:spacing w:val="4"/>
                <w:sz w:val="24"/>
                <w:szCs w:val="24"/>
                <w:lang w:val="en-US" w:eastAsia="zh-CN"/>
                <w14:textFill>
                  <w14:solidFill>
                    <w14:schemeClr w14:val="tx1"/>
                  </w14:solidFill>
                </w14:textFill>
              </w:rPr>
              <w:t>本项目周边50米范围内无声环境保护目标。</w:t>
            </w:r>
          </w:p>
          <w:p w14:paraId="16EBA0BF">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520" w:lineRule="exact"/>
              <w:ind w:left="0" w:right="0" w:firstLine="0"/>
              <w:textAlignment w:val="auto"/>
              <w:rPr>
                <w:rFonts w:hint="eastAsia" w:ascii="Times New Roman" w:hAnsi="Times New Roman" w:eastAsia="宋体" w:cs="Times New Roman"/>
                <w:b/>
                <w:bCs/>
                <w:color w:val="000000" w:themeColor="text1"/>
                <w:spacing w:val="0"/>
                <w:sz w:val="24"/>
                <w:szCs w:val="24"/>
                <w:highlight w:val="none"/>
                <w:lang w:eastAsia="zh-CN"/>
                <w14:textFill>
                  <w14:solidFill>
                    <w14:schemeClr w14:val="tx1"/>
                  </w14:solidFill>
                </w14:textFill>
              </w:rPr>
            </w:pPr>
            <w:r>
              <w:rPr>
                <w:rFonts w:hint="eastAsia" w:cs="Times New Roman"/>
                <w:b/>
                <w:bCs/>
                <w:color w:val="000000" w:themeColor="text1"/>
                <w:spacing w:val="0"/>
                <w:sz w:val="24"/>
                <w:szCs w:val="24"/>
                <w:highlight w:val="none"/>
                <w:lang w:val="en-US" w:eastAsia="zh-CN"/>
                <w14:textFill>
                  <w14:solidFill>
                    <w14:schemeClr w14:val="tx1"/>
                  </w14:solidFill>
                </w14:textFill>
              </w:rPr>
              <w:t>四</w:t>
            </w:r>
            <w:r>
              <w:rPr>
                <w:rFonts w:hint="eastAsia" w:ascii="Times New Roman" w:hAnsi="Times New Roman" w:eastAsia="宋体" w:cs="Times New Roman"/>
                <w:b/>
                <w:bCs/>
                <w:color w:val="000000" w:themeColor="text1"/>
                <w:spacing w:val="0"/>
                <w:sz w:val="24"/>
                <w:szCs w:val="24"/>
                <w:highlight w:val="none"/>
                <w14:textFill>
                  <w14:solidFill>
                    <w14:schemeClr w14:val="tx1"/>
                  </w14:solidFill>
                </w14:textFill>
              </w:rPr>
              <w:t>、</w:t>
            </w:r>
            <w:r>
              <w:rPr>
                <w:rFonts w:hint="eastAsia" w:ascii="Times New Roman" w:hAnsi="Times New Roman" w:eastAsia="宋体" w:cs="Times New Roman"/>
                <w:b/>
                <w:bCs/>
                <w:color w:val="000000" w:themeColor="text1"/>
                <w:spacing w:val="0"/>
                <w:sz w:val="24"/>
                <w:szCs w:val="24"/>
                <w:highlight w:val="none"/>
                <w:lang w:val="en-US" w:eastAsia="zh-CN"/>
                <w14:textFill>
                  <w14:solidFill>
                    <w14:schemeClr w14:val="tx1"/>
                  </w14:solidFill>
                </w14:textFill>
              </w:rPr>
              <w:t>生态环境</w:t>
            </w:r>
          </w:p>
          <w:p w14:paraId="7F5674D6">
            <w:pPr>
              <w:pStyle w:val="7"/>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520" w:lineRule="exact"/>
              <w:ind w:left="0" w:right="0" w:firstLine="496" w:firstLineChars="200"/>
              <w:textAlignment w:val="auto"/>
              <w:rPr>
                <w:rFonts w:hint="eastAsia" w:ascii="宋体" w:hAnsi="宋体" w:cs="宋体"/>
                <w:color w:val="000000" w:themeColor="text1"/>
                <w:kern w:val="0"/>
                <w:szCs w:val="21"/>
                <w:highlight w:val="none"/>
                <w:lang w:val="en-US" w:eastAsia="zh-CN"/>
                <w14:textFill>
                  <w14:solidFill>
                    <w14:schemeClr w14:val="tx1"/>
                  </w14:solidFill>
                </w14:textFill>
              </w:rPr>
            </w:pPr>
            <w:r>
              <w:rPr>
                <w:rFonts w:hint="eastAsia" w:cs="Times New Roman"/>
                <w:color w:val="000000" w:themeColor="text1"/>
                <w:spacing w:val="4"/>
                <w:sz w:val="24"/>
                <w:szCs w:val="24"/>
                <w:highlight w:val="none"/>
                <w:lang w:val="en-US" w:eastAsia="zh-CN"/>
                <w14:textFill>
                  <w14:solidFill>
                    <w14:schemeClr w14:val="tx1"/>
                  </w14:solidFill>
                </w14:textFill>
              </w:rPr>
              <w:t>项目位于产业园区内，占地为工业用地</w:t>
            </w:r>
            <w:r>
              <w:rPr>
                <w:rFonts w:hint="eastAsia" w:ascii="Times New Roman" w:hAnsi="Times New Roman" w:eastAsia="宋体" w:cs="Times New Roman"/>
                <w:color w:val="000000" w:themeColor="text1"/>
                <w:spacing w:val="4"/>
                <w:sz w:val="24"/>
                <w:szCs w:val="24"/>
                <w:highlight w:val="none"/>
                <w:lang w:eastAsia="zh-CN"/>
                <w14:textFill>
                  <w14:solidFill>
                    <w14:schemeClr w14:val="tx1"/>
                  </w14:solidFill>
                </w14:textFill>
              </w:rPr>
              <w:t>，</w:t>
            </w:r>
            <w:r>
              <w:rPr>
                <w:rFonts w:hint="eastAsia" w:cs="Times New Roman"/>
                <w:color w:val="000000" w:themeColor="text1"/>
                <w:spacing w:val="4"/>
                <w:sz w:val="24"/>
                <w:szCs w:val="24"/>
                <w:highlight w:val="none"/>
                <w:lang w:val="en-US" w:eastAsia="zh-CN"/>
                <w14:textFill>
                  <w14:solidFill>
                    <w14:schemeClr w14:val="tx1"/>
                  </w14:solidFill>
                </w14:textFill>
              </w:rPr>
              <w:t>用地范围内无生态环境保护目标，因此</w:t>
            </w:r>
            <w:r>
              <w:rPr>
                <w:rFonts w:hint="eastAsia" w:ascii="Times New Roman" w:hAnsi="Times New Roman" w:eastAsia="宋体" w:cs="Times New Roman"/>
                <w:color w:val="000000" w:themeColor="text1"/>
                <w:spacing w:val="4"/>
                <w:sz w:val="24"/>
                <w:szCs w:val="24"/>
                <w:highlight w:val="none"/>
                <w:lang w:val="en-US" w:eastAsia="zh-CN"/>
                <w14:textFill>
                  <w14:solidFill>
                    <w14:schemeClr w14:val="tx1"/>
                  </w14:solidFill>
                </w14:textFill>
              </w:rPr>
              <w:t>本项目无需进行生态现状调查</w:t>
            </w:r>
            <w:r>
              <w:rPr>
                <w:rFonts w:hint="eastAsia" w:cs="Times New Roman"/>
                <w:color w:val="000000" w:themeColor="text1"/>
                <w:spacing w:val="4"/>
                <w:sz w:val="24"/>
                <w:szCs w:val="24"/>
                <w:highlight w:val="none"/>
                <w:lang w:val="en-US" w:eastAsia="zh-CN"/>
                <w14:textFill>
                  <w14:solidFill>
                    <w14:schemeClr w14:val="tx1"/>
                  </w14:solidFill>
                </w14:textFill>
              </w:rPr>
              <w:t>。</w:t>
            </w:r>
          </w:p>
          <w:p w14:paraId="7C464F2B">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520" w:lineRule="exact"/>
              <w:ind w:left="0" w:right="0" w:firstLine="0"/>
              <w:textAlignment w:val="auto"/>
              <w:rPr>
                <w:rFonts w:hint="eastAsia" w:ascii="Times New Roman" w:hAnsi="Times New Roman" w:eastAsia="宋体" w:cs="Times New Roman"/>
                <w:b/>
                <w:bCs/>
                <w:color w:val="000000" w:themeColor="text1"/>
                <w:spacing w:val="0"/>
                <w:sz w:val="24"/>
                <w:szCs w:val="24"/>
                <w:lang w:eastAsia="zh-CN"/>
                <w14:textFill>
                  <w14:solidFill>
                    <w14:schemeClr w14:val="tx1"/>
                  </w14:solidFill>
                </w14:textFill>
              </w:rPr>
            </w:pPr>
            <w:r>
              <w:rPr>
                <w:rFonts w:hint="eastAsia" w:cs="Times New Roman"/>
                <w:b/>
                <w:bCs/>
                <w:color w:val="000000" w:themeColor="text1"/>
                <w:spacing w:val="0"/>
                <w:sz w:val="24"/>
                <w:szCs w:val="24"/>
                <w:lang w:val="en-US" w:eastAsia="zh-CN"/>
                <w14:textFill>
                  <w14:solidFill>
                    <w14:schemeClr w14:val="tx1"/>
                  </w14:solidFill>
                </w14:textFill>
              </w:rPr>
              <w:t>五</w:t>
            </w:r>
            <w:r>
              <w:rPr>
                <w:rFonts w:hint="eastAsia" w:ascii="Times New Roman" w:hAnsi="Times New Roman" w:eastAsia="宋体" w:cs="Times New Roman"/>
                <w:b/>
                <w:bCs/>
                <w:color w:val="000000" w:themeColor="text1"/>
                <w:spacing w:val="0"/>
                <w:sz w:val="24"/>
                <w:szCs w:val="24"/>
                <w14:textFill>
                  <w14:solidFill>
                    <w14:schemeClr w14:val="tx1"/>
                  </w14:solidFill>
                </w14:textFill>
              </w:rPr>
              <w:t>、</w:t>
            </w:r>
            <w:r>
              <w:rPr>
                <w:rFonts w:hint="eastAsia" w:cs="Times New Roman"/>
                <w:b/>
                <w:bCs/>
                <w:color w:val="000000" w:themeColor="text1"/>
                <w:spacing w:val="0"/>
                <w:sz w:val="24"/>
                <w:szCs w:val="24"/>
                <w:lang w:val="en-US" w:eastAsia="zh-CN"/>
                <w14:textFill>
                  <w14:solidFill>
                    <w14:schemeClr w14:val="tx1"/>
                  </w14:solidFill>
                </w14:textFill>
              </w:rPr>
              <w:t>地下水、土壤</w:t>
            </w:r>
            <w:r>
              <w:rPr>
                <w:rFonts w:hint="eastAsia" w:ascii="Times New Roman" w:hAnsi="Times New Roman" w:eastAsia="宋体" w:cs="Times New Roman"/>
                <w:b/>
                <w:bCs/>
                <w:color w:val="000000" w:themeColor="text1"/>
                <w:spacing w:val="0"/>
                <w:sz w:val="24"/>
                <w:szCs w:val="24"/>
                <w:lang w:val="en-US" w:eastAsia="zh-CN"/>
                <w14:textFill>
                  <w14:solidFill>
                    <w14:schemeClr w14:val="tx1"/>
                  </w14:solidFill>
                </w14:textFill>
              </w:rPr>
              <w:t>环境</w:t>
            </w:r>
          </w:p>
          <w:p w14:paraId="59D425A2">
            <w:pPr>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520" w:lineRule="exact"/>
              <w:ind w:left="0" w:right="0" w:firstLine="496" w:firstLineChars="200"/>
              <w:textAlignment w:val="auto"/>
              <w:rPr>
                <w:rFonts w:hint="eastAsia" w:cs="Times New Roman"/>
                <w:color w:val="000000" w:themeColor="text1"/>
                <w:spacing w:val="4"/>
                <w:sz w:val="24"/>
                <w:szCs w:val="24"/>
                <w:lang w:val="en-US" w:eastAsia="zh-CN"/>
                <w14:textFill>
                  <w14:solidFill>
                    <w14:schemeClr w14:val="tx1"/>
                  </w14:solidFill>
                </w14:textFill>
              </w:rPr>
            </w:pPr>
            <w:r>
              <w:rPr>
                <w:rFonts w:hint="eastAsia" w:cs="Times New Roman"/>
                <w:color w:val="000000" w:themeColor="text1"/>
                <w:spacing w:val="4"/>
                <w:sz w:val="24"/>
                <w:szCs w:val="24"/>
                <w:lang w:val="en-US" w:eastAsia="zh-CN"/>
                <w14:textFill>
                  <w14:solidFill>
                    <w14:schemeClr w14:val="tx1"/>
                  </w14:solidFill>
                </w14:textFill>
              </w:rPr>
              <w:t>根据《建设项目环境影响报告表编制技术指南》（污染影响类）（试行），“原则上不开展环境质量现状调查。建设项目存在土壤、地下水污染途径的，应结合污染源、环境保护目标分布情况开展现状调查以留作背景值”。本项目无生产废水外排，仅生活废水外排至污水处理厂，废气主要为非甲烷总烃，固体废物均能够得到综合利用或合理处置，无土壤、地下水污染途径。</w:t>
            </w:r>
          </w:p>
          <w:p w14:paraId="2F863358">
            <w:pPr>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520" w:lineRule="exact"/>
              <w:ind w:left="0" w:right="0" w:firstLine="496" w:firstLineChars="200"/>
              <w:textAlignment w:val="auto"/>
              <w:rPr>
                <w:rFonts w:hint="eastAsia" w:cs="Times New Roman"/>
                <w:color w:val="000000" w:themeColor="text1"/>
                <w:spacing w:val="4"/>
                <w:sz w:val="24"/>
                <w:szCs w:val="24"/>
                <w:lang w:val="en-US" w:eastAsia="zh-CN"/>
                <w14:textFill>
                  <w14:solidFill>
                    <w14:schemeClr w14:val="tx1"/>
                  </w14:solidFill>
                </w14:textFill>
              </w:rPr>
            </w:pPr>
          </w:p>
          <w:p w14:paraId="62CBEDB4">
            <w:pPr>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520" w:lineRule="exact"/>
              <w:ind w:left="0" w:right="0" w:firstLine="496" w:firstLineChars="200"/>
              <w:textAlignment w:val="auto"/>
              <w:rPr>
                <w:rFonts w:hint="default" w:cs="Times New Roman"/>
                <w:color w:val="000000" w:themeColor="text1"/>
                <w:spacing w:val="4"/>
                <w:sz w:val="24"/>
                <w:szCs w:val="24"/>
                <w:lang w:val="en-US" w:eastAsia="zh-CN"/>
                <w14:textFill>
                  <w14:solidFill>
                    <w14:schemeClr w14:val="tx1"/>
                  </w14:solidFill>
                </w14:textFill>
              </w:rPr>
            </w:pPr>
          </w:p>
        </w:tc>
      </w:tr>
      <w:tr w14:paraId="09AD5C7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475" w:hRule="atLeast"/>
          <w:jc w:val="center"/>
        </w:trPr>
        <w:tc>
          <w:tcPr>
            <w:tcW w:w="716" w:type="dxa"/>
            <w:noWrap w:val="0"/>
            <w:vAlign w:val="center"/>
          </w:tcPr>
          <w:p w14:paraId="7BA06D3C">
            <w:pPr>
              <w:keepNext w:val="0"/>
              <w:keepLines w:val="0"/>
              <w:suppressLineNumbers w:val="0"/>
              <w:adjustRightInd w:val="0"/>
              <w:snapToGrid w:val="0"/>
              <w:spacing w:before="0" w:beforeAutospacing="0" w:after="0" w:afterAutospacing="0"/>
              <w:ind w:left="0" w:right="0"/>
              <w:jc w:val="center"/>
              <w:rPr>
                <w:rFonts w:hint="eastAsia"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环境</w:t>
            </w:r>
          </w:p>
          <w:p w14:paraId="3B03B8F3">
            <w:pPr>
              <w:keepNext w:val="0"/>
              <w:keepLines w:val="0"/>
              <w:suppressLineNumbers w:val="0"/>
              <w:adjustRightInd w:val="0"/>
              <w:snapToGrid w:val="0"/>
              <w:spacing w:before="0" w:beforeAutospacing="0" w:after="0" w:afterAutospacing="0"/>
              <w:ind w:left="0" w:right="0"/>
              <w:jc w:val="center"/>
              <w:rPr>
                <w:rFonts w:hint="eastAsia"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保护</w:t>
            </w:r>
          </w:p>
          <w:p w14:paraId="594526FA">
            <w:pPr>
              <w:keepNext w:val="0"/>
              <w:keepLines w:val="0"/>
              <w:suppressLineNumbers w:val="0"/>
              <w:adjustRightInd w:val="0"/>
              <w:snapToGrid w:val="0"/>
              <w:spacing w:before="0" w:beforeAutospacing="0" w:after="0" w:afterAutospacing="0"/>
              <w:ind w:left="0" w:right="0"/>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目标</w:t>
            </w:r>
          </w:p>
        </w:tc>
        <w:tc>
          <w:tcPr>
            <w:tcW w:w="8435" w:type="dxa"/>
            <w:noWrap w:val="0"/>
            <w:vAlign w:val="top"/>
          </w:tcPr>
          <w:p w14:paraId="2E409152">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520" w:lineRule="exact"/>
              <w:ind w:left="0" w:right="0"/>
              <w:textAlignment w:val="auto"/>
              <w:rPr>
                <w:rFonts w:hint="default"/>
                <w:b/>
                <w:bCs/>
                <w:color w:val="000000" w:themeColor="text1"/>
                <w:sz w:val="24"/>
                <w:lang w:val="en-US" w:eastAsia="zh-CN"/>
                <w14:textFill>
                  <w14:solidFill>
                    <w14:schemeClr w14:val="tx1"/>
                  </w14:solidFill>
                </w14:textFill>
              </w:rPr>
            </w:pPr>
            <w:r>
              <w:rPr>
                <w:rFonts w:hint="eastAsia"/>
                <w:b/>
                <w:bCs/>
                <w:color w:val="000000" w:themeColor="text1"/>
                <w:sz w:val="24"/>
                <w:lang w:val="en-US" w:eastAsia="zh-CN"/>
                <w14:textFill>
                  <w14:solidFill>
                    <w14:schemeClr w14:val="tx1"/>
                  </w14:solidFill>
                </w14:textFill>
              </w:rPr>
              <w:t>一、</w:t>
            </w:r>
            <w:r>
              <w:rPr>
                <w:rFonts w:hint="default"/>
                <w:b/>
                <w:bCs/>
                <w:color w:val="000000" w:themeColor="text1"/>
                <w:sz w:val="24"/>
                <w:lang w:val="en-US" w:eastAsia="zh-CN"/>
                <w14:textFill>
                  <w14:solidFill>
                    <w14:schemeClr w14:val="tx1"/>
                  </w14:solidFill>
                </w14:textFill>
              </w:rPr>
              <w:t>大气环境</w:t>
            </w:r>
          </w:p>
          <w:p w14:paraId="7B025CBB">
            <w:pPr>
              <w:keepNext w:val="0"/>
              <w:keepLines w:val="0"/>
              <w:suppressLineNumbers w:val="0"/>
              <w:snapToGrid w:val="0"/>
              <w:spacing w:before="0" w:beforeAutospacing="0" w:after="0" w:afterAutospacing="0" w:line="520" w:lineRule="exact"/>
              <w:ind w:left="0" w:right="0"/>
              <w:jc w:val="center"/>
              <w:rPr>
                <w:rFonts w:hint="eastAsia" w:ascii="黑体" w:hAnsi="黑体" w:eastAsia="黑体" w:cs="黑体"/>
                <w:b w:val="0"/>
                <w:bCs/>
                <w:sz w:val="24"/>
                <w:lang w:val="en-US" w:eastAsia="zh-CN"/>
              </w:rPr>
            </w:pPr>
            <w:r>
              <w:rPr>
                <w:rFonts w:hint="eastAsia" w:ascii="黑体" w:hAnsi="黑体" w:eastAsia="黑体" w:cs="黑体"/>
                <w:b w:val="0"/>
                <w:bCs/>
                <w:sz w:val="24"/>
                <w:lang w:val="en-US" w:eastAsia="zh-CN"/>
              </w:rPr>
              <w:t>表</w:t>
            </w:r>
            <w:r>
              <w:rPr>
                <w:rFonts w:hint="default" w:ascii="黑体" w:hAnsi="黑体" w:eastAsia="黑体" w:cs="黑体"/>
                <w:b w:val="0"/>
                <w:bCs/>
                <w:sz w:val="24"/>
                <w:lang w:val="en-US" w:eastAsia="zh-CN"/>
              </w:rPr>
              <w:t xml:space="preserve">3-3  </w:t>
            </w:r>
            <w:r>
              <w:rPr>
                <w:rFonts w:hint="eastAsia" w:ascii="黑体" w:hAnsi="黑体" w:eastAsia="黑体" w:cs="黑体"/>
                <w:b w:val="0"/>
                <w:bCs/>
                <w:sz w:val="24"/>
                <w:lang w:val="en-US" w:eastAsia="zh-CN"/>
              </w:rPr>
              <w:t>大气环境保护目标一览表</w:t>
            </w:r>
          </w:p>
          <w:tbl>
            <w:tblPr>
              <w:tblStyle w:val="25"/>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146"/>
              <w:gridCol w:w="1579"/>
              <w:gridCol w:w="1094"/>
              <w:gridCol w:w="911"/>
              <w:gridCol w:w="3489"/>
            </w:tblGrid>
            <w:tr w14:paraId="5155AEA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0" w:hRule="atLeast"/>
              </w:trPr>
              <w:tc>
                <w:tcPr>
                  <w:tcW w:w="697" w:type="pct"/>
                  <w:tcBorders>
                    <w:tl2br w:val="nil"/>
                    <w:tr2bl w:val="nil"/>
                  </w:tcBorders>
                  <w:shd w:val="clear" w:color="auto" w:fill="auto"/>
                  <w:vAlign w:val="center"/>
                </w:tcPr>
                <w:p w14:paraId="0AD19A2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szCs w:val="21"/>
                      <w:lang w:val="en-US"/>
                    </w:rPr>
                  </w:pPr>
                  <w:r>
                    <w:rPr>
                      <w:rFonts w:hint="eastAsia" w:ascii="Times New Roman" w:hAnsi="Times New Roman" w:eastAsia="宋体" w:cs="宋体"/>
                      <w:b w:val="0"/>
                      <w:bCs/>
                      <w:kern w:val="2"/>
                      <w:sz w:val="21"/>
                      <w:szCs w:val="24"/>
                      <w:lang w:val="en-US" w:eastAsia="zh-CN" w:bidi="ar"/>
                    </w:rPr>
                    <w:t>保护类别</w:t>
                  </w:r>
                </w:p>
              </w:tc>
              <w:tc>
                <w:tcPr>
                  <w:tcW w:w="960" w:type="pct"/>
                  <w:tcBorders>
                    <w:tl2br w:val="nil"/>
                    <w:tr2bl w:val="nil"/>
                  </w:tcBorders>
                  <w:shd w:val="clear" w:color="auto" w:fill="auto"/>
                  <w:vAlign w:val="center"/>
                </w:tcPr>
                <w:p w14:paraId="4C026D2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szCs w:val="21"/>
                      <w:lang w:val="en-US"/>
                    </w:rPr>
                  </w:pPr>
                  <w:r>
                    <w:rPr>
                      <w:rFonts w:hint="eastAsia" w:ascii="Times New Roman" w:hAnsi="Times New Roman" w:eastAsia="宋体" w:cs="宋体"/>
                      <w:b w:val="0"/>
                      <w:bCs/>
                      <w:kern w:val="2"/>
                      <w:sz w:val="21"/>
                      <w:szCs w:val="24"/>
                      <w:lang w:val="en-US" w:eastAsia="zh-CN" w:bidi="ar"/>
                    </w:rPr>
                    <w:t>名称</w:t>
                  </w:r>
                </w:p>
              </w:tc>
              <w:tc>
                <w:tcPr>
                  <w:tcW w:w="665" w:type="pct"/>
                  <w:tcBorders>
                    <w:tl2br w:val="nil"/>
                    <w:tr2bl w:val="nil"/>
                  </w:tcBorders>
                  <w:shd w:val="clear" w:color="auto" w:fill="auto"/>
                  <w:vAlign w:val="center"/>
                </w:tcPr>
                <w:p w14:paraId="483B5D2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szCs w:val="21"/>
                      <w:lang w:val="en-US"/>
                    </w:rPr>
                  </w:pPr>
                  <w:r>
                    <w:rPr>
                      <w:rFonts w:hint="eastAsia" w:ascii="Times New Roman" w:hAnsi="Times New Roman" w:eastAsia="宋体" w:cs="宋体"/>
                      <w:b w:val="0"/>
                      <w:bCs/>
                      <w:kern w:val="2"/>
                      <w:sz w:val="21"/>
                      <w:szCs w:val="24"/>
                      <w:lang w:val="en-US" w:eastAsia="zh-CN" w:bidi="ar"/>
                    </w:rPr>
                    <w:t>方位</w:t>
                  </w:r>
                </w:p>
              </w:tc>
              <w:tc>
                <w:tcPr>
                  <w:tcW w:w="554" w:type="pct"/>
                  <w:tcBorders>
                    <w:tl2br w:val="nil"/>
                    <w:tr2bl w:val="nil"/>
                  </w:tcBorders>
                  <w:shd w:val="clear" w:color="auto" w:fill="auto"/>
                  <w:vAlign w:val="center"/>
                </w:tcPr>
                <w:p w14:paraId="08A84FA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szCs w:val="21"/>
                      <w:lang w:val="en-US"/>
                    </w:rPr>
                  </w:pPr>
                  <w:r>
                    <w:rPr>
                      <w:rFonts w:hint="eastAsia" w:ascii="Times New Roman" w:hAnsi="Times New Roman" w:eastAsia="宋体" w:cs="宋体"/>
                      <w:b w:val="0"/>
                      <w:bCs/>
                      <w:kern w:val="2"/>
                      <w:sz w:val="21"/>
                      <w:szCs w:val="24"/>
                      <w:lang w:val="en-US" w:eastAsia="zh-CN" w:bidi="ar"/>
                    </w:rPr>
                    <w:t>距离</w:t>
                  </w:r>
                </w:p>
              </w:tc>
              <w:tc>
                <w:tcPr>
                  <w:tcW w:w="2121" w:type="pct"/>
                  <w:tcBorders>
                    <w:tl2br w:val="nil"/>
                    <w:tr2bl w:val="nil"/>
                  </w:tcBorders>
                  <w:shd w:val="clear" w:color="auto" w:fill="auto"/>
                  <w:vAlign w:val="center"/>
                </w:tcPr>
                <w:p w14:paraId="0B2DF0C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szCs w:val="21"/>
                      <w:lang w:val="en-US"/>
                    </w:rPr>
                  </w:pPr>
                  <w:r>
                    <w:rPr>
                      <w:rFonts w:hint="eastAsia" w:ascii="Times New Roman" w:hAnsi="Times New Roman" w:eastAsia="宋体" w:cs="宋体"/>
                      <w:b w:val="0"/>
                      <w:bCs/>
                      <w:kern w:val="2"/>
                      <w:sz w:val="21"/>
                      <w:szCs w:val="24"/>
                      <w:lang w:val="en-US" w:eastAsia="zh-CN" w:bidi="ar"/>
                    </w:rPr>
                    <w:t>保护级别</w:t>
                  </w:r>
                </w:p>
              </w:tc>
            </w:tr>
            <w:tr w14:paraId="12F9351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5" w:hRule="atLeast"/>
              </w:trPr>
              <w:tc>
                <w:tcPr>
                  <w:tcW w:w="697" w:type="pct"/>
                  <w:tcBorders>
                    <w:tl2br w:val="nil"/>
                    <w:tr2bl w:val="nil"/>
                  </w:tcBorders>
                  <w:shd w:val="clear" w:color="auto" w:fill="auto"/>
                  <w:vAlign w:val="center"/>
                </w:tcPr>
                <w:p w14:paraId="4D21997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szCs w:val="21"/>
                      <w:lang w:val="en-US"/>
                    </w:rPr>
                  </w:pPr>
                  <w:r>
                    <w:rPr>
                      <w:rFonts w:hint="eastAsia" w:ascii="Times New Roman" w:hAnsi="Times New Roman" w:eastAsia="宋体" w:cs="宋体"/>
                      <w:b w:val="0"/>
                      <w:bCs/>
                      <w:kern w:val="2"/>
                      <w:sz w:val="21"/>
                      <w:szCs w:val="24"/>
                      <w:lang w:val="en-US" w:eastAsia="zh-CN" w:bidi="ar"/>
                    </w:rPr>
                    <w:t>环境空气</w:t>
                  </w:r>
                </w:p>
              </w:tc>
              <w:tc>
                <w:tcPr>
                  <w:tcW w:w="960" w:type="pct"/>
                  <w:tcBorders>
                    <w:tl2br w:val="nil"/>
                    <w:tr2bl w:val="nil"/>
                  </w:tcBorders>
                  <w:shd w:val="clear" w:color="auto" w:fill="auto"/>
                  <w:vAlign w:val="center"/>
                </w:tcPr>
                <w:p w14:paraId="44BFA37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szCs w:val="21"/>
                      <w:lang w:val="en-US"/>
                    </w:rPr>
                  </w:pPr>
                  <w:r>
                    <w:rPr>
                      <w:rFonts w:hint="eastAsia" w:cs="宋体"/>
                      <w:b w:val="0"/>
                      <w:bCs/>
                      <w:kern w:val="2"/>
                      <w:sz w:val="21"/>
                      <w:szCs w:val="21"/>
                      <w:lang w:val="en-US" w:eastAsia="zh-CN" w:bidi="ar"/>
                    </w:rPr>
                    <w:t>大光</w:t>
                  </w:r>
                  <w:r>
                    <w:rPr>
                      <w:rFonts w:hint="eastAsia" w:ascii="Times New Roman" w:hAnsi="Times New Roman" w:eastAsia="宋体" w:cs="宋体"/>
                      <w:b w:val="0"/>
                      <w:bCs/>
                      <w:kern w:val="2"/>
                      <w:sz w:val="21"/>
                      <w:szCs w:val="21"/>
                      <w:lang w:val="en-US" w:eastAsia="zh-CN" w:bidi="ar"/>
                    </w:rPr>
                    <w:t>村</w:t>
                  </w:r>
                </w:p>
              </w:tc>
              <w:tc>
                <w:tcPr>
                  <w:tcW w:w="665" w:type="pct"/>
                  <w:tcBorders>
                    <w:tl2br w:val="nil"/>
                    <w:tr2bl w:val="nil"/>
                  </w:tcBorders>
                  <w:shd w:val="clear" w:color="auto" w:fill="auto"/>
                  <w:vAlign w:val="center"/>
                </w:tcPr>
                <w:p w14:paraId="7CD9E40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rPr>
                  </w:pPr>
                  <w:r>
                    <w:rPr>
                      <w:rFonts w:hint="eastAsia" w:cs="Times New Roman"/>
                      <w:b w:val="0"/>
                      <w:bCs/>
                      <w:kern w:val="2"/>
                      <w:sz w:val="21"/>
                      <w:szCs w:val="24"/>
                      <w:lang w:val="en-US" w:eastAsia="zh-CN" w:bidi="ar"/>
                    </w:rPr>
                    <w:t>W</w:t>
                  </w:r>
                </w:p>
              </w:tc>
              <w:tc>
                <w:tcPr>
                  <w:tcW w:w="554" w:type="pct"/>
                  <w:tcBorders>
                    <w:tl2br w:val="nil"/>
                    <w:tr2bl w:val="nil"/>
                  </w:tcBorders>
                  <w:shd w:val="clear" w:color="auto" w:fill="auto"/>
                  <w:vAlign w:val="center"/>
                </w:tcPr>
                <w:p w14:paraId="5203E84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rPr>
                  </w:pPr>
                  <w:r>
                    <w:rPr>
                      <w:rFonts w:hint="eastAsia" w:cs="Times New Roman"/>
                      <w:b w:val="0"/>
                      <w:bCs/>
                      <w:kern w:val="2"/>
                      <w:sz w:val="21"/>
                      <w:szCs w:val="24"/>
                      <w:lang w:val="en-US" w:eastAsia="zh-CN" w:bidi="ar"/>
                    </w:rPr>
                    <w:t>313</w:t>
                  </w:r>
                  <w:r>
                    <w:rPr>
                      <w:rFonts w:hint="default" w:ascii="Times New Roman" w:hAnsi="Times New Roman" w:eastAsia="宋体" w:cs="Times New Roman"/>
                      <w:b w:val="0"/>
                      <w:bCs/>
                      <w:kern w:val="2"/>
                      <w:sz w:val="21"/>
                      <w:szCs w:val="24"/>
                      <w:lang w:val="en-US" w:eastAsia="zh-CN" w:bidi="ar"/>
                    </w:rPr>
                    <w:t>m</w:t>
                  </w:r>
                </w:p>
              </w:tc>
              <w:tc>
                <w:tcPr>
                  <w:tcW w:w="2121" w:type="pct"/>
                  <w:tcBorders>
                    <w:tl2br w:val="nil"/>
                    <w:tr2bl w:val="nil"/>
                  </w:tcBorders>
                  <w:shd w:val="clear" w:color="auto" w:fill="auto"/>
                  <w:vAlign w:val="center"/>
                </w:tcPr>
                <w:p w14:paraId="17EF60B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szCs w:val="21"/>
                      <w:lang w:val="en-US"/>
                    </w:rPr>
                  </w:pPr>
                  <w:r>
                    <w:rPr>
                      <w:rFonts w:hint="eastAsia" w:ascii="Times New Roman" w:hAnsi="Times New Roman" w:eastAsia="宋体" w:cs="宋体"/>
                      <w:b w:val="0"/>
                      <w:bCs/>
                      <w:kern w:val="2"/>
                      <w:sz w:val="21"/>
                      <w:szCs w:val="24"/>
                      <w:lang w:val="en-US" w:eastAsia="zh-CN" w:bidi="ar"/>
                    </w:rPr>
                    <w:t>《环境空气质量标准》</w:t>
                  </w:r>
                </w:p>
                <w:p w14:paraId="7898320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szCs w:val="21"/>
                      <w:lang w:val="en-US"/>
                    </w:rPr>
                  </w:pPr>
                  <w:r>
                    <w:rPr>
                      <w:rFonts w:hint="eastAsia" w:ascii="Times New Roman" w:hAnsi="Times New Roman" w:eastAsia="宋体" w:cs="宋体"/>
                      <w:b w:val="0"/>
                      <w:bCs/>
                      <w:kern w:val="2"/>
                      <w:sz w:val="21"/>
                      <w:szCs w:val="24"/>
                      <w:lang w:val="en-US" w:eastAsia="zh-CN" w:bidi="ar"/>
                    </w:rPr>
                    <w:t>（</w:t>
                  </w:r>
                  <w:r>
                    <w:rPr>
                      <w:rFonts w:hint="default" w:ascii="Times New Roman" w:hAnsi="Times New Roman" w:eastAsia="宋体" w:cs="Times New Roman"/>
                      <w:b w:val="0"/>
                      <w:bCs/>
                      <w:kern w:val="2"/>
                      <w:sz w:val="21"/>
                      <w:szCs w:val="24"/>
                      <w:lang w:val="en-US" w:eastAsia="zh-CN" w:bidi="ar"/>
                    </w:rPr>
                    <w:t>GB3095-2012</w:t>
                  </w:r>
                  <w:r>
                    <w:rPr>
                      <w:rFonts w:hint="eastAsia" w:ascii="Times New Roman" w:hAnsi="Times New Roman" w:eastAsia="宋体" w:cs="宋体"/>
                      <w:b w:val="0"/>
                      <w:bCs/>
                      <w:kern w:val="2"/>
                      <w:sz w:val="21"/>
                      <w:szCs w:val="24"/>
                      <w:lang w:val="en-US" w:eastAsia="zh-CN" w:bidi="ar"/>
                    </w:rPr>
                    <w:t>）及修改单（二级）</w:t>
                  </w:r>
                </w:p>
              </w:tc>
            </w:tr>
          </w:tbl>
          <w:p w14:paraId="6EA548AB">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Autospacing="0" w:line="520" w:lineRule="exact"/>
              <w:ind w:left="0" w:right="0" w:firstLine="0"/>
              <w:textAlignment w:val="auto"/>
              <w:rPr>
                <w:rFonts w:hint="eastAsia"/>
                <w:b/>
                <w:bCs/>
                <w:color w:val="000000" w:themeColor="text1"/>
                <w:sz w:val="24"/>
                <w14:textFill>
                  <w14:solidFill>
                    <w14:schemeClr w14:val="tx1"/>
                  </w14:solidFill>
                </w14:textFill>
              </w:rPr>
            </w:pPr>
            <w:r>
              <w:rPr>
                <w:rFonts w:hint="eastAsia"/>
                <w:b/>
                <w:bCs/>
                <w:color w:val="000000" w:themeColor="text1"/>
                <w:sz w:val="24"/>
                <w:lang w:val="en-US" w:eastAsia="zh-CN"/>
                <w14:textFill>
                  <w14:solidFill>
                    <w14:schemeClr w14:val="tx1"/>
                  </w14:solidFill>
                </w14:textFill>
              </w:rPr>
              <w:t>二、</w:t>
            </w:r>
            <w:r>
              <w:rPr>
                <w:rFonts w:hint="default"/>
                <w:b/>
                <w:bCs/>
                <w:color w:val="000000" w:themeColor="text1"/>
                <w:sz w:val="24"/>
                <w:lang w:val="en-US" w:eastAsia="zh-CN"/>
                <w14:textFill>
                  <w14:solidFill>
                    <w14:schemeClr w14:val="tx1"/>
                  </w14:solidFill>
                </w14:textFill>
              </w:rPr>
              <w:t>声环境</w:t>
            </w:r>
          </w:p>
          <w:p w14:paraId="5C603CEE">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Autospacing="0" w:line="520" w:lineRule="exact"/>
              <w:ind w:left="0" w:right="0" w:firstLine="480" w:firstLineChars="200"/>
              <w:textAlignment w:val="auto"/>
              <w:rPr>
                <w:rFonts w:hint="eastAsia"/>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本项目</w:t>
            </w:r>
            <w:r>
              <w:rPr>
                <w:rFonts w:hint="eastAsia"/>
                <w:color w:val="000000" w:themeColor="text1"/>
                <w:sz w:val="24"/>
                <w14:textFill>
                  <w14:solidFill>
                    <w14:schemeClr w14:val="tx1"/>
                  </w14:solidFill>
                </w14:textFill>
              </w:rPr>
              <w:t>厂界外50米范围内</w:t>
            </w:r>
            <w:r>
              <w:rPr>
                <w:rFonts w:hint="eastAsia"/>
                <w:color w:val="000000" w:themeColor="text1"/>
                <w:sz w:val="24"/>
                <w:lang w:val="en-US" w:eastAsia="zh-CN"/>
                <w14:textFill>
                  <w14:solidFill>
                    <w14:schemeClr w14:val="tx1"/>
                  </w14:solidFill>
                </w14:textFill>
              </w:rPr>
              <w:t>无</w:t>
            </w:r>
            <w:r>
              <w:rPr>
                <w:rFonts w:hint="eastAsia"/>
                <w:color w:val="000000" w:themeColor="text1"/>
                <w:sz w:val="24"/>
                <w14:textFill>
                  <w14:solidFill>
                    <w14:schemeClr w14:val="tx1"/>
                  </w14:solidFill>
                </w14:textFill>
              </w:rPr>
              <w:t>声环境保护目标</w:t>
            </w:r>
            <w:r>
              <w:rPr>
                <w:rFonts w:hint="eastAsia"/>
                <w:color w:val="000000" w:themeColor="text1"/>
                <w:sz w:val="24"/>
                <w:lang w:eastAsia="zh-CN"/>
                <w14:textFill>
                  <w14:solidFill>
                    <w14:schemeClr w14:val="tx1"/>
                  </w14:solidFill>
                </w14:textFill>
              </w:rPr>
              <w:t>。</w:t>
            </w:r>
          </w:p>
          <w:p w14:paraId="14E11B7C">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Autospacing="0" w:line="520" w:lineRule="exact"/>
              <w:ind w:left="0" w:right="0" w:firstLine="0"/>
              <w:textAlignment w:val="auto"/>
              <w:rPr>
                <w:rFonts w:hint="eastAsia"/>
                <w:b/>
                <w:bCs/>
                <w:color w:val="000000" w:themeColor="text1"/>
                <w:sz w:val="24"/>
                <w14:textFill>
                  <w14:solidFill>
                    <w14:schemeClr w14:val="tx1"/>
                  </w14:solidFill>
                </w14:textFill>
              </w:rPr>
            </w:pPr>
            <w:r>
              <w:rPr>
                <w:rFonts w:hint="eastAsia"/>
                <w:b/>
                <w:bCs/>
                <w:color w:val="000000" w:themeColor="text1"/>
                <w:sz w:val="24"/>
                <w:lang w:val="en-US" w:eastAsia="zh-CN"/>
                <w14:textFill>
                  <w14:solidFill>
                    <w14:schemeClr w14:val="tx1"/>
                  </w14:solidFill>
                </w14:textFill>
              </w:rPr>
              <w:t>三、</w:t>
            </w:r>
            <w:r>
              <w:rPr>
                <w:rFonts w:hint="default"/>
                <w:b/>
                <w:bCs/>
                <w:color w:val="000000" w:themeColor="text1"/>
                <w:sz w:val="24"/>
                <w:lang w:val="en-US" w:eastAsia="zh-CN"/>
                <w14:textFill>
                  <w14:solidFill>
                    <w14:schemeClr w14:val="tx1"/>
                  </w14:solidFill>
                </w14:textFill>
              </w:rPr>
              <w:t>地下水环境</w:t>
            </w:r>
          </w:p>
          <w:p w14:paraId="7C459272">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Autospacing="0" w:line="520" w:lineRule="exact"/>
              <w:ind w:left="0" w:right="0" w:firstLine="480" w:firstLineChars="200"/>
              <w:textAlignment w:val="auto"/>
              <w:rPr>
                <w:rFonts w:hint="eastAsia"/>
                <w:color w:val="000000" w:themeColor="text1"/>
                <w:sz w:val="24"/>
                <w14:textFill>
                  <w14:solidFill>
                    <w14:schemeClr w14:val="tx1"/>
                  </w14:solidFill>
                </w14:textFill>
              </w:rPr>
            </w:pPr>
            <w:r>
              <w:rPr>
                <w:rFonts w:hint="eastAsia"/>
                <w:color w:val="000000" w:themeColor="text1"/>
                <w:sz w:val="24"/>
                <w:lang w:val="en-US" w:eastAsia="zh-CN"/>
                <w14:textFill>
                  <w14:solidFill>
                    <w14:schemeClr w14:val="tx1"/>
                  </w14:solidFill>
                </w14:textFill>
              </w:rPr>
              <w:t>本项目</w:t>
            </w:r>
            <w:r>
              <w:rPr>
                <w:rFonts w:hint="eastAsia"/>
                <w:color w:val="000000" w:themeColor="text1"/>
                <w:sz w:val="24"/>
                <w14:textFill>
                  <w14:solidFill>
                    <w14:schemeClr w14:val="tx1"/>
                  </w14:solidFill>
                </w14:textFill>
              </w:rPr>
              <w:t>厂界外500米范围内</w:t>
            </w:r>
            <w:r>
              <w:rPr>
                <w:rFonts w:hint="eastAsia"/>
                <w:color w:val="000000" w:themeColor="text1"/>
                <w:sz w:val="24"/>
                <w:lang w:val="en-US" w:eastAsia="zh-CN"/>
                <w14:textFill>
                  <w14:solidFill>
                    <w14:schemeClr w14:val="tx1"/>
                  </w14:solidFill>
                </w14:textFill>
              </w:rPr>
              <w:t>无</w:t>
            </w:r>
            <w:r>
              <w:rPr>
                <w:rFonts w:hint="eastAsia"/>
                <w:color w:val="000000" w:themeColor="text1"/>
                <w:sz w:val="24"/>
                <w14:textFill>
                  <w14:solidFill>
                    <w14:schemeClr w14:val="tx1"/>
                  </w14:solidFill>
                </w14:textFill>
              </w:rPr>
              <w:t>地下水集中式饮用水水源和热水、矿泉水、温泉等特殊地下水资源。</w:t>
            </w:r>
          </w:p>
          <w:p w14:paraId="73D7F2A7">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Lines="0" w:beforeAutospacing="0" w:after="0" w:afterAutospacing="0" w:line="520" w:lineRule="exact"/>
              <w:ind w:left="0" w:right="0"/>
              <w:textAlignment w:val="auto"/>
              <w:rPr>
                <w:rFonts w:hint="default"/>
                <w:b/>
                <w:bCs/>
                <w:color w:val="000000" w:themeColor="text1"/>
                <w:sz w:val="24"/>
                <w:lang w:val="en-US" w:eastAsia="zh-CN"/>
                <w14:textFill>
                  <w14:solidFill>
                    <w14:schemeClr w14:val="tx1"/>
                  </w14:solidFill>
                </w14:textFill>
              </w:rPr>
            </w:pPr>
            <w:r>
              <w:rPr>
                <w:rFonts w:hint="eastAsia"/>
                <w:b/>
                <w:bCs/>
                <w:color w:val="000000" w:themeColor="text1"/>
                <w:sz w:val="24"/>
                <w:lang w:val="en-US" w:eastAsia="zh-CN"/>
                <w14:textFill>
                  <w14:solidFill>
                    <w14:schemeClr w14:val="tx1"/>
                  </w14:solidFill>
                </w14:textFill>
              </w:rPr>
              <w:t>四、</w:t>
            </w:r>
            <w:r>
              <w:rPr>
                <w:rFonts w:hint="default"/>
                <w:b/>
                <w:bCs/>
                <w:color w:val="000000" w:themeColor="text1"/>
                <w:sz w:val="24"/>
                <w:lang w:val="en-US" w:eastAsia="zh-CN"/>
                <w14:textFill>
                  <w14:solidFill>
                    <w14:schemeClr w14:val="tx1"/>
                  </w14:solidFill>
                </w14:textFill>
              </w:rPr>
              <w:t>生态环境</w:t>
            </w:r>
          </w:p>
          <w:p w14:paraId="5F6B99BB">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Autospacing="0" w:line="520" w:lineRule="exact"/>
              <w:ind w:left="0" w:right="0" w:firstLine="480" w:firstLineChars="200"/>
              <w:textAlignment w:val="auto"/>
              <w:rPr>
                <w:rFonts w:hint="eastAsia"/>
                <w:lang w:val="en-US" w:eastAsia="zh-CN"/>
              </w:rPr>
            </w:pP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本项目</w:t>
            </w:r>
            <w:r>
              <w:rPr>
                <w:rFonts w:hint="eastAsia" w:cs="Times New Roman"/>
                <w:color w:val="000000" w:themeColor="text1"/>
                <w:sz w:val="24"/>
                <w:highlight w:val="none"/>
                <w:lang w:val="en-US" w:eastAsia="zh-CN"/>
                <w14:textFill>
                  <w14:solidFill>
                    <w14:schemeClr w14:val="tx1"/>
                  </w14:solidFill>
                </w14:textFill>
              </w:rPr>
              <w:t>位于产业园区内，</w:t>
            </w:r>
            <w:r>
              <w:rPr>
                <w:rFonts w:hint="eastAsia" w:cs="Times New Roman"/>
                <w:color w:val="000000" w:themeColor="text1"/>
                <w:spacing w:val="4"/>
                <w:sz w:val="24"/>
                <w:szCs w:val="24"/>
                <w:highlight w:val="none"/>
                <w:lang w:val="en-US" w:eastAsia="zh-CN"/>
                <w14:textFill>
                  <w14:solidFill>
                    <w14:schemeClr w14:val="tx1"/>
                  </w14:solidFill>
                </w14:textFill>
              </w:rPr>
              <w:t>用地为工业用地</w:t>
            </w:r>
            <w:r>
              <w:rPr>
                <w:rFonts w:hint="eastAsia" w:ascii="Times New Roman" w:hAnsi="Times New Roman" w:eastAsia="宋体" w:cs="Times New Roman"/>
                <w:color w:val="000000" w:themeColor="text1"/>
                <w:spacing w:val="4"/>
                <w:sz w:val="24"/>
                <w:szCs w:val="24"/>
                <w:highlight w:val="none"/>
                <w:lang w:eastAsia="zh-CN"/>
                <w14:textFill>
                  <w14:solidFill>
                    <w14:schemeClr w14:val="tx1"/>
                  </w14:solidFill>
                </w14:textFill>
              </w:rPr>
              <w:t>，</w:t>
            </w:r>
            <w:r>
              <w:rPr>
                <w:rFonts w:hint="eastAsia" w:cs="Times New Roman"/>
                <w:color w:val="000000" w:themeColor="text1"/>
                <w:spacing w:val="4"/>
                <w:sz w:val="24"/>
                <w:szCs w:val="24"/>
                <w:highlight w:val="none"/>
                <w:lang w:val="en-US" w:eastAsia="zh-CN"/>
                <w14:textFill>
                  <w14:solidFill>
                    <w14:schemeClr w14:val="tx1"/>
                  </w14:solidFill>
                </w14:textFill>
              </w:rPr>
              <w:t>且用地范围内</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无</w:t>
            </w:r>
            <w:r>
              <w:rPr>
                <w:rFonts w:hint="eastAsia" w:ascii="Times New Roman" w:hAnsi="Times New Roman" w:eastAsia="宋体" w:cs="Times New Roman"/>
                <w:color w:val="000000" w:themeColor="text1"/>
                <w:sz w:val="24"/>
                <w:highlight w:val="none"/>
                <w14:textFill>
                  <w14:solidFill>
                    <w14:schemeClr w14:val="tx1"/>
                  </w14:solidFill>
                </w14:textFill>
              </w:rPr>
              <w:t>生态环境保护目标。</w:t>
            </w:r>
          </w:p>
        </w:tc>
      </w:tr>
      <w:tr w14:paraId="7B60C8B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78" w:hRule="atLeast"/>
          <w:jc w:val="center"/>
        </w:trPr>
        <w:tc>
          <w:tcPr>
            <w:tcW w:w="716" w:type="dxa"/>
            <w:noWrap w:val="0"/>
            <w:tcMar>
              <w:left w:w="28" w:type="dxa"/>
              <w:right w:w="28" w:type="dxa"/>
            </w:tcMar>
            <w:vAlign w:val="center"/>
          </w:tcPr>
          <w:p w14:paraId="2A4A0168">
            <w:pPr>
              <w:keepNext w:val="0"/>
              <w:keepLines w:val="0"/>
              <w:suppressLineNumbers w:val="0"/>
              <w:adjustRightInd w:val="0"/>
              <w:snapToGrid w:val="0"/>
              <w:spacing w:before="0" w:beforeAutospacing="0" w:after="0" w:afterAutospacing="0"/>
              <w:ind w:left="0" w:right="0"/>
              <w:jc w:val="center"/>
              <w:rPr>
                <w:rFonts w:hint="eastAsia"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污染</w:t>
            </w:r>
          </w:p>
          <w:p w14:paraId="133507AF">
            <w:pPr>
              <w:keepNext w:val="0"/>
              <w:keepLines w:val="0"/>
              <w:suppressLineNumbers w:val="0"/>
              <w:adjustRightInd w:val="0"/>
              <w:snapToGrid w:val="0"/>
              <w:spacing w:before="0" w:beforeAutospacing="0" w:after="0" w:afterAutospacing="0"/>
              <w:ind w:left="0" w:right="0"/>
              <w:jc w:val="center"/>
              <w:rPr>
                <w:rFonts w:hint="eastAsia"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物排</w:t>
            </w:r>
          </w:p>
          <w:p w14:paraId="5D5333C8">
            <w:pPr>
              <w:keepNext w:val="0"/>
              <w:keepLines w:val="0"/>
              <w:suppressLineNumbers w:val="0"/>
              <w:adjustRightInd w:val="0"/>
              <w:snapToGrid w:val="0"/>
              <w:spacing w:before="0" w:beforeAutospacing="0" w:after="0" w:afterAutospacing="0"/>
              <w:ind w:left="0" w:right="0"/>
              <w:jc w:val="center"/>
              <w:rPr>
                <w:rFonts w:hint="eastAsia"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放控</w:t>
            </w:r>
          </w:p>
          <w:p w14:paraId="24F1FF0D">
            <w:pPr>
              <w:keepNext w:val="0"/>
              <w:keepLines w:val="0"/>
              <w:suppressLineNumbers w:val="0"/>
              <w:adjustRightInd w:val="0"/>
              <w:snapToGrid w:val="0"/>
              <w:spacing w:before="0" w:beforeAutospacing="0" w:after="0" w:afterAutospacing="0"/>
              <w:ind w:left="0" w:right="0"/>
              <w:jc w:val="center"/>
              <w:rPr>
                <w:rFonts w:hint="eastAsia"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制标</w:t>
            </w:r>
          </w:p>
          <w:p w14:paraId="2850237A">
            <w:pPr>
              <w:keepNext w:val="0"/>
              <w:keepLines w:val="0"/>
              <w:suppressLineNumbers w:val="0"/>
              <w:adjustRightInd w:val="0"/>
              <w:snapToGrid w:val="0"/>
              <w:spacing w:before="0" w:beforeAutospacing="0" w:after="0" w:afterAutospacing="0"/>
              <w:ind w:left="0" w:right="0"/>
              <w:jc w:val="center"/>
              <w:rPr>
                <w:rFonts w:hint="default"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准</w:t>
            </w:r>
          </w:p>
        </w:tc>
        <w:tc>
          <w:tcPr>
            <w:tcW w:w="8435" w:type="dxa"/>
            <w:noWrap w:val="0"/>
            <w:vAlign w:val="center"/>
          </w:tcPr>
          <w:p w14:paraId="5AE6D051">
            <w:pPr>
              <w:keepNext w:val="0"/>
              <w:keepLines w:val="0"/>
              <w:pageBreakBefore w:val="0"/>
              <w:widowControl w:val="0"/>
              <w:suppressLineNumbers w:val="0"/>
              <w:kinsoku/>
              <w:wordWrap/>
              <w:overflowPunct/>
              <w:topLinePunct w:val="0"/>
              <w:autoSpaceDE/>
              <w:autoSpaceDN/>
              <w:bidi w:val="0"/>
              <w:adjustRightInd w:val="0"/>
              <w:snapToGrid/>
              <w:spacing w:before="0" w:beforeLines="0" w:beforeAutospacing="0" w:after="0" w:afterAutospacing="0" w:line="520" w:lineRule="exact"/>
              <w:ind w:left="0" w:right="0"/>
              <w:textAlignment w:val="auto"/>
              <w:rPr>
                <w:rFonts w:hint="default" w:cs="Times New Roman"/>
                <w:b/>
                <w:bCs/>
                <w:color w:val="000000" w:themeColor="text1"/>
                <w:spacing w:val="4"/>
                <w:sz w:val="24"/>
                <w:szCs w:val="24"/>
                <w:lang w:val="en-US" w:eastAsia="zh-CN"/>
                <w14:textFill>
                  <w14:solidFill>
                    <w14:schemeClr w14:val="tx1"/>
                  </w14:solidFill>
                </w14:textFill>
              </w:rPr>
            </w:pPr>
            <w:r>
              <w:rPr>
                <w:rFonts w:hint="eastAsia" w:cs="Times New Roman"/>
                <w:b/>
                <w:bCs/>
                <w:color w:val="000000" w:themeColor="text1"/>
                <w:spacing w:val="4"/>
                <w:sz w:val="24"/>
                <w:szCs w:val="24"/>
                <w:lang w:val="en-US" w:eastAsia="zh-CN"/>
                <w14:textFill>
                  <w14:solidFill>
                    <w14:schemeClr w14:val="tx1"/>
                  </w14:solidFill>
                </w14:textFill>
              </w:rPr>
              <w:t>一、废气</w:t>
            </w:r>
          </w:p>
          <w:p w14:paraId="6FAF49AB">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20" w:lineRule="exact"/>
              <w:ind w:left="0" w:right="0" w:firstLine="480" w:firstLineChars="200"/>
              <w:jc w:val="both"/>
              <w:textAlignment w:val="auto"/>
              <w:rPr>
                <w:rFonts w:hint="default"/>
                <w:sz w:val="24"/>
                <w:szCs w:val="24"/>
                <w:highlight w:val="red"/>
                <w:lang w:val="en-US"/>
              </w:rPr>
            </w:pPr>
            <w:r>
              <w:rPr>
                <w:rFonts w:hint="eastAsia" w:ascii="宋体" w:hAnsi="宋体" w:eastAsia="宋体" w:cs="宋体"/>
                <w:kern w:val="2"/>
                <w:sz w:val="24"/>
                <w:szCs w:val="24"/>
                <w:lang w:val="en-US" w:eastAsia="zh-CN" w:bidi="ar"/>
              </w:rPr>
              <w:t>本项目</w:t>
            </w:r>
            <w:r>
              <w:rPr>
                <w:rFonts w:hint="eastAsia" w:ascii="宋体" w:hAnsi="宋体" w:cs="宋体"/>
                <w:kern w:val="2"/>
                <w:sz w:val="24"/>
                <w:szCs w:val="24"/>
                <w:lang w:val="en-US" w:eastAsia="zh-CN" w:bidi="ar"/>
              </w:rPr>
              <w:t>有组织废气排放</w:t>
            </w:r>
            <w:r>
              <w:rPr>
                <w:rFonts w:hint="eastAsia" w:ascii="Times New Roman" w:hAnsi="Times New Roman" w:eastAsia="宋体" w:cs="宋体"/>
                <w:kern w:val="0"/>
                <w:sz w:val="24"/>
                <w:szCs w:val="24"/>
                <w:lang w:val="en-US" w:eastAsia="zh-CN" w:bidi="ar"/>
              </w:rPr>
              <w:t>执行</w:t>
            </w:r>
            <w:r>
              <w:rPr>
                <w:rFonts w:hint="eastAsia" w:ascii="Times New Roman" w:hAnsi="Times New Roman" w:eastAsia="宋体" w:cs="宋体"/>
                <w:kern w:val="2"/>
                <w:sz w:val="24"/>
                <w:szCs w:val="24"/>
                <w:lang w:val="en-US" w:eastAsia="zh-CN" w:bidi="ar"/>
              </w:rPr>
              <w:t>《合成树脂工业污染物排放标准》（</w:t>
            </w:r>
            <w:r>
              <w:rPr>
                <w:rFonts w:hint="default" w:ascii="Times New Roman" w:hAnsi="Times New Roman" w:eastAsia="宋体" w:cs="Times New Roman"/>
                <w:kern w:val="2"/>
                <w:sz w:val="24"/>
                <w:szCs w:val="24"/>
                <w:lang w:val="en-US" w:eastAsia="zh-CN" w:bidi="ar"/>
              </w:rPr>
              <w:t>GB31572-2015</w:t>
            </w:r>
            <w:r>
              <w:rPr>
                <w:rFonts w:hint="eastAsia" w:ascii="Times New Roman" w:hAnsi="Times New Roman" w:eastAsia="宋体" w:cs="宋体"/>
                <w:kern w:val="2"/>
                <w:sz w:val="24"/>
                <w:szCs w:val="24"/>
                <w:lang w:val="en-US" w:eastAsia="zh-CN" w:bidi="ar"/>
              </w:rPr>
              <w:t>）表</w:t>
            </w:r>
            <w:r>
              <w:rPr>
                <w:rFonts w:hint="default" w:ascii="Times New Roman" w:hAnsi="Times New Roman" w:eastAsia="宋体" w:cs="Times New Roman"/>
                <w:kern w:val="2"/>
                <w:sz w:val="24"/>
                <w:szCs w:val="24"/>
                <w:lang w:val="en-US" w:eastAsia="zh-CN" w:bidi="ar"/>
              </w:rPr>
              <w:t>5</w:t>
            </w:r>
            <w:r>
              <w:rPr>
                <w:rFonts w:hint="eastAsia" w:ascii="Times New Roman" w:hAnsi="Times New Roman" w:eastAsia="宋体" w:cs="宋体"/>
                <w:kern w:val="2"/>
                <w:sz w:val="24"/>
                <w:szCs w:val="24"/>
                <w:lang w:val="en-US" w:eastAsia="zh-CN" w:bidi="ar"/>
              </w:rPr>
              <w:t>中：非甲烷总烃排放浓度≤</w:t>
            </w:r>
            <w:r>
              <w:rPr>
                <w:rFonts w:hint="default" w:ascii="Times New Roman" w:hAnsi="Times New Roman" w:eastAsia="宋体" w:cs="Times New Roman"/>
                <w:kern w:val="2"/>
                <w:sz w:val="24"/>
                <w:szCs w:val="24"/>
                <w:lang w:val="en-US" w:eastAsia="zh-CN" w:bidi="ar"/>
              </w:rPr>
              <w:t>60mg/m</w:t>
            </w:r>
            <w:r>
              <w:rPr>
                <w:rFonts w:hint="default" w:ascii="Times New Roman" w:hAnsi="Times New Roman" w:eastAsia="宋体" w:cs="Times New Roman"/>
                <w:kern w:val="2"/>
                <w:sz w:val="24"/>
                <w:szCs w:val="24"/>
                <w:vertAlign w:val="superscript"/>
                <w:lang w:val="en-US" w:eastAsia="zh-CN" w:bidi="ar"/>
              </w:rPr>
              <w:t>3</w:t>
            </w:r>
            <w:r>
              <w:rPr>
                <w:rFonts w:hint="eastAsia" w:ascii="Times New Roman" w:hAnsi="Times New Roman" w:eastAsia="宋体" w:cs="Times New Roman"/>
                <w:kern w:val="2"/>
                <w:sz w:val="24"/>
                <w:szCs w:val="24"/>
                <w:vertAlign w:val="baseline"/>
                <w:lang w:val="en-US" w:eastAsia="zh-CN" w:bidi="ar"/>
              </w:rPr>
              <w:t>；</w:t>
            </w:r>
            <w:r>
              <w:rPr>
                <w:rFonts w:hint="eastAsia" w:ascii="Times New Roman" w:hAnsi="Times New Roman" w:eastAsia="宋体" w:cs="宋体"/>
                <w:bCs/>
                <w:kern w:val="2"/>
                <w:sz w:val="24"/>
                <w:szCs w:val="24"/>
                <w:lang w:val="en-US" w:eastAsia="zh-CN" w:bidi="ar"/>
              </w:rPr>
              <w:t>同时满足《河南省重污染天气重点行业应急减排措施制定技术指南（</w:t>
            </w:r>
            <w:r>
              <w:rPr>
                <w:rFonts w:hint="default" w:ascii="Times New Roman" w:hAnsi="Times New Roman" w:eastAsia="宋体" w:cs="Times New Roman"/>
                <w:bCs/>
                <w:kern w:val="2"/>
                <w:sz w:val="24"/>
                <w:szCs w:val="24"/>
                <w:lang w:val="en-US" w:eastAsia="zh-CN" w:bidi="ar"/>
              </w:rPr>
              <w:t>2024</w:t>
            </w:r>
            <w:r>
              <w:rPr>
                <w:rFonts w:hint="eastAsia" w:ascii="Times New Roman" w:hAnsi="Times New Roman" w:eastAsia="宋体" w:cs="宋体"/>
                <w:bCs/>
                <w:kern w:val="2"/>
                <w:sz w:val="24"/>
                <w:szCs w:val="24"/>
                <w:lang w:val="en-US" w:eastAsia="zh-CN" w:bidi="ar"/>
              </w:rPr>
              <w:t>年修订版）》中塑料制品企业绩效分级</w:t>
            </w:r>
            <w:r>
              <w:rPr>
                <w:rFonts w:hint="default" w:ascii="Times New Roman" w:hAnsi="Times New Roman" w:eastAsia="宋体" w:cs="Times New Roman"/>
                <w:bCs/>
                <w:kern w:val="2"/>
                <w:sz w:val="24"/>
                <w:szCs w:val="24"/>
                <w:lang w:val="en-US" w:eastAsia="zh-CN" w:bidi="ar"/>
              </w:rPr>
              <w:t>A</w:t>
            </w:r>
            <w:r>
              <w:rPr>
                <w:rFonts w:hint="eastAsia" w:ascii="Times New Roman" w:hAnsi="Times New Roman" w:eastAsia="宋体" w:cs="宋体"/>
                <w:bCs/>
                <w:kern w:val="2"/>
                <w:sz w:val="24"/>
                <w:szCs w:val="24"/>
                <w:lang w:val="en-US" w:eastAsia="zh-CN" w:bidi="ar"/>
              </w:rPr>
              <w:t>级企业要求：</w:t>
            </w:r>
            <w:r>
              <w:rPr>
                <w:rFonts w:hint="eastAsia" w:ascii="Times New Roman" w:hAnsi="Times New Roman" w:eastAsia="宋体" w:cs="宋体"/>
                <w:kern w:val="2"/>
                <w:sz w:val="24"/>
                <w:szCs w:val="24"/>
                <w:lang w:val="en-US" w:eastAsia="zh-CN" w:bidi="ar"/>
              </w:rPr>
              <w:t>非甲烷总烃排放浓度≤</w:t>
            </w:r>
            <w:r>
              <w:rPr>
                <w:rFonts w:hint="default" w:ascii="Times New Roman" w:hAnsi="Times New Roman" w:eastAsia="宋体" w:cs="Times New Roman"/>
                <w:kern w:val="2"/>
                <w:sz w:val="24"/>
                <w:szCs w:val="24"/>
                <w:lang w:val="en-US" w:eastAsia="zh-CN" w:bidi="ar"/>
              </w:rPr>
              <w:t>20mg/m</w:t>
            </w:r>
            <w:r>
              <w:rPr>
                <w:rFonts w:hint="default" w:ascii="Times New Roman" w:hAnsi="Times New Roman" w:eastAsia="宋体" w:cs="Times New Roman"/>
                <w:kern w:val="2"/>
                <w:sz w:val="24"/>
                <w:szCs w:val="24"/>
                <w:vertAlign w:val="superscript"/>
                <w:lang w:val="en-US" w:eastAsia="zh-CN" w:bidi="ar"/>
              </w:rPr>
              <w:t>3</w:t>
            </w:r>
            <w:r>
              <w:rPr>
                <w:rFonts w:hint="eastAsia" w:ascii="Times New Roman" w:hAnsi="宋体" w:eastAsia="宋体" w:cs="宋体"/>
                <w:kern w:val="2"/>
                <w:sz w:val="24"/>
                <w:szCs w:val="24"/>
                <w:lang w:val="en-US" w:eastAsia="zh-CN" w:bidi="ar"/>
              </w:rPr>
              <w:t>。</w:t>
            </w:r>
          </w:p>
          <w:p w14:paraId="3BF686CD">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20" w:lineRule="exact"/>
              <w:ind w:left="0" w:right="0" w:firstLine="480" w:firstLineChars="200"/>
              <w:jc w:val="both"/>
              <w:textAlignment w:val="auto"/>
              <w:rPr>
                <w:rFonts w:hint="default"/>
                <w:kern w:val="0"/>
                <w:sz w:val="24"/>
                <w:szCs w:val="24"/>
                <w:lang w:val="en-US"/>
              </w:rPr>
            </w:pPr>
            <w:r>
              <w:rPr>
                <w:rFonts w:hint="eastAsia" w:ascii="Times New Roman" w:hAnsi="Times New Roman" w:eastAsia="宋体" w:cs="宋体"/>
                <w:kern w:val="0"/>
                <w:sz w:val="24"/>
                <w:szCs w:val="24"/>
                <w:lang w:val="en-US" w:eastAsia="zh-CN" w:bidi="ar"/>
              </w:rPr>
              <w:t>厂界无组织排放颗粒物、非甲烷总烃执行</w:t>
            </w:r>
            <w:r>
              <w:rPr>
                <w:rFonts w:hint="eastAsia" w:ascii="Times New Roman" w:hAnsi="Times New Roman" w:eastAsia="宋体" w:cs="宋体"/>
                <w:kern w:val="2"/>
                <w:sz w:val="24"/>
                <w:szCs w:val="24"/>
                <w:lang w:val="en-US" w:eastAsia="zh-CN" w:bidi="ar"/>
              </w:rPr>
              <w:t>《合成树脂工业污染物排放标准》（</w:t>
            </w:r>
            <w:r>
              <w:rPr>
                <w:rFonts w:hint="default" w:ascii="Times New Roman" w:hAnsi="Times New Roman" w:eastAsia="宋体" w:cs="Times New Roman"/>
                <w:kern w:val="2"/>
                <w:sz w:val="24"/>
                <w:szCs w:val="24"/>
                <w:lang w:val="en-US" w:eastAsia="zh-CN" w:bidi="ar"/>
              </w:rPr>
              <w:t>GB31572-2015</w:t>
            </w:r>
            <w:r>
              <w:rPr>
                <w:rFonts w:hint="eastAsia" w:ascii="Times New Roman" w:hAnsi="Times New Roman" w:eastAsia="宋体" w:cs="宋体"/>
                <w:kern w:val="2"/>
                <w:sz w:val="24"/>
                <w:szCs w:val="24"/>
                <w:lang w:val="en-US" w:eastAsia="zh-CN" w:bidi="ar"/>
              </w:rPr>
              <w:t>）表</w:t>
            </w:r>
            <w:r>
              <w:rPr>
                <w:rFonts w:hint="default" w:ascii="Times New Roman" w:hAnsi="Times New Roman" w:eastAsia="宋体" w:cs="Times New Roman"/>
                <w:kern w:val="2"/>
                <w:sz w:val="24"/>
                <w:szCs w:val="24"/>
                <w:lang w:val="en-US" w:eastAsia="zh-CN" w:bidi="ar"/>
              </w:rPr>
              <w:t>9</w:t>
            </w:r>
            <w:r>
              <w:rPr>
                <w:rFonts w:hint="eastAsia" w:ascii="Times New Roman" w:hAnsi="Times New Roman" w:eastAsia="宋体" w:cs="宋体"/>
                <w:kern w:val="2"/>
                <w:sz w:val="24"/>
                <w:szCs w:val="24"/>
                <w:lang w:val="en-US" w:eastAsia="zh-CN" w:bidi="ar"/>
              </w:rPr>
              <w:t>中：颗粒物排放浓度≤</w:t>
            </w:r>
            <w:r>
              <w:rPr>
                <w:rFonts w:hint="default" w:ascii="Times New Roman" w:hAnsi="Times New Roman" w:eastAsia="宋体" w:cs="Times New Roman"/>
                <w:kern w:val="2"/>
                <w:sz w:val="24"/>
                <w:szCs w:val="24"/>
                <w:lang w:val="en-US" w:eastAsia="zh-CN" w:bidi="ar"/>
              </w:rPr>
              <w:t>1.0mg/m</w:t>
            </w:r>
            <w:r>
              <w:rPr>
                <w:rFonts w:hint="default" w:ascii="Times New Roman" w:hAnsi="Times New Roman" w:eastAsia="宋体" w:cs="Times New Roman"/>
                <w:kern w:val="2"/>
                <w:sz w:val="24"/>
                <w:szCs w:val="24"/>
                <w:vertAlign w:val="superscript"/>
                <w:lang w:val="en-US" w:eastAsia="zh-CN" w:bidi="ar"/>
              </w:rPr>
              <w:t>3</w:t>
            </w:r>
            <w:r>
              <w:rPr>
                <w:rFonts w:hint="eastAsia" w:ascii="Times New Roman" w:hAnsi="Times New Roman" w:eastAsia="宋体" w:cs="宋体"/>
                <w:kern w:val="2"/>
                <w:sz w:val="24"/>
                <w:szCs w:val="24"/>
                <w:lang w:val="en-US" w:eastAsia="zh-CN" w:bidi="ar"/>
              </w:rPr>
              <w:t>，非甲烷总烃排放浓度≤</w:t>
            </w:r>
            <w:r>
              <w:rPr>
                <w:rFonts w:hint="default" w:ascii="Times New Roman" w:hAnsi="Times New Roman" w:eastAsia="宋体" w:cs="Times New Roman"/>
                <w:kern w:val="2"/>
                <w:sz w:val="24"/>
                <w:szCs w:val="24"/>
                <w:lang w:val="en-US" w:eastAsia="zh-CN" w:bidi="ar"/>
              </w:rPr>
              <w:t>4.0mg/m</w:t>
            </w:r>
            <w:r>
              <w:rPr>
                <w:rFonts w:hint="default" w:ascii="Times New Roman" w:hAnsi="Times New Roman" w:eastAsia="宋体" w:cs="Times New Roman"/>
                <w:kern w:val="2"/>
                <w:sz w:val="24"/>
                <w:szCs w:val="24"/>
                <w:vertAlign w:val="superscript"/>
                <w:lang w:val="en-US" w:eastAsia="zh-CN" w:bidi="ar"/>
              </w:rPr>
              <w:t>3</w:t>
            </w:r>
            <w:r>
              <w:rPr>
                <w:rFonts w:hint="eastAsia" w:ascii="Times New Roman" w:hAnsi="Times New Roman" w:eastAsia="宋体" w:cs="宋体"/>
                <w:kern w:val="0"/>
                <w:sz w:val="24"/>
                <w:szCs w:val="24"/>
                <w:lang w:val="en-US" w:eastAsia="zh-CN" w:bidi="ar"/>
              </w:rPr>
              <w:t>。颗粒物同时满足《安阳市</w:t>
            </w:r>
            <w:r>
              <w:rPr>
                <w:rFonts w:hint="default" w:ascii="Times New Roman" w:hAnsi="Times New Roman" w:eastAsia="宋体" w:cs="Times New Roman"/>
                <w:kern w:val="0"/>
                <w:sz w:val="24"/>
                <w:szCs w:val="24"/>
                <w:lang w:val="en-US" w:eastAsia="zh-CN" w:bidi="ar"/>
              </w:rPr>
              <w:t>2019</w:t>
            </w:r>
            <w:r>
              <w:rPr>
                <w:rFonts w:hint="eastAsia" w:ascii="Times New Roman" w:hAnsi="Times New Roman" w:eastAsia="宋体" w:cs="宋体"/>
                <w:kern w:val="0"/>
                <w:sz w:val="24"/>
                <w:szCs w:val="24"/>
                <w:lang w:val="en-US" w:eastAsia="zh-CN" w:bidi="ar"/>
              </w:rPr>
              <w:t>年工业大气污染治理</w:t>
            </w:r>
            <w:r>
              <w:rPr>
                <w:rFonts w:hint="default" w:ascii="Times New Roman" w:hAnsi="Times New Roman" w:eastAsia="宋体" w:cs="Times New Roman"/>
                <w:kern w:val="0"/>
                <w:sz w:val="24"/>
                <w:szCs w:val="24"/>
                <w:lang w:val="en-US" w:eastAsia="zh-CN" w:bidi="ar"/>
              </w:rPr>
              <w:t>5</w:t>
            </w:r>
            <w:r>
              <w:rPr>
                <w:rFonts w:hint="eastAsia" w:ascii="Times New Roman" w:hAnsi="Times New Roman" w:eastAsia="宋体" w:cs="宋体"/>
                <w:kern w:val="0"/>
                <w:sz w:val="24"/>
                <w:szCs w:val="24"/>
                <w:lang w:val="en-US" w:eastAsia="zh-CN" w:bidi="ar"/>
              </w:rPr>
              <w:t>个专项实施方案》（安环攻坚办</w:t>
            </w:r>
            <w:r>
              <w:rPr>
                <w:rFonts w:hint="default" w:ascii="Times New Roman" w:hAnsi="Times New Roman" w:eastAsia="宋体" w:cs="Times New Roman"/>
                <w:kern w:val="0"/>
                <w:sz w:val="24"/>
                <w:szCs w:val="24"/>
                <w:lang w:val="en-US" w:eastAsia="zh-CN" w:bidi="ar"/>
              </w:rPr>
              <w:t>[2019]196</w:t>
            </w:r>
            <w:r>
              <w:rPr>
                <w:rFonts w:hint="eastAsia" w:ascii="Times New Roman" w:hAnsi="Times New Roman" w:eastAsia="宋体" w:cs="宋体"/>
                <w:kern w:val="0"/>
                <w:sz w:val="24"/>
                <w:szCs w:val="24"/>
                <w:lang w:val="en-US" w:eastAsia="zh-CN" w:bidi="ar"/>
              </w:rPr>
              <w:t>号）：企业边界颗粒物浓度不超过</w:t>
            </w:r>
            <w:r>
              <w:rPr>
                <w:rFonts w:hint="default" w:ascii="Times New Roman" w:hAnsi="Times New Roman" w:eastAsia="宋体" w:cs="Times New Roman"/>
                <w:kern w:val="0"/>
                <w:sz w:val="24"/>
                <w:szCs w:val="24"/>
                <w:lang w:val="en-US" w:eastAsia="zh-CN" w:bidi="ar"/>
              </w:rPr>
              <w:t>0.5mg/m</w:t>
            </w:r>
            <w:r>
              <w:rPr>
                <w:rFonts w:hint="default" w:ascii="Times New Roman" w:hAnsi="Times New Roman" w:eastAsia="宋体" w:cs="Times New Roman"/>
                <w:kern w:val="0"/>
                <w:sz w:val="24"/>
                <w:szCs w:val="24"/>
                <w:vertAlign w:val="superscript"/>
                <w:lang w:val="en-US" w:eastAsia="zh-CN" w:bidi="ar"/>
              </w:rPr>
              <w:t>3</w:t>
            </w:r>
            <w:r>
              <w:rPr>
                <w:rFonts w:hint="eastAsia" w:ascii="Times New Roman" w:hAnsi="Times New Roman" w:eastAsia="宋体" w:cs="宋体"/>
                <w:kern w:val="2"/>
                <w:sz w:val="24"/>
                <w:szCs w:val="24"/>
                <w:lang w:val="en-US" w:eastAsia="zh-CN" w:bidi="ar"/>
              </w:rPr>
              <w:t>。非甲烷总烃同时满足</w:t>
            </w:r>
            <w:r>
              <w:rPr>
                <w:rFonts w:hint="eastAsia" w:ascii="Times New Roman" w:hAnsi="宋体" w:eastAsia="宋体" w:cs="宋体"/>
                <w:kern w:val="2"/>
                <w:sz w:val="24"/>
                <w:szCs w:val="24"/>
                <w:lang w:val="en-US" w:eastAsia="zh-CN" w:bidi="ar"/>
              </w:rPr>
              <w:t>《关于全省开展工业企业挥发性有机物专项治理工作中排放建议值的通知》（豫环攻坚办</w:t>
            </w:r>
            <w:r>
              <w:rPr>
                <w:rFonts w:hint="default" w:ascii="Times New Roman" w:hAnsi="宋体" w:eastAsia="宋体" w:cs="Times New Roman"/>
                <w:kern w:val="2"/>
                <w:sz w:val="24"/>
                <w:szCs w:val="24"/>
                <w:lang w:val="en-US" w:eastAsia="zh-CN" w:bidi="ar"/>
              </w:rPr>
              <w:t>[2017]162</w:t>
            </w:r>
            <w:r>
              <w:rPr>
                <w:rFonts w:hint="eastAsia" w:ascii="Times New Roman" w:hAnsi="宋体" w:eastAsia="宋体" w:cs="宋体"/>
                <w:kern w:val="2"/>
                <w:sz w:val="24"/>
                <w:szCs w:val="24"/>
                <w:lang w:val="en-US" w:eastAsia="zh-CN" w:bidi="ar"/>
              </w:rPr>
              <w:t>号）中附件</w:t>
            </w:r>
            <w:r>
              <w:rPr>
                <w:rFonts w:hint="default" w:ascii="Times New Roman" w:hAnsi="宋体" w:eastAsia="宋体" w:cs="Times New Roman"/>
                <w:kern w:val="2"/>
                <w:sz w:val="24"/>
                <w:szCs w:val="24"/>
                <w:lang w:val="en-US" w:eastAsia="zh-CN" w:bidi="ar"/>
              </w:rPr>
              <w:t>2</w:t>
            </w:r>
            <w:r>
              <w:rPr>
                <w:rFonts w:hint="eastAsia" w:ascii="Times New Roman" w:hAnsi="宋体" w:eastAsia="宋体" w:cs="宋体"/>
                <w:kern w:val="2"/>
                <w:sz w:val="24"/>
                <w:szCs w:val="24"/>
                <w:lang w:val="en-US" w:eastAsia="zh-CN" w:bidi="ar"/>
              </w:rPr>
              <w:t>中其他行业</w:t>
            </w:r>
            <w:r>
              <w:rPr>
                <w:rFonts w:hint="default" w:ascii="Times New Roman" w:hAnsi="宋体" w:eastAsia="宋体" w:cs="Times New Roman"/>
                <w:kern w:val="2"/>
                <w:sz w:val="24"/>
                <w:szCs w:val="24"/>
                <w:lang w:val="en-US" w:eastAsia="zh-CN" w:bidi="ar"/>
              </w:rPr>
              <w:t>2.0</w:t>
            </w:r>
            <w:r>
              <w:rPr>
                <w:rFonts w:hint="default" w:ascii="Times New Roman" w:hAnsi="Times New Roman" w:eastAsia="宋体" w:cs="Times New Roman"/>
                <w:kern w:val="2"/>
                <w:sz w:val="24"/>
                <w:szCs w:val="24"/>
                <w:lang w:val="en-US" w:eastAsia="zh-CN" w:bidi="ar"/>
              </w:rPr>
              <w:t>mg/m</w:t>
            </w:r>
            <w:r>
              <w:rPr>
                <w:rFonts w:hint="default" w:ascii="Times New Roman" w:hAnsi="Times New Roman" w:eastAsia="宋体" w:cs="Times New Roman"/>
                <w:kern w:val="2"/>
                <w:sz w:val="24"/>
                <w:szCs w:val="24"/>
                <w:vertAlign w:val="superscript"/>
                <w:lang w:val="en-US" w:eastAsia="zh-CN" w:bidi="ar"/>
              </w:rPr>
              <w:t>3</w:t>
            </w:r>
            <w:r>
              <w:rPr>
                <w:rFonts w:hint="eastAsia" w:ascii="Times New Roman" w:hAnsi="Times New Roman" w:eastAsia="宋体" w:cs="宋体"/>
                <w:kern w:val="0"/>
                <w:sz w:val="24"/>
                <w:szCs w:val="24"/>
                <w:lang w:val="en-US" w:eastAsia="zh-CN" w:bidi="ar"/>
              </w:rPr>
              <w:t>。</w:t>
            </w:r>
          </w:p>
          <w:p w14:paraId="34A39F11">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20" w:lineRule="exact"/>
              <w:ind w:left="0" w:right="0" w:firstLine="480" w:firstLineChars="200"/>
              <w:jc w:val="both"/>
              <w:textAlignment w:val="auto"/>
              <w:rPr>
                <w:rFonts w:hint="default"/>
                <w:kern w:val="0"/>
                <w:sz w:val="24"/>
                <w:szCs w:val="24"/>
                <w:lang w:val="en-US"/>
              </w:rPr>
            </w:pPr>
            <w:r>
              <w:rPr>
                <w:rFonts w:hint="eastAsia" w:ascii="Times New Roman" w:hAnsi="Times New Roman" w:eastAsia="宋体" w:cs="宋体"/>
                <w:kern w:val="0"/>
                <w:sz w:val="24"/>
                <w:szCs w:val="24"/>
                <w:lang w:val="en-US" w:eastAsia="zh-CN" w:bidi="ar"/>
              </w:rPr>
              <w:t>厂区内无组织非甲烷总烃</w:t>
            </w:r>
            <w:r>
              <w:rPr>
                <w:rFonts w:hint="eastAsia" w:ascii="Times New Roman" w:hAnsi="Times New Roman" w:eastAsia="宋体" w:cs="宋体"/>
                <w:kern w:val="2"/>
                <w:sz w:val="24"/>
                <w:szCs w:val="24"/>
                <w:lang w:val="en-US" w:eastAsia="zh-CN" w:bidi="ar"/>
              </w:rPr>
              <w:t>执行《挥发性有机物无组织排放控制标准（</w:t>
            </w:r>
            <w:r>
              <w:rPr>
                <w:rFonts w:hint="default" w:ascii="Times New Roman" w:hAnsi="Times New Roman" w:eastAsia="宋体" w:cs="Times New Roman"/>
                <w:kern w:val="2"/>
                <w:sz w:val="24"/>
                <w:szCs w:val="24"/>
                <w:lang w:val="en-US" w:eastAsia="zh-CN" w:bidi="ar"/>
              </w:rPr>
              <w:t>GB37822-2019</w:t>
            </w:r>
            <w:r>
              <w:rPr>
                <w:rFonts w:hint="eastAsia" w:ascii="Times New Roman" w:hAnsi="Times New Roman" w:eastAsia="宋体" w:cs="宋体"/>
                <w:kern w:val="2"/>
                <w:sz w:val="24"/>
                <w:szCs w:val="24"/>
                <w:lang w:val="en-US" w:eastAsia="zh-CN" w:bidi="ar"/>
              </w:rPr>
              <w:t>）》中</w:t>
            </w:r>
            <w:r>
              <w:rPr>
                <w:rFonts w:hint="eastAsia" w:ascii="Times New Roman" w:hAnsi="Times New Roman" w:eastAsia="宋体" w:cs="宋体"/>
                <w:kern w:val="0"/>
                <w:sz w:val="24"/>
                <w:szCs w:val="24"/>
                <w:lang w:val="en-US" w:eastAsia="zh-CN" w:bidi="ar"/>
              </w:rPr>
              <w:t>表</w:t>
            </w:r>
            <w:r>
              <w:rPr>
                <w:rFonts w:hint="default" w:ascii="Times New Roman" w:hAnsi="Times New Roman" w:eastAsia="宋体" w:cs="Times New Roman"/>
                <w:kern w:val="0"/>
                <w:sz w:val="24"/>
                <w:szCs w:val="24"/>
                <w:lang w:val="en-US" w:eastAsia="zh-CN" w:bidi="ar"/>
              </w:rPr>
              <w:t>A.1</w:t>
            </w:r>
            <w:r>
              <w:rPr>
                <w:rFonts w:hint="eastAsia" w:ascii="Times New Roman" w:hAnsi="Times New Roman" w:eastAsia="宋体" w:cs="宋体"/>
                <w:kern w:val="0"/>
                <w:sz w:val="24"/>
                <w:szCs w:val="24"/>
                <w:lang w:val="en-US" w:eastAsia="zh-CN" w:bidi="ar"/>
              </w:rPr>
              <w:t>厂区内无组织排放限值，</w:t>
            </w:r>
            <w:r>
              <w:rPr>
                <w:rFonts w:hint="eastAsia" w:ascii="Times New Roman" w:hAnsi="Times New Roman" w:eastAsia="宋体" w:cs="宋体"/>
                <w:kern w:val="2"/>
                <w:sz w:val="24"/>
                <w:szCs w:val="24"/>
                <w:lang w:val="en-US" w:eastAsia="zh-CN" w:bidi="ar"/>
              </w:rPr>
              <w:t>同时满足</w:t>
            </w:r>
            <w:r>
              <w:rPr>
                <w:rFonts w:hint="eastAsia" w:ascii="Times New Roman" w:hAnsi="宋体" w:eastAsia="宋体" w:cs="宋体"/>
                <w:kern w:val="2"/>
                <w:sz w:val="24"/>
                <w:szCs w:val="24"/>
                <w:lang w:val="en-US" w:eastAsia="zh-CN" w:bidi="ar"/>
              </w:rPr>
              <w:t>《关于全省开展工业企业挥发性有机物专项治理工作中排放建议值的通知》（豫环攻坚办</w:t>
            </w:r>
            <w:r>
              <w:rPr>
                <w:rFonts w:hint="default" w:ascii="Times New Roman" w:hAnsi="宋体" w:eastAsia="宋体" w:cs="Times New Roman"/>
                <w:kern w:val="2"/>
                <w:sz w:val="24"/>
                <w:szCs w:val="24"/>
                <w:lang w:val="en-US" w:eastAsia="zh-CN" w:bidi="ar"/>
              </w:rPr>
              <w:t>[2017]162</w:t>
            </w:r>
            <w:r>
              <w:rPr>
                <w:rFonts w:hint="eastAsia" w:ascii="Times New Roman" w:hAnsi="宋体" w:eastAsia="宋体" w:cs="宋体"/>
                <w:kern w:val="2"/>
                <w:sz w:val="24"/>
                <w:szCs w:val="24"/>
                <w:lang w:val="en-US" w:eastAsia="zh-CN" w:bidi="ar"/>
              </w:rPr>
              <w:t>号）附件</w:t>
            </w:r>
            <w:r>
              <w:rPr>
                <w:rFonts w:hint="default" w:ascii="Times New Roman" w:hAnsi="宋体" w:eastAsia="宋体" w:cs="Times New Roman"/>
                <w:kern w:val="2"/>
                <w:sz w:val="24"/>
                <w:szCs w:val="24"/>
                <w:lang w:val="en-US" w:eastAsia="zh-CN" w:bidi="ar"/>
              </w:rPr>
              <w:t>3</w:t>
            </w:r>
            <w:r>
              <w:rPr>
                <w:rFonts w:hint="eastAsia" w:ascii="Times New Roman" w:hAnsi="宋体" w:eastAsia="宋体" w:cs="宋体"/>
                <w:kern w:val="2"/>
                <w:sz w:val="24"/>
                <w:szCs w:val="24"/>
                <w:lang w:val="en-US" w:eastAsia="zh-CN" w:bidi="ar"/>
              </w:rPr>
              <w:t>中：</w:t>
            </w:r>
            <w:r>
              <w:rPr>
                <w:rFonts w:hint="default" w:ascii="Times New Roman" w:hAnsi="宋体" w:eastAsia="宋体" w:cs="Times New Roman"/>
                <w:kern w:val="2"/>
                <w:sz w:val="24"/>
                <w:szCs w:val="24"/>
                <w:lang w:val="en-US" w:eastAsia="zh-CN" w:bidi="ar"/>
              </w:rPr>
              <w:t>4.0</w:t>
            </w:r>
            <w:r>
              <w:rPr>
                <w:rFonts w:hint="default" w:ascii="Times New Roman" w:hAnsi="Times New Roman" w:eastAsia="宋体" w:cs="Times New Roman"/>
                <w:kern w:val="2"/>
                <w:sz w:val="24"/>
                <w:szCs w:val="24"/>
                <w:lang w:val="en-US" w:eastAsia="zh-CN" w:bidi="ar"/>
              </w:rPr>
              <w:t>mg/m</w:t>
            </w:r>
            <w:r>
              <w:rPr>
                <w:rFonts w:hint="default" w:ascii="Times New Roman" w:hAnsi="Times New Roman" w:eastAsia="宋体" w:cs="Times New Roman"/>
                <w:kern w:val="2"/>
                <w:sz w:val="24"/>
                <w:szCs w:val="24"/>
                <w:vertAlign w:val="superscript"/>
                <w:lang w:val="en-US" w:eastAsia="zh-CN" w:bidi="ar"/>
              </w:rPr>
              <w:t>3</w:t>
            </w:r>
            <w:r>
              <w:rPr>
                <w:rFonts w:hint="eastAsia" w:ascii="Times New Roman" w:hAnsi="Times New Roman" w:eastAsia="宋体" w:cs="宋体"/>
                <w:kern w:val="0"/>
                <w:sz w:val="24"/>
                <w:szCs w:val="24"/>
                <w:lang w:val="en-US" w:eastAsia="zh-CN" w:bidi="ar"/>
              </w:rPr>
              <w:t>。</w:t>
            </w:r>
          </w:p>
          <w:p w14:paraId="038E6E48">
            <w:pPr>
              <w:keepNext w:val="0"/>
              <w:keepLines w:val="0"/>
              <w:pageBreakBefore w:val="0"/>
              <w:widowControl/>
              <w:numPr>
                <w:ilvl w:val="0"/>
                <w:numId w:val="0"/>
              </w:numPr>
              <w:suppressLineNumbers w:val="0"/>
              <w:kinsoku/>
              <w:wordWrap/>
              <w:overflowPunct/>
              <w:topLinePunct w:val="0"/>
              <w:autoSpaceDE/>
              <w:autoSpaceDN/>
              <w:bidi w:val="0"/>
              <w:adjustRightInd w:val="0"/>
              <w:snapToGrid/>
              <w:spacing w:before="0" w:beforeAutospacing="0" w:after="0" w:afterAutospacing="0" w:line="520" w:lineRule="exact"/>
              <w:ind w:left="0" w:right="0"/>
              <w:jc w:val="center"/>
              <w:textAlignment w:val="auto"/>
              <w:rPr>
                <w:rFonts w:hint="default" w:eastAsia="黑体" w:cs="Times New Roman"/>
                <w:b w:val="0"/>
                <w:bCs w:val="0"/>
                <w:color w:val="000000" w:themeColor="text1"/>
                <w:sz w:val="24"/>
                <w:szCs w:val="24"/>
                <w:highlight w:val="none"/>
                <w:lang w:val="en-US" w:eastAsia="zh-CN"/>
                <w14:textFill>
                  <w14:solidFill>
                    <w14:schemeClr w14:val="tx1"/>
                  </w14:solidFill>
                </w14:textFill>
              </w:rPr>
            </w:pPr>
            <w:r>
              <w:rPr>
                <w:rFonts w:hint="eastAsia" w:eastAsia="黑体" w:cs="Times New Roman"/>
                <w:b w:val="0"/>
                <w:bCs w:val="0"/>
                <w:color w:val="000000" w:themeColor="text1"/>
                <w:sz w:val="24"/>
                <w:szCs w:val="24"/>
                <w:highlight w:val="none"/>
                <w:lang w:val="en-US" w:eastAsia="zh-CN"/>
                <w14:textFill>
                  <w14:solidFill>
                    <w14:schemeClr w14:val="tx1"/>
                  </w14:solidFill>
                </w14:textFill>
              </w:rPr>
              <w:t>表3-4</w:t>
            </w:r>
            <w:r>
              <w:rPr>
                <w:rFonts w:hint="default" w:eastAsia="黑体" w:cs="Times New Roman"/>
                <w:b w:val="0"/>
                <w:bCs w:val="0"/>
                <w:color w:val="000000" w:themeColor="text1"/>
                <w:sz w:val="24"/>
                <w:szCs w:val="24"/>
                <w:highlight w:val="none"/>
                <w:lang w:val="en-US" w:eastAsia="zh-CN"/>
                <w14:textFill>
                  <w14:solidFill>
                    <w14:schemeClr w14:val="tx1"/>
                  </w14:solidFill>
                </w14:textFill>
              </w:rPr>
              <w:t xml:space="preserve"> </w:t>
            </w:r>
            <w:r>
              <w:rPr>
                <w:rFonts w:hint="eastAsia" w:eastAsia="黑体" w:cs="Times New Roman"/>
                <w:b w:val="0"/>
                <w:bCs w:val="0"/>
                <w:color w:val="000000" w:themeColor="text1"/>
                <w:sz w:val="24"/>
                <w:szCs w:val="24"/>
                <w:highlight w:val="none"/>
                <w:lang w:val="en-US" w:eastAsia="zh-CN"/>
                <w14:textFill>
                  <w14:solidFill>
                    <w14:schemeClr w14:val="tx1"/>
                  </w14:solidFill>
                </w14:textFill>
              </w:rPr>
              <w:t xml:space="preserve"> 本项目废气污染物执行排放标准</w:t>
            </w:r>
            <w:r>
              <w:rPr>
                <w:rFonts w:hint="default" w:eastAsia="黑体" w:cs="Times New Roman"/>
                <w:b w:val="0"/>
                <w:bCs w:val="0"/>
                <w:color w:val="000000" w:themeColor="text1"/>
                <w:sz w:val="24"/>
                <w:szCs w:val="24"/>
                <w:highlight w:val="none"/>
                <w:lang w:val="en-US" w:eastAsia="zh-CN"/>
                <w14:textFill>
                  <w14:solidFill>
                    <w14:schemeClr w14:val="tx1"/>
                  </w14:solidFill>
                </w14:textFill>
              </w:rPr>
              <w:t>一览表</w:t>
            </w:r>
          </w:p>
          <w:tbl>
            <w:tblPr>
              <w:tblStyle w:val="25"/>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952"/>
              <w:gridCol w:w="1147"/>
              <w:gridCol w:w="1930"/>
              <w:gridCol w:w="4187"/>
            </w:tblGrid>
            <w:tr w14:paraId="547CEA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20" w:hRule="atLeast"/>
              </w:trPr>
              <w:tc>
                <w:tcPr>
                  <w:tcW w:w="579" w:type="pct"/>
                  <w:tcBorders>
                    <w:tl2br w:val="nil"/>
                    <w:tr2bl w:val="nil"/>
                  </w:tcBorders>
                  <w:shd w:val="clear" w:color="auto" w:fill="auto"/>
                  <w:vAlign w:val="center"/>
                </w:tcPr>
                <w:p w14:paraId="6EFD117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lang w:val="en-US"/>
                    </w:rPr>
                  </w:pPr>
                  <w:r>
                    <w:rPr>
                      <w:rFonts w:hint="eastAsia" w:ascii="Times New Roman" w:hAnsi="Times New Roman" w:eastAsia="宋体" w:cs="宋体"/>
                      <w:b w:val="0"/>
                      <w:bCs/>
                      <w:kern w:val="2"/>
                      <w:sz w:val="21"/>
                      <w:szCs w:val="24"/>
                      <w:lang w:val="en-US" w:eastAsia="zh-CN" w:bidi="ar"/>
                    </w:rPr>
                    <w:t>类别</w:t>
                  </w:r>
                </w:p>
              </w:tc>
              <w:tc>
                <w:tcPr>
                  <w:tcW w:w="698" w:type="pct"/>
                  <w:tcBorders>
                    <w:tl2br w:val="nil"/>
                    <w:tr2bl w:val="nil"/>
                  </w:tcBorders>
                  <w:shd w:val="clear" w:color="auto" w:fill="auto"/>
                  <w:vAlign w:val="center"/>
                </w:tcPr>
                <w:p w14:paraId="5C48106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lang w:val="en-US"/>
                    </w:rPr>
                  </w:pPr>
                  <w:r>
                    <w:rPr>
                      <w:rFonts w:hint="eastAsia" w:ascii="Times New Roman" w:hAnsi="Times New Roman" w:eastAsia="宋体" w:cs="宋体"/>
                      <w:b w:val="0"/>
                      <w:bCs/>
                      <w:kern w:val="2"/>
                      <w:sz w:val="21"/>
                      <w:szCs w:val="24"/>
                      <w:lang w:val="en-US" w:eastAsia="zh-CN" w:bidi="ar"/>
                    </w:rPr>
                    <w:t>污染因子</w:t>
                  </w:r>
                </w:p>
              </w:tc>
              <w:tc>
                <w:tcPr>
                  <w:tcW w:w="1174" w:type="pct"/>
                  <w:tcBorders>
                    <w:tl2br w:val="nil"/>
                    <w:tr2bl w:val="nil"/>
                  </w:tcBorders>
                  <w:shd w:val="clear" w:color="auto" w:fill="auto"/>
                  <w:vAlign w:val="center"/>
                </w:tcPr>
                <w:p w14:paraId="4B073E4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lang w:val="en-US"/>
                    </w:rPr>
                  </w:pPr>
                  <w:r>
                    <w:rPr>
                      <w:rFonts w:hint="eastAsia" w:ascii="Times New Roman" w:hAnsi="Times New Roman" w:eastAsia="宋体" w:cs="宋体"/>
                      <w:b w:val="0"/>
                      <w:bCs/>
                      <w:kern w:val="2"/>
                      <w:sz w:val="21"/>
                      <w:szCs w:val="24"/>
                      <w:lang w:val="en-US" w:eastAsia="zh-CN" w:bidi="ar"/>
                    </w:rPr>
                    <w:t>标准限值</w:t>
                  </w:r>
                </w:p>
              </w:tc>
              <w:tc>
                <w:tcPr>
                  <w:tcW w:w="2547" w:type="pct"/>
                  <w:tcBorders>
                    <w:tl2br w:val="nil"/>
                    <w:tr2bl w:val="nil"/>
                  </w:tcBorders>
                  <w:shd w:val="clear" w:color="auto" w:fill="auto"/>
                  <w:vAlign w:val="center"/>
                </w:tcPr>
                <w:p w14:paraId="2E9DD37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lang w:val="en-US"/>
                    </w:rPr>
                  </w:pPr>
                  <w:r>
                    <w:rPr>
                      <w:rFonts w:hint="eastAsia" w:ascii="Times New Roman" w:hAnsi="Times New Roman" w:eastAsia="宋体" w:cs="宋体"/>
                      <w:b w:val="0"/>
                      <w:bCs/>
                      <w:kern w:val="2"/>
                      <w:sz w:val="21"/>
                      <w:szCs w:val="24"/>
                      <w:lang w:val="en-US" w:eastAsia="zh-CN" w:bidi="ar"/>
                    </w:rPr>
                    <w:t>名称</w:t>
                  </w:r>
                </w:p>
              </w:tc>
            </w:tr>
            <w:tr w14:paraId="78ED74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579" w:type="pct"/>
                  <w:vMerge w:val="restart"/>
                  <w:tcBorders>
                    <w:tl2br w:val="nil"/>
                    <w:tr2bl w:val="nil"/>
                  </w:tcBorders>
                  <w:shd w:val="clear" w:color="auto" w:fill="auto"/>
                  <w:vAlign w:val="center"/>
                </w:tcPr>
                <w:p w14:paraId="6521F08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eastAsia="宋体"/>
                      <w:lang w:val="en-US" w:eastAsia="zh-CN"/>
                    </w:rPr>
                  </w:pPr>
                  <w:r>
                    <w:rPr>
                      <w:rFonts w:hint="eastAsia"/>
                      <w:lang w:val="en-US" w:eastAsia="zh-CN"/>
                    </w:rPr>
                    <w:t>有组织废气</w:t>
                  </w:r>
                </w:p>
              </w:tc>
              <w:tc>
                <w:tcPr>
                  <w:tcW w:w="698" w:type="pct"/>
                  <w:vMerge w:val="restart"/>
                  <w:tcBorders>
                    <w:tl2br w:val="nil"/>
                    <w:tr2bl w:val="nil"/>
                  </w:tcBorders>
                  <w:shd w:val="clear" w:color="auto" w:fill="auto"/>
                  <w:vAlign w:val="center"/>
                </w:tcPr>
                <w:p w14:paraId="5C93E7E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szCs w:val="21"/>
                      <w:lang w:val="en-US"/>
                    </w:rPr>
                  </w:pPr>
                  <w:r>
                    <w:rPr>
                      <w:rFonts w:hint="eastAsia" w:ascii="Times New Roman" w:hAnsi="Times New Roman" w:eastAsia="宋体" w:cs="宋体"/>
                      <w:kern w:val="2"/>
                      <w:sz w:val="21"/>
                      <w:szCs w:val="24"/>
                      <w:lang w:val="en-US" w:eastAsia="zh-CN" w:bidi="ar"/>
                    </w:rPr>
                    <w:t>非甲烷总烃</w:t>
                  </w:r>
                </w:p>
              </w:tc>
              <w:tc>
                <w:tcPr>
                  <w:tcW w:w="1174" w:type="pct"/>
                  <w:tcBorders>
                    <w:tl2br w:val="nil"/>
                    <w:tr2bl w:val="nil"/>
                  </w:tcBorders>
                  <w:shd w:val="clear" w:color="auto" w:fill="auto"/>
                  <w:vAlign w:val="center"/>
                </w:tcPr>
                <w:p w14:paraId="25AF6E3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default"/>
                      <w:bCs/>
                      <w:sz w:val="24"/>
                      <w:szCs w:val="24"/>
                      <w:vertAlign w:val="superscript"/>
                      <w:lang w:val="en-US"/>
                    </w:rPr>
                  </w:pPr>
                  <w:r>
                    <w:rPr>
                      <w:rFonts w:hint="default" w:ascii="Times New Roman" w:hAnsi="Times New Roman" w:eastAsia="宋体" w:cs="Times New Roman"/>
                      <w:kern w:val="2"/>
                      <w:sz w:val="21"/>
                      <w:szCs w:val="21"/>
                      <w:lang w:val="en-US" w:eastAsia="zh-CN" w:bidi="ar"/>
                    </w:rPr>
                    <w:t>60</w:t>
                  </w:r>
                  <w:r>
                    <w:rPr>
                      <w:rFonts w:hint="default" w:ascii="Times New Roman" w:hAnsi="Times New Roman" w:eastAsia="宋体" w:cs="Times New Roman"/>
                      <w:bCs/>
                      <w:kern w:val="2"/>
                      <w:sz w:val="21"/>
                      <w:szCs w:val="21"/>
                      <w:lang w:val="en-US" w:eastAsia="zh-CN" w:bidi="ar"/>
                    </w:rPr>
                    <w:t>mg/m</w:t>
                  </w:r>
                  <w:r>
                    <w:rPr>
                      <w:rFonts w:hint="default" w:ascii="Times New Roman" w:hAnsi="Times New Roman" w:eastAsia="宋体" w:cs="Times New Roman"/>
                      <w:bCs/>
                      <w:kern w:val="2"/>
                      <w:sz w:val="21"/>
                      <w:szCs w:val="21"/>
                      <w:vertAlign w:val="superscript"/>
                      <w:lang w:val="en-US" w:eastAsia="zh-CN" w:bidi="ar"/>
                    </w:rPr>
                    <w:t>3</w:t>
                  </w:r>
                </w:p>
              </w:tc>
              <w:tc>
                <w:tcPr>
                  <w:tcW w:w="2547" w:type="pct"/>
                  <w:tcBorders>
                    <w:tl2br w:val="nil"/>
                    <w:tr2bl w:val="nil"/>
                  </w:tcBorders>
                  <w:shd w:val="clear" w:color="auto" w:fill="auto"/>
                  <w:vAlign w:val="center"/>
                </w:tcPr>
                <w:p w14:paraId="6562EE5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default"/>
                      <w:szCs w:val="21"/>
                      <w:lang w:val="en-US"/>
                    </w:rPr>
                  </w:pPr>
                  <w:r>
                    <w:rPr>
                      <w:rFonts w:hint="eastAsia" w:ascii="Times New Roman" w:hAnsi="Times New Roman" w:eastAsia="宋体" w:cs="宋体"/>
                      <w:kern w:val="2"/>
                      <w:sz w:val="21"/>
                      <w:szCs w:val="21"/>
                      <w:lang w:val="en-US" w:eastAsia="zh-CN" w:bidi="ar"/>
                    </w:rPr>
                    <w:t>《合成树脂工业污染物排放标准》（</w:t>
                  </w:r>
                  <w:r>
                    <w:rPr>
                      <w:rFonts w:hint="default" w:ascii="Times New Roman" w:hAnsi="Times New Roman" w:eastAsia="宋体" w:cs="Times New Roman"/>
                      <w:kern w:val="2"/>
                      <w:sz w:val="21"/>
                      <w:szCs w:val="21"/>
                      <w:lang w:val="en-US" w:eastAsia="zh-CN" w:bidi="ar"/>
                    </w:rPr>
                    <w:t>GB31572-2015</w:t>
                  </w:r>
                  <w:r>
                    <w:rPr>
                      <w:rFonts w:hint="eastAsia" w:ascii="Times New Roman" w:hAnsi="Times New Roman" w:eastAsia="宋体" w:cs="宋体"/>
                      <w:kern w:val="2"/>
                      <w:sz w:val="21"/>
                      <w:szCs w:val="21"/>
                      <w:lang w:val="en-US" w:eastAsia="zh-CN" w:bidi="ar"/>
                    </w:rPr>
                    <w:t>）表</w:t>
                  </w:r>
                  <w:r>
                    <w:rPr>
                      <w:rFonts w:hint="default" w:ascii="Times New Roman" w:hAnsi="Times New Roman" w:eastAsia="宋体" w:cs="Times New Roman"/>
                      <w:kern w:val="2"/>
                      <w:sz w:val="21"/>
                      <w:szCs w:val="21"/>
                      <w:lang w:val="en-US" w:eastAsia="zh-CN" w:bidi="ar"/>
                    </w:rPr>
                    <w:t>5</w:t>
                  </w:r>
                </w:p>
              </w:tc>
            </w:tr>
            <w:tr w14:paraId="462CE1A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579" w:type="pct"/>
                  <w:vMerge w:val="continue"/>
                  <w:tcBorders>
                    <w:tl2br w:val="nil"/>
                    <w:tr2bl w:val="nil"/>
                  </w:tcBorders>
                  <w:shd w:val="clear" w:color="auto" w:fill="auto"/>
                  <w:vAlign w:val="center"/>
                </w:tcPr>
                <w:p w14:paraId="3B3F6BD7">
                  <w:pPr>
                    <w:keepNext w:val="0"/>
                    <w:keepLines w:val="0"/>
                    <w:pageBreakBefore w:val="0"/>
                    <w:suppressLineNumbers w:val="0"/>
                    <w:kinsoku/>
                    <w:wordWrap/>
                    <w:overflowPunct/>
                    <w:topLinePunct w:val="0"/>
                    <w:autoSpaceDE/>
                    <w:autoSpaceDN/>
                    <w:bidi w:val="0"/>
                    <w:spacing w:before="0" w:beforeAutospacing="0" w:after="0" w:afterAutospacing="0" w:line="360" w:lineRule="exact"/>
                    <w:ind w:left="0" w:right="0"/>
                    <w:textAlignment w:val="auto"/>
                    <w:rPr>
                      <w:rFonts w:hint="default" w:ascii="Times New Roman" w:hAnsi="Times New Roman" w:eastAsia="Times New Roman" w:cs="Times New Roman"/>
                      <w:sz w:val="20"/>
                      <w:szCs w:val="20"/>
                    </w:rPr>
                  </w:pPr>
                </w:p>
              </w:tc>
              <w:tc>
                <w:tcPr>
                  <w:tcW w:w="698" w:type="pct"/>
                  <w:vMerge w:val="continue"/>
                  <w:tcBorders>
                    <w:tl2br w:val="nil"/>
                    <w:tr2bl w:val="nil"/>
                  </w:tcBorders>
                  <w:shd w:val="clear" w:color="auto" w:fill="auto"/>
                  <w:vAlign w:val="center"/>
                </w:tcPr>
                <w:p w14:paraId="38F338C7">
                  <w:pPr>
                    <w:keepNext w:val="0"/>
                    <w:keepLines w:val="0"/>
                    <w:pageBreakBefore w:val="0"/>
                    <w:suppressLineNumbers w:val="0"/>
                    <w:kinsoku/>
                    <w:wordWrap/>
                    <w:overflowPunct/>
                    <w:topLinePunct w:val="0"/>
                    <w:autoSpaceDE/>
                    <w:autoSpaceDN/>
                    <w:bidi w:val="0"/>
                    <w:spacing w:before="0" w:beforeAutospacing="0" w:after="0" w:afterAutospacing="0" w:line="360" w:lineRule="exact"/>
                    <w:ind w:left="0" w:right="0"/>
                    <w:textAlignment w:val="auto"/>
                    <w:rPr>
                      <w:rFonts w:hint="default" w:ascii="Times New Roman" w:hAnsi="Times New Roman" w:eastAsia="Times New Roman" w:cs="Times New Roman"/>
                      <w:sz w:val="20"/>
                      <w:szCs w:val="20"/>
                    </w:rPr>
                  </w:pPr>
                </w:p>
              </w:tc>
              <w:tc>
                <w:tcPr>
                  <w:tcW w:w="1174" w:type="pct"/>
                  <w:tcBorders>
                    <w:tl2br w:val="nil"/>
                    <w:tr2bl w:val="nil"/>
                  </w:tcBorders>
                  <w:shd w:val="clear" w:color="auto" w:fill="auto"/>
                  <w:vAlign w:val="center"/>
                </w:tcPr>
                <w:p w14:paraId="590D51B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default"/>
                      <w:szCs w:val="21"/>
                      <w:lang w:val="en-US"/>
                    </w:rPr>
                  </w:pPr>
                  <w:r>
                    <w:rPr>
                      <w:rFonts w:hint="default" w:ascii="Times New Roman" w:hAnsi="Times New Roman" w:eastAsia="宋体" w:cs="Times New Roman"/>
                      <w:kern w:val="2"/>
                      <w:sz w:val="21"/>
                      <w:szCs w:val="21"/>
                      <w:lang w:val="en-US" w:eastAsia="zh-CN" w:bidi="ar"/>
                    </w:rPr>
                    <w:t>2</w:t>
                  </w:r>
                  <w:r>
                    <w:rPr>
                      <w:rFonts w:hint="default" w:ascii="Times New Roman" w:hAnsi="Times New Roman" w:eastAsia="宋体" w:cs="Times New Roman"/>
                      <w:bCs/>
                      <w:kern w:val="2"/>
                      <w:sz w:val="21"/>
                      <w:szCs w:val="21"/>
                      <w:lang w:val="en-US" w:eastAsia="zh-CN" w:bidi="ar"/>
                    </w:rPr>
                    <w:t>0mg/m</w:t>
                  </w:r>
                  <w:r>
                    <w:rPr>
                      <w:rFonts w:hint="default" w:ascii="Times New Roman" w:hAnsi="Times New Roman" w:eastAsia="宋体" w:cs="Times New Roman"/>
                      <w:bCs/>
                      <w:kern w:val="2"/>
                      <w:sz w:val="21"/>
                      <w:szCs w:val="21"/>
                      <w:vertAlign w:val="superscript"/>
                      <w:lang w:val="en-US" w:eastAsia="zh-CN" w:bidi="ar"/>
                    </w:rPr>
                    <w:t>3</w:t>
                  </w:r>
                </w:p>
              </w:tc>
              <w:tc>
                <w:tcPr>
                  <w:tcW w:w="2547" w:type="pct"/>
                  <w:tcBorders>
                    <w:tl2br w:val="nil"/>
                    <w:tr2bl w:val="nil"/>
                  </w:tcBorders>
                  <w:shd w:val="clear" w:color="auto" w:fill="auto"/>
                  <w:vAlign w:val="center"/>
                </w:tcPr>
                <w:p w14:paraId="02F065F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default"/>
                      <w:szCs w:val="21"/>
                      <w:lang w:val="en-US"/>
                    </w:rPr>
                  </w:pPr>
                  <w:r>
                    <w:rPr>
                      <w:rFonts w:hint="eastAsia" w:ascii="Times New Roman" w:hAnsi="Times New Roman" w:eastAsia="宋体" w:cs="宋体"/>
                      <w:kern w:val="2"/>
                      <w:sz w:val="21"/>
                      <w:szCs w:val="21"/>
                      <w:lang w:val="en-US" w:eastAsia="zh-CN" w:bidi="ar"/>
                    </w:rPr>
                    <w:t>《河南省重污染天气重点行业应急减排措施制定技术指南（</w:t>
                  </w:r>
                  <w:r>
                    <w:rPr>
                      <w:rFonts w:hint="default" w:ascii="Times New Roman" w:hAnsi="Times New Roman" w:eastAsia="宋体" w:cs="Times New Roman"/>
                      <w:kern w:val="2"/>
                      <w:sz w:val="21"/>
                      <w:szCs w:val="21"/>
                      <w:lang w:val="en-US" w:eastAsia="zh-CN" w:bidi="ar"/>
                    </w:rPr>
                    <w:t>2024</w:t>
                  </w:r>
                  <w:r>
                    <w:rPr>
                      <w:rFonts w:hint="eastAsia" w:ascii="Times New Roman" w:hAnsi="Times New Roman" w:eastAsia="宋体" w:cs="宋体"/>
                      <w:kern w:val="2"/>
                      <w:sz w:val="21"/>
                      <w:szCs w:val="21"/>
                      <w:lang w:val="en-US" w:eastAsia="zh-CN" w:bidi="ar"/>
                    </w:rPr>
                    <w:t>年修订版）》中塑料制品企业绩效分级</w:t>
                  </w:r>
                  <w:r>
                    <w:rPr>
                      <w:rFonts w:hint="default" w:ascii="Times New Roman" w:hAnsi="Times New Roman" w:eastAsia="宋体" w:cs="Times New Roman"/>
                      <w:kern w:val="2"/>
                      <w:sz w:val="21"/>
                      <w:szCs w:val="21"/>
                      <w:lang w:val="en-US" w:eastAsia="zh-CN" w:bidi="ar"/>
                    </w:rPr>
                    <w:t>A</w:t>
                  </w:r>
                  <w:r>
                    <w:rPr>
                      <w:rFonts w:hint="eastAsia" w:ascii="Times New Roman" w:hAnsi="Times New Roman" w:eastAsia="宋体" w:cs="宋体"/>
                      <w:kern w:val="2"/>
                      <w:sz w:val="21"/>
                      <w:szCs w:val="21"/>
                      <w:lang w:val="en-US" w:eastAsia="zh-CN" w:bidi="ar"/>
                    </w:rPr>
                    <w:t>级企业</w:t>
                  </w:r>
                </w:p>
              </w:tc>
            </w:tr>
            <w:tr w14:paraId="5C4CAE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579" w:type="pct"/>
                  <w:vMerge w:val="restart"/>
                  <w:tcBorders>
                    <w:tl2br w:val="nil"/>
                    <w:tr2bl w:val="nil"/>
                  </w:tcBorders>
                  <w:shd w:val="clear" w:color="auto" w:fill="auto"/>
                  <w:vAlign w:val="center"/>
                </w:tcPr>
                <w:p w14:paraId="185CAA6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lang w:val="en-US"/>
                    </w:rPr>
                  </w:pPr>
                  <w:r>
                    <w:rPr>
                      <w:rFonts w:hint="eastAsia" w:ascii="Times New Roman" w:hAnsi="Times New Roman" w:eastAsia="宋体" w:cs="宋体"/>
                      <w:kern w:val="2"/>
                      <w:sz w:val="21"/>
                      <w:szCs w:val="24"/>
                      <w:lang w:val="en-US" w:eastAsia="zh-CN" w:bidi="ar"/>
                    </w:rPr>
                    <w:t>厂界无组织</w:t>
                  </w:r>
                </w:p>
              </w:tc>
              <w:tc>
                <w:tcPr>
                  <w:tcW w:w="698" w:type="pct"/>
                  <w:vMerge w:val="restart"/>
                  <w:tcBorders>
                    <w:tl2br w:val="nil"/>
                    <w:tr2bl w:val="nil"/>
                  </w:tcBorders>
                  <w:shd w:val="clear" w:color="auto" w:fill="auto"/>
                  <w:vAlign w:val="center"/>
                </w:tcPr>
                <w:p w14:paraId="7805D0E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lang w:val="en-US"/>
                    </w:rPr>
                  </w:pPr>
                  <w:r>
                    <w:rPr>
                      <w:rFonts w:hint="eastAsia" w:ascii="Times New Roman" w:hAnsi="Times New Roman" w:eastAsia="宋体" w:cs="宋体"/>
                      <w:kern w:val="2"/>
                      <w:sz w:val="21"/>
                      <w:szCs w:val="24"/>
                      <w:lang w:val="en-US" w:eastAsia="zh-CN" w:bidi="ar"/>
                    </w:rPr>
                    <w:t>颗粒物</w:t>
                  </w:r>
                </w:p>
              </w:tc>
              <w:tc>
                <w:tcPr>
                  <w:tcW w:w="1174" w:type="pct"/>
                  <w:tcBorders>
                    <w:tl2br w:val="nil"/>
                    <w:tr2bl w:val="nil"/>
                  </w:tcBorders>
                  <w:shd w:val="clear" w:color="auto" w:fill="auto"/>
                  <w:vAlign w:val="center"/>
                </w:tcPr>
                <w:p w14:paraId="648462A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szCs w:val="21"/>
                      <w:lang w:val="en-US"/>
                    </w:rPr>
                  </w:pPr>
                  <w:r>
                    <w:rPr>
                      <w:rFonts w:hint="default" w:ascii="Times New Roman" w:hAnsi="Times New Roman" w:eastAsia="宋体" w:cs="Times New Roman"/>
                      <w:kern w:val="2"/>
                      <w:sz w:val="21"/>
                      <w:szCs w:val="21"/>
                      <w:lang w:val="en-US" w:eastAsia="zh-CN" w:bidi="ar"/>
                    </w:rPr>
                    <w:t>1.0mg/m</w:t>
                  </w:r>
                  <w:r>
                    <w:rPr>
                      <w:rFonts w:hint="default" w:ascii="Times New Roman" w:hAnsi="Times New Roman" w:eastAsia="宋体" w:cs="Times New Roman"/>
                      <w:kern w:val="2"/>
                      <w:sz w:val="21"/>
                      <w:szCs w:val="21"/>
                      <w:vertAlign w:val="superscript"/>
                      <w:lang w:val="en-US" w:eastAsia="zh-CN" w:bidi="ar"/>
                    </w:rPr>
                    <w:t>3</w:t>
                  </w:r>
                </w:p>
              </w:tc>
              <w:tc>
                <w:tcPr>
                  <w:tcW w:w="2547" w:type="pct"/>
                  <w:tcBorders>
                    <w:tl2br w:val="nil"/>
                    <w:tr2bl w:val="nil"/>
                  </w:tcBorders>
                  <w:shd w:val="clear" w:color="auto" w:fill="auto"/>
                  <w:vAlign w:val="center"/>
                </w:tcPr>
                <w:p w14:paraId="7201820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szCs w:val="21"/>
                      <w:lang w:val="zh-CN"/>
                    </w:rPr>
                  </w:pPr>
                  <w:r>
                    <w:rPr>
                      <w:rFonts w:hint="eastAsia" w:ascii="Times New Roman" w:hAnsi="Times New Roman" w:eastAsia="宋体" w:cs="宋体"/>
                      <w:kern w:val="2"/>
                      <w:sz w:val="21"/>
                      <w:szCs w:val="21"/>
                      <w:lang w:val="en-US" w:eastAsia="zh-CN" w:bidi="ar"/>
                    </w:rPr>
                    <w:t>《合成树脂工业污染物排放标准》（</w:t>
                  </w:r>
                  <w:r>
                    <w:rPr>
                      <w:rFonts w:hint="default" w:ascii="Times New Roman" w:hAnsi="Times New Roman" w:eastAsia="宋体" w:cs="Times New Roman"/>
                      <w:kern w:val="2"/>
                      <w:sz w:val="21"/>
                      <w:szCs w:val="21"/>
                      <w:lang w:val="en-US" w:eastAsia="zh-CN" w:bidi="ar"/>
                    </w:rPr>
                    <w:t>GB31572-2015</w:t>
                  </w:r>
                  <w:r>
                    <w:rPr>
                      <w:rFonts w:hint="eastAsia" w:ascii="Times New Roman" w:hAnsi="Times New Roman" w:eastAsia="宋体" w:cs="宋体"/>
                      <w:kern w:val="2"/>
                      <w:sz w:val="21"/>
                      <w:szCs w:val="21"/>
                      <w:lang w:val="en-US" w:eastAsia="zh-CN" w:bidi="ar"/>
                    </w:rPr>
                    <w:t>）表</w:t>
                  </w:r>
                  <w:r>
                    <w:rPr>
                      <w:rFonts w:hint="default" w:ascii="Times New Roman" w:hAnsi="Times New Roman" w:eastAsia="宋体" w:cs="Times New Roman"/>
                      <w:kern w:val="2"/>
                      <w:sz w:val="21"/>
                      <w:szCs w:val="21"/>
                      <w:lang w:val="en-US" w:eastAsia="zh-CN" w:bidi="ar"/>
                    </w:rPr>
                    <w:t>9</w:t>
                  </w:r>
                </w:p>
              </w:tc>
            </w:tr>
            <w:tr w14:paraId="5E33D8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579" w:type="pct"/>
                  <w:vMerge w:val="continue"/>
                  <w:tcBorders>
                    <w:tl2br w:val="nil"/>
                    <w:tr2bl w:val="nil"/>
                  </w:tcBorders>
                  <w:shd w:val="clear" w:color="auto" w:fill="auto"/>
                  <w:vAlign w:val="center"/>
                </w:tcPr>
                <w:p w14:paraId="19F5B7F6">
                  <w:pPr>
                    <w:keepNext w:val="0"/>
                    <w:keepLines w:val="0"/>
                    <w:pageBreakBefore w:val="0"/>
                    <w:suppressLineNumbers w:val="0"/>
                    <w:kinsoku/>
                    <w:wordWrap/>
                    <w:overflowPunct/>
                    <w:topLinePunct w:val="0"/>
                    <w:autoSpaceDE/>
                    <w:autoSpaceDN/>
                    <w:bidi w:val="0"/>
                    <w:spacing w:before="0" w:beforeAutospacing="0" w:after="0" w:afterAutospacing="0" w:line="360" w:lineRule="exact"/>
                    <w:ind w:left="0" w:right="0"/>
                    <w:textAlignment w:val="auto"/>
                    <w:rPr>
                      <w:rFonts w:hint="default" w:ascii="Times New Roman" w:hAnsi="Times New Roman" w:eastAsia="Times New Roman" w:cs="Times New Roman"/>
                      <w:sz w:val="20"/>
                      <w:szCs w:val="20"/>
                    </w:rPr>
                  </w:pPr>
                </w:p>
              </w:tc>
              <w:tc>
                <w:tcPr>
                  <w:tcW w:w="698" w:type="pct"/>
                  <w:vMerge w:val="continue"/>
                  <w:tcBorders>
                    <w:tl2br w:val="nil"/>
                    <w:tr2bl w:val="nil"/>
                  </w:tcBorders>
                  <w:shd w:val="clear" w:color="auto" w:fill="auto"/>
                  <w:vAlign w:val="center"/>
                </w:tcPr>
                <w:p w14:paraId="67CEA1C5">
                  <w:pPr>
                    <w:keepNext w:val="0"/>
                    <w:keepLines w:val="0"/>
                    <w:pageBreakBefore w:val="0"/>
                    <w:suppressLineNumbers w:val="0"/>
                    <w:kinsoku/>
                    <w:wordWrap/>
                    <w:overflowPunct/>
                    <w:topLinePunct w:val="0"/>
                    <w:autoSpaceDE/>
                    <w:autoSpaceDN/>
                    <w:bidi w:val="0"/>
                    <w:spacing w:before="0" w:beforeAutospacing="0" w:after="0" w:afterAutospacing="0" w:line="360" w:lineRule="exact"/>
                    <w:ind w:left="0" w:right="0"/>
                    <w:textAlignment w:val="auto"/>
                    <w:rPr>
                      <w:rFonts w:hint="default" w:ascii="Times New Roman" w:hAnsi="Times New Roman" w:eastAsia="Times New Roman" w:cs="Times New Roman"/>
                      <w:sz w:val="20"/>
                      <w:szCs w:val="20"/>
                    </w:rPr>
                  </w:pPr>
                </w:p>
              </w:tc>
              <w:tc>
                <w:tcPr>
                  <w:tcW w:w="1174" w:type="pct"/>
                  <w:tcBorders>
                    <w:tl2br w:val="nil"/>
                    <w:tr2bl w:val="nil"/>
                  </w:tcBorders>
                  <w:shd w:val="clear" w:color="auto" w:fill="auto"/>
                  <w:vAlign w:val="center"/>
                </w:tcPr>
                <w:p w14:paraId="1665B1F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szCs w:val="21"/>
                      <w:lang w:val="en-US"/>
                    </w:rPr>
                  </w:pPr>
                  <w:r>
                    <w:rPr>
                      <w:rFonts w:hint="default" w:ascii="Times New Roman" w:hAnsi="Times New Roman" w:eastAsia="宋体" w:cs="Times New Roman"/>
                      <w:kern w:val="2"/>
                      <w:sz w:val="21"/>
                      <w:szCs w:val="21"/>
                      <w:lang w:val="en-US" w:eastAsia="zh-CN" w:bidi="ar"/>
                    </w:rPr>
                    <w:t>0.5mg/m</w:t>
                  </w:r>
                  <w:r>
                    <w:rPr>
                      <w:rFonts w:hint="default" w:ascii="Times New Roman" w:hAnsi="Times New Roman" w:eastAsia="宋体" w:cs="Times New Roman"/>
                      <w:kern w:val="2"/>
                      <w:sz w:val="21"/>
                      <w:szCs w:val="21"/>
                      <w:vertAlign w:val="superscript"/>
                      <w:lang w:val="en-US" w:eastAsia="zh-CN" w:bidi="ar"/>
                    </w:rPr>
                    <w:t>3</w:t>
                  </w:r>
                </w:p>
              </w:tc>
              <w:tc>
                <w:tcPr>
                  <w:tcW w:w="2547" w:type="pct"/>
                  <w:tcBorders>
                    <w:tl2br w:val="nil"/>
                    <w:tr2bl w:val="nil"/>
                  </w:tcBorders>
                  <w:shd w:val="clear" w:color="auto" w:fill="auto"/>
                  <w:vAlign w:val="center"/>
                </w:tcPr>
                <w:p w14:paraId="732DAF5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szCs w:val="21"/>
                      <w:lang w:val="en-US"/>
                    </w:rPr>
                  </w:pPr>
                  <w:r>
                    <w:rPr>
                      <w:rFonts w:hint="eastAsia" w:ascii="Times New Roman" w:hAnsi="Times New Roman" w:eastAsia="宋体" w:cs="宋体"/>
                      <w:kern w:val="2"/>
                      <w:sz w:val="21"/>
                      <w:szCs w:val="21"/>
                      <w:lang w:val="en-US" w:eastAsia="zh-CN" w:bidi="ar"/>
                    </w:rPr>
                    <w:t>《安阳市</w:t>
                  </w:r>
                  <w:r>
                    <w:rPr>
                      <w:rFonts w:hint="default" w:ascii="Times New Roman" w:hAnsi="Times New Roman" w:eastAsia="宋体" w:cs="Times New Roman"/>
                      <w:kern w:val="2"/>
                      <w:sz w:val="21"/>
                      <w:szCs w:val="21"/>
                      <w:lang w:val="en-US" w:eastAsia="zh-CN" w:bidi="ar"/>
                    </w:rPr>
                    <w:t>2019</w:t>
                  </w:r>
                  <w:r>
                    <w:rPr>
                      <w:rFonts w:hint="eastAsia" w:ascii="Times New Roman" w:hAnsi="Times New Roman" w:eastAsia="宋体" w:cs="宋体"/>
                      <w:kern w:val="2"/>
                      <w:sz w:val="21"/>
                      <w:szCs w:val="21"/>
                      <w:lang w:val="en-US" w:eastAsia="zh-CN" w:bidi="ar"/>
                    </w:rPr>
                    <w:t>年工业大气污染治理</w:t>
                  </w:r>
                  <w:r>
                    <w:rPr>
                      <w:rFonts w:hint="default" w:ascii="Times New Roman" w:hAnsi="Times New Roman" w:eastAsia="宋体" w:cs="Times New Roman"/>
                      <w:kern w:val="2"/>
                      <w:sz w:val="21"/>
                      <w:szCs w:val="21"/>
                      <w:lang w:val="en-US" w:eastAsia="zh-CN" w:bidi="ar"/>
                    </w:rPr>
                    <w:t>5</w:t>
                  </w:r>
                  <w:r>
                    <w:rPr>
                      <w:rFonts w:hint="eastAsia" w:ascii="Times New Roman" w:hAnsi="Times New Roman" w:eastAsia="宋体" w:cs="宋体"/>
                      <w:kern w:val="2"/>
                      <w:sz w:val="21"/>
                      <w:szCs w:val="21"/>
                      <w:lang w:val="en-US" w:eastAsia="zh-CN" w:bidi="ar"/>
                    </w:rPr>
                    <w:t>个专项实施方案》（安环攻坚办</w:t>
                  </w:r>
                  <w:r>
                    <w:rPr>
                      <w:rFonts w:hint="default" w:ascii="Times New Roman" w:hAnsi="Times New Roman" w:eastAsia="宋体" w:cs="Times New Roman"/>
                      <w:kern w:val="2"/>
                      <w:sz w:val="21"/>
                      <w:szCs w:val="21"/>
                      <w:lang w:val="en-US" w:eastAsia="zh-CN" w:bidi="ar"/>
                    </w:rPr>
                    <w:t>[2019]196</w:t>
                  </w:r>
                  <w:r>
                    <w:rPr>
                      <w:rFonts w:hint="eastAsia" w:ascii="Times New Roman" w:hAnsi="Times New Roman" w:eastAsia="宋体" w:cs="宋体"/>
                      <w:kern w:val="2"/>
                      <w:sz w:val="21"/>
                      <w:szCs w:val="21"/>
                      <w:lang w:val="en-US" w:eastAsia="zh-CN" w:bidi="ar"/>
                    </w:rPr>
                    <w:t>号）</w:t>
                  </w:r>
                </w:p>
              </w:tc>
            </w:tr>
            <w:tr w14:paraId="530F1D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579" w:type="pct"/>
                  <w:vMerge w:val="continue"/>
                  <w:tcBorders>
                    <w:tl2br w:val="nil"/>
                    <w:tr2bl w:val="nil"/>
                  </w:tcBorders>
                  <w:shd w:val="clear" w:color="auto" w:fill="auto"/>
                  <w:vAlign w:val="center"/>
                </w:tcPr>
                <w:p w14:paraId="69B348CF">
                  <w:pPr>
                    <w:keepNext w:val="0"/>
                    <w:keepLines w:val="0"/>
                    <w:pageBreakBefore w:val="0"/>
                    <w:suppressLineNumbers w:val="0"/>
                    <w:kinsoku/>
                    <w:wordWrap/>
                    <w:overflowPunct/>
                    <w:topLinePunct w:val="0"/>
                    <w:autoSpaceDE/>
                    <w:autoSpaceDN/>
                    <w:bidi w:val="0"/>
                    <w:spacing w:before="0" w:beforeAutospacing="0" w:after="0" w:afterAutospacing="0" w:line="360" w:lineRule="exact"/>
                    <w:ind w:left="0" w:right="0"/>
                    <w:textAlignment w:val="auto"/>
                    <w:rPr>
                      <w:rFonts w:hint="default" w:ascii="Times New Roman" w:hAnsi="Times New Roman" w:eastAsia="Times New Roman" w:cs="Times New Roman"/>
                      <w:sz w:val="20"/>
                      <w:szCs w:val="20"/>
                    </w:rPr>
                  </w:pPr>
                </w:p>
              </w:tc>
              <w:tc>
                <w:tcPr>
                  <w:tcW w:w="698" w:type="pct"/>
                  <w:vMerge w:val="restart"/>
                  <w:tcBorders>
                    <w:tl2br w:val="nil"/>
                    <w:tr2bl w:val="nil"/>
                  </w:tcBorders>
                  <w:shd w:val="clear" w:color="auto" w:fill="auto"/>
                  <w:vAlign w:val="center"/>
                </w:tcPr>
                <w:p w14:paraId="6E48768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lang w:val="en-US"/>
                    </w:rPr>
                  </w:pPr>
                  <w:r>
                    <w:rPr>
                      <w:rFonts w:hint="eastAsia" w:ascii="Times New Roman" w:hAnsi="Times New Roman" w:eastAsia="宋体" w:cs="宋体"/>
                      <w:kern w:val="2"/>
                      <w:sz w:val="21"/>
                      <w:szCs w:val="24"/>
                      <w:lang w:val="en-US" w:eastAsia="zh-CN" w:bidi="ar"/>
                    </w:rPr>
                    <w:t>非甲烷总烃</w:t>
                  </w:r>
                </w:p>
              </w:tc>
              <w:tc>
                <w:tcPr>
                  <w:tcW w:w="1174" w:type="pct"/>
                  <w:tcBorders>
                    <w:tl2br w:val="nil"/>
                    <w:tr2bl w:val="nil"/>
                  </w:tcBorders>
                  <w:shd w:val="clear" w:color="auto" w:fill="auto"/>
                  <w:vAlign w:val="center"/>
                </w:tcPr>
                <w:p w14:paraId="72F24DB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szCs w:val="21"/>
                      <w:lang w:val="en-US"/>
                    </w:rPr>
                  </w:pPr>
                  <w:r>
                    <w:rPr>
                      <w:rFonts w:hint="default" w:ascii="Times New Roman" w:hAnsi="Times New Roman" w:eastAsia="宋体" w:cs="Times New Roman"/>
                      <w:kern w:val="2"/>
                      <w:sz w:val="21"/>
                      <w:szCs w:val="21"/>
                      <w:lang w:val="en-US" w:eastAsia="zh-CN" w:bidi="ar"/>
                    </w:rPr>
                    <w:t>4.0mg/m</w:t>
                  </w:r>
                  <w:r>
                    <w:rPr>
                      <w:rFonts w:hint="default" w:ascii="Times New Roman" w:hAnsi="Times New Roman" w:eastAsia="宋体" w:cs="Times New Roman"/>
                      <w:kern w:val="2"/>
                      <w:sz w:val="21"/>
                      <w:szCs w:val="21"/>
                      <w:vertAlign w:val="superscript"/>
                      <w:lang w:val="en-US" w:eastAsia="zh-CN" w:bidi="ar"/>
                    </w:rPr>
                    <w:t>3</w:t>
                  </w:r>
                </w:p>
              </w:tc>
              <w:tc>
                <w:tcPr>
                  <w:tcW w:w="2547" w:type="pct"/>
                  <w:tcBorders>
                    <w:tl2br w:val="nil"/>
                    <w:tr2bl w:val="nil"/>
                  </w:tcBorders>
                  <w:shd w:val="clear" w:color="auto" w:fill="auto"/>
                  <w:vAlign w:val="center"/>
                </w:tcPr>
                <w:p w14:paraId="77B19F2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szCs w:val="21"/>
                      <w:lang w:val="en-US"/>
                    </w:rPr>
                  </w:pPr>
                  <w:r>
                    <w:rPr>
                      <w:rFonts w:hint="eastAsia" w:ascii="Times New Roman" w:hAnsi="Times New Roman" w:eastAsia="宋体" w:cs="宋体"/>
                      <w:kern w:val="2"/>
                      <w:sz w:val="21"/>
                      <w:szCs w:val="21"/>
                      <w:lang w:val="en-US" w:eastAsia="zh-CN" w:bidi="ar"/>
                    </w:rPr>
                    <w:t>《合成树脂工业污染物排放标准》（</w:t>
                  </w:r>
                  <w:r>
                    <w:rPr>
                      <w:rFonts w:hint="default" w:ascii="Times New Roman" w:hAnsi="Times New Roman" w:eastAsia="宋体" w:cs="Times New Roman"/>
                      <w:kern w:val="2"/>
                      <w:sz w:val="21"/>
                      <w:szCs w:val="21"/>
                      <w:lang w:val="en-US" w:eastAsia="zh-CN" w:bidi="ar"/>
                    </w:rPr>
                    <w:t>GB31572-2015</w:t>
                  </w:r>
                  <w:r>
                    <w:rPr>
                      <w:rFonts w:hint="eastAsia" w:ascii="Times New Roman" w:hAnsi="Times New Roman" w:eastAsia="宋体" w:cs="宋体"/>
                      <w:kern w:val="2"/>
                      <w:sz w:val="21"/>
                      <w:szCs w:val="21"/>
                      <w:lang w:val="en-US" w:eastAsia="zh-CN" w:bidi="ar"/>
                    </w:rPr>
                    <w:t>）表</w:t>
                  </w:r>
                  <w:r>
                    <w:rPr>
                      <w:rFonts w:hint="default" w:ascii="Times New Roman" w:hAnsi="Times New Roman" w:eastAsia="宋体" w:cs="Times New Roman"/>
                      <w:kern w:val="2"/>
                      <w:sz w:val="21"/>
                      <w:szCs w:val="21"/>
                      <w:lang w:val="en-US" w:eastAsia="zh-CN" w:bidi="ar"/>
                    </w:rPr>
                    <w:t>9</w:t>
                  </w:r>
                </w:p>
              </w:tc>
            </w:tr>
            <w:tr w14:paraId="0364E1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579" w:type="pct"/>
                  <w:vMerge w:val="continue"/>
                  <w:tcBorders>
                    <w:tl2br w:val="nil"/>
                    <w:tr2bl w:val="nil"/>
                  </w:tcBorders>
                  <w:shd w:val="clear" w:color="auto" w:fill="auto"/>
                  <w:vAlign w:val="center"/>
                </w:tcPr>
                <w:p w14:paraId="6A2A05F2">
                  <w:pPr>
                    <w:keepNext w:val="0"/>
                    <w:keepLines w:val="0"/>
                    <w:pageBreakBefore w:val="0"/>
                    <w:suppressLineNumbers w:val="0"/>
                    <w:kinsoku/>
                    <w:wordWrap/>
                    <w:overflowPunct/>
                    <w:topLinePunct w:val="0"/>
                    <w:autoSpaceDE/>
                    <w:autoSpaceDN/>
                    <w:bidi w:val="0"/>
                    <w:spacing w:before="0" w:beforeAutospacing="0" w:after="0" w:afterAutospacing="0" w:line="360" w:lineRule="exact"/>
                    <w:ind w:left="0" w:right="0"/>
                    <w:textAlignment w:val="auto"/>
                    <w:rPr>
                      <w:rFonts w:hint="default" w:ascii="Times New Roman" w:hAnsi="Times New Roman" w:eastAsia="Times New Roman" w:cs="Times New Roman"/>
                      <w:sz w:val="20"/>
                      <w:szCs w:val="20"/>
                    </w:rPr>
                  </w:pPr>
                </w:p>
              </w:tc>
              <w:tc>
                <w:tcPr>
                  <w:tcW w:w="698" w:type="pct"/>
                  <w:vMerge w:val="continue"/>
                  <w:tcBorders>
                    <w:tl2br w:val="nil"/>
                    <w:tr2bl w:val="nil"/>
                  </w:tcBorders>
                  <w:shd w:val="clear" w:color="auto" w:fill="auto"/>
                  <w:vAlign w:val="center"/>
                </w:tcPr>
                <w:p w14:paraId="4AF9D27A">
                  <w:pPr>
                    <w:keepNext w:val="0"/>
                    <w:keepLines w:val="0"/>
                    <w:pageBreakBefore w:val="0"/>
                    <w:suppressLineNumbers w:val="0"/>
                    <w:kinsoku/>
                    <w:wordWrap/>
                    <w:overflowPunct/>
                    <w:topLinePunct w:val="0"/>
                    <w:autoSpaceDE/>
                    <w:autoSpaceDN/>
                    <w:bidi w:val="0"/>
                    <w:spacing w:before="0" w:beforeAutospacing="0" w:after="0" w:afterAutospacing="0" w:line="360" w:lineRule="exact"/>
                    <w:ind w:left="0" w:right="0"/>
                    <w:textAlignment w:val="auto"/>
                    <w:rPr>
                      <w:rFonts w:hint="default" w:ascii="Times New Roman" w:hAnsi="Times New Roman" w:eastAsia="Times New Roman" w:cs="Times New Roman"/>
                      <w:sz w:val="20"/>
                      <w:szCs w:val="20"/>
                    </w:rPr>
                  </w:pPr>
                </w:p>
              </w:tc>
              <w:tc>
                <w:tcPr>
                  <w:tcW w:w="1174" w:type="pct"/>
                  <w:tcBorders>
                    <w:tl2br w:val="nil"/>
                    <w:tr2bl w:val="nil"/>
                  </w:tcBorders>
                  <w:shd w:val="clear" w:color="auto" w:fill="auto"/>
                  <w:vAlign w:val="center"/>
                </w:tcPr>
                <w:p w14:paraId="2BB632C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szCs w:val="21"/>
                      <w:lang w:val="en-US"/>
                    </w:rPr>
                  </w:pPr>
                  <w:r>
                    <w:rPr>
                      <w:rFonts w:hint="default" w:ascii="Times New Roman" w:hAnsi="Times New Roman" w:eastAsia="宋体" w:cs="Times New Roman"/>
                      <w:kern w:val="2"/>
                      <w:sz w:val="21"/>
                      <w:szCs w:val="21"/>
                      <w:lang w:val="en-US" w:eastAsia="zh-CN" w:bidi="ar"/>
                    </w:rPr>
                    <w:t>2.0mg/m</w:t>
                  </w:r>
                  <w:r>
                    <w:rPr>
                      <w:rFonts w:hint="default" w:ascii="Times New Roman" w:hAnsi="Times New Roman" w:eastAsia="宋体" w:cs="Times New Roman"/>
                      <w:kern w:val="2"/>
                      <w:sz w:val="21"/>
                      <w:szCs w:val="21"/>
                      <w:vertAlign w:val="superscript"/>
                      <w:lang w:val="en-US" w:eastAsia="zh-CN" w:bidi="ar"/>
                    </w:rPr>
                    <w:t>3</w:t>
                  </w:r>
                </w:p>
              </w:tc>
              <w:tc>
                <w:tcPr>
                  <w:tcW w:w="2547" w:type="pct"/>
                  <w:tcBorders>
                    <w:tl2br w:val="nil"/>
                    <w:tr2bl w:val="nil"/>
                  </w:tcBorders>
                  <w:shd w:val="clear" w:color="auto" w:fill="auto"/>
                  <w:vAlign w:val="center"/>
                </w:tcPr>
                <w:p w14:paraId="549DA47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szCs w:val="21"/>
                      <w:lang w:val="en-US"/>
                    </w:rPr>
                  </w:pPr>
                  <w:r>
                    <w:rPr>
                      <w:rFonts w:hint="eastAsia" w:ascii="Times New Roman" w:hAnsi="Times New Roman" w:eastAsia="宋体" w:cs="宋体"/>
                      <w:kern w:val="2"/>
                      <w:sz w:val="21"/>
                      <w:szCs w:val="21"/>
                      <w:lang w:val="en-US" w:eastAsia="zh-CN" w:bidi="ar"/>
                    </w:rPr>
                    <w:t>《关于全省开展工业企业挥发性有机物专项治理工作中排放建议值的通知》（豫环攻坚办</w:t>
                  </w:r>
                  <w:r>
                    <w:rPr>
                      <w:rFonts w:hint="default" w:ascii="Times New Roman" w:hAnsi="Times New Roman" w:eastAsia="宋体" w:cs="Times New Roman"/>
                      <w:kern w:val="2"/>
                      <w:sz w:val="21"/>
                      <w:szCs w:val="21"/>
                      <w:lang w:val="en-US" w:eastAsia="zh-CN" w:bidi="ar"/>
                    </w:rPr>
                    <w:t>[2017]162</w:t>
                  </w:r>
                  <w:r>
                    <w:rPr>
                      <w:rFonts w:hint="eastAsia" w:ascii="Times New Roman" w:hAnsi="Times New Roman" w:eastAsia="宋体" w:cs="宋体"/>
                      <w:kern w:val="2"/>
                      <w:sz w:val="21"/>
                      <w:szCs w:val="21"/>
                      <w:lang w:val="en-US" w:eastAsia="zh-CN" w:bidi="ar"/>
                    </w:rPr>
                    <w:t>号）</w:t>
                  </w:r>
                </w:p>
              </w:tc>
            </w:tr>
            <w:tr w14:paraId="3C2519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579" w:type="pct"/>
                  <w:vMerge w:val="restart"/>
                  <w:tcBorders>
                    <w:tl2br w:val="nil"/>
                    <w:tr2bl w:val="nil"/>
                  </w:tcBorders>
                  <w:shd w:val="clear" w:color="auto" w:fill="auto"/>
                  <w:vAlign w:val="center"/>
                </w:tcPr>
                <w:p w14:paraId="345C8DB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lang w:val="en-US"/>
                    </w:rPr>
                  </w:pPr>
                  <w:r>
                    <w:rPr>
                      <w:rFonts w:hint="eastAsia" w:ascii="Times New Roman" w:hAnsi="Times New Roman" w:eastAsia="宋体" w:cs="宋体"/>
                      <w:kern w:val="2"/>
                      <w:sz w:val="21"/>
                      <w:szCs w:val="24"/>
                      <w:lang w:val="en-US" w:eastAsia="zh-CN" w:bidi="ar"/>
                    </w:rPr>
                    <w:t>厂区内无组织</w:t>
                  </w:r>
                </w:p>
              </w:tc>
              <w:tc>
                <w:tcPr>
                  <w:tcW w:w="698" w:type="pct"/>
                  <w:vMerge w:val="restart"/>
                  <w:tcBorders>
                    <w:tl2br w:val="nil"/>
                    <w:tr2bl w:val="nil"/>
                  </w:tcBorders>
                  <w:shd w:val="clear" w:color="auto" w:fill="auto"/>
                  <w:vAlign w:val="center"/>
                </w:tcPr>
                <w:p w14:paraId="5FB089C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lang w:val="en-US"/>
                    </w:rPr>
                  </w:pPr>
                  <w:r>
                    <w:rPr>
                      <w:rFonts w:hint="eastAsia" w:ascii="Times New Roman" w:hAnsi="Times New Roman" w:eastAsia="宋体" w:cs="宋体"/>
                      <w:kern w:val="2"/>
                      <w:sz w:val="21"/>
                      <w:szCs w:val="24"/>
                      <w:lang w:val="en-US" w:eastAsia="zh-CN" w:bidi="ar"/>
                    </w:rPr>
                    <w:t>非甲烷总烃</w:t>
                  </w:r>
                </w:p>
              </w:tc>
              <w:tc>
                <w:tcPr>
                  <w:tcW w:w="1174" w:type="pct"/>
                  <w:tcBorders>
                    <w:tl2br w:val="nil"/>
                    <w:tr2bl w:val="nil"/>
                  </w:tcBorders>
                  <w:shd w:val="clear" w:color="auto" w:fill="auto"/>
                  <w:vAlign w:val="center"/>
                </w:tcPr>
                <w:p w14:paraId="00DC92C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default"/>
                      <w:szCs w:val="21"/>
                      <w:lang w:val="en-US"/>
                    </w:rPr>
                  </w:pPr>
                  <w:r>
                    <w:rPr>
                      <w:rFonts w:hint="eastAsia" w:ascii="Times New Roman" w:hAnsi="Times New Roman" w:eastAsia="宋体" w:cs="宋体"/>
                      <w:kern w:val="2"/>
                      <w:sz w:val="21"/>
                      <w:szCs w:val="21"/>
                      <w:lang w:val="en-US" w:eastAsia="zh-CN" w:bidi="ar"/>
                    </w:rPr>
                    <w:t>厂房外监控点处</w:t>
                  </w:r>
                  <w:r>
                    <w:rPr>
                      <w:rFonts w:hint="default" w:ascii="Times New Roman" w:hAnsi="Times New Roman" w:eastAsia="宋体" w:cs="Times New Roman"/>
                      <w:kern w:val="2"/>
                      <w:sz w:val="21"/>
                      <w:szCs w:val="21"/>
                      <w:lang w:val="en-US" w:eastAsia="zh-CN" w:bidi="ar"/>
                    </w:rPr>
                    <w:t>1h</w:t>
                  </w:r>
                  <w:r>
                    <w:rPr>
                      <w:rFonts w:hint="eastAsia" w:ascii="Times New Roman" w:hAnsi="Times New Roman" w:eastAsia="宋体" w:cs="宋体"/>
                      <w:kern w:val="2"/>
                      <w:sz w:val="21"/>
                      <w:szCs w:val="21"/>
                      <w:lang w:val="en-US" w:eastAsia="zh-CN" w:bidi="ar"/>
                    </w:rPr>
                    <w:t>平均浓度值</w:t>
                  </w:r>
                  <w:r>
                    <w:rPr>
                      <w:rFonts w:hint="default" w:ascii="Times New Roman" w:hAnsi="Times New Roman" w:eastAsia="宋体" w:cs="Times New Roman"/>
                      <w:kern w:val="2"/>
                      <w:sz w:val="21"/>
                      <w:szCs w:val="21"/>
                      <w:lang w:val="en-US" w:eastAsia="zh-CN" w:bidi="ar"/>
                    </w:rPr>
                    <w:t>6mg/m</w:t>
                  </w:r>
                  <w:r>
                    <w:rPr>
                      <w:rFonts w:hint="default" w:ascii="Times New Roman" w:hAnsi="Times New Roman" w:eastAsia="宋体" w:cs="Times New Roman"/>
                      <w:kern w:val="2"/>
                      <w:sz w:val="21"/>
                      <w:szCs w:val="21"/>
                      <w:vertAlign w:val="superscript"/>
                      <w:lang w:val="en-US" w:eastAsia="zh-CN" w:bidi="ar"/>
                    </w:rPr>
                    <w:t>3</w:t>
                  </w:r>
                  <w:r>
                    <w:rPr>
                      <w:rFonts w:hint="eastAsia" w:ascii="Times New Roman" w:hAnsi="Times New Roman" w:eastAsia="宋体" w:cs="宋体"/>
                      <w:kern w:val="2"/>
                      <w:sz w:val="21"/>
                      <w:szCs w:val="21"/>
                      <w:lang w:val="en-US" w:eastAsia="zh-CN" w:bidi="ar"/>
                    </w:rPr>
                    <w:t>，厂房外监控点处任意一次浓度值</w:t>
                  </w:r>
                  <w:r>
                    <w:rPr>
                      <w:rFonts w:hint="default" w:ascii="Times New Roman" w:hAnsi="Times New Roman" w:eastAsia="宋体" w:cs="Times New Roman"/>
                      <w:kern w:val="2"/>
                      <w:sz w:val="21"/>
                      <w:szCs w:val="21"/>
                      <w:lang w:val="en-US" w:eastAsia="zh-CN" w:bidi="ar"/>
                    </w:rPr>
                    <w:t>20mg/m</w:t>
                  </w:r>
                  <w:r>
                    <w:rPr>
                      <w:rFonts w:hint="default" w:ascii="Times New Roman" w:hAnsi="Times New Roman" w:eastAsia="宋体" w:cs="Times New Roman"/>
                      <w:kern w:val="2"/>
                      <w:sz w:val="21"/>
                      <w:szCs w:val="21"/>
                      <w:vertAlign w:val="superscript"/>
                      <w:lang w:val="en-US" w:eastAsia="zh-CN" w:bidi="ar"/>
                    </w:rPr>
                    <w:t>3</w:t>
                  </w:r>
                </w:p>
              </w:tc>
              <w:tc>
                <w:tcPr>
                  <w:tcW w:w="2547" w:type="pct"/>
                  <w:tcBorders>
                    <w:tl2br w:val="nil"/>
                    <w:tr2bl w:val="nil"/>
                  </w:tcBorders>
                  <w:shd w:val="clear" w:color="auto" w:fill="auto"/>
                  <w:vAlign w:val="center"/>
                </w:tcPr>
                <w:p w14:paraId="321BB4B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default"/>
                      <w:szCs w:val="21"/>
                      <w:lang w:val="en-US"/>
                    </w:rPr>
                  </w:pPr>
                  <w:r>
                    <w:rPr>
                      <w:rFonts w:hint="eastAsia" w:ascii="Times New Roman" w:hAnsi="Times New Roman" w:eastAsia="宋体" w:cs="宋体"/>
                      <w:kern w:val="2"/>
                      <w:sz w:val="21"/>
                      <w:szCs w:val="21"/>
                      <w:lang w:val="en-US" w:eastAsia="zh-CN" w:bidi="ar"/>
                    </w:rPr>
                    <w:t>《挥发性有机物无组织排放控制标准（</w:t>
                  </w:r>
                  <w:r>
                    <w:rPr>
                      <w:rFonts w:hint="default" w:ascii="Times New Roman" w:hAnsi="Times New Roman" w:eastAsia="宋体" w:cs="Times New Roman"/>
                      <w:kern w:val="2"/>
                      <w:sz w:val="21"/>
                      <w:szCs w:val="21"/>
                      <w:lang w:val="en-US" w:eastAsia="zh-CN" w:bidi="ar"/>
                    </w:rPr>
                    <w:t>GB37822</w:t>
                  </w:r>
                  <w:r>
                    <w:rPr>
                      <w:rFonts w:hint="eastAsia" w:cs="宋体"/>
                      <w:kern w:val="2"/>
                      <w:sz w:val="21"/>
                      <w:szCs w:val="21"/>
                      <w:lang w:val="en-US" w:eastAsia="zh-CN" w:bidi="ar"/>
                    </w:rPr>
                    <w:t>-</w:t>
                  </w:r>
                  <w:r>
                    <w:rPr>
                      <w:rFonts w:hint="default" w:ascii="Times New Roman" w:hAnsi="Times New Roman" w:eastAsia="宋体" w:cs="Times New Roman"/>
                      <w:kern w:val="2"/>
                      <w:sz w:val="21"/>
                      <w:szCs w:val="21"/>
                      <w:lang w:val="en-US" w:eastAsia="zh-CN" w:bidi="ar"/>
                    </w:rPr>
                    <w:t>2019</w:t>
                  </w:r>
                  <w:r>
                    <w:rPr>
                      <w:rFonts w:hint="eastAsia" w:ascii="Times New Roman" w:hAnsi="Times New Roman" w:eastAsia="宋体" w:cs="宋体"/>
                      <w:kern w:val="2"/>
                      <w:sz w:val="21"/>
                      <w:szCs w:val="21"/>
                      <w:lang w:val="en-US" w:eastAsia="zh-CN" w:bidi="ar"/>
                    </w:rPr>
                    <w:t>）》中表</w:t>
                  </w:r>
                  <w:r>
                    <w:rPr>
                      <w:rFonts w:hint="default" w:ascii="Times New Roman" w:hAnsi="Times New Roman" w:eastAsia="宋体" w:cs="Times New Roman"/>
                      <w:kern w:val="2"/>
                      <w:sz w:val="21"/>
                      <w:szCs w:val="21"/>
                      <w:lang w:val="en-US" w:eastAsia="zh-CN" w:bidi="ar"/>
                    </w:rPr>
                    <w:t>A.1</w:t>
                  </w:r>
                </w:p>
              </w:tc>
            </w:tr>
            <w:tr w14:paraId="748B97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579" w:type="pct"/>
                  <w:vMerge w:val="continue"/>
                  <w:tcBorders>
                    <w:tl2br w:val="nil"/>
                    <w:tr2bl w:val="nil"/>
                  </w:tcBorders>
                  <w:shd w:val="clear" w:color="auto" w:fill="auto"/>
                  <w:vAlign w:val="center"/>
                </w:tcPr>
                <w:p w14:paraId="5DA467A2">
                  <w:pPr>
                    <w:keepNext w:val="0"/>
                    <w:keepLines w:val="0"/>
                    <w:pageBreakBefore w:val="0"/>
                    <w:suppressLineNumbers w:val="0"/>
                    <w:kinsoku/>
                    <w:wordWrap/>
                    <w:overflowPunct/>
                    <w:topLinePunct w:val="0"/>
                    <w:autoSpaceDE/>
                    <w:autoSpaceDN/>
                    <w:bidi w:val="0"/>
                    <w:spacing w:before="0" w:beforeAutospacing="0" w:after="0" w:afterAutospacing="0" w:line="360" w:lineRule="exact"/>
                    <w:ind w:left="0" w:right="0"/>
                    <w:textAlignment w:val="auto"/>
                    <w:rPr>
                      <w:rFonts w:hint="default" w:ascii="Times New Roman" w:hAnsi="Times New Roman" w:eastAsia="Times New Roman" w:cs="Times New Roman"/>
                      <w:sz w:val="20"/>
                      <w:szCs w:val="20"/>
                    </w:rPr>
                  </w:pPr>
                </w:p>
              </w:tc>
              <w:tc>
                <w:tcPr>
                  <w:tcW w:w="698" w:type="pct"/>
                  <w:vMerge w:val="continue"/>
                  <w:tcBorders>
                    <w:tl2br w:val="nil"/>
                    <w:tr2bl w:val="nil"/>
                  </w:tcBorders>
                  <w:shd w:val="clear" w:color="auto" w:fill="auto"/>
                  <w:vAlign w:val="center"/>
                </w:tcPr>
                <w:p w14:paraId="3E9E72E1">
                  <w:pPr>
                    <w:keepNext w:val="0"/>
                    <w:keepLines w:val="0"/>
                    <w:pageBreakBefore w:val="0"/>
                    <w:suppressLineNumbers w:val="0"/>
                    <w:kinsoku/>
                    <w:wordWrap/>
                    <w:overflowPunct/>
                    <w:topLinePunct w:val="0"/>
                    <w:autoSpaceDE/>
                    <w:autoSpaceDN/>
                    <w:bidi w:val="0"/>
                    <w:spacing w:before="0" w:beforeAutospacing="0" w:after="0" w:afterAutospacing="0" w:line="360" w:lineRule="exact"/>
                    <w:ind w:left="0" w:right="0"/>
                    <w:textAlignment w:val="auto"/>
                    <w:rPr>
                      <w:rFonts w:hint="default" w:ascii="Times New Roman" w:hAnsi="Times New Roman" w:eastAsia="Times New Roman" w:cs="Times New Roman"/>
                      <w:sz w:val="20"/>
                      <w:szCs w:val="20"/>
                    </w:rPr>
                  </w:pPr>
                </w:p>
              </w:tc>
              <w:tc>
                <w:tcPr>
                  <w:tcW w:w="1174" w:type="pct"/>
                  <w:tcBorders>
                    <w:tl2br w:val="nil"/>
                    <w:tr2bl w:val="nil"/>
                  </w:tcBorders>
                  <w:shd w:val="clear" w:color="auto" w:fill="auto"/>
                  <w:vAlign w:val="center"/>
                </w:tcPr>
                <w:p w14:paraId="448D25A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szCs w:val="21"/>
                      <w:lang w:val="en-US"/>
                    </w:rPr>
                  </w:pPr>
                  <w:r>
                    <w:rPr>
                      <w:rFonts w:hint="eastAsia" w:ascii="Times New Roman" w:hAnsi="Times New Roman" w:eastAsia="宋体" w:cs="宋体"/>
                      <w:kern w:val="2"/>
                      <w:sz w:val="21"/>
                      <w:szCs w:val="21"/>
                      <w:lang w:val="en-US" w:eastAsia="zh-CN" w:bidi="ar"/>
                    </w:rPr>
                    <w:t>生产车间或生产设备边界</w:t>
                  </w:r>
                  <w:r>
                    <w:rPr>
                      <w:rFonts w:hint="default" w:ascii="Times New Roman" w:hAnsi="Times New Roman" w:eastAsia="宋体" w:cs="Times New Roman"/>
                      <w:kern w:val="2"/>
                      <w:sz w:val="21"/>
                      <w:szCs w:val="21"/>
                      <w:lang w:val="en-US" w:eastAsia="zh-CN" w:bidi="ar"/>
                    </w:rPr>
                    <w:t>4.0mg/m</w:t>
                  </w:r>
                  <w:r>
                    <w:rPr>
                      <w:rFonts w:hint="default" w:ascii="Times New Roman" w:hAnsi="Times New Roman" w:eastAsia="宋体" w:cs="Times New Roman"/>
                      <w:kern w:val="2"/>
                      <w:sz w:val="21"/>
                      <w:szCs w:val="21"/>
                      <w:vertAlign w:val="superscript"/>
                      <w:lang w:val="en-US" w:eastAsia="zh-CN" w:bidi="ar"/>
                    </w:rPr>
                    <w:t>3</w:t>
                  </w:r>
                </w:p>
              </w:tc>
              <w:tc>
                <w:tcPr>
                  <w:tcW w:w="2547" w:type="pct"/>
                  <w:tcBorders>
                    <w:tl2br w:val="nil"/>
                    <w:tr2bl w:val="nil"/>
                  </w:tcBorders>
                  <w:shd w:val="clear" w:color="auto" w:fill="auto"/>
                  <w:vAlign w:val="center"/>
                </w:tcPr>
                <w:p w14:paraId="0186210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szCs w:val="21"/>
                      <w:lang w:val="en-US"/>
                    </w:rPr>
                  </w:pPr>
                  <w:r>
                    <w:rPr>
                      <w:rFonts w:hint="eastAsia" w:ascii="Times New Roman" w:hAnsi="Times New Roman" w:eastAsia="宋体" w:cs="宋体"/>
                      <w:kern w:val="2"/>
                      <w:sz w:val="21"/>
                      <w:szCs w:val="21"/>
                      <w:lang w:val="en-US" w:eastAsia="zh-CN" w:bidi="ar"/>
                    </w:rPr>
                    <w:t>《关于全省开展工业企业挥发性有机物专项治理工作中排放建议值的通知》（豫环攻坚办</w:t>
                  </w:r>
                  <w:r>
                    <w:rPr>
                      <w:rFonts w:hint="default" w:ascii="Times New Roman" w:hAnsi="Times New Roman" w:eastAsia="宋体" w:cs="Times New Roman"/>
                      <w:kern w:val="2"/>
                      <w:sz w:val="21"/>
                      <w:szCs w:val="21"/>
                      <w:lang w:val="en-US" w:eastAsia="zh-CN" w:bidi="ar"/>
                    </w:rPr>
                    <w:t>[2017]162</w:t>
                  </w:r>
                  <w:r>
                    <w:rPr>
                      <w:rFonts w:hint="eastAsia" w:ascii="Times New Roman" w:hAnsi="Times New Roman" w:eastAsia="宋体" w:cs="宋体"/>
                      <w:kern w:val="2"/>
                      <w:sz w:val="21"/>
                      <w:szCs w:val="21"/>
                      <w:lang w:val="en-US" w:eastAsia="zh-CN" w:bidi="ar"/>
                    </w:rPr>
                    <w:t>号）</w:t>
                  </w:r>
                </w:p>
              </w:tc>
            </w:tr>
          </w:tbl>
          <w:p w14:paraId="033A6E4A">
            <w:pPr>
              <w:keepNext w:val="0"/>
              <w:keepLines w:val="0"/>
              <w:pageBreakBefore w:val="0"/>
              <w:widowControl w:val="0"/>
              <w:suppressLineNumbers w:val="0"/>
              <w:kinsoku/>
              <w:wordWrap/>
              <w:overflowPunct/>
              <w:topLinePunct w:val="0"/>
              <w:autoSpaceDE/>
              <w:autoSpaceDN/>
              <w:bidi w:val="0"/>
              <w:adjustRightInd w:val="0"/>
              <w:snapToGrid/>
              <w:spacing w:before="0" w:beforeLines="0" w:beforeAutospacing="0" w:after="0" w:afterAutospacing="0" w:line="520" w:lineRule="exact"/>
              <w:ind w:left="0" w:right="0"/>
              <w:textAlignment w:val="auto"/>
              <w:rPr>
                <w:rFonts w:hint="default" w:cs="Times New Roman"/>
                <w:b/>
                <w:bCs/>
                <w:color w:val="000000" w:themeColor="text1"/>
                <w:spacing w:val="4"/>
                <w:sz w:val="24"/>
                <w:szCs w:val="24"/>
                <w:lang w:val="en-US" w:eastAsia="zh-CN"/>
                <w14:textFill>
                  <w14:solidFill>
                    <w14:schemeClr w14:val="tx1"/>
                  </w14:solidFill>
                </w14:textFill>
              </w:rPr>
            </w:pPr>
            <w:r>
              <w:rPr>
                <w:rFonts w:hint="eastAsia" w:cs="Times New Roman"/>
                <w:b/>
                <w:bCs/>
                <w:color w:val="000000" w:themeColor="text1"/>
                <w:spacing w:val="4"/>
                <w:sz w:val="24"/>
                <w:szCs w:val="24"/>
                <w:lang w:val="en-US" w:eastAsia="zh-CN"/>
                <w14:textFill>
                  <w14:solidFill>
                    <w14:schemeClr w14:val="tx1"/>
                  </w14:solidFill>
                </w14:textFill>
              </w:rPr>
              <w:t>二、废水</w:t>
            </w:r>
          </w:p>
          <w:p w14:paraId="488F576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textAlignment w:val="auto"/>
              <w:rPr>
                <w:rFonts w:hint="default"/>
                <w:kern w:val="0"/>
                <w:sz w:val="24"/>
                <w:szCs w:val="24"/>
                <w:lang w:val="en-US"/>
              </w:rPr>
            </w:pPr>
            <w:r>
              <w:rPr>
                <w:rFonts w:hint="eastAsia" w:ascii="Times New Roman" w:hAnsi="Times New Roman" w:eastAsia="宋体" w:cs="宋体"/>
                <w:kern w:val="0"/>
                <w:sz w:val="24"/>
                <w:szCs w:val="24"/>
                <w:lang w:val="en-US" w:eastAsia="zh-CN" w:bidi="ar"/>
              </w:rPr>
              <w:t>项目生活废水排放执行《污水综合排放标准》（</w:t>
            </w:r>
            <w:r>
              <w:rPr>
                <w:rFonts w:hint="default" w:ascii="Times New Roman" w:hAnsi="Times New Roman" w:eastAsia="宋体" w:cs="Times New Roman"/>
                <w:kern w:val="0"/>
                <w:sz w:val="24"/>
                <w:szCs w:val="24"/>
                <w:lang w:val="en-US" w:eastAsia="zh-CN" w:bidi="ar"/>
              </w:rPr>
              <w:t>GB8978-1996</w:t>
            </w:r>
            <w:r>
              <w:rPr>
                <w:rFonts w:hint="eastAsia" w:ascii="Times New Roman" w:hAnsi="Times New Roman" w:eastAsia="宋体" w:cs="宋体"/>
                <w:kern w:val="0"/>
                <w:sz w:val="24"/>
                <w:szCs w:val="24"/>
                <w:lang w:val="en-US" w:eastAsia="zh-CN" w:bidi="ar"/>
              </w:rPr>
              <w:t>）表</w:t>
            </w:r>
            <w:r>
              <w:rPr>
                <w:rFonts w:hint="default" w:ascii="Times New Roman" w:hAnsi="Times New Roman" w:eastAsia="宋体" w:cs="Times New Roman"/>
                <w:kern w:val="0"/>
                <w:sz w:val="24"/>
                <w:szCs w:val="24"/>
                <w:lang w:val="en-US" w:eastAsia="zh-CN" w:bidi="ar"/>
              </w:rPr>
              <w:t>4</w:t>
            </w:r>
            <w:r>
              <w:rPr>
                <w:rFonts w:hint="eastAsia" w:ascii="Times New Roman" w:hAnsi="Times New Roman" w:eastAsia="宋体" w:cs="宋体"/>
                <w:kern w:val="0"/>
                <w:sz w:val="24"/>
                <w:szCs w:val="24"/>
                <w:lang w:val="en-US" w:eastAsia="zh-CN" w:bidi="ar"/>
              </w:rPr>
              <w:t>三级标准，同时满足</w:t>
            </w:r>
            <w:r>
              <w:rPr>
                <w:rFonts w:hint="eastAsia" w:ascii="Times New Roman" w:hAnsi="Times New Roman" w:eastAsia="宋体" w:cs="宋体"/>
                <w:bCs/>
                <w:kern w:val="0"/>
                <w:sz w:val="24"/>
                <w:szCs w:val="24"/>
                <w:lang w:val="en-US" w:eastAsia="zh-CN" w:bidi="ar"/>
              </w:rPr>
              <w:t>汤阴东方环宇污水处理有限公司</w:t>
            </w:r>
            <w:r>
              <w:rPr>
                <w:rFonts w:hint="eastAsia" w:ascii="Times New Roman" w:hAnsi="Times New Roman" w:eastAsia="宋体" w:cs="宋体"/>
                <w:kern w:val="0"/>
                <w:sz w:val="24"/>
                <w:szCs w:val="24"/>
                <w:lang w:val="en-US" w:eastAsia="zh-CN" w:bidi="ar"/>
              </w:rPr>
              <w:t>进水水质要求，具体标准限值见下表：</w:t>
            </w:r>
          </w:p>
          <w:p w14:paraId="5C15434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jc w:val="center"/>
              <w:textAlignment w:val="auto"/>
              <w:rPr>
                <w:rFonts w:hint="default"/>
                <w:b/>
                <w:bCs w:val="0"/>
                <w:sz w:val="24"/>
                <w:szCs w:val="24"/>
                <w:lang w:val="en-US"/>
              </w:rPr>
            </w:pPr>
            <w:r>
              <w:rPr>
                <w:rFonts w:hint="eastAsia" w:eastAsia="黑体" w:cs="Times New Roman"/>
                <w:b w:val="0"/>
                <w:bCs w:val="0"/>
                <w:color w:val="000000" w:themeColor="text1"/>
                <w:sz w:val="24"/>
                <w:szCs w:val="24"/>
                <w:highlight w:val="none"/>
                <w:lang w:val="en-US" w:eastAsia="zh-CN"/>
                <w14:textFill>
                  <w14:solidFill>
                    <w14:schemeClr w14:val="tx1"/>
                  </w14:solidFill>
                </w14:textFill>
              </w:rPr>
              <w:t>表</w:t>
            </w:r>
            <w:r>
              <w:rPr>
                <w:rFonts w:hint="default" w:eastAsia="黑体" w:cs="Times New Roman"/>
                <w:b w:val="0"/>
                <w:bCs w:val="0"/>
                <w:color w:val="000000" w:themeColor="text1"/>
                <w:sz w:val="24"/>
                <w:szCs w:val="24"/>
                <w:highlight w:val="none"/>
                <w:lang w:val="en-US" w:eastAsia="zh-CN"/>
                <w14:textFill>
                  <w14:solidFill>
                    <w14:schemeClr w14:val="tx1"/>
                  </w14:solidFill>
                </w14:textFill>
              </w:rPr>
              <w:t xml:space="preserve">3-5  </w:t>
            </w:r>
            <w:r>
              <w:rPr>
                <w:rFonts w:hint="eastAsia" w:eastAsia="黑体" w:cs="Times New Roman"/>
                <w:b w:val="0"/>
                <w:bCs w:val="0"/>
                <w:color w:val="000000" w:themeColor="text1"/>
                <w:sz w:val="24"/>
                <w:szCs w:val="24"/>
                <w:highlight w:val="none"/>
                <w:lang w:val="en-US" w:eastAsia="zh-CN"/>
                <w14:textFill>
                  <w14:solidFill>
                    <w14:schemeClr w14:val="tx1"/>
                  </w14:solidFill>
                </w14:textFill>
              </w:rPr>
              <w:t>水污染物限值要求一览表</w:t>
            </w:r>
            <w:r>
              <w:rPr>
                <w:rFonts w:hint="default" w:eastAsia="黑体" w:cs="Times New Roman"/>
                <w:b w:val="0"/>
                <w:bCs w:val="0"/>
                <w:color w:val="000000" w:themeColor="text1"/>
                <w:sz w:val="24"/>
                <w:szCs w:val="24"/>
                <w:highlight w:val="none"/>
                <w:lang w:val="en-US" w:eastAsia="zh-CN"/>
                <w14:textFill>
                  <w14:solidFill>
                    <w14:schemeClr w14:val="tx1"/>
                  </w14:solidFill>
                </w14:textFill>
              </w:rPr>
              <w:t xml:space="preserve">   mg/L</w:t>
            </w:r>
          </w:p>
          <w:tbl>
            <w:tblPr>
              <w:tblStyle w:val="25"/>
              <w:tblW w:w="4995"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2992"/>
              <w:gridCol w:w="910"/>
              <w:gridCol w:w="850"/>
              <w:gridCol w:w="764"/>
              <w:gridCol w:w="616"/>
              <w:gridCol w:w="682"/>
              <w:gridCol w:w="684"/>
              <w:gridCol w:w="713"/>
            </w:tblGrid>
            <w:tr w14:paraId="089518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3" w:hRule="atLeast"/>
                <w:jc w:val="center"/>
              </w:trPr>
              <w:tc>
                <w:tcPr>
                  <w:tcW w:w="1821" w:type="pct"/>
                  <w:tcBorders>
                    <w:tl2br w:val="nil"/>
                    <w:tr2bl w:val="nil"/>
                  </w:tcBorders>
                  <w:shd w:val="clear" w:color="auto" w:fill="auto"/>
                  <w:vAlign w:val="center"/>
                </w:tcPr>
                <w:p w14:paraId="7BF60808">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textAlignment w:val="auto"/>
                    <w:rPr>
                      <w:rFonts w:hint="default"/>
                      <w:b w:val="0"/>
                      <w:bCs w:val="0"/>
                      <w:lang w:val="en-US"/>
                    </w:rPr>
                  </w:pPr>
                  <w:r>
                    <w:rPr>
                      <w:rFonts w:hint="eastAsia" w:ascii="Times New Roman" w:hAnsi="Times New Roman" w:eastAsia="宋体" w:cs="宋体"/>
                      <w:b w:val="0"/>
                      <w:bCs w:val="0"/>
                      <w:kern w:val="2"/>
                      <w:sz w:val="21"/>
                      <w:szCs w:val="24"/>
                      <w:lang w:val="en-US" w:eastAsia="zh-CN" w:bidi="ar"/>
                    </w:rPr>
                    <w:t>类别</w:t>
                  </w:r>
                </w:p>
              </w:tc>
              <w:tc>
                <w:tcPr>
                  <w:tcW w:w="554" w:type="pct"/>
                  <w:tcBorders>
                    <w:tl2br w:val="nil"/>
                    <w:tr2bl w:val="nil"/>
                  </w:tcBorders>
                  <w:shd w:val="clear" w:color="auto" w:fill="auto"/>
                  <w:vAlign w:val="center"/>
                </w:tcPr>
                <w:p w14:paraId="4415F238">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textAlignment w:val="auto"/>
                    <w:rPr>
                      <w:rFonts w:hint="default"/>
                      <w:b w:val="0"/>
                      <w:bCs w:val="0"/>
                      <w:lang w:val="en-US"/>
                    </w:rPr>
                  </w:pPr>
                  <w:r>
                    <w:rPr>
                      <w:rFonts w:hint="default" w:ascii="Times New Roman" w:hAnsi="Times New Roman" w:eastAsia="宋体" w:cs="Times New Roman"/>
                      <w:b w:val="0"/>
                      <w:bCs w:val="0"/>
                      <w:kern w:val="2"/>
                      <w:sz w:val="21"/>
                      <w:szCs w:val="24"/>
                      <w:lang w:val="en-US" w:eastAsia="zh-CN" w:bidi="ar"/>
                    </w:rPr>
                    <w:t>pH</w:t>
                  </w:r>
                  <w:r>
                    <w:rPr>
                      <w:rFonts w:hint="eastAsia" w:ascii="Times New Roman" w:hAnsi="Times New Roman" w:eastAsia="宋体" w:cs="宋体"/>
                      <w:b w:val="0"/>
                      <w:bCs w:val="0"/>
                      <w:kern w:val="2"/>
                      <w:sz w:val="21"/>
                      <w:szCs w:val="24"/>
                      <w:lang w:val="en-US" w:eastAsia="zh-CN" w:bidi="ar"/>
                    </w:rPr>
                    <w:t>（无量纲）</w:t>
                  </w:r>
                </w:p>
              </w:tc>
              <w:tc>
                <w:tcPr>
                  <w:tcW w:w="517" w:type="pct"/>
                  <w:tcBorders>
                    <w:tl2br w:val="nil"/>
                    <w:tr2bl w:val="nil"/>
                  </w:tcBorders>
                  <w:shd w:val="clear" w:color="auto" w:fill="auto"/>
                  <w:vAlign w:val="center"/>
                </w:tcPr>
                <w:p w14:paraId="7448DF8C">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textAlignment w:val="auto"/>
                    <w:rPr>
                      <w:rFonts w:hint="default"/>
                      <w:b w:val="0"/>
                      <w:bCs w:val="0"/>
                      <w:lang w:val="en-US"/>
                    </w:rPr>
                  </w:pPr>
                  <w:r>
                    <w:rPr>
                      <w:rFonts w:hint="default" w:ascii="Times New Roman" w:hAnsi="Times New Roman" w:eastAsia="宋体" w:cs="Times New Roman"/>
                      <w:b w:val="0"/>
                      <w:bCs w:val="0"/>
                      <w:kern w:val="2"/>
                      <w:sz w:val="21"/>
                      <w:szCs w:val="24"/>
                      <w:lang w:val="en-US" w:eastAsia="zh-CN" w:bidi="ar"/>
                    </w:rPr>
                    <w:t>COD</w:t>
                  </w:r>
                </w:p>
              </w:tc>
              <w:tc>
                <w:tcPr>
                  <w:tcW w:w="465" w:type="pct"/>
                  <w:tcBorders>
                    <w:tl2br w:val="nil"/>
                    <w:tr2bl w:val="nil"/>
                  </w:tcBorders>
                  <w:shd w:val="clear" w:color="auto" w:fill="auto"/>
                  <w:vAlign w:val="center"/>
                </w:tcPr>
                <w:p w14:paraId="7775BBBD">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textAlignment w:val="auto"/>
                    <w:rPr>
                      <w:rFonts w:hint="default"/>
                      <w:b w:val="0"/>
                      <w:bCs w:val="0"/>
                      <w:lang w:val="en-US"/>
                    </w:rPr>
                  </w:pPr>
                  <w:r>
                    <w:rPr>
                      <w:rFonts w:hint="default" w:ascii="Times New Roman" w:hAnsi="Times New Roman" w:eastAsia="宋体" w:cs="Times New Roman"/>
                      <w:b w:val="0"/>
                      <w:bCs w:val="0"/>
                      <w:kern w:val="2"/>
                      <w:sz w:val="21"/>
                      <w:szCs w:val="24"/>
                      <w:lang w:val="en-US" w:eastAsia="zh-CN" w:bidi="ar"/>
                    </w:rPr>
                    <w:t>BOD</w:t>
                  </w:r>
                  <w:r>
                    <w:rPr>
                      <w:rFonts w:hint="default" w:ascii="Times New Roman" w:hAnsi="Times New Roman" w:eastAsia="宋体" w:cs="Times New Roman"/>
                      <w:b w:val="0"/>
                      <w:bCs w:val="0"/>
                      <w:kern w:val="2"/>
                      <w:sz w:val="21"/>
                      <w:szCs w:val="24"/>
                      <w:vertAlign w:val="subscript"/>
                      <w:lang w:val="en-US" w:eastAsia="zh-CN" w:bidi="ar"/>
                    </w:rPr>
                    <w:t>5</w:t>
                  </w:r>
                </w:p>
              </w:tc>
              <w:tc>
                <w:tcPr>
                  <w:tcW w:w="375" w:type="pct"/>
                  <w:tcBorders>
                    <w:tl2br w:val="nil"/>
                    <w:tr2bl w:val="nil"/>
                  </w:tcBorders>
                  <w:shd w:val="clear" w:color="auto" w:fill="auto"/>
                  <w:vAlign w:val="center"/>
                </w:tcPr>
                <w:p w14:paraId="67F6543C">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textAlignment w:val="auto"/>
                    <w:rPr>
                      <w:rFonts w:hint="default"/>
                      <w:b w:val="0"/>
                      <w:bCs w:val="0"/>
                      <w:lang w:val="en-US"/>
                    </w:rPr>
                  </w:pPr>
                  <w:r>
                    <w:rPr>
                      <w:rFonts w:hint="default" w:ascii="Times New Roman" w:hAnsi="Times New Roman" w:eastAsia="宋体" w:cs="Times New Roman"/>
                      <w:b w:val="0"/>
                      <w:bCs w:val="0"/>
                      <w:kern w:val="2"/>
                      <w:sz w:val="21"/>
                      <w:szCs w:val="24"/>
                      <w:lang w:val="en-US" w:eastAsia="zh-CN" w:bidi="ar"/>
                    </w:rPr>
                    <w:t>SS</w:t>
                  </w:r>
                </w:p>
              </w:tc>
              <w:tc>
                <w:tcPr>
                  <w:tcW w:w="415" w:type="pct"/>
                  <w:tcBorders>
                    <w:tl2br w:val="nil"/>
                    <w:tr2bl w:val="nil"/>
                  </w:tcBorders>
                  <w:shd w:val="clear" w:color="auto" w:fill="auto"/>
                  <w:vAlign w:val="center"/>
                </w:tcPr>
                <w:p w14:paraId="2B925208">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textAlignment w:val="auto"/>
                    <w:rPr>
                      <w:rFonts w:hint="default"/>
                      <w:b w:val="0"/>
                      <w:bCs w:val="0"/>
                      <w:lang w:val="en-US"/>
                    </w:rPr>
                  </w:pPr>
                  <w:r>
                    <w:rPr>
                      <w:rFonts w:hint="eastAsia" w:ascii="Times New Roman" w:hAnsi="Times New Roman" w:eastAsia="宋体" w:cs="宋体"/>
                      <w:b w:val="0"/>
                      <w:bCs w:val="0"/>
                      <w:kern w:val="2"/>
                      <w:sz w:val="21"/>
                      <w:szCs w:val="24"/>
                      <w:lang w:val="en-US" w:eastAsia="zh-CN" w:bidi="ar"/>
                    </w:rPr>
                    <w:t>氨氮</w:t>
                  </w:r>
                </w:p>
              </w:tc>
              <w:tc>
                <w:tcPr>
                  <w:tcW w:w="416" w:type="pct"/>
                  <w:tcBorders>
                    <w:tl2br w:val="nil"/>
                    <w:tr2bl w:val="nil"/>
                  </w:tcBorders>
                  <w:shd w:val="clear" w:color="auto" w:fill="auto"/>
                  <w:vAlign w:val="center"/>
                </w:tcPr>
                <w:p w14:paraId="76AFFB9B">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textAlignment w:val="auto"/>
                    <w:rPr>
                      <w:rFonts w:hint="default" w:ascii="Times New Roman" w:hAnsi="Times New Roman" w:eastAsia="宋体" w:cs="宋体"/>
                      <w:b w:val="0"/>
                      <w:bCs w:val="0"/>
                      <w:kern w:val="2"/>
                      <w:sz w:val="21"/>
                      <w:szCs w:val="24"/>
                      <w:lang w:val="en-US" w:eastAsia="zh-CN" w:bidi="ar"/>
                    </w:rPr>
                  </w:pPr>
                  <w:r>
                    <w:rPr>
                      <w:rFonts w:hint="eastAsia" w:cs="宋体"/>
                      <w:b w:val="0"/>
                      <w:bCs w:val="0"/>
                      <w:kern w:val="2"/>
                      <w:sz w:val="21"/>
                      <w:szCs w:val="24"/>
                      <w:lang w:val="en-US" w:eastAsia="zh-CN" w:bidi="ar"/>
                    </w:rPr>
                    <w:t>总磷</w:t>
                  </w:r>
                </w:p>
              </w:tc>
              <w:tc>
                <w:tcPr>
                  <w:tcW w:w="434" w:type="pct"/>
                  <w:tcBorders>
                    <w:tl2br w:val="nil"/>
                    <w:tr2bl w:val="nil"/>
                  </w:tcBorders>
                  <w:shd w:val="clear" w:color="auto" w:fill="auto"/>
                  <w:vAlign w:val="center"/>
                </w:tcPr>
                <w:p w14:paraId="4E7D68F7">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textAlignment w:val="auto"/>
                    <w:rPr>
                      <w:rFonts w:hint="default" w:ascii="Times New Roman" w:hAnsi="Times New Roman" w:eastAsia="宋体" w:cs="宋体"/>
                      <w:b w:val="0"/>
                      <w:bCs w:val="0"/>
                      <w:kern w:val="2"/>
                      <w:sz w:val="21"/>
                      <w:szCs w:val="24"/>
                      <w:lang w:val="en-US" w:eastAsia="zh-CN" w:bidi="ar"/>
                    </w:rPr>
                  </w:pPr>
                  <w:r>
                    <w:rPr>
                      <w:rFonts w:hint="eastAsia" w:cs="宋体"/>
                      <w:b w:val="0"/>
                      <w:bCs w:val="0"/>
                      <w:kern w:val="2"/>
                      <w:sz w:val="21"/>
                      <w:szCs w:val="24"/>
                      <w:lang w:val="en-US" w:eastAsia="zh-CN" w:bidi="ar"/>
                    </w:rPr>
                    <w:t>总氮</w:t>
                  </w:r>
                </w:p>
              </w:tc>
            </w:tr>
            <w:tr w14:paraId="3AAC06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65" w:hRule="atLeast"/>
                <w:jc w:val="center"/>
              </w:trPr>
              <w:tc>
                <w:tcPr>
                  <w:tcW w:w="1821" w:type="pct"/>
                  <w:tcBorders>
                    <w:tl2br w:val="nil"/>
                    <w:tr2bl w:val="nil"/>
                  </w:tcBorders>
                  <w:shd w:val="clear" w:color="auto" w:fill="auto"/>
                  <w:vAlign w:val="center"/>
                </w:tcPr>
                <w:p w14:paraId="750D5A3E">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textAlignment w:val="auto"/>
                    <w:rPr>
                      <w:rFonts w:hint="default"/>
                      <w:b w:val="0"/>
                      <w:bCs w:val="0"/>
                    </w:rPr>
                  </w:pPr>
                  <w:r>
                    <w:rPr>
                      <w:rFonts w:hint="eastAsia" w:ascii="Times New Roman" w:hAnsi="Times New Roman" w:eastAsia="宋体" w:cs="宋体"/>
                      <w:b w:val="0"/>
                      <w:bCs w:val="0"/>
                      <w:kern w:val="2"/>
                      <w:sz w:val="21"/>
                      <w:szCs w:val="24"/>
                      <w:lang w:val="en-US" w:eastAsia="zh-CN" w:bidi="ar"/>
                    </w:rPr>
                    <w:t>《污水综合排放标准》（</w:t>
                  </w:r>
                  <w:r>
                    <w:rPr>
                      <w:rFonts w:hint="default" w:ascii="Times New Roman" w:hAnsi="Times New Roman" w:eastAsia="宋体" w:cs="Times New Roman"/>
                      <w:b w:val="0"/>
                      <w:bCs w:val="0"/>
                      <w:kern w:val="2"/>
                      <w:sz w:val="21"/>
                      <w:szCs w:val="24"/>
                      <w:lang w:val="en-US" w:eastAsia="zh-CN" w:bidi="ar"/>
                    </w:rPr>
                    <w:t>GB8978-1996</w:t>
                  </w:r>
                  <w:r>
                    <w:rPr>
                      <w:rFonts w:hint="eastAsia" w:ascii="Times New Roman" w:hAnsi="Times New Roman" w:eastAsia="宋体" w:cs="宋体"/>
                      <w:b w:val="0"/>
                      <w:bCs w:val="0"/>
                      <w:kern w:val="2"/>
                      <w:sz w:val="21"/>
                      <w:szCs w:val="24"/>
                      <w:lang w:val="en-US" w:eastAsia="zh-CN" w:bidi="ar"/>
                    </w:rPr>
                    <w:t>）</w:t>
                  </w:r>
                </w:p>
                <w:p w14:paraId="57CE2A27">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textAlignment w:val="auto"/>
                    <w:rPr>
                      <w:rFonts w:hint="default"/>
                      <w:b w:val="0"/>
                      <w:bCs w:val="0"/>
                    </w:rPr>
                  </w:pPr>
                  <w:r>
                    <w:rPr>
                      <w:rFonts w:hint="eastAsia" w:ascii="Times New Roman" w:hAnsi="Times New Roman" w:eastAsia="宋体" w:cs="宋体"/>
                      <w:b w:val="0"/>
                      <w:bCs w:val="0"/>
                      <w:kern w:val="2"/>
                      <w:sz w:val="21"/>
                      <w:szCs w:val="24"/>
                      <w:lang w:val="en-US" w:eastAsia="zh-CN" w:bidi="ar"/>
                    </w:rPr>
                    <w:t>表</w:t>
                  </w:r>
                  <w:r>
                    <w:rPr>
                      <w:rFonts w:hint="default" w:ascii="Times New Roman" w:hAnsi="Times New Roman" w:eastAsia="宋体" w:cs="Times New Roman"/>
                      <w:b w:val="0"/>
                      <w:bCs w:val="0"/>
                      <w:kern w:val="2"/>
                      <w:sz w:val="21"/>
                      <w:szCs w:val="24"/>
                      <w:lang w:val="en-US" w:eastAsia="zh-CN" w:bidi="ar"/>
                    </w:rPr>
                    <w:t>4</w:t>
                  </w:r>
                  <w:r>
                    <w:rPr>
                      <w:rFonts w:hint="eastAsia" w:ascii="Times New Roman" w:hAnsi="Times New Roman" w:eastAsia="宋体" w:cs="宋体"/>
                      <w:b w:val="0"/>
                      <w:bCs w:val="0"/>
                      <w:kern w:val="2"/>
                      <w:sz w:val="21"/>
                      <w:szCs w:val="24"/>
                      <w:lang w:val="en-US" w:eastAsia="zh-CN" w:bidi="ar"/>
                    </w:rPr>
                    <w:t>三级标准值</w:t>
                  </w:r>
                </w:p>
              </w:tc>
              <w:tc>
                <w:tcPr>
                  <w:tcW w:w="554" w:type="pct"/>
                  <w:tcBorders>
                    <w:tl2br w:val="nil"/>
                    <w:tr2bl w:val="nil"/>
                  </w:tcBorders>
                  <w:shd w:val="clear" w:color="auto" w:fill="auto"/>
                  <w:vAlign w:val="center"/>
                </w:tcPr>
                <w:p w14:paraId="5BB9FD90">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textAlignment w:val="auto"/>
                    <w:rPr>
                      <w:rFonts w:hint="default"/>
                      <w:b w:val="0"/>
                      <w:bCs w:val="0"/>
                    </w:rPr>
                  </w:pPr>
                  <w:r>
                    <w:rPr>
                      <w:rFonts w:hint="default" w:ascii="Times New Roman" w:hAnsi="Times New Roman" w:eastAsia="宋体" w:cs="Times New Roman"/>
                      <w:b w:val="0"/>
                      <w:bCs w:val="0"/>
                      <w:kern w:val="2"/>
                      <w:sz w:val="21"/>
                      <w:szCs w:val="24"/>
                      <w:lang w:val="en-US" w:eastAsia="zh-CN" w:bidi="ar"/>
                    </w:rPr>
                    <w:t>6~9</w:t>
                  </w:r>
                </w:p>
              </w:tc>
              <w:tc>
                <w:tcPr>
                  <w:tcW w:w="517" w:type="pct"/>
                  <w:tcBorders>
                    <w:tl2br w:val="nil"/>
                    <w:tr2bl w:val="nil"/>
                  </w:tcBorders>
                  <w:shd w:val="clear" w:color="auto" w:fill="auto"/>
                  <w:vAlign w:val="center"/>
                </w:tcPr>
                <w:p w14:paraId="6AD9585D">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textAlignment w:val="auto"/>
                    <w:rPr>
                      <w:rFonts w:hint="default"/>
                      <w:b w:val="0"/>
                      <w:bCs w:val="0"/>
                    </w:rPr>
                  </w:pPr>
                  <w:r>
                    <w:rPr>
                      <w:rFonts w:hint="default" w:ascii="Times New Roman" w:hAnsi="Times New Roman" w:eastAsia="宋体" w:cs="Times New Roman"/>
                      <w:b w:val="0"/>
                      <w:bCs w:val="0"/>
                      <w:kern w:val="2"/>
                      <w:sz w:val="21"/>
                      <w:szCs w:val="24"/>
                      <w:lang w:val="en-US" w:eastAsia="zh-CN" w:bidi="ar"/>
                    </w:rPr>
                    <w:t>500</w:t>
                  </w:r>
                </w:p>
              </w:tc>
              <w:tc>
                <w:tcPr>
                  <w:tcW w:w="465" w:type="pct"/>
                  <w:tcBorders>
                    <w:tl2br w:val="nil"/>
                    <w:tr2bl w:val="nil"/>
                  </w:tcBorders>
                  <w:shd w:val="clear" w:color="auto" w:fill="auto"/>
                  <w:vAlign w:val="center"/>
                </w:tcPr>
                <w:p w14:paraId="2F20BFB0">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textAlignment w:val="auto"/>
                    <w:rPr>
                      <w:rFonts w:hint="default"/>
                      <w:b w:val="0"/>
                      <w:bCs w:val="0"/>
                    </w:rPr>
                  </w:pPr>
                  <w:r>
                    <w:rPr>
                      <w:rFonts w:hint="default" w:ascii="Times New Roman" w:hAnsi="Times New Roman" w:eastAsia="宋体" w:cs="Times New Roman"/>
                      <w:b w:val="0"/>
                      <w:bCs w:val="0"/>
                      <w:kern w:val="2"/>
                      <w:sz w:val="21"/>
                      <w:szCs w:val="24"/>
                      <w:lang w:val="en-US" w:eastAsia="zh-CN" w:bidi="ar"/>
                    </w:rPr>
                    <w:t>300</w:t>
                  </w:r>
                </w:p>
              </w:tc>
              <w:tc>
                <w:tcPr>
                  <w:tcW w:w="375" w:type="pct"/>
                  <w:tcBorders>
                    <w:tl2br w:val="nil"/>
                    <w:tr2bl w:val="nil"/>
                  </w:tcBorders>
                  <w:shd w:val="clear" w:color="auto" w:fill="auto"/>
                  <w:vAlign w:val="center"/>
                </w:tcPr>
                <w:p w14:paraId="770CD84C">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textAlignment w:val="auto"/>
                    <w:rPr>
                      <w:rFonts w:hint="default"/>
                      <w:b w:val="0"/>
                      <w:bCs w:val="0"/>
                    </w:rPr>
                  </w:pPr>
                  <w:r>
                    <w:rPr>
                      <w:rFonts w:hint="default" w:ascii="Times New Roman" w:hAnsi="Times New Roman" w:eastAsia="宋体" w:cs="Times New Roman"/>
                      <w:b w:val="0"/>
                      <w:bCs w:val="0"/>
                      <w:kern w:val="2"/>
                      <w:sz w:val="21"/>
                      <w:szCs w:val="24"/>
                      <w:lang w:val="en-US" w:eastAsia="zh-CN" w:bidi="ar"/>
                    </w:rPr>
                    <w:t>400</w:t>
                  </w:r>
                </w:p>
              </w:tc>
              <w:tc>
                <w:tcPr>
                  <w:tcW w:w="415" w:type="pct"/>
                  <w:tcBorders>
                    <w:tl2br w:val="nil"/>
                    <w:tr2bl w:val="nil"/>
                  </w:tcBorders>
                  <w:shd w:val="clear" w:color="auto" w:fill="auto"/>
                  <w:vAlign w:val="center"/>
                </w:tcPr>
                <w:p w14:paraId="122AAE84">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textAlignment w:val="auto"/>
                    <w:rPr>
                      <w:rFonts w:hint="default"/>
                      <w:b w:val="0"/>
                      <w:bCs w:val="0"/>
                    </w:rPr>
                  </w:pPr>
                  <w:r>
                    <w:rPr>
                      <w:rFonts w:hint="default" w:ascii="Times New Roman" w:hAnsi="Times New Roman" w:eastAsia="宋体" w:cs="Times New Roman"/>
                      <w:b w:val="0"/>
                      <w:bCs w:val="0"/>
                      <w:kern w:val="2"/>
                      <w:sz w:val="21"/>
                      <w:szCs w:val="24"/>
                      <w:lang w:val="en-US" w:eastAsia="zh-CN" w:bidi="ar"/>
                    </w:rPr>
                    <w:t>/</w:t>
                  </w:r>
                </w:p>
              </w:tc>
              <w:tc>
                <w:tcPr>
                  <w:tcW w:w="416" w:type="pct"/>
                  <w:tcBorders>
                    <w:tl2br w:val="nil"/>
                    <w:tr2bl w:val="nil"/>
                  </w:tcBorders>
                  <w:shd w:val="clear" w:color="auto" w:fill="auto"/>
                  <w:vAlign w:val="center"/>
                </w:tcPr>
                <w:p w14:paraId="44CCF4DB">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textAlignment w:val="auto"/>
                    <w:rPr>
                      <w:rFonts w:hint="default" w:ascii="Times New Roman" w:hAnsi="Times New Roman" w:eastAsia="宋体" w:cs="Times New Roman"/>
                      <w:b w:val="0"/>
                      <w:bCs w:val="0"/>
                      <w:kern w:val="2"/>
                      <w:sz w:val="21"/>
                      <w:szCs w:val="24"/>
                      <w:lang w:val="en-US" w:eastAsia="zh-CN" w:bidi="ar"/>
                    </w:rPr>
                  </w:pPr>
                  <w:r>
                    <w:rPr>
                      <w:rFonts w:hint="eastAsia" w:cs="Times New Roman"/>
                      <w:b w:val="0"/>
                      <w:bCs w:val="0"/>
                      <w:kern w:val="2"/>
                      <w:sz w:val="21"/>
                      <w:szCs w:val="24"/>
                      <w:lang w:val="en-US" w:eastAsia="zh-CN" w:bidi="ar"/>
                    </w:rPr>
                    <w:t>/</w:t>
                  </w:r>
                </w:p>
              </w:tc>
              <w:tc>
                <w:tcPr>
                  <w:tcW w:w="434" w:type="pct"/>
                  <w:tcBorders>
                    <w:tl2br w:val="nil"/>
                    <w:tr2bl w:val="nil"/>
                  </w:tcBorders>
                  <w:shd w:val="clear" w:color="auto" w:fill="auto"/>
                  <w:vAlign w:val="center"/>
                </w:tcPr>
                <w:p w14:paraId="304C6E34">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textAlignment w:val="auto"/>
                    <w:rPr>
                      <w:rFonts w:hint="default" w:ascii="Times New Roman" w:hAnsi="Times New Roman" w:eastAsia="宋体" w:cs="Times New Roman"/>
                      <w:b w:val="0"/>
                      <w:bCs w:val="0"/>
                      <w:kern w:val="2"/>
                      <w:sz w:val="21"/>
                      <w:szCs w:val="24"/>
                      <w:lang w:val="en-US" w:eastAsia="zh-CN" w:bidi="ar"/>
                    </w:rPr>
                  </w:pPr>
                  <w:r>
                    <w:rPr>
                      <w:rFonts w:hint="eastAsia" w:cs="Times New Roman"/>
                      <w:b w:val="0"/>
                      <w:bCs w:val="0"/>
                      <w:kern w:val="2"/>
                      <w:sz w:val="21"/>
                      <w:szCs w:val="24"/>
                      <w:lang w:val="en-US" w:eastAsia="zh-CN" w:bidi="ar"/>
                    </w:rPr>
                    <w:t>/</w:t>
                  </w:r>
                </w:p>
              </w:tc>
            </w:tr>
            <w:tr w14:paraId="73DDD0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65" w:hRule="atLeast"/>
                <w:jc w:val="center"/>
              </w:trPr>
              <w:tc>
                <w:tcPr>
                  <w:tcW w:w="1821" w:type="pct"/>
                  <w:tcBorders>
                    <w:tl2br w:val="nil"/>
                    <w:tr2bl w:val="nil"/>
                  </w:tcBorders>
                  <w:shd w:val="clear" w:color="auto" w:fill="auto"/>
                  <w:vAlign w:val="center"/>
                </w:tcPr>
                <w:p w14:paraId="77093FEE">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textAlignment w:val="auto"/>
                    <w:rPr>
                      <w:rFonts w:hint="default"/>
                      <w:b w:val="0"/>
                      <w:bCs w:val="0"/>
                    </w:rPr>
                  </w:pPr>
                  <w:r>
                    <w:rPr>
                      <w:rFonts w:hint="eastAsia" w:ascii="Times New Roman" w:hAnsi="Times New Roman" w:eastAsia="宋体" w:cs="宋体"/>
                      <w:b w:val="0"/>
                      <w:bCs w:val="0"/>
                      <w:kern w:val="2"/>
                      <w:sz w:val="21"/>
                      <w:szCs w:val="24"/>
                      <w:lang w:val="en-US" w:eastAsia="zh-CN" w:bidi="ar"/>
                    </w:rPr>
                    <w:t>同时满足汤阴东方环宇污水处理有限公司进水水质要求</w:t>
                  </w:r>
                </w:p>
              </w:tc>
              <w:tc>
                <w:tcPr>
                  <w:tcW w:w="554" w:type="pct"/>
                  <w:tcBorders>
                    <w:tl2br w:val="nil"/>
                    <w:tr2bl w:val="nil"/>
                  </w:tcBorders>
                  <w:shd w:val="clear" w:color="auto" w:fill="auto"/>
                  <w:vAlign w:val="center"/>
                </w:tcPr>
                <w:p w14:paraId="45705602">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textAlignment w:val="auto"/>
                    <w:rPr>
                      <w:rFonts w:hint="default"/>
                      <w:b w:val="0"/>
                      <w:bCs w:val="0"/>
                    </w:rPr>
                  </w:pPr>
                  <w:r>
                    <w:rPr>
                      <w:rFonts w:hint="default" w:ascii="Times New Roman" w:hAnsi="Times New Roman" w:eastAsia="宋体" w:cs="Times New Roman"/>
                      <w:b w:val="0"/>
                      <w:bCs w:val="0"/>
                      <w:kern w:val="2"/>
                      <w:sz w:val="21"/>
                      <w:szCs w:val="24"/>
                      <w:lang w:val="en-US" w:eastAsia="zh-CN" w:bidi="ar"/>
                    </w:rPr>
                    <w:t>/</w:t>
                  </w:r>
                </w:p>
              </w:tc>
              <w:tc>
                <w:tcPr>
                  <w:tcW w:w="517" w:type="pct"/>
                  <w:tcBorders>
                    <w:tl2br w:val="nil"/>
                    <w:tr2bl w:val="nil"/>
                  </w:tcBorders>
                  <w:shd w:val="clear" w:color="auto" w:fill="auto"/>
                  <w:vAlign w:val="center"/>
                </w:tcPr>
                <w:p w14:paraId="12BBF00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val="0"/>
                    </w:rPr>
                  </w:pPr>
                  <w:r>
                    <w:rPr>
                      <w:rFonts w:hint="default" w:ascii="Times New Roman" w:hAnsi="Times New Roman" w:eastAsia="宋体" w:cs="Times New Roman"/>
                      <w:b w:val="0"/>
                      <w:bCs w:val="0"/>
                      <w:kern w:val="0"/>
                      <w:sz w:val="21"/>
                      <w:szCs w:val="21"/>
                      <w:lang w:val="en-US" w:eastAsia="zh-CN" w:bidi="ar"/>
                    </w:rPr>
                    <w:t>350</w:t>
                  </w:r>
                </w:p>
              </w:tc>
              <w:tc>
                <w:tcPr>
                  <w:tcW w:w="465" w:type="pct"/>
                  <w:tcBorders>
                    <w:tl2br w:val="nil"/>
                    <w:tr2bl w:val="nil"/>
                  </w:tcBorders>
                  <w:shd w:val="clear" w:color="auto" w:fill="auto"/>
                  <w:vAlign w:val="center"/>
                </w:tcPr>
                <w:p w14:paraId="1C06D0E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val="0"/>
                    </w:rPr>
                  </w:pPr>
                  <w:r>
                    <w:rPr>
                      <w:rFonts w:hint="default" w:ascii="Times New Roman" w:hAnsi="Times New Roman" w:eastAsia="宋体" w:cs="Times New Roman"/>
                      <w:b w:val="0"/>
                      <w:bCs w:val="0"/>
                      <w:kern w:val="0"/>
                      <w:sz w:val="21"/>
                      <w:szCs w:val="21"/>
                      <w:lang w:val="en-US" w:eastAsia="zh-CN" w:bidi="ar"/>
                    </w:rPr>
                    <w:t>170</w:t>
                  </w:r>
                </w:p>
              </w:tc>
              <w:tc>
                <w:tcPr>
                  <w:tcW w:w="375" w:type="pct"/>
                  <w:tcBorders>
                    <w:tl2br w:val="nil"/>
                    <w:tr2bl w:val="nil"/>
                  </w:tcBorders>
                  <w:shd w:val="clear" w:color="auto" w:fill="auto"/>
                  <w:vAlign w:val="center"/>
                </w:tcPr>
                <w:p w14:paraId="60896BF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val="0"/>
                    </w:rPr>
                  </w:pPr>
                  <w:r>
                    <w:rPr>
                      <w:rFonts w:hint="default" w:ascii="Times New Roman" w:hAnsi="Times New Roman" w:eastAsia="宋体" w:cs="Times New Roman"/>
                      <w:b w:val="0"/>
                      <w:bCs w:val="0"/>
                      <w:kern w:val="0"/>
                      <w:sz w:val="21"/>
                      <w:szCs w:val="21"/>
                      <w:lang w:val="en-US" w:eastAsia="zh-CN" w:bidi="ar"/>
                    </w:rPr>
                    <w:t>210</w:t>
                  </w:r>
                </w:p>
              </w:tc>
              <w:tc>
                <w:tcPr>
                  <w:tcW w:w="415" w:type="pct"/>
                  <w:tcBorders>
                    <w:tl2br w:val="nil"/>
                    <w:tr2bl w:val="nil"/>
                  </w:tcBorders>
                  <w:shd w:val="clear" w:color="auto" w:fill="auto"/>
                  <w:vAlign w:val="center"/>
                </w:tcPr>
                <w:p w14:paraId="677D3AA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val="0"/>
                    </w:rPr>
                  </w:pPr>
                  <w:r>
                    <w:rPr>
                      <w:rFonts w:hint="default" w:ascii="Times New Roman" w:hAnsi="Times New Roman" w:eastAsia="宋体" w:cs="Times New Roman"/>
                      <w:b w:val="0"/>
                      <w:bCs w:val="0"/>
                      <w:kern w:val="0"/>
                      <w:sz w:val="21"/>
                      <w:szCs w:val="21"/>
                      <w:lang w:val="en-US" w:eastAsia="zh-CN" w:bidi="ar"/>
                    </w:rPr>
                    <w:t>35</w:t>
                  </w:r>
                </w:p>
              </w:tc>
              <w:tc>
                <w:tcPr>
                  <w:tcW w:w="416" w:type="pct"/>
                  <w:tcBorders>
                    <w:tl2br w:val="nil"/>
                    <w:tr2bl w:val="nil"/>
                  </w:tcBorders>
                  <w:shd w:val="clear" w:color="auto" w:fill="auto"/>
                  <w:vAlign w:val="center"/>
                </w:tcPr>
                <w:p w14:paraId="45FCF2A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宋体" w:cs="Times New Roman"/>
                      <w:b w:val="0"/>
                      <w:bCs w:val="0"/>
                      <w:kern w:val="0"/>
                      <w:sz w:val="21"/>
                      <w:szCs w:val="21"/>
                      <w:lang w:val="en-US" w:eastAsia="zh-CN" w:bidi="ar"/>
                    </w:rPr>
                  </w:pPr>
                  <w:r>
                    <w:rPr>
                      <w:rFonts w:hint="eastAsia" w:cs="Times New Roman"/>
                      <w:b w:val="0"/>
                      <w:bCs w:val="0"/>
                      <w:kern w:val="0"/>
                      <w:sz w:val="21"/>
                      <w:szCs w:val="21"/>
                      <w:lang w:val="en-US" w:eastAsia="zh-CN" w:bidi="ar"/>
                    </w:rPr>
                    <w:t>5</w:t>
                  </w:r>
                </w:p>
              </w:tc>
              <w:tc>
                <w:tcPr>
                  <w:tcW w:w="434" w:type="pct"/>
                  <w:tcBorders>
                    <w:tl2br w:val="nil"/>
                    <w:tr2bl w:val="nil"/>
                  </w:tcBorders>
                  <w:shd w:val="clear" w:color="auto" w:fill="auto"/>
                  <w:vAlign w:val="center"/>
                </w:tcPr>
                <w:p w14:paraId="0E314F7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宋体" w:cs="Times New Roman"/>
                      <w:b w:val="0"/>
                      <w:bCs w:val="0"/>
                      <w:kern w:val="0"/>
                      <w:sz w:val="21"/>
                      <w:szCs w:val="21"/>
                      <w:lang w:val="en-US" w:eastAsia="zh-CN" w:bidi="ar"/>
                    </w:rPr>
                  </w:pPr>
                  <w:r>
                    <w:rPr>
                      <w:rFonts w:hint="eastAsia" w:cs="Times New Roman"/>
                      <w:b w:val="0"/>
                      <w:bCs w:val="0"/>
                      <w:kern w:val="0"/>
                      <w:sz w:val="21"/>
                      <w:szCs w:val="21"/>
                      <w:lang w:val="en-US" w:eastAsia="zh-CN" w:bidi="ar"/>
                    </w:rPr>
                    <w:t>45</w:t>
                  </w:r>
                </w:p>
              </w:tc>
            </w:tr>
          </w:tbl>
          <w:p w14:paraId="5C342085">
            <w:pPr>
              <w:keepNext w:val="0"/>
              <w:keepLines w:val="0"/>
              <w:pageBreakBefore w:val="0"/>
              <w:widowControl w:val="0"/>
              <w:suppressLineNumbers w:val="0"/>
              <w:kinsoku/>
              <w:wordWrap/>
              <w:overflowPunct/>
              <w:topLinePunct w:val="0"/>
              <w:autoSpaceDE/>
              <w:autoSpaceDN/>
              <w:bidi w:val="0"/>
              <w:adjustRightInd w:val="0"/>
              <w:snapToGrid/>
              <w:spacing w:before="0" w:beforeLines="0" w:beforeAutospacing="0" w:after="0" w:afterAutospacing="0" w:line="520" w:lineRule="exact"/>
              <w:ind w:left="0" w:right="0"/>
              <w:textAlignment w:val="auto"/>
              <w:rPr>
                <w:rFonts w:hint="default" w:cs="Times New Roman"/>
                <w:b/>
                <w:bCs/>
                <w:color w:val="000000" w:themeColor="text1"/>
                <w:spacing w:val="4"/>
                <w:sz w:val="24"/>
                <w:szCs w:val="24"/>
                <w:lang w:val="en-US" w:eastAsia="zh-CN"/>
                <w14:textFill>
                  <w14:solidFill>
                    <w14:schemeClr w14:val="tx1"/>
                  </w14:solidFill>
                </w14:textFill>
              </w:rPr>
            </w:pPr>
            <w:r>
              <w:rPr>
                <w:rFonts w:hint="eastAsia" w:cs="Times New Roman"/>
                <w:b/>
                <w:bCs/>
                <w:color w:val="000000" w:themeColor="text1"/>
                <w:spacing w:val="4"/>
                <w:sz w:val="24"/>
                <w:szCs w:val="24"/>
                <w:lang w:val="en-US" w:eastAsia="zh-CN"/>
                <w14:textFill>
                  <w14:solidFill>
                    <w14:schemeClr w14:val="tx1"/>
                  </w14:solidFill>
                </w14:textFill>
              </w:rPr>
              <w:t>三、噪声</w:t>
            </w:r>
          </w:p>
          <w:p w14:paraId="59114001">
            <w:pPr>
              <w:keepNext w:val="0"/>
              <w:keepLines w:val="0"/>
              <w:pageBreakBefore w:val="0"/>
              <w:widowControl w:val="0"/>
              <w:suppressLineNumbers w:val="0"/>
              <w:kinsoku/>
              <w:wordWrap/>
              <w:overflowPunct/>
              <w:topLinePunct w:val="0"/>
              <w:autoSpaceDE/>
              <w:autoSpaceDN/>
              <w:bidi w:val="0"/>
              <w:adjustRightInd w:val="0"/>
              <w:snapToGrid/>
              <w:spacing w:before="0" w:beforeLines="0" w:beforeAutospacing="0" w:after="0" w:afterAutospacing="0" w:line="520" w:lineRule="exact"/>
              <w:ind w:left="0" w:right="0" w:firstLine="496" w:firstLineChars="200"/>
              <w:textAlignment w:val="auto"/>
              <w:rPr>
                <w:rFonts w:hint="eastAsia" w:cs="Times New Roman"/>
                <w:color w:val="000000" w:themeColor="text1"/>
                <w:spacing w:val="4"/>
                <w:sz w:val="24"/>
                <w:szCs w:val="24"/>
                <w:u w:val="none" w:color="auto"/>
                <w:lang w:val="en-US" w:eastAsia="zh-CN"/>
                <w14:textFill>
                  <w14:solidFill>
                    <w14:schemeClr w14:val="tx1"/>
                  </w14:solidFill>
                </w14:textFill>
              </w:rPr>
            </w:pPr>
            <w:r>
              <w:rPr>
                <w:rFonts w:hint="eastAsia" w:cs="Times New Roman"/>
                <w:color w:val="000000" w:themeColor="text1"/>
                <w:spacing w:val="4"/>
                <w:sz w:val="24"/>
                <w:szCs w:val="24"/>
                <w:u w:val="none" w:color="auto"/>
                <w:lang w:val="en-US" w:eastAsia="zh-CN"/>
                <w14:textFill>
                  <w14:solidFill>
                    <w14:schemeClr w14:val="tx1"/>
                  </w14:solidFill>
                </w14:textFill>
              </w:rPr>
              <w:t>施工期厂界噪声执行《建筑施工噪声排放标准》（GB12523-2025）中噪声排放限值：昼间70dB(A)，夜间55dB(A)。</w:t>
            </w:r>
          </w:p>
          <w:p w14:paraId="678381E5">
            <w:pPr>
              <w:keepNext w:val="0"/>
              <w:keepLines w:val="0"/>
              <w:pageBreakBefore w:val="0"/>
              <w:widowControl w:val="0"/>
              <w:suppressLineNumbers w:val="0"/>
              <w:kinsoku/>
              <w:wordWrap/>
              <w:overflowPunct/>
              <w:topLinePunct w:val="0"/>
              <w:autoSpaceDE/>
              <w:autoSpaceDN/>
              <w:bidi w:val="0"/>
              <w:adjustRightInd w:val="0"/>
              <w:snapToGrid/>
              <w:spacing w:before="0" w:beforeLines="0" w:beforeAutospacing="0" w:after="0" w:afterAutospacing="0" w:line="520" w:lineRule="exact"/>
              <w:ind w:left="0" w:right="0" w:firstLine="496" w:firstLineChars="200"/>
              <w:textAlignment w:val="auto"/>
              <w:rPr>
                <w:rFonts w:hint="default" w:cs="Times New Roman"/>
                <w:color w:val="000000" w:themeColor="text1"/>
                <w:spacing w:val="4"/>
                <w:sz w:val="24"/>
                <w:szCs w:val="24"/>
                <w:lang w:val="en-US" w:eastAsia="zh-CN"/>
                <w14:textFill>
                  <w14:solidFill>
                    <w14:schemeClr w14:val="tx1"/>
                  </w14:solidFill>
                </w14:textFill>
              </w:rPr>
            </w:pPr>
            <w:r>
              <w:rPr>
                <w:rFonts w:hint="eastAsia" w:cs="Times New Roman"/>
                <w:color w:val="000000" w:themeColor="text1"/>
                <w:spacing w:val="4"/>
                <w:sz w:val="24"/>
                <w:szCs w:val="24"/>
                <w:lang w:val="en-US" w:eastAsia="zh-CN"/>
                <w14:textFill>
                  <w14:solidFill>
                    <w14:schemeClr w14:val="tx1"/>
                  </w14:solidFill>
                </w14:textFill>
              </w:rPr>
              <w:t>运营期噪声排放执行《工业企业厂界环境噪声排放标准》（GB12348-2008）3类限值：昼间65dB(A)，夜间55dB(A)</w:t>
            </w:r>
            <w:r>
              <w:rPr>
                <w:rFonts w:hint="eastAsia" w:ascii="Times New Roman" w:hAnsi="Times New Roman" w:eastAsia="宋体" w:cs="Times New Roman"/>
                <w:color w:val="000000"/>
                <w:spacing w:val="4"/>
                <w:kern w:val="2"/>
                <w:sz w:val="24"/>
                <w:szCs w:val="24"/>
                <w:lang w:val="en-US" w:eastAsia="zh-CN" w:bidi="ar"/>
              </w:rPr>
              <w:t>；夜间频发噪声最大声级</w:t>
            </w:r>
            <w:r>
              <w:rPr>
                <w:rFonts w:hint="default" w:ascii="Times New Roman" w:hAnsi="Times New Roman" w:eastAsia="宋体" w:cs="Times New Roman"/>
                <w:color w:val="000000"/>
                <w:spacing w:val="4"/>
                <w:kern w:val="2"/>
                <w:sz w:val="24"/>
                <w:szCs w:val="24"/>
                <w:lang w:val="en-US" w:eastAsia="zh-CN" w:bidi="ar"/>
              </w:rPr>
              <w:t>65dB</w:t>
            </w:r>
            <w:r>
              <w:rPr>
                <w:rFonts w:hint="eastAsia" w:cs="Times New Roman"/>
                <w:color w:val="000000" w:themeColor="text1"/>
                <w:spacing w:val="4"/>
                <w:sz w:val="24"/>
                <w:szCs w:val="24"/>
                <w:lang w:val="en-US" w:eastAsia="zh-CN"/>
                <w14:textFill>
                  <w14:solidFill>
                    <w14:schemeClr w14:val="tx1"/>
                  </w14:solidFill>
                </w14:textFill>
              </w:rPr>
              <w:t>(A)</w:t>
            </w:r>
            <w:r>
              <w:rPr>
                <w:rFonts w:hint="eastAsia" w:ascii="Times New Roman" w:hAnsi="Times New Roman" w:eastAsia="宋体" w:cs="Times New Roman"/>
                <w:color w:val="000000"/>
                <w:spacing w:val="4"/>
                <w:kern w:val="2"/>
                <w:sz w:val="24"/>
                <w:szCs w:val="24"/>
                <w:lang w:val="en-US" w:eastAsia="zh-CN" w:bidi="ar"/>
              </w:rPr>
              <w:t>、偶发噪声最大声级</w:t>
            </w:r>
            <w:r>
              <w:rPr>
                <w:rFonts w:hint="default" w:ascii="Times New Roman" w:hAnsi="Times New Roman" w:eastAsia="宋体" w:cs="Times New Roman"/>
                <w:color w:val="000000"/>
                <w:spacing w:val="4"/>
                <w:kern w:val="2"/>
                <w:sz w:val="24"/>
                <w:szCs w:val="24"/>
                <w:lang w:val="en-US" w:eastAsia="zh-CN" w:bidi="ar"/>
              </w:rPr>
              <w:t>70dB</w:t>
            </w:r>
            <w:r>
              <w:rPr>
                <w:rFonts w:hint="eastAsia" w:cs="Times New Roman"/>
                <w:color w:val="000000" w:themeColor="text1"/>
                <w:spacing w:val="4"/>
                <w:sz w:val="24"/>
                <w:szCs w:val="24"/>
                <w:lang w:val="en-US" w:eastAsia="zh-CN"/>
                <w14:textFill>
                  <w14:solidFill>
                    <w14:schemeClr w14:val="tx1"/>
                  </w14:solidFill>
                </w14:textFill>
              </w:rPr>
              <w:t>(A)。</w:t>
            </w:r>
          </w:p>
          <w:p w14:paraId="18B2D992">
            <w:pPr>
              <w:keepNext w:val="0"/>
              <w:keepLines w:val="0"/>
              <w:pageBreakBefore w:val="0"/>
              <w:widowControl w:val="0"/>
              <w:suppressLineNumbers w:val="0"/>
              <w:kinsoku/>
              <w:wordWrap/>
              <w:overflowPunct/>
              <w:topLinePunct w:val="0"/>
              <w:autoSpaceDE/>
              <w:autoSpaceDN/>
              <w:bidi w:val="0"/>
              <w:adjustRightInd w:val="0"/>
              <w:snapToGrid/>
              <w:spacing w:before="0" w:beforeLines="0" w:beforeAutospacing="0" w:after="0" w:afterAutospacing="0" w:line="520" w:lineRule="exact"/>
              <w:ind w:left="0" w:right="0"/>
              <w:textAlignment w:val="auto"/>
              <w:rPr>
                <w:rFonts w:hint="default" w:cs="Times New Roman"/>
                <w:b/>
                <w:bCs/>
                <w:color w:val="000000" w:themeColor="text1"/>
                <w:spacing w:val="4"/>
                <w:sz w:val="24"/>
                <w:szCs w:val="24"/>
                <w:lang w:val="en-US" w:eastAsia="zh-CN"/>
                <w14:textFill>
                  <w14:solidFill>
                    <w14:schemeClr w14:val="tx1"/>
                  </w14:solidFill>
                </w14:textFill>
              </w:rPr>
            </w:pPr>
            <w:r>
              <w:rPr>
                <w:rFonts w:hint="eastAsia" w:cs="Times New Roman"/>
                <w:b/>
                <w:bCs/>
                <w:color w:val="000000" w:themeColor="text1"/>
                <w:spacing w:val="4"/>
                <w:sz w:val="24"/>
                <w:szCs w:val="24"/>
                <w:lang w:val="en-US" w:eastAsia="zh-CN"/>
                <w14:textFill>
                  <w14:solidFill>
                    <w14:schemeClr w14:val="tx1"/>
                  </w14:solidFill>
                </w14:textFill>
              </w:rPr>
              <w:t>四、固废</w:t>
            </w:r>
          </w:p>
          <w:p w14:paraId="4405117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textAlignment w:val="auto"/>
              <w:rPr>
                <w:rFonts w:hint="eastAsia"/>
                <w:color w:val="auto"/>
                <w:sz w:val="24"/>
              </w:rPr>
            </w:pPr>
            <w:r>
              <w:rPr>
                <w:rFonts w:hint="eastAsia"/>
                <w:color w:val="auto"/>
                <w:kern w:val="0"/>
                <w:sz w:val="24"/>
              </w:rPr>
              <w:t>项目一般固体废物厂区暂存执行《一般工业固体废物贮存和填埋污染控制标准》（GB18599-2020）</w:t>
            </w:r>
            <w:r>
              <w:rPr>
                <w:rFonts w:hint="eastAsia"/>
                <w:color w:val="auto"/>
                <w:sz w:val="24"/>
              </w:rPr>
              <w:t>中相关要求。</w:t>
            </w:r>
          </w:p>
          <w:p w14:paraId="6E68B37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textAlignment w:val="auto"/>
              <w:rPr>
                <w:rFonts w:hint="eastAsia"/>
                <w:color w:val="auto"/>
                <w:sz w:val="24"/>
              </w:rPr>
            </w:pPr>
            <w:r>
              <w:rPr>
                <w:rFonts w:hint="eastAsia" w:ascii="Times New Roman" w:hAnsi="Times New Roman" w:eastAsia="宋体" w:cs="Times New Roman"/>
                <w:kern w:val="2"/>
                <w:sz w:val="24"/>
                <w:szCs w:val="24"/>
                <w:lang w:val="en-US" w:eastAsia="zh-CN" w:bidi="ar"/>
              </w:rPr>
              <w:t>危险废物</w:t>
            </w:r>
            <w:r>
              <w:rPr>
                <w:rFonts w:hint="eastAsia" w:ascii="Times New Roman" w:hAnsi="Times New Roman" w:eastAsia="宋体" w:cs="Times New Roman"/>
                <w:sz w:val="24"/>
                <w:szCs w:val="24"/>
                <w:lang w:val="en-US" w:eastAsia="zh-CN" w:bidi="ar"/>
              </w:rPr>
              <w:t>厂区暂存执行《危险废物贮存污染控制标准》（</w:t>
            </w:r>
            <w:r>
              <w:rPr>
                <w:rFonts w:hint="default" w:ascii="Times New Roman" w:hAnsi="Times New Roman" w:eastAsia="宋体" w:cs="Times New Roman"/>
                <w:sz w:val="24"/>
                <w:szCs w:val="24"/>
                <w:lang w:val="en-US" w:eastAsia="zh-CN" w:bidi="ar"/>
              </w:rPr>
              <w:t>GB 18597-2024</w:t>
            </w:r>
            <w:r>
              <w:rPr>
                <w:rFonts w:hint="eastAsia" w:ascii="Times New Roman" w:hAnsi="Times New Roman" w:eastAsia="宋体" w:cs="Times New Roman"/>
                <w:sz w:val="24"/>
                <w:szCs w:val="24"/>
                <w:lang w:val="en-US" w:eastAsia="zh-CN" w:bidi="ar"/>
              </w:rPr>
              <w:t>）</w:t>
            </w:r>
            <w:r>
              <w:rPr>
                <w:rFonts w:hint="eastAsia"/>
                <w:color w:val="auto"/>
                <w:sz w:val="24"/>
              </w:rPr>
              <w:t>中相关要求。</w:t>
            </w:r>
          </w:p>
        </w:tc>
      </w:tr>
      <w:tr w14:paraId="36E64CE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701" w:hRule="atLeast"/>
          <w:jc w:val="center"/>
        </w:trPr>
        <w:tc>
          <w:tcPr>
            <w:tcW w:w="716" w:type="dxa"/>
            <w:noWrap w:val="0"/>
            <w:vAlign w:val="center"/>
          </w:tcPr>
          <w:p w14:paraId="3C691A59">
            <w:pPr>
              <w:keepNext w:val="0"/>
              <w:keepLines w:val="0"/>
              <w:suppressLineNumbers w:val="0"/>
              <w:adjustRightInd w:val="0"/>
              <w:snapToGrid w:val="0"/>
              <w:spacing w:before="0" w:beforeAutospacing="0" w:after="0" w:afterAutospacing="0"/>
              <w:ind w:left="0" w:right="0"/>
              <w:jc w:val="center"/>
              <w:rPr>
                <w:rFonts w:hint="eastAsia" w:ascii="宋体" w:hAnsi="宋体" w:cs="宋体"/>
                <w:color w:val="000000" w:themeColor="text1"/>
                <w:kern w:val="0"/>
                <w:sz w:val="24"/>
                <w:szCs w:val="24"/>
                <w:highlight w:val="none"/>
                <w14:textFill>
                  <w14:solidFill>
                    <w14:schemeClr w14:val="tx1"/>
                  </w14:solidFill>
                </w14:textFill>
              </w:rPr>
            </w:pPr>
            <w:r>
              <w:rPr>
                <w:rFonts w:hint="eastAsia" w:ascii="宋体" w:hAnsi="宋体" w:cs="宋体"/>
                <w:color w:val="000000" w:themeColor="text1"/>
                <w:kern w:val="0"/>
                <w:sz w:val="24"/>
                <w:szCs w:val="24"/>
                <w:highlight w:val="none"/>
                <w14:textFill>
                  <w14:solidFill>
                    <w14:schemeClr w14:val="tx1"/>
                  </w14:solidFill>
                </w14:textFill>
              </w:rPr>
              <w:t>总量</w:t>
            </w:r>
          </w:p>
          <w:p w14:paraId="5E1FE636">
            <w:pPr>
              <w:keepNext w:val="0"/>
              <w:keepLines w:val="0"/>
              <w:suppressLineNumbers w:val="0"/>
              <w:adjustRightInd w:val="0"/>
              <w:snapToGrid w:val="0"/>
              <w:spacing w:before="0" w:beforeAutospacing="0" w:after="0" w:afterAutospacing="0"/>
              <w:ind w:left="0" w:right="0"/>
              <w:jc w:val="center"/>
              <w:rPr>
                <w:rFonts w:hint="eastAsia" w:ascii="宋体" w:hAnsi="宋体" w:cs="宋体"/>
                <w:color w:val="000000" w:themeColor="text1"/>
                <w:kern w:val="0"/>
                <w:sz w:val="24"/>
                <w:szCs w:val="24"/>
                <w:highlight w:val="none"/>
                <w14:textFill>
                  <w14:solidFill>
                    <w14:schemeClr w14:val="tx1"/>
                  </w14:solidFill>
                </w14:textFill>
              </w:rPr>
            </w:pPr>
            <w:r>
              <w:rPr>
                <w:rFonts w:hint="eastAsia" w:ascii="宋体" w:hAnsi="宋体" w:cs="宋体"/>
                <w:color w:val="000000" w:themeColor="text1"/>
                <w:kern w:val="0"/>
                <w:sz w:val="24"/>
                <w:szCs w:val="24"/>
                <w:highlight w:val="none"/>
                <w14:textFill>
                  <w14:solidFill>
                    <w14:schemeClr w14:val="tx1"/>
                  </w14:solidFill>
                </w14:textFill>
              </w:rPr>
              <w:t>控制</w:t>
            </w:r>
          </w:p>
          <w:p w14:paraId="53720AEE">
            <w:pPr>
              <w:keepNext w:val="0"/>
              <w:keepLines w:val="0"/>
              <w:suppressLineNumbers w:val="0"/>
              <w:adjustRightInd w:val="0"/>
              <w:snapToGrid w:val="0"/>
              <w:spacing w:before="0" w:beforeAutospacing="0" w:after="0" w:afterAutospacing="0"/>
              <w:ind w:left="0" w:right="0"/>
              <w:jc w:val="center"/>
              <w:rPr>
                <w:rFonts w:hint="default"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 w:val="24"/>
                <w:szCs w:val="24"/>
                <w:highlight w:val="none"/>
                <w14:textFill>
                  <w14:solidFill>
                    <w14:schemeClr w14:val="tx1"/>
                  </w14:solidFill>
                </w14:textFill>
              </w:rPr>
              <w:t>指标</w:t>
            </w:r>
          </w:p>
        </w:tc>
        <w:tc>
          <w:tcPr>
            <w:tcW w:w="8435" w:type="dxa"/>
            <w:noWrap w:val="0"/>
            <w:vAlign w:val="center"/>
          </w:tcPr>
          <w:p w14:paraId="6E82914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textAlignment w:val="auto"/>
              <w:rPr>
                <w:rFonts w:hint="eastAsia" w:ascii="Times New Roman" w:hAnsi="Times New Roman" w:eastAsia="宋体" w:cs="宋体"/>
                <w:kern w:val="2"/>
                <w:sz w:val="24"/>
                <w:szCs w:val="24"/>
                <w:lang w:val="en-US" w:eastAsia="zh-CN" w:bidi="ar"/>
              </w:rPr>
            </w:pPr>
            <w:r>
              <w:rPr>
                <w:rFonts w:hint="eastAsia" w:ascii="Times New Roman" w:hAnsi="Times New Roman" w:eastAsia="宋体" w:cs="宋体"/>
                <w:bCs/>
                <w:kern w:val="2"/>
                <w:sz w:val="24"/>
                <w:szCs w:val="24"/>
                <w:lang w:val="en-US" w:eastAsia="zh-CN" w:bidi="ar"/>
              </w:rPr>
              <w:t>项目大气污染物不涉及</w:t>
            </w:r>
            <w:r>
              <w:rPr>
                <w:rFonts w:hint="default" w:ascii="Times New Roman" w:hAnsi="Times New Roman" w:eastAsia="宋体" w:cs="Times New Roman"/>
                <w:bCs/>
                <w:kern w:val="2"/>
                <w:sz w:val="24"/>
                <w:szCs w:val="24"/>
                <w:lang w:val="en-US" w:eastAsia="zh-CN" w:bidi="ar"/>
              </w:rPr>
              <w:t>SO</w:t>
            </w:r>
            <w:r>
              <w:rPr>
                <w:rFonts w:hint="default" w:ascii="Times New Roman" w:hAnsi="Times New Roman" w:eastAsia="宋体" w:cs="Times New Roman"/>
                <w:bCs/>
                <w:kern w:val="2"/>
                <w:sz w:val="24"/>
                <w:szCs w:val="24"/>
                <w:vertAlign w:val="subscript"/>
                <w:lang w:val="en-US" w:eastAsia="zh-CN" w:bidi="ar"/>
              </w:rPr>
              <w:t>2</w:t>
            </w:r>
            <w:r>
              <w:rPr>
                <w:rFonts w:hint="eastAsia" w:ascii="Times New Roman" w:hAnsi="Times New Roman" w:eastAsia="宋体" w:cs="宋体"/>
                <w:bCs/>
                <w:kern w:val="2"/>
                <w:sz w:val="24"/>
                <w:szCs w:val="24"/>
                <w:lang w:val="en-US" w:eastAsia="zh-CN" w:bidi="ar"/>
              </w:rPr>
              <w:t>、</w:t>
            </w:r>
            <w:r>
              <w:rPr>
                <w:rFonts w:hint="default" w:ascii="Times New Roman" w:hAnsi="Times New Roman" w:eastAsia="宋体" w:cs="Times New Roman"/>
                <w:bCs/>
                <w:kern w:val="2"/>
                <w:sz w:val="24"/>
                <w:szCs w:val="24"/>
                <w:lang w:val="en-US" w:eastAsia="zh-CN" w:bidi="ar"/>
              </w:rPr>
              <w:t>NOx</w:t>
            </w:r>
            <w:r>
              <w:rPr>
                <w:rFonts w:hint="eastAsia" w:ascii="Times New Roman" w:hAnsi="Times New Roman" w:eastAsia="宋体" w:cs="宋体"/>
                <w:spacing w:val="6"/>
                <w:kern w:val="0"/>
                <w:sz w:val="24"/>
                <w:szCs w:val="24"/>
                <w:lang w:val="en-US" w:eastAsia="zh-CN" w:bidi="ar"/>
              </w:rPr>
              <w:t>；</w:t>
            </w:r>
            <w:r>
              <w:rPr>
                <w:rFonts w:hint="eastAsia" w:ascii="Times New Roman" w:hAnsi="宋体" w:eastAsia="宋体" w:cs="宋体"/>
                <w:kern w:val="2"/>
                <w:sz w:val="24"/>
                <w:szCs w:val="24"/>
                <w:lang w:val="en-US" w:eastAsia="zh-CN" w:bidi="ar"/>
              </w:rPr>
              <w:t>职工生活废水经化粪池处理后由污水管网进入</w:t>
            </w:r>
            <w:r>
              <w:rPr>
                <w:rFonts w:hint="eastAsia" w:ascii="Times New Roman" w:hAnsi="Times New Roman" w:eastAsia="宋体" w:cs="Times New Roman"/>
                <w:kern w:val="2"/>
                <w:sz w:val="24"/>
                <w:szCs w:val="24"/>
                <w:lang w:val="en-US" w:eastAsia="zh-CN" w:bidi="ar"/>
              </w:rPr>
              <w:t>汤阴东方环宇污水处理有限公司</w:t>
            </w:r>
            <w:r>
              <w:rPr>
                <w:rFonts w:hint="eastAsia" w:ascii="Times New Roman" w:hAnsi="宋体" w:eastAsia="宋体" w:cs="宋体"/>
                <w:kern w:val="2"/>
                <w:sz w:val="24"/>
                <w:szCs w:val="24"/>
                <w:lang w:val="en-US" w:eastAsia="zh-CN" w:bidi="ar"/>
              </w:rPr>
              <w:t>深度处理；废水出厂界排放量为</w:t>
            </w:r>
            <w:r>
              <w:rPr>
                <w:rFonts w:hint="default" w:ascii="Times New Roman" w:hAnsi="Times New Roman" w:eastAsia="宋体" w:cs="Times New Roman"/>
                <w:kern w:val="2"/>
                <w:sz w:val="24"/>
                <w:szCs w:val="24"/>
                <w:lang w:val="en-US" w:eastAsia="zh-CN" w:bidi="ar"/>
              </w:rPr>
              <w:t>COD</w:t>
            </w:r>
            <w:r>
              <w:rPr>
                <w:rFonts w:hint="eastAsia" w:ascii="Times New Roman" w:hAnsi="Times New Roman" w:eastAsia="宋体" w:cs="宋体"/>
                <w:kern w:val="2"/>
                <w:sz w:val="24"/>
                <w:szCs w:val="24"/>
                <w:lang w:val="en-US" w:eastAsia="zh-CN" w:bidi="ar"/>
              </w:rPr>
              <w:t>：</w:t>
            </w:r>
            <w:r>
              <w:rPr>
                <w:rFonts w:hint="eastAsia" w:ascii="Times New Roman" w:hAnsi="Times New Roman" w:eastAsia="宋体" w:cs="Times New Roman"/>
                <w:kern w:val="2"/>
                <w:sz w:val="24"/>
                <w:szCs w:val="24"/>
                <w:lang w:val="en-US" w:eastAsia="zh-CN" w:bidi="ar"/>
              </w:rPr>
              <w:t>0.0408</w:t>
            </w:r>
            <w:r>
              <w:rPr>
                <w:rFonts w:hint="default" w:ascii="Times New Roman" w:hAnsi="Times New Roman" w:eastAsia="宋体" w:cs="Times New Roman"/>
                <w:kern w:val="2"/>
                <w:sz w:val="24"/>
                <w:szCs w:val="24"/>
                <w:lang w:val="en-US" w:eastAsia="zh-CN" w:bidi="ar"/>
              </w:rPr>
              <w:t>t/a</w:t>
            </w:r>
            <w:r>
              <w:rPr>
                <w:rFonts w:hint="eastAsia" w:ascii="Times New Roman" w:hAnsi="Times New Roman" w:eastAsia="宋体" w:cs="宋体"/>
                <w:kern w:val="2"/>
                <w:sz w:val="24"/>
                <w:szCs w:val="24"/>
                <w:lang w:val="en-US" w:eastAsia="zh-CN" w:bidi="ar"/>
              </w:rPr>
              <w:t>；</w:t>
            </w:r>
            <w:r>
              <w:rPr>
                <w:rFonts w:hint="eastAsia" w:cs="宋体"/>
                <w:kern w:val="2"/>
                <w:sz w:val="24"/>
                <w:szCs w:val="24"/>
                <w:lang w:val="en-US" w:eastAsia="zh-CN" w:bidi="ar"/>
              </w:rPr>
              <w:t>总磷</w:t>
            </w:r>
            <w:r>
              <w:rPr>
                <w:rFonts w:hint="eastAsia" w:ascii="Times New Roman" w:hAnsi="Times New Roman" w:eastAsia="宋体" w:cs="宋体"/>
                <w:kern w:val="2"/>
                <w:sz w:val="24"/>
                <w:szCs w:val="24"/>
                <w:lang w:val="en-US" w:eastAsia="zh-CN" w:bidi="ar"/>
              </w:rPr>
              <w:t>：</w:t>
            </w:r>
            <w:r>
              <w:rPr>
                <w:rFonts w:hint="default" w:ascii="Times New Roman" w:hAnsi="Times New Roman" w:eastAsia="宋体" w:cs="Times New Roman"/>
                <w:kern w:val="2"/>
                <w:sz w:val="24"/>
                <w:szCs w:val="24"/>
                <w:lang w:val="en-US" w:eastAsia="zh-CN" w:bidi="ar"/>
              </w:rPr>
              <w:t>0.00</w:t>
            </w:r>
            <w:r>
              <w:rPr>
                <w:rFonts w:hint="eastAsia" w:cs="Times New Roman"/>
                <w:kern w:val="2"/>
                <w:sz w:val="24"/>
                <w:szCs w:val="24"/>
                <w:lang w:val="en-US" w:eastAsia="zh-CN" w:bidi="ar"/>
              </w:rPr>
              <w:t>05</w:t>
            </w:r>
            <w:r>
              <w:rPr>
                <w:rFonts w:hint="default" w:ascii="Times New Roman" w:hAnsi="Times New Roman" w:eastAsia="宋体" w:cs="Times New Roman"/>
                <w:kern w:val="2"/>
                <w:sz w:val="24"/>
                <w:szCs w:val="24"/>
                <w:lang w:val="en-US" w:eastAsia="zh-CN" w:bidi="ar"/>
              </w:rPr>
              <w:t>t/a</w:t>
            </w:r>
            <w:r>
              <w:rPr>
                <w:rFonts w:hint="eastAsia" w:ascii="Times New Roman" w:hAnsi="Times New Roman" w:eastAsia="宋体" w:cs="宋体"/>
                <w:kern w:val="2"/>
                <w:sz w:val="24"/>
                <w:szCs w:val="24"/>
                <w:lang w:val="en-US" w:eastAsia="zh-CN" w:bidi="ar"/>
              </w:rPr>
              <w:t>，出污水处理厂排放量为</w:t>
            </w:r>
            <w:r>
              <w:rPr>
                <w:rFonts w:hint="default" w:ascii="Times New Roman" w:hAnsi="Times New Roman" w:eastAsia="宋体" w:cs="Times New Roman"/>
                <w:kern w:val="2"/>
                <w:sz w:val="24"/>
                <w:szCs w:val="24"/>
                <w:lang w:val="en-US" w:eastAsia="zh-CN" w:bidi="ar"/>
              </w:rPr>
              <w:t>COD</w:t>
            </w:r>
            <w:r>
              <w:rPr>
                <w:rFonts w:hint="eastAsia" w:ascii="Times New Roman" w:hAnsi="Times New Roman" w:eastAsia="宋体" w:cs="宋体"/>
                <w:kern w:val="2"/>
                <w:sz w:val="24"/>
                <w:szCs w:val="24"/>
                <w:lang w:val="en-US" w:eastAsia="zh-CN" w:bidi="ar"/>
              </w:rPr>
              <w:t>：</w:t>
            </w:r>
            <w:r>
              <w:rPr>
                <w:rFonts w:hint="default" w:ascii="Times New Roman" w:hAnsi="Times New Roman" w:eastAsia="宋体" w:cs="Times New Roman"/>
                <w:kern w:val="2"/>
                <w:sz w:val="24"/>
                <w:szCs w:val="24"/>
                <w:lang w:val="en-US" w:eastAsia="zh-CN" w:bidi="ar"/>
              </w:rPr>
              <w:t>0.00</w:t>
            </w:r>
            <w:r>
              <w:rPr>
                <w:rFonts w:hint="eastAsia" w:ascii="Times New Roman" w:hAnsi="Times New Roman" w:eastAsia="宋体" w:cs="Times New Roman"/>
                <w:kern w:val="2"/>
                <w:sz w:val="24"/>
                <w:szCs w:val="24"/>
                <w:lang w:val="en-US" w:eastAsia="zh-CN" w:bidi="ar"/>
              </w:rPr>
              <w:t>9</w:t>
            </w:r>
            <w:r>
              <w:rPr>
                <w:rFonts w:hint="default" w:ascii="Times New Roman" w:hAnsi="Times New Roman" w:eastAsia="宋体" w:cs="Times New Roman"/>
                <w:kern w:val="2"/>
                <w:sz w:val="24"/>
                <w:szCs w:val="24"/>
                <w:lang w:val="en-US" w:eastAsia="zh-CN" w:bidi="ar"/>
              </w:rPr>
              <w:t>6t/a</w:t>
            </w:r>
            <w:r>
              <w:rPr>
                <w:rFonts w:hint="eastAsia" w:ascii="Times New Roman" w:hAnsi="Times New Roman" w:eastAsia="宋体" w:cs="宋体"/>
                <w:kern w:val="2"/>
                <w:sz w:val="24"/>
                <w:szCs w:val="24"/>
                <w:lang w:val="en-US" w:eastAsia="zh-CN" w:bidi="ar"/>
              </w:rPr>
              <w:t>；</w:t>
            </w:r>
            <w:r>
              <w:rPr>
                <w:rFonts w:hint="eastAsia" w:cs="宋体"/>
                <w:kern w:val="2"/>
                <w:sz w:val="24"/>
                <w:szCs w:val="24"/>
                <w:lang w:val="en-US" w:eastAsia="zh-CN" w:bidi="ar"/>
              </w:rPr>
              <w:t>总磷</w:t>
            </w:r>
            <w:r>
              <w:rPr>
                <w:rFonts w:hint="eastAsia" w:ascii="Times New Roman" w:hAnsi="Times New Roman" w:eastAsia="宋体" w:cs="宋体"/>
                <w:kern w:val="2"/>
                <w:sz w:val="24"/>
                <w:szCs w:val="24"/>
                <w:lang w:val="en-US" w:eastAsia="zh-CN" w:bidi="ar"/>
              </w:rPr>
              <w:t>：</w:t>
            </w:r>
            <w:r>
              <w:rPr>
                <w:rFonts w:hint="default" w:ascii="Times New Roman" w:hAnsi="Times New Roman" w:eastAsia="宋体" w:cs="Times New Roman"/>
                <w:kern w:val="2"/>
                <w:sz w:val="24"/>
                <w:szCs w:val="24"/>
                <w:lang w:val="en-US" w:eastAsia="zh-CN" w:bidi="ar"/>
              </w:rPr>
              <w:t>0.</w:t>
            </w:r>
            <w:r>
              <w:rPr>
                <w:rFonts w:hint="eastAsia" w:cs="Times New Roman"/>
                <w:kern w:val="2"/>
                <w:sz w:val="24"/>
                <w:szCs w:val="24"/>
                <w:lang w:val="en-US" w:eastAsia="zh-CN" w:bidi="ar"/>
              </w:rPr>
              <w:t>0</w:t>
            </w:r>
            <w:r>
              <w:rPr>
                <w:rFonts w:hint="default" w:ascii="Times New Roman" w:hAnsi="Times New Roman" w:eastAsia="宋体" w:cs="Times New Roman"/>
                <w:kern w:val="2"/>
                <w:sz w:val="24"/>
                <w:szCs w:val="24"/>
                <w:lang w:val="en-US" w:eastAsia="zh-CN" w:bidi="ar"/>
              </w:rPr>
              <w:t>00</w:t>
            </w:r>
            <w:r>
              <w:rPr>
                <w:rFonts w:hint="eastAsia" w:ascii="Times New Roman" w:hAnsi="Times New Roman" w:eastAsia="宋体" w:cs="Times New Roman"/>
                <w:kern w:val="2"/>
                <w:sz w:val="24"/>
                <w:szCs w:val="24"/>
                <w:lang w:val="en-US" w:eastAsia="zh-CN" w:bidi="ar"/>
              </w:rPr>
              <w:t>1</w:t>
            </w:r>
            <w:r>
              <w:rPr>
                <w:rFonts w:hint="default" w:ascii="Times New Roman" w:hAnsi="Times New Roman" w:eastAsia="宋体" w:cs="Times New Roman"/>
                <w:kern w:val="2"/>
                <w:sz w:val="24"/>
                <w:szCs w:val="24"/>
                <w:lang w:val="en-US" w:eastAsia="zh-CN" w:bidi="ar"/>
              </w:rPr>
              <w:t>t/a</w:t>
            </w:r>
            <w:r>
              <w:rPr>
                <w:rFonts w:hint="eastAsia" w:ascii="Times New Roman" w:hAnsi="Times New Roman" w:eastAsia="宋体" w:cs="宋体"/>
                <w:kern w:val="2"/>
                <w:sz w:val="24"/>
                <w:szCs w:val="24"/>
                <w:lang w:val="en-US" w:eastAsia="zh-CN" w:bidi="ar"/>
              </w:rPr>
              <w:t>。废水污染物总量控制指标以污水处理厂出水浓度进行计算，</w:t>
            </w:r>
            <w:r>
              <w:rPr>
                <w:rFonts w:hint="eastAsia" w:ascii="Times New Roman" w:hAnsi="Times New Roman" w:eastAsia="宋体" w:cs="宋体"/>
                <w:bCs/>
                <w:kern w:val="2"/>
                <w:sz w:val="24"/>
                <w:szCs w:val="24"/>
                <w:lang w:val="en-US" w:eastAsia="zh-CN" w:bidi="ar"/>
              </w:rPr>
              <w:t>总量控制指标为</w:t>
            </w:r>
            <w:r>
              <w:rPr>
                <w:rFonts w:hint="eastAsia" w:ascii="Times New Roman" w:hAnsi="Times New Roman" w:eastAsia="宋体" w:cs="宋体"/>
                <w:kern w:val="2"/>
                <w:sz w:val="24"/>
                <w:szCs w:val="24"/>
                <w:lang w:val="en-US" w:eastAsia="zh-CN" w:bidi="ar"/>
              </w:rPr>
              <w:t>：</w:t>
            </w:r>
            <w:r>
              <w:rPr>
                <w:rFonts w:hint="default" w:ascii="Times New Roman" w:hAnsi="Times New Roman" w:eastAsia="宋体" w:cs="Times New Roman"/>
                <w:kern w:val="2"/>
                <w:sz w:val="24"/>
                <w:szCs w:val="24"/>
                <w:lang w:val="en-US" w:eastAsia="zh-CN" w:bidi="ar"/>
              </w:rPr>
              <w:t>COD</w:t>
            </w:r>
            <w:r>
              <w:rPr>
                <w:rFonts w:hint="eastAsia" w:ascii="Times New Roman" w:hAnsi="Times New Roman" w:eastAsia="宋体" w:cs="宋体"/>
                <w:kern w:val="2"/>
                <w:sz w:val="24"/>
                <w:szCs w:val="24"/>
                <w:lang w:val="en-US" w:eastAsia="zh-CN" w:bidi="ar"/>
              </w:rPr>
              <w:t>：</w:t>
            </w:r>
            <w:r>
              <w:rPr>
                <w:rFonts w:hint="default" w:ascii="Times New Roman" w:hAnsi="Times New Roman" w:eastAsia="宋体" w:cs="Times New Roman"/>
                <w:kern w:val="2"/>
                <w:sz w:val="24"/>
                <w:szCs w:val="24"/>
                <w:lang w:val="en-US" w:eastAsia="zh-CN" w:bidi="ar"/>
              </w:rPr>
              <w:t>0.00</w:t>
            </w:r>
            <w:r>
              <w:rPr>
                <w:rFonts w:hint="eastAsia" w:ascii="Times New Roman" w:hAnsi="Times New Roman" w:eastAsia="宋体" w:cs="Times New Roman"/>
                <w:kern w:val="2"/>
                <w:sz w:val="24"/>
                <w:szCs w:val="24"/>
                <w:lang w:val="en-US" w:eastAsia="zh-CN" w:bidi="ar"/>
              </w:rPr>
              <w:t>9</w:t>
            </w:r>
            <w:r>
              <w:rPr>
                <w:rFonts w:hint="default" w:ascii="Times New Roman" w:hAnsi="Times New Roman" w:eastAsia="宋体" w:cs="Times New Roman"/>
                <w:kern w:val="2"/>
                <w:sz w:val="24"/>
                <w:szCs w:val="24"/>
                <w:lang w:val="en-US" w:eastAsia="zh-CN" w:bidi="ar"/>
              </w:rPr>
              <w:t>6t/a</w:t>
            </w:r>
            <w:r>
              <w:rPr>
                <w:rFonts w:hint="eastAsia" w:ascii="Times New Roman" w:hAnsi="Times New Roman" w:eastAsia="宋体" w:cs="宋体"/>
                <w:kern w:val="2"/>
                <w:sz w:val="24"/>
                <w:szCs w:val="24"/>
                <w:lang w:val="en-US" w:eastAsia="zh-CN" w:bidi="ar"/>
              </w:rPr>
              <w:t>；</w:t>
            </w:r>
            <w:r>
              <w:rPr>
                <w:rFonts w:hint="eastAsia" w:cs="Times New Roman"/>
                <w:kern w:val="2"/>
                <w:sz w:val="24"/>
                <w:szCs w:val="24"/>
                <w:lang w:val="en-US" w:eastAsia="zh-CN" w:bidi="ar"/>
              </w:rPr>
              <w:t>总磷</w:t>
            </w:r>
            <w:r>
              <w:rPr>
                <w:rFonts w:hint="eastAsia" w:ascii="Times New Roman" w:hAnsi="Times New Roman" w:eastAsia="宋体" w:cs="宋体"/>
                <w:kern w:val="2"/>
                <w:sz w:val="24"/>
                <w:szCs w:val="24"/>
                <w:lang w:val="en-US" w:eastAsia="zh-CN" w:bidi="ar"/>
              </w:rPr>
              <w:t>：</w:t>
            </w:r>
            <w:r>
              <w:rPr>
                <w:rFonts w:hint="default" w:ascii="Times New Roman" w:hAnsi="Times New Roman" w:eastAsia="宋体" w:cs="Times New Roman"/>
                <w:kern w:val="2"/>
                <w:sz w:val="24"/>
                <w:szCs w:val="24"/>
                <w:lang w:val="en-US" w:eastAsia="zh-CN" w:bidi="ar"/>
              </w:rPr>
              <w:t>0.0</w:t>
            </w:r>
            <w:r>
              <w:rPr>
                <w:rFonts w:hint="eastAsia" w:cs="Times New Roman"/>
                <w:kern w:val="2"/>
                <w:sz w:val="24"/>
                <w:szCs w:val="24"/>
                <w:lang w:val="en-US" w:eastAsia="zh-CN" w:bidi="ar"/>
              </w:rPr>
              <w:t>0</w:t>
            </w:r>
            <w:r>
              <w:rPr>
                <w:rFonts w:hint="default" w:ascii="Times New Roman" w:hAnsi="Times New Roman" w:eastAsia="宋体" w:cs="Times New Roman"/>
                <w:kern w:val="2"/>
                <w:sz w:val="24"/>
                <w:szCs w:val="24"/>
                <w:lang w:val="en-US" w:eastAsia="zh-CN" w:bidi="ar"/>
              </w:rPr>
              <w:t>0</w:t>
            </w:r>
            <w:r>
              <w:rPr>
                <w:rFonts w:hint="eastAsia" w:ascii="Times New Roman" w:hAnsi="Times New Roman" w:eastAsia="宋体" w:cs="Times New Roman"/>
                <w:kern w:val="2"/>
                <w:sz w:val="24"/>
                <w:szCs w:val="24"/>
                <w:lang w:val="en-US" w:eastAsia="zh-CN" w:bidi="ar"/>
              </w:rPr>
              <w:t>1</w:t>
            </w:r>
            <w:r>
              <w:rPr>
                <w:rFonts w:hint="default" w:ascii="Times New Roman" w:hAnsi="Times New Roman" w:eastAsia="宋体" w:cs="Times New Roman"/>
                <w:kern w:val="2"/>
                <w:sz w:val="24"/>
                <w:szCs w:val="24"/>
                <w:lang w:val="en-US" w:eastAsia="zh-CN" w:bidi="ar"/>
              </w:rPr>
              <w:t>t/a</w:t>
            </w:r>
            <w:r>
              <w:rPr>
                <w:rFonts w:hint="eastAsia" w:ascii="Times New Roman" w:hAnsi="Times New Roman" w:eastAsia="宋体" w:cs="宋体"/>
                <w:bCs/>
                <w:kern w:val="2"/>
                <w:sz w:val="24"/>
                <w:szCs w:val="24"/>
                <w:lang w:val="en-US" w:eastAsia="zh-CN" w:bidi="ar"/>
              </w:rPr>
              <w:t>；</w:t>
            </w:r>
            <w:r>
              <w:rPr>
                <w:rFonts w:hint="eastAsia" w:ascii="Times New Roman" w:hAnsi="Times New Roman" w:eastAsia="宋体" w:cs="宋体"/>
                <w:kern w:val="2"/>
                <w:sz w:val="24"/>
                <w:szCs w:val="24"/>
                <w:lang w:val="en-US" w:eastAsia="zh-CN" w:bidi="ar"/>
              </w:rPr>
              <w:t>非甲烷总烃</w:t>
            </w:r>
            <w:r>
              <w:rPr>
                <w:rFonts w:hint="eastAsia" w:cs="宋体"/>
                <w:kern w:val="2"/>
                <w:sz w:val="24"/>
                <w:szCs w:val="24"/>
                <w:lang w:val="en-US" w:eastAsia="zh-CN" w:bidi="ar"/>
              </w:rPr>
              <w:t>0.5075</w:t>
            </w:r>
            <w:r>
              <w:rPr>
                <w:rFonts w:hint="default" w:ascii="Times New Roman" w:hAnsi="Times New Roman" w:eastAsia="宋体" w:cs="Times New Roman"/>
                <w:kern w:val="2"/>
                <w:sz w:val="24"/>
                <w:szCs w:val="24"/>
                <w:lang w:val="en-US" w:eastAsia="zh-CN" w:bidi="ar"/>
              </w:rPr>
              <w:t>t/a</w:t>
            </w:r>
            <w:r>
              <w:rPr>
                <w:rFonts w:hint="eastAsia" w:ascii="Times New Roman" w:hAnsi="Times New Roman" w:eastAsia="宋体" w:cs="宋体"/>
                <w:kern w:val="2"/>
                <w:sz w:val="24"/>
                <w:szCs w:val="24"/>
                <w:lang w:val="en-US" w:eastAsia="zh-CN" w:bidi="ar"/>
              </w:rPr>
              <w:t>。</w:t>
            </w:r>
          </w:p>
          <w:p w14:paraId="0489BDC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textAlignment w:val="auto"/>
              <w:rPr>
                <w:rFonts w:hint="default" w:ascii="Times New Roman" w:hAnsi="Times New Roman" w:eastAsia="宋体" w:cs="宋体"/>
                <w:kern w:val="2"/>
                <w:sz w:val="24"/>
                <w:szCs w:val="24"/>
                <w:lang w:val="en-US" w:eastAsia="zh-CN" w:bidi="ar"/>
              </w:rPr>
            </w:pPr>
            <w:r>
              <w:rPr>
                <w:rFonts w:hint="eastAsia" w:cs="宋体"/>
                <w:kern w:val="2"/>
                <w:sz w:val="24"/>
                <w:szCs w:val="24"/>
                <w:lang w:val="en-US" w:eastAsia="zh-CN" w:bidi="ar"/>
              </w:rPr>
              <w:t>替代方案：本项目使用安阳正诚建材有限责任公司VOCs减排削减量，安阳市华洋针织有限责任公司年加工25000吨针织染整项目COD、总磷减排削减量。以上减排削减量满足本项目替代要求。</w:t>
            </w:r>
          </w:p>
        </w:tc>
      </w:tr>
    </w:tbl>
    <w:p w14:paraId="007AD151">
      <w:pPr>
        <w:pStyle w:val="21"/>
        <w:jc w:val="both"/>
        <w:outlineLvl w:val="0"/>
        <w:rPr>
          <w:rFonts w:ascii="黑体" w:hAnsi="黑体" w:eastAsia="黑体"/>
          <w:snapToGrid w:val="0"/>
          <w:color w:val="000000" w:themeColor="text1"/>
          <w:sz w:val="21"/>
          <w:szCs w:val="21"/>
          <w14:textFill>
            <w14:solidFill>
              <w14:schemeClr w14:val="tx1"/>
            </w14:solidFill>
          </w14:textFill>
        </w:rPr>
        <w:sectPr>
          <w:pgSz w:w="11907" w:h="16840"/>
          <w:pgMar w:top="1701" w:right="1531" w:bottom="2127" w:left="1531" w:header="851" w:footer="851" w:gutter="0"/>
          <w:pgBorders>
            <w:top w:val="none" w:sz="0" w:space="0"/>
            <w:left w:val="none" w:sz="0" w:space="0"/>
            <w:bottom w:val="none" w:sz="0" w:space="0"/>
            <w:right w:val="none" w:sz="0" w:space="0"/>
          </w:pgBorders>
          <w:pgNumType w:fmt="decimal"/>
          <w:cols w:space="720" w:num="1"/>
          <w:docGrid w:linePitch="312" w:charSpace="0"/>
        </w:sectPr>
      </w:pPr>
    </w:p>
    <w:p w14:paraId="272EAC9E">
      <w:pPr>
        <w:pStyle w:val="21"/>
        <w:jc w:val="center"/>
        <w:outlineLvl w:val="0"/>
        <w:rPr>
          <w:rFonts w:hint="eastAsia" w:ascii="黑体" w:hAnsi="黑体" w:eastAsia="黑体" w:cs="Times New Roman"/>
          <w:snapToGrid w:val="0"/>
          <w:color w:val="000000" w:themeColor="text1"/>
          <w:sz w:val="30"/>
          <w:szCs w:val="30"/>
          <w14:textFill>
            <w14:solidFill>
              <w14:schemeClr w14:val="tx1"/>
            </w14:solidFill>
          </w14:textFill>
        </w:rPr>
      </w:pPr>
      <w:bookmarkStart w:id="30" w:name="_Toc1182"/>
      <w:bookmarkStart w:id="31" w:name="_Toc1232"/>
      <w:r>
        <w:rPr>
          <w:rFonts w:hint="eastAsia" w:ascii="黑体" w:hAnsi="黑体" w:eastAsia="黑体" w:cs="Times New Roman"/>
          <w:snapToGrid w:val="0"/>
          <w:color w:val="000000" w:themeColor="text1"/>
          <w:sz w:val="30"/>
          <w:szCs w:val="30"/>
          <w14:textFill>
            <w14:solidFill>
              <w14:schemeClr w14:val="tx1"/>
            </w14:solidFill>
          </w14:textFill>
        </w:rPr>
        <w:t>四、主要环境影响和保护措施</w:t>
      </w:r>
      <w:bookmarkEnd w:id="30"/>
      <w:bookmarkEnd w:id="31"/>
    </w:p>
    <w:tbl>
      <w:tblPr>
        <w:tblStyle w:val="25"/>
        <w:tblW w:w="914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735"/>
        <w:gridCol w:w="8408"/>
      </w:tblGrid>
      <w:tr w14:paraId="403493C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78" w:hRule="atLeast"/>
          <w:jc w:val="center"/>
        </w:trPr>
        <w:tc>
          <w:tcPr>
            <w:tcW w:w="735" w:type="dxa"/>
            <w:noWrap w:val="0"/>
            <w:tcMar>
              <w:left w:w="28" w:type="dxa"/>
              <w:right w:w="28" w:type="dxa"/>
            </w:tcMar>
            <w:vAlign w:val="center"/>
          </w:tcPr>
          <w:p w14:paraId="014CFCC8">
            <w:pPr>
              <w:pStyle w:val="21"/>
              <w:keepNext w:val="0"/>
              <w:keepLines w:val="0"/>
              <w:suppressLineNumbers w:val="0"/>
              <w:adjustRightInd w:val="0"/>
              <w:snapToGrid w:val="0"/>
              <w:spacing w:before="0" w:beforeAutospacing="0" w:after="0" w:afterAutospacing="0"/>
              <w:ind w:left="0" w:right="0"/>
              <w:jc w:val="center"/>
              <w:rPr>
                <w:rFonts w:hint="eastAsia" w:cs="宋体"/>
                <w:color w:val="000000" w:themeColor="text1"/>
                <w:kern w:val="2"/>
                <w:sz w:val="24"/>
                <w:szCs w:val="24"/>
                <w14:textFill>
                  <w14:solidFill>
                    <w14:schemeClr w14:val="tx1"/>
                  </w14:solidFill>
                </w14:textFill>
              </w:rPr>
            </w:pPr>
            <w:r>
              <w:rPr>
                <w:rFonts w:hint="eastAsia" w:cs="宋体"/>
                <w:color w:val="000000" w:themeColor="text1"/>
                <w:kern w:val="2"/>
                <w:sz w:val="24"/>
                <w:szCs w:val="24"/>
                <w14:textFill>
                  <w14:solidFill>
                    <w14:schemeClr w14:val="tx1"/>
                  </w14:solidFill>
                </w14:textFill>
              </w:rPr>
              <w:t>施工</w:t>
            </w:r>
          </w:p>
          <w:p w14:paraId="0AA01083">
            <w:pPr>
              <w:pStyle w:val="21"/>
              <w:keepNext w:val="0"/>
              <w:keepLines w:val="0"/>
              <w:suppressLineNumbers w:val="0"/>
              <w:adjustRightInd w:val="0"/>
              <w:snapToGrid w:val="0"/>
              <w:spacing w:before="0" w:beforeAutospacing="0" w:after="0" w:afterAutospacing="0"/>
              <w:ind w:left="0" w:right="0"/>
              <w:jc w:val="center"/>
              <w:rPr>
                <w:rFonts w:hint="eastAsia" w:cs="宋体"/>
                <w:color w:val="000000" w:themeColor="text1"/>
                <w:kern w:val="2"/>
                <w:sz w:val="24"/>
                <w:szCs w:val="24"/>
                <w14:textFill>
                  <w14:solidFill>
                    <w14:schemeClr w14:val="tx1"/>
                  </w14:solidFill>
                </w14:textFill>
              </w:rPr>
            </w:pPr>
            <w:r>
              <w:rPr>
                <w:rFonts w:hint="eastAsia" w:cs="宋体"/>
                <w:color w:val="000000" w:themeColor="text1"/>
                <w:kern w:val="2"/>
                <w:sz w:val="24"/>
                <w:szCs w:val="24"/>
                <w14:textFill>
                  <w14:solidFill>
                    <w14:schemeClr w14:val="tx1"/>
                  </w14:solidFill>
                </w14:textFill>
              </w:rPr>
              <w:t>期环</w:t>
            </w:r>
          </w:p>
          <w:p w14:paraId="1BEEAA56">
            <w:pPr>
              <w:pStyle w:val="21"/>
              <w:keepNext w:val="0"/>
              <w:keepLines w:val="0"/>
              <w:suppressLineNumbers w:val="0"/>
              <w:adjustRightInd w:val="0"/>
              <w:snapToGrid w:val="0"/>
              <w:spacing w:before="0" w:beforeAutospacing="0" w:after="0" w:afterAutospacing="0"/>
              <w:ind w:left="0" w:right="0"/>
              <w:jc w:val="center"/>
              <w:rPr>
                <w:rFonts w:hint="eastAsia" w:cs="宋体"/>
                <w:color w:val="000000" w:themeColor="text1"/>
                <w:kern w:val="2"/>
                <w:sz w:val="24"/>
                <w:szCs w:val="24"/>
                <w14:textFill>
                  <w14:solidFill>
                    <w14:schemeClr w14:val="tx1"/>
                  </w14:solidFill>
                </w14:textFill>
              </w:rPr>
            </w:pPr>
            <w:r>
              <w:rPr>
                <w:rFonts w:hint="eastAsia" w:cs="宋体"/>
                <w:color w:val="000000" w:themeColor="text1"/>
                <w:kern w:val="2"/>
                <w:sz w:val="24"/>
                <w:szCs w:val="24"/>
                <w14:textFill>
                  <w14:solidFill>
                    <w14:schemeClr w14:val="tx1"/>
                  </w14:solidFill>
                </w14:textFill>
              </w:rPr>
              <w:t>境保</w:t>
            </w:r>
          </w:p>
          <w:p w14:paraId="2C9BBB08">
            <w:pPr>
              <w:pStyle w:val="21"/>
              <w:keepNext w:val="0"/>
              <w:keepLines w:val="0"/>
              <w:suppressLineNumbers w:val="0"/>
              <w:adjustRightInd w:val="0"/>
              <w:snapToGrid w:val="0"/>
              <w:spacing w:before="0" w:beforeAutospacing="0" w:after="0" w:afterAutospacing="0"/>
              <w:ind w:left="0" w:right="0"/>
              <w:jc w:val="center"/>
              <w:rPr>
                <w:rFonts w:hint="eastAsia" w:cs="宋体"/>
                <w:color w:val="000000" w:themeColor="text1"/>
                <w:kern w:val="2"/>
                <w:sz w:val="24"/>
                <w:szCs w:val="24"/>
                <w14:textFill>
                  <w14:solidFill>
                    <w14:schemeClr w14:val="tx1"/>
                  </w14:solidFill>
                </w14:textFill>
              </w:rPr>
            </w:pPr>
            <w:r>
              <w:rPr>
                <w:rFonts w:hint="eastAsia" w:cs="宋体"/>
                <w:color w:val="000000" w:themeColor="text1"/>
                <w:kern w:val="2"/>
                <w:sz w:val="24"/>
                <w:szCs w:val="24"/>
                <w14:textFill>
                  <w14:solidFill>
                    <w14:schemeClr w14:val="tx1"/>
                  </w14:solidFill>
                </w14:textFill>
              </w:rPr>
              <w:t>护措</w:t>
            </w:r>
          </w:p>
          <w:p w14:paraId="68F9CEDB">
            <w:pPr>
              <w:pStyle w:val="21"/>
              <w:keepNext w:val="0"/>
              <w:keepLines w:val="0"/>
              <w:suppressLineNumbers w:val="0"/>
              <w:adjustRightInd w:val="0"/>
              <w:snapToGrid w:val="0"/>
              <w:spacing w:before="0" w:beforeAutospacing="0" w:after="0" w:afterAutospacing="0"/>
              <w:ind w:left="0" w:right="0"/>
              <w:jc w:val="center"/>
              <w:rPr>
                <w:rFonts w:hint="eastAsia" w:cs="宋体"/>
                <w:bCs/>
                <w:color w:val="000000" w:themeColor="text1"/>
                <w:kern w:val="2"/>
                <w:sz w:val="24"/>
                <w:szCs w:val="24"/>
                <w14:textFill>
                  <w14:solidFill>
                    <w14:schemeClr w14:val="tx1"/>
                  </w14:solidFill>
                </w14:textFill>
              </w:rPr>
            </w:pPr>
            <w:r>
              <w:rPr>
                <w:rFonts w:hint="eastAsia" w:cs="宋体"/>
                <w:color w:val="000000" w:themeColor="text1"/>
                <w:kern w:val="2"/>
                <w:sz w:val="24"/>
                <w:szCs w:val="24"/>
                <w14:textFill>
                  <w14:solidFill>
                    <w14:schemeClr w14:val="tx1"/>
                  </w14:solidFill>
                </w14:textFill>
              </w:rPr>
              <w:t>施</w:t>
            </w:r>
          </w:p>
        </w:tc>
        <w:tc>
          <w:tcPr>
            <w:tcW w:w="8408" w:type="dxa"/>
            <w:noWrap w:val="0"/>
            <w:vAlign w:val="center"/>
          </w:tcPr>
          <w:p w14:paraId="10915D9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textAlignment w:val="auto"/>
              <w:rPr>
                <w:rFonts w:hint="default" w:ascii="宋体" w:hAnsi="宋体" w:cs="宋体"/>
                <w:bCs/>
                <w:color w:val="000000" w:themeColor="text1"/>
                <w:spacing w:val="-10"/>
                <w:sz w:val="24"/>
                <w:szCs w:val="24"/>
                <w:lang w:val="en-US"/>
                <w14:textFill>
                  <w14:solidFill>
                    <w14:schemeClr w14:val="tx1"/>
                  </w14:solidFill>
                </w14:textFill>
              </w:rPr>
            </w:pPr>
            <w:r>
              <w:rPr>
                <w:rFonts w:hint="eastAsia" w:ascii="Times New Roman" w:hAnsi="Times New Roman" w:eastAsia="宋体" w:cs="宋体"/>
                <w:kern w:val="2"/>
                <w:sz w:val="24"/>
                <w:szCs w:val="24"/>
                <w:lang w:val="en-US" w:eastAsia="zh-CN" w:bidi="ar"/>
              </w:rPr>
              <w:t>本项目</w:t>
            </w:r>
            <w:r>
              <w:rPr>
                <w:rFonts w:hint="eastAsia" w:cs="宋体"/>
                <w:kern w:val="2"/>
                <w:sz w:val="24"/>
                <w:szCs w:val="24"/>
                <w:lang w:val="en-US" w:eastAsia="zh-CN" w:bidi="ar"/>
              </w:rPr>
              <w:t>租赁</w:t>
            </w:r>
            <w:r>
              <w:rPr>
                <w:rFonts w:hint="eastAsia" w:ascii="Times New Roman" w:hAnsi="Times New Roman" w:eastAsia="宋体" w:cs="宋体"/>
                <w:kern w:val="2"/>
                <w:sz w:val="24"/>
                <w:szCs w:val="24"/>
                <w:lang w:val="en-US" w:eastAsia="zh-CN" w:bidi="ar"/>
              </w:rPr>
              <w:t>现有</w:t>
            </w:r>
            <w:r>
              <w:rPr>
                <w:rFonts w:hint="eastAsia" w:cs="宋体"/>
                <w:kern w:val="2"/>
                <w:sz w:val="24"/>
                <w:szCs w:val="24"/>
                <w:lang w:val="en-US" w:eastAsia="zh-CN" w:bidi="ar"/>
              </w:rPr>
              <w:t>生产</w:t>
            </w:r>
            <w:r>
              <w:rPr>
                <w:rFonts w:hint="eastAsia" w:ascii="Times New Roman" w:hAnsi="Times New Roman" w:eastAsia="宋体" w:cs="宋体"/>
                <w:kern w:val="2"/>
                <w:sz w:val="24"/>
                <w:szCs w:val="24"/>
                <w:lang w:val="en-US" w:eastAsia="zh-CN" w:bidi="ar"/>
              </w:rPr>
              <w:t>车间，施工期工作内容主要为设备及环保设施安装，工艺简单；主要污染为噪声，对周边环境造成的影响很小。不再进行环境影响分析。</w:t>
            </w:r>
          </w:p>
        </w:tc>
      </w:tr>
      <w:tr w14:paraId="2F223F9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973" w:hRule="atLeast"/>
          <w:jc w:val="center"/>
        </w:trPr>
        <w:tc>
          <w:tcPr>
            <w:tcW w:w="735" w:type="dxa"/>
            <w:noWrap w:val="0"/>
            <w:tcMar>
              <w:left w:w="28" w:type="dxa"/>
              <w:right w:w="28" w:type="dxa"/>
            </w:tcMar>
            <w:vAlign w:val="center"/>
          </w:tcPr>
          <w:p w14:paraId="7AD97523">
            <w:pPr>
              <w:keepNext w:val="0"/>
              <w:keepLines w:val="0"/>
              <w:suppressLineNumbers w:val="0"/>
              <w:adjustRightInd w:val="0"/>
              <w:snapToGrid w:val="0"/>
              <w:spacing w:before="0" w:beforeAutospacing="0" w:after="0" w:afterAutospacing="0"/>
              <w:ind w:left="0" w:right="0"/>
              <w:jc w:val="center"/>
              <w:rPr>
                <w:rFonts w:hint="eastAsia" w:ascii="宋体" w:hAnsi="宋体" w:cs="宋体"/>
                <w:bCs/>
                <w:color w:val="000000" w:themeColor="text1"/>
                <w:sz w:val="24"/>
                <w:szCs w:val="24"/>
                <w:highlight w:val="none"/>
                <w14:textFill>
                  <w14:solidFill>
                    <w14:schemeClr w14:val="tx1"/>
                  </w14:solidFill>
                </w14:textFill>
              </w:rPr>
            </w:pPr>
            <w:r>
              <w:rPr>
                <w:rFonts w:hint="eastAsia" w:ascii="宋体" w:hAnsi="宋体" w:cs="宋体"/>
                <w:bCs/>
                <w:color w:val="000000" w:themeColor="text1"/>
                <w:sz w:val="24"/>
                <w:szCs w:val="24"/>
                <w:highlight w:val="none"/>
                <w14:textFill>
                  <w14:solidFill>
                    <w14:schemeClr w14:val="tx1"/>
                  </w14:solidFill>
                </w14:textFill>
              </w:rPr>
              <w:t>运营</w:t>
            </w:r>
          </w:p>
          <w:p w14:paraId="46C9B6DC">
            <w:pPr>
              <w:keepNext w:val="0"/>
              <w:keepLines w:val="0"/>
              <w:suppressLineNumbers w:val="0"/>
              <w:adjustRightInd w:val="0"/>
              <w:snapToGrid w:val="0"/>
              <w:spacing w:before="0" w:beforeAutospacing="0" w:after="0" w:afterAutospacing="0"/>
              <w:ind w:left="0" w:right="0"/>
              <w:jc w:val="center"/>
              <w:rPr>
                <w:rFonts w:hint="eastAsia" w:ascii="宋体" w:hAnsi="宋体" w:cs="宋体"/>
                <w:bCs/>
                <w:color w:val="000000" w:themeColor="text1"/>
                <w:sz w:val="24"/>
                <w:szCs w:val="24"/>
                <w:highlight w:val="none"/>
                <w14:textFill>
                  <w14:solidFill>
                    <w14:schemeClr w14:val="tx1"/>
                  </w14:solidFill>
                </w14:textFill>
              </w:rPr>
            </w:pPr>
            <w:r>
              <w:rPr>
                <w:rFonts w:hint="eastAsia" w:ascii="宋体" w:hAnsi="宋体" w:cs="宋体"/>
                <w:bCs/>
                <w:color w:val="000000" w:themeColor="text1"/>
                <w:sz w:val="24"/>
                <w:szCs w:val="24"/>
                <w:highlight w:val="none"/>
                <w14:textFill>
                  <w14:solidFill>
                    <w14:schemeClr w14:val="tx1"/>
                  </w14:solidFill>
                </w14:textFill>
              </w:rPr>
              <w:t>期环</w:t>
            </w:r>
          </w:p>
          <w:p w14:paraId="175E7274">
            <w:pPr>
              <w:keepNext w:val="0"/>
              <w:keepLines w:val="0"/>
              <w:suppressLineNumbers w:val="0"/>
              <w:adjustRightInd w:val="0"/>
              <w:snapToGrid w:val="0"/>
              <w:spacing w:before="0" w:beforeAutospacing="0" w:after="0" w:afterAutospacing="0"/>
              <w:ind w:left="0" w:right="0"/>
              <w:jc w:val="center"/>
              <w:rPr>
                <w:rFonts w:hint="eastAsia" w:ascii="宋体" w:hAnsi="宋体" w:cs="宋体"/>
                <w:bCs/>
                <w:color w:val="000000" w:themeColor="text1"/>
                <w:sz w:val="24"/>
                <w:szCs w:val="24"/>
                <w:highlight w:val="none"/>
                <w14:textFill>
                  <w14:solidFill>
                    <w14:schemeClr w14:val="tx1"/>
                  </w14:solidFill>
                </w14:textFill>
              </w:rPr>
            </w:pPr>
            <w:r>
              <w:rPr>
                <w:rFonts w:hint="eastAsia" w:ascii="宋体" w:hAnsi="宋体" w:cs="宋体"/>
                <w:bCs/>
                <w:color w:val="000000" w:themeColor="text1"/>
                <w:sz w:val="24"/>
                <w:szCs w:val="24"/>
                <w:highlight w:val="none"/>
                <w14:textFill>
                  <w14:solidFill>
                    <w14:schemeClr w14:val="tx1"/>
                  </w14:solidFill>
                </w14:textFill>
              </w:rPr>
              <w:t>境影</w:t>
            </w:r>
          </w:p>
          <w:p w14:paraId="091D1B5A">
            <w:pPr>
              <w:keepNext w:val="0"/>
              <w:keepLines w:val="0"/>
              <w:suppressLineNumbers w:val="0"/>
              <w:adjustRightInd w:val="0"/>
              <w:snapToGrid w:val="0"/>
              <w:spacing w:before="0" w:beforeAutospacing="0" w:after="0" w:afterAutospacing="0"/>
              <w:ind w:left="0" w:right="0"/>
              <w:jc w:val="center"/>
              <w:rPr>
                <w:rFonts w:hint="eastAsia" w:ascii="宋体" w:hAnsi="宋体" w:cs="宋体"/>
                <w:bCs/>
                <w:color w:val="000000" w:themeColor="text1"/>
                <w:sz w:val="24"/>
                <w:szCs w:val="24"/>
                <w:highlight w:val="none"/>
                <w14:textFill>
                  <w14:solidFill>
                    <w14:schemeClr w14:val="tx1"/>
                  </w14:solidFill>
                </w14:textFill>
              </w:rPr>
            </w:pPr>
            <w:r>
              <w:rPr>
                <w:rFonts w:hint="eastAsia" w:ascii="宋体" w:hAnsi="宋体" w:cs="宋体"/>
                <w:bCs/>
                <w:color w:val="000000" w:themeColor="text1"/>
                <w:sz w:val="24"/>
                <w:szCs w:val="24"/>
                <w:highlight w:val="none"/>
                <w14:textFill>
                  <w14:solidFill>
                    <w14:schemeClr w14:val="tx1"/>
                  </w14:solidFill>
                </w14:textFill>
              </w:rPr>
              <w:t>响和</w:t>
            </w:r>
          </w:p>
          <w:p w14:paraId="49544EDE">
            <w:pPr>
              <w:keepNext w:val="0"/>
              <w:keepLines w:val="0"/>
              <w:suppressLineNumbers w:val="0"/>
              <w:adjustRightInd w:val="0"/>
              <w:snapToGrid w:val="0"/>
              <w:spacing w:before="0" w:beforeAutospacing="0" w:after="0" w:afterAutospacing="0"/>
              <w:ind w:left="0" w:right="0"/>
              <w:jc w:val="center"/>
              <w:rPr>
                <w:rFonts w:hint="eastAsia" w:ascii="宋体" w:hAnsi="宋体" w:cs="宋体"/>
                <w:bCs/>
                <w:color w:val="000000" w:themeColor="text1"/>
                <w:sz w:val="24"/>
                <w:szCs w:val="24"/>
                <w:highlight w:val="none"/>
                <w14:textFill>
                  <w14:solidFill>
                    <w14:schemeClr w14:val="tx1"/>
                  </w14:solidFill>
                </w14:textFill>
              </w:rPr>
            </w:pPr>
            <w:r>
              <w:rPr>
                <w:rFonts w:hint="eastAsia" w:ascii="宋体" w:hAnsi="宋体" w:cs="宋体"/>
                <w:bCs/>
                <w:color w:val="000000" w:themeColor="text1"/>
                <w:sz w:val="24"/>
                <w:szCs w:val="24"/>
                <w:highlight w:val="none"/>
                <w14:textFill>
                  <w14:solidFill>
                    <w14:schemeClr w14:val="tx1"/>
                  </w14:solidFill>
                </w14:textFill>
              </w:rPr>
              <w:t>保护</w:t>
            </w:r>
          </w:p>
          <w:p w14:paraId="490FE02A">
            <w:pPr>
              <w:keepNext w:val="0"/>
              <w:keepLines w:val="0"/>
              <w:suppressLineNumbers w:val="0"/>
              <w:adjustRightInd w:val="0"/>
              <w:snapToGrid w:val="0"/>
              <w:spacing w:before="0" w:beforeAutospacing="0" w:after="0" w:afterAutospacing="0"/>
              <w:ind w:left="0" w:right="0"/>
              <w:jc w:val="center"/>
              <w:rPr>
                <w:rFonts w:hint="default"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 w:val="24"/>
                <w:szCs w:val="24"/>
                <w:highlight w:val="none"/>
                <w14:textFill>
                  <w14:solidFill>
                    <w14:schemeClr w14:val="tx1"/>
                  </w14:solidFill>
                </w14:textFill>
              </w:rPr>
              <w:t>措施</w:t>
            </w:r>
          </w:p>
        </w:tc>
        <w:tc>
          <w:tcPr>
            <w:tcW w:w="8408" w:type="dxa"/>
            <w:noWrap w:val="0"/>
            <w:vAlign w:val="center"/>
          </w:tcPr>
          <w:p w14:paraId="11DBB8DA">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520" w:lineRule="exact"/>
              <w:ind w:left="0" w:right="0" w:firstLine="0" w:firstLineChars="0"/>
              <w:textAlignment w:val="auto"/>
              <w:rPr>
                <w:rFonts w:hint="default" w:cs="Times New Roman"/>
                <w:b/>
                <w:bCs/>
                <w:color w:val="000000" w:themeColor="text1"/>
                <w:sz w:val="24"/>
                <w:szCs w:val="24"/>
                <w:highlight w:val="none"/>
                <w:lang w:val="en-US" w:eastAsia="zh-CN"/>
                <w14:textFill>
                  <w14:solidFill>
                    <w14:schemeClr w14:val="tx1"/>
                  </w14:solidFill>
                </w14:textFill>
              </w:rPr>
            </w:pPr>
            <w:r>
              <w:rPr>
                <w:rFonts w:hint="eastAsia" w:cs="Times New Roman"/>
                <w:b/>
                <w:bCs/>
                <w:color w:val="000000" w:themeColor="text1"/>
                <w:sz w:val="24"/>
                <w:szCs w:val="24"/>
                <w:highlight w:val="none"/>
                <w:lang w:val="en-US" w:eastAsia="zh-CN"/>
                <w14:textFill>
                  <w14:solidFill>
                    <w14:schemeClr w14:val="tx1"/>
                  </w14:solidFill>
                </w14:textFill>
              </w:rPr>
              <w:t>一、废水</w:t>
            </w:r>
          </w:p>
          <w:p w14:paraId="4E50D56C">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rPr>
                <w:rFonts w:hint="eastAsia"/>
                <w:color w:val="auto"/>
                <w:sz w:val="24"/>
                <w:lang w:val="en-US" w:eastAsia="zh-CN"/>
              </w:rPr>
            </w:pPr>
            <w:r>
              <w:rPr>
                <w:rFonts w:hint="eastAsia"/>
                <w:color w:val="auto"/>
                <w:sz w:val="24"/>
                <w:lang w:val="en-US" w:eastAsia="zh-CN"/>
              </w:rPr>
              <w:t>项目用水主要为生产设备冷却用水和职工生活用水。</w:t>
            </w:r>
          </w:p>
          <w:p w14:paraId="3F4D2859">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2" w:firstLineChars="200"/>
              <w:rPr>
                <w:rFonts w:hint="eastAsia"/>
                <w:color w:val="auto"/>
                <w:sz w:val="24"/>
                <w:highlight w:val="none"/>
                <w:lang w:val="en-US" w:eastAsia="zh-CN"/>
              </w:rPr>
            </w:pPr>
            <w:r>
              <w:rPr>
                <w:rFonts w:hint="eastAsia"/>
                <w:b/>
                <w:bCs/>
                <w:color w:val="auto"/>
                <w:sz w:val="24"/>
                <w:lang w:val="en-US" w:eastAsia="zh-CN"/>
              </w:rPr>
              <w:t>冷却用水：</w:t>
            </w:r>
            <w:r>
              <w:rPr>
                <w:rFonts w:hint="eastAsia"/>
                <w:color w:val="auto"/>
                <w:sz w:val="24"/>
                <w:lang w:val="en-US" w:eastAsia="zh-CN"/>
              </w:rPr>
              <w:t>项目挤出机</w:t>
            </w:r>
            <w:r>
              <w:rPr>
                <w:rFonts w:hint="eastAsia"/>
                <w:color w:val="auto"/>
                <w:sz w:val="24"/>
                <w:highlight w:val="none"/>
                <w:lang w:val="en-US" w:eastAsia="zh-CN"/>
              </w:rPr>
              <w:t>运行过程中需采用水进行间接冷却，产生的废水利用1座冷却塔进行降温后，在1座10m</w:t>
            </w:r>
            <w:r>
              <w:rPr>
                <w:rFonts w:hint="eastAsia"/>
                <w:color w:val="auto"/>
                <w:sz w:val="24"/>
                <w:highlight w:val="none"/>
                <w:vertAlign w:val="superscript"/>
                <w:lang w:val="en-US" w:eastAsia="zh-CN"/>
              </w:rPr>
              <w:t>3</w:t>
            </w:r>
            <w:r>
              <w:rPr>
                <w:rFonts w:hint="eastAsia"/>
                <w:color w:val="auto"/>
                <w:sz w:val="24"/>
                <w:highlight w:val="none"/>
                <w:vertAlign w:val="baseline"/>
                <w:lang w:val="en-US" w:eastAsia="zh-CN"/>
              </w:rPr>
              <w:t>循环水池暂存，</w:t>
            </w:r>
            <w:r>
              <w:rPr>
                <w:rFonts w:hint="eastAsia"/>
                <w:color w:val="auto"/>
                <w:sz w:val="24"/>
                <w:highlight w:val="none"/>
                <w:lang w:val="en-US" w:eastAsia="zh-CN"/>
              </w:rPr>
              <w:t>循环使用，不外排，仅需定期补充损耗。依据企业资料，冷却用水补给水量为1m</w:t>
            </w:r>
            <w:r>
              <w:rPr>
                <w:rFonts w:hint="eastAsia"/>
                <w:color w:val="auto"/>
                <w:sz w:val="24"/>
                <w:highlight w:val="none"/>
                <w:vertAlign w:val="superscript"/>
                <w:lang w:val="en-US" w:eastAsia="zh-CN"/>
              </w:rPr>
              <w:t>3</w:t>
            </w:r>
            <w:r>
              <w:rPr>
                <w:rFonts w:hint="eastAsia"/>
                <w:color w:val="auto"/>
                <w:sz w:val="24"/>
                <w:highlight w:val="none"/>
                <w:lang w:val="en-US" w:eastAsia="zh-CN"/>
              </w:rPr>
              <w:t>/d、300m</w:t>
            </w:r>
            <w:r>
              <w:rPr>
                <w:rFonts w:hint="eastAsia"/>
                <w:color w:val="auto"/>
                <w:sz w:val="24"/>
                <w:highlight w:val="none"/>
                <w:vertAlign w:val="superscript"/>
                <w:lang w:val="en-US" w:eastAsia="zh-CN"/>
              </w:rPr>
              <w:t>3</w:t>
            </w:r>
            <w:r>
              <w:rPr>
                <w:rFonts w:hint="eastAsia"/>
                <w:color w:val="auto"/>
                <w:sz w:val="24"/>
                <w:highlight w:val="none"/>
                <w:lang w:val="en-US" w:eastAsia="zh-CN"/>
              </w:rPr>
              <w:t>/a。</w:t>
            </w:r>
          </w:p>
          <w:p w14:paraId="02160A63">
            <w:pPr>
              <w:keepNext w:val="0"/>
              <w:keepLines w:val="0"/>
              <w:widowControl w:val="0"/>
              <w:suppressLineNumbers w:val="0"/>
              <w:adjustRightInd w:val="0"/>
              <w:snapToGrid w:val="0"/>
              <w:spacing w:before="0" w:beforeAutospacing="0" w:after="0" w:afterAutospacing="0" w:line="520" w:lineRule="exact"/>
              <w:ind w:left="0" w:right="0" w:firstLine="482" w:firstLineChars="200"/>
              <w:jc w:val="both"/>
              <w:rPr>
                <w:rFonts w:hint="default" w:ascii="Times New Roman" w:hAnsi="Times New Roman" w:eastAsia="宋体" w:cs="宋体"/>
                <w:b w:val="0"/>
                <w:bCs w:val="0"/>
                <w:kern w:val="2"/>
                <w:sz w:val="24"/>
                <w:szCs w:val="24"/>
                <w:lang w:val="en-US" w:eastAsia="zh-CN" w:bidi="ar"/>
              </w:rPr>
            </w:pPr>
            <w:r>
              <w:rPr>
                <w:rFonts w:hint="eastAsia" w:ascii="Times New Roman" w:hAnsi="Times New Roman" w:eastAsia="宋体" w:cs="宋体"/>
                <w:b/>
                <w:bCs/>
                <w:kern w:val="2"/>
                <w:sz w:val="24"/>
                <w:szCs w:val="24"/>
                <w:lang w:val="en-US" w:eastAsia="zh-CN" w:bidi="ar"/>
              </w:rPr>
              <w:t>职工生活废水：</w:t>
            </w:r>
            <w:r>
              <w:rPr>
                <w:rFonts w:hint="eastAsia" w:cs="宋体"/>
                <w:b w:val="0"/>
                <w:bCs w:val="0"/>
                <w:kern w:val="2"/>
                <w:sz w:val="24"/>
                <w:szCs w:val="24"/>
                <w:lang w:val="en-US" w:eastAsia="zh-CN" w:bidi="ar"/>
              </w:rPr>
              <w:t>本项目</w:t>
            </w:r>
            <w:r>
              <w:rPr>
                <w:rFonts w:hint="eastAsia" w:ascii="Times New Roman" w:hAnsi="Times New Roman" w:eastAsia="宋体" w:cs="宋体"/>
                <w:b w:val="0"/>
                <w:bCs w:val="0"/>
                <w:kern w:val="2"/>
                <w:sz w:val="24"/>
                <w:szCs w:val="24"/>
                <w:lang w:val="en-US" w:eastAsia="zh-CN" w:bidi="ar"/>
              </w:rPr>
              <w:t>职工</w:t>
            </w:r>
            <w:r>
              <w:rPr>
                <w:rFonts w:hint="eastAsia" w:cs="宋体"/>
                <w:b w:val="0"/>
                <w:bCs w:val="0"/>
                <w:kern w:val="2"/>
                <w:sz w:val="24"/>
                <w:szCs w:val="24"/>
                <w:lang w:val="en-US" w:eastAsia="zh-CN" w:bidi="ar"/>
              </w:rPr>
              <w:t>3</w:t>
            </w:r>
            <w:r>
              <w:rPr>
                <w:rFonts w:hint="eastAsia" w:ascii="Times New Roman" w:hAnsi="Times New Roman" w:eastAsia="宋体" w:cs="宋体"/>
                <w:b w:val="0"/>
                <w:bCs w:val="0"/>
                <w:kern w:val="2"/>
                <w:sz w:val="24"/>
                <w:szCs w:val="24"/>
                <w:lang w:val="en-US" w:eastAsia="zh-CN" w:bidi="ar"/>
              </w:rPr>
              <w:t>0人，</w:t>
            </w:r>
            <w:r>
              <w:rPr>
                <w:rFonts w:hint="eastAsia" w:ascii="Times New Roman" w:hAnsi="Times New Roman" w:eastAsia="宋体" w:cs="Times New Roman"/>
                <w:kern w:val="2"/>
                <w:sz w:val="24"/>
                <w:szCs w:val="24"/>
                <w:highlight w:val="none"/>
                <w:lang w:val="en-US" w:eastAsia="zh-CN" w:bidi="ar"/>
              </w:rPr>
              <w:t>均不在厂区食宿，车间内设置简易办公区，依托</w:t>
            </w:r>
            <w:r>
              <w:rPr>
                <w:rFonts w:hint="eastAsia" w:cs="宋体"/>
                <w:kern w:val="2"/>
                <w:sz w:val="24"/>
                <w:szCs w:val="24"/>
                <w:lang w:val="en-US" w:eastAsia="zh-CN" w:bidi="ar"/>
              </w:rPr>
              <w:t>安阳睿恒数控机床股份有限公司</w:t>
            </w:r>
            <w:r>
              <w:rPr>
                <w:rFonts w:hint="eastAsia" w:ascii="Times New Roman" w:hAnsi="Times New Roman" w:eastAsia="宋体" w:cs="Times New Roman"/>
                <w:kern w:val="2"/>
                <w:sz w:val="24"/>
                <w:szCs w:val="24"/>
                <w:highlight w:val="none"/>
                <w:lang w:val="en-US" w:eastAsia="zh-CN" w:bidi="ar"/>
              </w:rPr>
              <w:t>水冲式厕所，不设洗浴设施</w:t>
            </w:r>
            <w:r>
              <w:rPr>
                <w:rFonts w:hint="eastAsia" w:ascii="Times New Roman" w:hAnsi="Times New Roman" w:eastAsia="宋体" w:cs="宋体"/>
                <w:b w:val="0"/>
                <w:bCs w:val="0"/>
                <w:kern w:val="2"/>
                <w:sz w:val="24"/>
                <w:szCs w:val="24"/>
                <w:lang w:val="en-US" w:eastAsia="zh-CN" w:bidi="ar"/>
              </w:rPr>
              <w:t>。参照河南省《工业与城镇生活用水定额》（DB41/T385-2020）中无食宿员工用水量为8m</w:t>
            </w:r>
            <w:r>
              <w:rPr>
                <w:rFonts w:hint="eastAsia" w:ascii="Times New Roman" w:hAnsi="Times New Roman" w:eastAsia="宋体" w:cs="宋体"/>
                <w:b w:val="0"/>
                <w:bCs w:val="0"/>
                <w:kern w:val="2"/>
                <w:sz w:val="24"/>
                <w:szCs w:val="24"/>
                <w:vertAlign w:val="superscript"/>
                <w:lang w:val="en-US" w:eastAsia="zh-CN" w:bidi="ar"/>
              </w:rPr>
              <w:t>3</w:t>
            </w:r>
            <w:r>
              <w:rPr>
                <w:rFonts w:hint="eastAsia" w:ascii="Times New Roman" w:hAnsi="Times New Roman" w:eastAsia="宋体" w:cs="宋体"/>
                <w:b w:val="0"/>
                <w:bCs w:val="0"/>
                <w:kern w:val="2"/>
                <w:sz w:val="24"/>
                <w:szCs w:val="24"/>
                <w:lang w:val="en-US" w:eastAsia="zh-CN" w:bidi="ar"/>
              </w:rPr>
              <w:t>/</w:t>
            </w:r>
            <w:r>
              <w:rPr>
                <w:rFonts w:hint="default" w:ascii="Times New Roman" w:hAnsi="Times New Roman" w:eastAsia="宋体" w:cs="Times New Roman"/>
                <w:b w:val="0"/>
                <w:bCs w:val="0"/>
                <w:kern w:val="2"/>
                <w:sz w:val="24"/>
                <w:szCs w:val="24"/>
                <w:lang w:val="en-US" w:eastAsia="zh-CN" w:bidi="ar"/>
              </w:rPr>
              <w:t>人·a</w:t>
            </w:r>
            <w:r>
              <w:rPr>
                <w:rFonts w:hint="eastAsia" w:ascii="Times New Roman" w:hAnsi="Times New Roman" w:eastAsia="宋体" w:cs="宋体"/>
                <w:b w:val="0"/>
                <w:bCs w:val="0"/>
                <w:kern w:val="2"/>
                <w:sz w:val="24"/>
                <w:szCs w:val="24"/>
                <w:lang w:val="en-US" w:eastAsia="zh-CN" w:bidi="ar"/>
              </w:rPr>
              <w:t>，则职工生活用水量为</w:t>
            </w:r>
            <w:r>
              <w:rPr>
                <w:rFonts w:hint="eastAsia" w:cs="宋体"/>
                <w:b w:val="0"/>
                <w:bCs w:val="0"/>
                <w:kern w:val="2"/>
                <w:sz w:val="24"/>
                <w:szCs w:val="24"/>
                <w:lang w:val="en-US" w:eastAsia="zh-CN" w:bidi="ar"/>
              </w:rPr>
              <w:t>24</w:t>
            </w:r>
            <w:r>
              <w:rPr>
                <w:rFonts w:hint="eastAsia" w:ascii="Times New Roman" w:hAnsi="Times New Roman" w:eastAsia="宋体" w:cs="宋体"/>
                <w:b w:val="0"/>
                <w:bCs w:val="0"/>
                <w:kern w:val="2"/>
                <w:sz w:val="24"/>
                <w:szCs w:val="24"/>
                <w:lang w:val="en-US" w:eastAsia="zh-CN" w:bidi="ar"/>
              </w:rPr>
              <w:t>0m</w:t>
            </w:r>
            <w:r>
              <w:rPr>
                <w:rFonts w:hint="eastAsia" w:ascii="Times New Roman" w:hAnsi="Times New Roman" w:eastAsia="宋体" w:cs="宋体"/>
                <w:b w:val="0"/>
                <w:bCs w:val="0"/>
                <w:kern w:val="2"/>
                <w:sz w:val="24"/>
                <w:szCs w:val="24"/>
                <w:vertAlign w:val="superscript"/>
                <w:lang w:val="en-US" w:eastAsia="zh-CN" w:bidi="ar"/>
              </w:rPr>
              <w:t>3</w:t>
            </w:r>
            <w:r>
              <w:rPr>
                <w:rFonts w:hint="eastAsia" w:ascii="Times New Roman" w:hAnsi="Times New Roman" w:eastAsia="宋体" w:cs="宋体"/>
                <w:b w:val="0"/>
                <w:bCs w:val="0"/>
                <w:kern w:val="2"/>
                <w:sz w:val="24"/>
                <w:szCs w:val="24"/>
                <w:lang w:val="en-US" w:eastAsia="zh-CN" w:bidi="ar"/>
              </w:rPr>
              <w:t>/a。废水产生系数取80%，则职工生活废水产生量为</w:t>
            </w:r>
            <w:r>
              <w:rPr>
                <w:rFonts w:hint="eastAsia" w:cs="宋体"/>
                <w:b w:val="0"/>
                <w:bCs w:val="0"/>
                <w:kern w:val="2"/>
                <w:sz w:val="24"/>
                <w:szCs w:val="24"/>
                <w:lang w:val="en-US" w:eastAsia="zh-CN" w:bidi="ar"/>
              </w:rPr>
              <w:t>192</w:t>
            </w:r>
            <w:r>
              <w:rPr>
                <w:rFonts w:hint="eastAsia" w:ascii="Times New Roman" w:hAnsi="Times New Roman" w:eastAsia="宋体" w:cs="宋体"/>
                <w:b w:val="0"/>
                <w:bCs w:val="0"/>
                <w:kern w:val="2"/>
                <w:sz w:val="24"/>
                <w:szCs w:val="24"/>
                <w:lang w:val="en-US" w:eastAsia="zh-CN" w:bidi="ar"/>
              </w:rPr>
              <w:t>m</w:t>
            </w:r>
            <w:r>
              <w:rPr>
                <w:rFonts w:hint="eastAsia" w:ascii="Times New Roman" w:hAnsi="Times New Roman" w:eastAsia="宋体" w:cs="宋体"/>
                <w:b w:val="0"/>
                <w:bCs w:val="0"/>
                <w:kern w:val="2"/>
                <w:sz w:val="24"/>
                <w:szCs w:val="24"/>
                <w:vertAlign w:val="superscript"/>
                <w:lang w:val="en-US" w:eastAsia="zh-CN" w:bidi="ar"/>
              </w:rPr>
              <w:t>3</w:t>
            </w:r>
            <w:r>
              <w:rPr>
                <w:rFonts w:hint="eastAsia" w:ascii="Times New Roman" w:hAnsi="Times New Roman" w:eastAsia="宋体" w:cs="宋体"/>
                <w:b w:val="0"/>
                <w:bCs w:val="0"/>
                <w:kern w:val="2"/>
                <w:sz w:val="24"/>
                <w:szCs w:val="24"/>
                <w:lang w:val="en-US" w:eastAsia="zh-CN" w:bidi="ar"/>
              </w:rPr>
              <w:t>/a</w:t>
            </w:r>
            <w:r>
              <w:rPr>
                <w:rFonts w:hint="eastAsia" w:cs="宋体"/>
                <w:b w:val="0"/>
                <w:bCs w:val="0"/>
                <w:kern w:val="2"/>
                <w:sz w:val="24"/>
                <w:szCs w:val="24"/>
                <w:lang w:val="en-US" w:eastAsia="zh-CN" w:bidi="ar"/>
              </w:rPr>
              <w:t>。</w:t>
            </w:r>
          </w:p>
          <w:p w14:paraId="30AD6D9F">
            <w:pPr>
              <w:keepNext w:val="0"/>
              <w:keepLines w:val="0"/>
              <w:widowControl w:val="0"/>
              <w:suppressLineNumbers w:val="0"/>
              <w:adjustRightInd w:val="0"/>
              <w:snapToGrid w:val="0"/>
              <w:spacing w:before="0" w:beforeAutospacing="0" w:after="0" w:afterAutospacing="0" w:line="520" w:lineRule="exact"/>
              <w:ind w:left="0" w:right="0" w:firstLine="480" w:firstLineChars="200"/>
              <w:jc w:val="both"/>
              <w:rPr>
                <w:rFonts w:hint="eastAsia" w:ascii="Times New Roman" w:hAnsi="Times New Roman" w:eastAsia="宋体" w:cs="Times New Roman"/>
                <w:kern w:val="2"/>
                <w:sz w:val="24"/>
                <w:szCs w:val="24"/>
                <w:lang w:val="en-US" w:eastAsia="zh-CN" w:bidi="ar"/>
              </w:rPr>
            </w:pPr>
            <w:r>
              <w:rPr>
                <w:rFonts w:hint="eastAsia" w:ascii="Times New Roman" w:hAnsi="Times New Roman" w:eastAsia="宋体" w:cs="Times New Roman"/>
                <w:kern w:val="2"/>
                <w:sz w:val="24"/>
                <w:szCs w:val="24"/>
                <w:lang w:val="en-US" w:eastAsia="zh-CN" w:bidi="ar"/>
              </w:rPr>
              <w:t>职工生活废水依托</w:t>
            </w:r>
            <w:r>
              <w:rPr>
                <w:rFonts w:hint="eastAsia" w:cs="宋体"/>
                <w:kern w:val="2"/>
                <w:sz w:val="24"/>
                <w:szCs w:val="24"/>
                <w:lang w:val="en-US" w:eastAsia="zh-CN" w:bidi="ar"/>
              </w:rPr>
              <w:t>安阳睿恒数控机床股份有限公司</w:t>
            </w:r>
            <w:r>
              <w:rPr>
                <w:rFonts w:hint="eastAsia" w:ascii="Times New Roman" w:hAnsi="Times New Roman" w:eastAsia="宋体" w:cs="Times New Roman"/>
                <w:kern w:val="2"/>
                <w:sz w:val="24"/>
                <w:szCs w:val="24"/>
                <w:lang w:val="en-US" w:eastAsia="zh-CN" w:bidi="ar"/>
              </w:rPr>
              <w:t>厂区内现有</w:t>
            </w:r>
            <w:r>
              <w:rPr>
                <w:rFonts w:hint="eastAsia" w:cs="Times New Roman"/>
                <w:kern w:val="2"/>
                <w:sz w:val="24"/>
                <w:szCs w:val="24"/>
                <w:lang w:val="en-US" w:eastAsia="zh-CN" w:bidi="ar"/>
              </w:rPr>
              <w:t>30m</w:t>
            </w:r>
            <w:r>
              <w:rPr>
                <w:rFonts w:hint="eastAsia" w:cs="Times New Roman"/>
                <w:kern w:val="2"/>
                <w:sz w:val="24"/>
                <w:szCs w:val="24"/>
                <w:vertAlign w:val="superscript"/>
                <w:lang w:val="en-US" w:eastAsia="zh-CN" w:bidi="ar"/>
              </w:rPr>
              <w:t>3</w:t>
            </w:r>
            <w:r>
              <w:rPr>
                <w:rFonts w:hint="eastAsia" w:ascii="Times New Roman" w:hAnsi="Times New Roman" w:eastAsia="宋体" w:cs="Times New Roman"/>
                <w:kern w:val="2"/>
                <w:sz w:val="24"/>
                <w:szCs w:val="24"/>
                <w:lang w:val="en-US" w:eastAsia="zh-CN" w:bidi="ar"/>
              </w:rPr>
              <w:t>化粪池进行预处理后，通过污水管网，进入汤阴东方环宇污水处理有限公司处理后排放。</w:t>
            </w:r>
          </w:p>
          <w:p w14:paraId="4FCF603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textAlignment w:val="auto"/>
              <w:rPr>
                <w:rFonts w:hint="eastAsia" w:ascii="Times New Roman" w:hAnsi="Times New Roman" w:eastAsia="宋体" w:cs="Times New Roman"/>
                <w:kern w:val="2"/>
                <w:sz w:val="24"/>
                <w:szCs w:val="24"/>
                <w:highlight w:val="none"/>
                <w:lang w:val="en-US" w:eastAsia="zh-CN" w:bidi="ar"/>
              </w:rPr>
            </w:pPr>
            <w:r>
              <w:rPr>
                <w:rFonts w:hint="eastAsia" w:ascii="Times New Roman" w:hAnsi="Times New Roman" w:eastAsia="宋体" w:cs="Times New Roman"/>
                <w:kern w:val="2"/>
                <w:sz w:val="24"/>
                <w:szCs w:val="24"/>
                <w:highlight w:val="none"/>
                <w:lang w:val="en-US" w:eastAsia="zh-CN" w:bidi="ar"/>
              </w:rPr>
              <w:t>类比一般生活废水中浓度水质：COD 250mg/L，BOD</w:t>
            </w:r>
            <w:r>
              <w:rPr>
                <w:rFonts w:hint="eastAsia" w:ascii="Times New Roman" w:hAnsi="Times New Roman" w:eastAsia="宋体" w:cs="Times New Roman"/>
                <w:kern w:val="2"/>
                <w:sz w:val="24"/>
                <w:szCs w:val="24"/>
                <w:highlight w:val="none"/>
                <w:vertAlign w:val="subscript"/>
                <w:lang w:val="en-US" w:eastAsia="zh-CN" w:bidi="ar"/>
              </w:rPr>
              <w:t xml:space="preserve">5 </w:t>
            </w:r>
            <w:r>
              <w:rPr>
                <w:rFonts w:hint="eastAsia" w:ascii="Times New Roman" w:hAnsi="Times New Roman" w:eastAsia="宋体" w:cs="Times New Roman"/>
                <w:kern w:val="2"/>
                <w:sz w:val="24"/>
                <w:szCs w:val="24"/>
                <w:highlight w:val="none"/>
                <w:lang w:val="en-US" w:eastAsia="zh-CN" w:bidi="ar"/>
              </w:rPr>
              <w:t>100mg/L，SS 200mg/L，NH</w:t>
            </w:r>
            <w:r>
              <w:rPr>
                <w:rFonts w:hint="eastAsia" w:ascii="Times New Roman" w:hAnsi="Times New Roman" w:eastAsia="宋体" w:cs="Times New Roman"/>
                <w:kern w:val="2"/>
                <w:sz w:val="24"/>
                <w:szCs w:val="24"/>
                <w:highlight w:val="none"/>
                <w:vertAlign w:val="subscript"/>
                <w:lang w:val="en-US" w:eastAsia="zh-CN" w:bidi="ar"/>
              </w:rPr>
              <w:t>3</w:t>
            </w:r>
            <w:r>
              <w:rPr>
                <w:rFonts w:hint="eastAsia" w:ascii="Times New Roman" w:hAnsi="Times New Roman" w:eastAsia="宋体" w:cs="Times New Roman"/>
                <w:kern w:val="2"/>
                <w:sz w:val="24"/>
                <w:szCs w:val="24"/>
                <w:highlight w:val="none"/>
                <w:lang w:val="en-US" w:eastAsia="zh-CN" w:bidi="ar"/>
              </w:rPr>
              <w:t>-N</w:t>
            </w:r>
            <w:r>
              <w:rPr>
                <w:rFonts w:hint="eastAsia" w:cs="Times New Roman"/>
                <w:kern w:val="2"/>
                <w:sz w:val="24"/>
                <w:szCs w:val="24"/>
                <w:highlight w:val="none"/>
                <w:lang w:val="en-US" w:eastAsia="zh-CN" w:bidi="ar"/>
              </w:rPr>
              <w:t xml:space="preserve"> </w:t>
            </w:r>
            <w:r>
              <w:rPr>
                <w:rFonts w:hint="eastAsia" w:ascii="Times New Roman" w:hAnsi="Times New Roman" w:eastAsia="宋体" w:cs="Times New Roman"/>
                <w:kern w:val="2"/>
                <w:sz w:val="24"/>
                <w:szCs w:val="24"/>
                <w:highlight w:val="none"/>
                <w:lang w:val="en-US" w:eastAsia="zh-CN" w:bidi="ar"/>
              </w:rPr>
              <w:t>20mg/L</w:t>
            </w:r>
            <w:r>
              <w:rPr>
                <w:rFonts w:hint="eastAsia" w:cs="Times New Roman"/>
                <w:kern w:val="2"/>
                <w:sz w:val="24"/>
                <w:szCs w:val="24"/>
                <w:highlight w:val="none"/>
                <w:lang w:val="en-US" w:eastAsia="zh-CN" w:bidi="ar"/>
              </w:rPr>
              <w:t>，</w:t>
            </w:r>
            <w:r>
              <w:rPr>
                <w:rFonts w:hint="eastAsia" w:ascii="Times New Roman" w:hAnsi="Times New Roman" w:eastAsia="宋体" w:cs="宋体"/>
                <w:kern w:val="2"/>
                <w:sz w:val="24"/>
                <w:szCs w:val="24"/>
                <w:lang w:val="en-US" w:eastAsia="zh-CN" w:bidi="ar"/>
              </w:rPr>
              <w:t>总磷</w:t>
            </w:r>
            <w:r>
              <w:rPr>
                <w:rFonts w:hint="default" w:ascii="Times New Roman" w:hAnsi="Times New Roman" w:eastAsia="宋体" w:cs="宋体"/>
                <w:kern w:val="2"/>
                <w:sz w:val="24"/>
                <w:szCs w:val="24"/>
                <w:lang w:val="en-US" w:eastAsia="zh-CN" w:bidi="ar"/>
              </w:rPr>
              <w:t>2.5mg/L</w:t>
            </w:r>
            <w:r>
              <w:rPr>
                <w:rFonts w:hint="eastAsia" w:ascii="Times New Roman" w:hAnsi="Times New Roman" w:eastAsia="宋体" w:cs="宋体"/>
                <w:kern w:val="2"/>
                <w:sz w:val="24"/>
                <w:szCs w:val="24"/>
                <w:lang w:val="en-US" w:eastAsia="zh-CN" w:bidi="ar"/>
              </w:rPr>
              <w:t>，总氮</w:t>
            </w:r>
            <w:r>
              <w:rPr>
                <w:rFonts w:hint="default" w:ascii="Times New Roman" w:hAnsi="Times New Roman" w:eastAsia="宋体" w:cs="宋体"/>
                <w:kern w:val="2"/>
                <w:sz w:val="24"/>
                <w:szCs w:val="24"/>
                <w:lang w:val="en-US" w:eastAsia="zh-CN" w:bidi="ar"/>
              </w:rPr>
              <w:t>30mg/L</w:t>
            </w:r>
            <w:r>
              <w:rPr>
                <w:rFonts w:hint="eastAsia" w:ascii="Times New Roman" w:hAnsi="Times New Roman" w:eastAsia="宋体" w:cs="Times New Roman"/>
                <w:kern w:val="2"/>
                <w:sz w:val="24"/>
                <w:szCs w:val="24"/>
                <w:highlight w:val="none"/>
                <w:lang w:val="en-US" w:eastAsia="zh-CN" w:bidi="ar"/>
              </w:rPr>
              <w:t>。本项目依托新增废水量较小，</w:t>
            </w:r>
            <w:r>
              <w:rPr>
                <w:rFonts w:hint="eastAsia" w:cs="Times New Roman"/>
                <w:kern w:val="2"/>
                <w:sz w:val="24"/>
                <w:szCs w:val="24"/>
                <w:highlight w:val="none"/>
                <w:lang w:val="en-US" w:eastAsia="zh-CN" w:bidi="ar"/>
              </w:rPr>
              <w:t>依托</w:t>
            </w:r>
            <w:r>
              <w:rPr>
                <w:rFonts w:hint="eastAsia" w:cs="宋体"/>
                <w:kern w:val="2"/>
                <w:sz w:val="24"/>
                <w:szCs w:val="24"/>
                <w:lang w:val="en-US" w:eastAsia="zh-CN" w:bidi="ar"/>
              </w:rPr>
              <w:t>安阳睿恒数控机床股份有限公司</w:t>
            </w:r>
            <w:r>
              <w:rPr>
                <w:rFonts w:hint="eastAsia" w:ascii="Times New Roman" w:hAnsi="Times New Roman" w:eastAsia="宋体" w:cs="Times New Roman"/>
                <w:kern w:val="2"/>
                <w:sz w:val="24"/>
                <w:szCs w:val="24"/>
                <w:highlight w:val="none"/>
                <w:lang w:val="en-US" w:eastAsia="zh-CN" w:bidi="ar"/>
              </w:rPr>
              <w:t>化粪池</w:t>
            </w:r>
            <w:r>
              <w:rPr>
                <w:rFonts w:hint="eastAsia" w:cs="Times New Roman"/>
                <w:kern w:val="2"/>
                <w:sz w:val="24"/>
                <w:szCs w:val="24"/>
                <w:highlight w:val="none"/>
                <w:lang w:val="en-US" w:eastAsia="zh-CN" w:bidi="ar"/>
              </w:rPr>
              <w:t>，不会对其</w:t>
            </w:r>
            <w:r>
              <w:rPr>
                <w:rFonts w:hint="eastAsia" w:ascii="Times New Roman" w:hAnsi="Times New Roman" w:eastAsia="宋体" w:cs="Times New Roman"/>
                <w:kern w:val="2"/>
                <w:sz w:val="24"/>
                <w:szCs w:val="24"/>
                <w:highlight w:val="none"/>
                <w:lang w:val="en-US" w:eastAsia="zh-CN" w:bidi="ar"/>
              </w:rPr>
              <w:t>运行造成影响。化粪池处理效率按照COD15%，BOD</w:t>
            </w:r>
            <w:r>
              <w:rPr>
                <w:rFonts w:hint="eastAsia" w:ascii="Times New Roman" w:hAnsi="Times New Roman" w:eastAsia="宋体" w:cs="Times New Roman"/>
                <w:kern w:val="2"/>
                <w:sz w:val="24"/>
                <w:szCs w:val="24"/>
                <w:highlight w:val="none"/>
                <w:vertAlign w:val="subscript"/>
                <w:lang w:val="en-US" w:eastAsia="zh-CN" w:bidi="ar"/>
              </w:rPr>
              <w:t>5</w:t>
            </w:r>
            <w:r>
              <w:rPr>
                <w:rFonts w:hint="eastAsia" w:ascii="Times New Roman" w:hAnsi="Times New Roman" w:eastAsia="宋体" w:cs="Times New Roman"/>
                <w:kern w:val="2"/>
                <w:sz w:val="24"/>
                <w:szCs w:val="24"/>
                <w:highlight w:val="none"/>
                <w:lang w:val="en-US" w:eastAsia="zh-CN" w:bidi="ar"/>
              </w:rPr>
              <w:t>9%，SS30%，NH</w:t>
            </w:r>
            <w:r>
              <w:rPr>
                <w:rFonts w:hint="eastAsia" w:ascii="Times New Roman" w:hAnsi="Times New Roman" w:eastAsia="宋体" w:cs="Times New Roman"/>
                <w:kern w:val="2"/>
                <w:sz w:val="24"/>
                <w:szCs w:val="24"/>
                <w:highlight w:val="none"/>
                <w:vertAlign w:val="subscript"/>
                <w:lang w:val="en-US" w:eastAsia="zh-CN" w:bidi="ar"/>
              </w:rPr>
              <w:t>3</w:t>
            </w:r>
            <w:r>
              <w:rPr>
                <w:rFonts w:hint="eastAsia" w:ascii="Times New Roman" w:hAnsi="Times New Roman" w:eastAsia="宋体" w:cs="Times New Roman"/>
                <w:kern w:val="2"/>
                <w:sz w:val="24"/>
                <w:szCs w:val="24"/>
                <w:highlight w:val="none"/>
                <w:lang w:val="en-US" w:eastAsia="zh-CN" w:bidi="ar"/>
              </w:rPr>
              <w:t>-N3%。经化粪池预处理后，污染因子浓度为COD 212.5mg/L，BOD</w:t>
            </w:r>
            <w:r>
              <w:rPr>
                <w:rFonts w:hint="eastAsia" w:ascii="Times New Roman" w:hAnsi="Times New Roman" w:eastAsia="宋体" w:cs="Times New Roman"/>
                <w:kern w:val="2"/>
                <w:sz w:val="24"/>
                <w:szCs w:val="24"/>
                <w:highlight w:val="none"/>
                <w:vertAlign w:val="subscript"/>
                <w:lang w:val="en-US" w:eastAsia="zh-CN" w:bidi="ar"/>
              </w:rPr>
              <w:t>5</w:t>
            </w:r>
            <w:r>
              <w:rPr>
                <w:rFonts w:hint="eastAsia" w:ascii="Times New Roman" w:hAnsi="Times New Roman" w:eastAsia="宋体" w:cs="Times New Roman"/>
                <w:kern w:val="2"/>
                <w:sz w:val="24"/>
                <w:szCs w:val="24"/>
                <w:highlight w:val="none"/>
                <w:lang w:val="en-US" w:eastAsia="zh-CN" w:bidi="ar"/>
              </w:rPr>
              <w:t xml:space="preserve"> 91mg/L，SS 140mg/L，NH</w:t>
            </w:r>
            <w:r>
              <w:rPr>
                <w:rFonts w:hint="eastAsia" w:ascii="Times New Roman" w:hAnsi="Times New Roman" w:eastAsia="宋体" w:cs="Times New Roman"/>
                <w:kern w:val="2"/>
                <w:sz w:val="24"/>
                <w:szCs w:val="24"/>
                <w:highlight w:val="none"/>
                <w:vertAlign w:val="subscript"/>
                <w:lang w:val="en-US" w:eastAsia="zh-CN" w:bidi="ar"/>
              </w:rPr>
              <w:t>3</w:t>
            </w:r>
            <w:r>
              <w:rPr>
                <w:rFonts w:hint="eastAsia" w:ascii="Times New Roman" w:hAnsi="Times New Roman" w:eastAsia="宋体" w:cs="Times New Roman"/>
                <w:kern w:val="2"/>
                <w:sz w:val="24"/>
                <w:szCs w:val="24"/>
                <w:highlight w:val="none"/>
                <w:lang w:val="en-US" w:eastAsia="zh-CN" w:bidi="ar"/>
              </w:rPr>
              <w:t>-N 19.4mg/L</w:t>
            </w:r>
            <w:r>
              <w:rPr>
                <w:rFonts w:hint="eastAsia" w:cs="Times New Roman"/>
                <w:kern w:val="2"/>
                <w:sz w:val="24"/>
                <w:szCs w:val="24"/>
                <w:highlight w:val="none"/>
                <w:lang w:val="en-US" w:eastAsia="zh-CN" w:bidi="ar"/>
              </w:rPr>
              <w:t>，</w:t>
            </w:r>
            <w:r>
              <w:rPr>
                <w:rFonts w:hint="eastAsia" w:ascii="Times New Roman" w:hAnsi="Times New Roman" w:eastAsia="宋体" w:cs="宋体"/>
                <w:kern w:val="2"/>
                <w:sz w:val="24"/>
                <w:szCs w:val="24"/>
                <w:lang w:val="en-US" w:eastAsia="zh-CN" w:bidi="ar"/>
              </w:rPr>
              <w:t>总磷</w:t>
            </w:r>
            <w:r>
              <w:rPr>
                <w:rFonts w:hint="default" w:ascii="Times New Roman" w:hAnsi="Times New Roman" w:eastAsia="宋体" w:cs="宋体"/>
                <w:kern w:val="2"/>
                <w:sz w:val="24"/>
                <w:szCs w:val="24"/>
                <w:lang w:val="en-US" w:eastAsia="zh-CN" w:bidi="ar"/>
              </w:rPr>
              <w:t>2.5mg/L</w:t>
            </w:r>
            <w:r>
              <w:rPr>
                <w:rFonts w:hint="eastAsia" w:ascii="Times New Roman" w:hAnsi="Times New Roman" w:eastAsia="宋体" w:cs="宋体"/>
                <w:kern w:val="2"/>
                <w:sz w:val="24"/>
                <w:szCs w:val="24"/>
                <w:lang w:val="en-US" w:eastAsia="zh-CN" w:bidi="ar"/>
              </w:rPr>
              <w:t>，总氮</w:t>
            </w:r>
            <w:r>
              <w:rPr>
                <w:rFonts w:hint="default" w:ascii="Times New Roman" w:hAnsi="Times New Roman" w:eastAsia="宋体" w:cs="宋体"/>
                <w:kern w:val="2"/>
                <w:sz w:val="24"/>
                <w:szCs w:val="24"/>
                <w:lang w:val="en-US" w:eastAsia="zh-CN" w:bidi="ar"/>
              </w:rPr>
              <w:t>30mg/L</w:t>
            </w:r>
            <w:r>
              <w:rPr>
                <w:rFonts w:hint="eastAsia" w:ascii="Times New Roman" w:hAnsi="Times New Roman" w:eastAsia="宋体" w:cs="Times New Roman"/>
                <w:kern w:val="2"/>
                <w:sz w:val="24"/>
                <w:szCs w:val="24"/>
                <w:highlight w:val="none"/>
                <w:lang w:val="en-US" w:eastAsia="zh-CN" w:bidi="ar"/>
              </w:rPr>
              <w:t>。</w:t>
            </w:r>
          </w:p>
          <w:p w14:paraId="524B1CF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textAlignment w:val="auto"/>
              <w:rPr>
                <w:rFonts w:hint="default" w:hAnsi="宋体"/>
                <w:sz w:val="24"/>
                <w:szCs w:val="24"/>
                <w:highlight w:val="none"/>
                <w:lang w:val="en-US"/>
              </w:rPr>
            </w:pPr>
            <w:r>
              <w:rPr>
                <w:rFonts w:hint="eastAsia" w:ascii="Times New Roman" w:hAnsi="宋体" w:eastAsia="宋体" w:cs="宋体"/>
                <w:kern w:val="2"/>
                <w:sz w:val="24"/>
                <w:szCs w:val="24"/>
                <w:highlight w:val="none"/>
                <w:lang w:val="en-US" w:eastAsia="zh-CN" w:bidi="ar"/>
              </w:rPr>
              <w:t>经对比《污水综合排放标准》（</w:t>
            </w:r>
            <w:r>
              <w:rPr>
                <w:rFonts w:hint="default" w:ascii="Times New Roman" w:hAnsi="宋体" w:eastAsia="宋体" w:cs="Times New Roman"/>
                <w:kern w:val="2"/>
                <w:sz w:val="24"/>
                <w:szCs w:val="24"/>
                <w:highlight w:val="none"/>
                <w:lang w:val="en-US" w:eastAsia="zh-CN" w:bidi="ar"/>
              </w:rPr>
              <w:t>GB8978-1996</w:t>
            </w:r>
            <w:r>
              <w:rPr>
                <w:rFonts w:hint="eastAsia" w:ascii="Times New Roman" w:hAnsi="宋体" w:eastAsia="宋体" w:cs="宋体"/>
                <w:kern w:val="2"/>
                <w:sz w:val="24"/>
                <w:szCs w:val="24"/>
                <w:highlight w:val="none"/>
                <w:lang w:val="en-US" w:eastAsia="zh-CN" w:bidi="ar"/>
              </w:rPr>
              <w:t>）表</w:t>
            </w:r>
            <w:r>
              <w:rPr>
                <w:rFonts w:hint="default" w:ascii="Times New Roman" w:hAnsi="宋体" w:eastAsia="宋体" w:cs="Times New Roman"/>
                <w:kern w:val="2"/>
                <w:sz w:val="24"/>
                <w:szCs w:val="24"/>
                <w:highlight w:val="none"/>
                <w:lang w:val="en-US" w:eastAsia="zh-CN" w:bidi="ar"/>
              </w:rPr>
              <w:t>4</w:t>
            </w:r>
            <w:r>
              <w:rPr>
                <w:rFonts w:hint="eastAsia" w:ascii="Times New Roman" w:hAnsi="宋体" w:eastAsia="宋体" w:cs="宋体"/>
                <w:kern w:val="2"/>
                <w:sz w:val="24"/>
                <w:szCs w:val="24"/>
                <w:highlight w:val="none"/>
                <w:lang w:val="en-US" w:eastAsia="zh-CN" w:bidi="ar"/>
              </w:rPr>
              <w:t>三级标准及</w:t>
            </w:r>
            <w:r>
              <w:rPr>
                <w:rFonts w:hint="eastAsia" w:ascii="Times New Roman" w:hAnsi="Times New Roman" w:eastAsia="宋体" w:cs="Times New Roman"/>
                <w:kern w:val="2"/>
                <w:sz w:val="24"/>
                <w:szCs w:val="24"/>
                <w:lang w:val="en-US" w:eastAsia="zh-CN" w:bidi="ar"/>
              </w:rPr>
              <w:t>汤阴东方环宇污水处理有限公司</w:t>
            </w:r>
            <w:r>
              <w:rPr>
                <w:rFonts w:hint="eastAsia" w:ascii="Times New Roman" w:hAnsi="Times New Roman" w:eastAsia="宋体" w:cs="宋体"/>
                <w:kern w:val="2"/>
                <w:sz w:val="24"/>
                <w:szCs w:val="24"/>
                <w:highlight w:val="none"/>
                <w:lang w:val="en-US" w:eastAsia="zh-CN" w:bidi="ar"/>
              </w:rPr>
              <w:t>进水水质要求</w:t>
            </w:r>
            <w:r>
              <w:rPr>
                <w:rFonts w:hint="default" w:ascii="Times New Roman" w:hAnsi="宋体" w:eastAsia="宋体" w:cs="Times New Roman"/>
                <w:kern w:val="2"/>
                <w:sz w:val="24"/>
                <w:szCs w:val="24"/>
                <w:highlight w:val="none"/>
                <w:lang w:val="en-US" w:eastAsia="zh-CN" w:bidi="ar"/>
              </w:rPr>
              <w:t>(COD</w:t>
            </w:r>
            <w:r>
              <w:rPr>
                <w:rFonts w:hint="eastAsia" w:ascii="Times New Roman" w:hAnsi="宋体" w:eastAsia="宋体" w:cs="宋体"/>
                <w:kern w:val="2"/>
                <w:sz w:val="24"/>
                <w:szCs w:val="24"/>
                <w:highlight w:val="none"/>
                <w:lang w:val="en-US" w:eastAsia="zh-CN" w:bidi="ar"/>
              </w:rPr>
              <w:t>≤</w:t>
            </w:r>
            <w:r>
              <w:rPr>
                <w:rFonts w:hint="default" w:ascii="Times New Roman" w:hAnsi="宋体" w:eastAsia="宋体" w:cs="Times New Roman"/>
                <w:kern w:val="2"/>
                <w:sz w:val="24"/>
                <w:szCs w:val="24"/>
                <w:highlight w:val="none"/>
                <w:lang w:val="en-US" w:eastAsia="zh-CN" w:bidi="ar"/>
              </w:rPr>
              <w:t>350mg/L</w:t>
            </w:r>
            <w:r>
              <w:rPr>
                <w:rFonts w:hint="eastAsia" w:ascii="Times New Roman" w:hAnsi="宋体" w:eastAsia="宋体" w:cs="宋体"/>
                <w:kern w:val="2"/>
                <w:sz w:val="24"/>
                <w:szCs w:val="24"/>
                <w:highlight w:val="none"/>
                <w:lang w:val="en-US" w:eastAsia="zh-CN" w:bidi="ar"/>
              </w:rPr>
              <w:t>，氨氮≤</w:t>
            </w:r>
            <w:r>
              <w:rPr>
                <w:rFonts w:hint="default" w:ascii="Times New Roman" w:hAnsi="宋体" w:eastAsia="宋体" w:cs="Times New Roman"/>
                <w:kern w:val="2"/>
                <w:sz w:val="24"/>
                <w:szCs w:val="24"/>
                <w:highlight w:val="none"/>
                <w:lang w:val="en-US" w:eastAsia="zh-CN" w:bidi="ar"/>
              </w:rPr>
              <w:t>3</w:t>
            </w:r>
            <w:r>
              <w:rPr>
                <w:rFonts w:hint="eastAsia" w:ascii="Times New Roman" w:hAnsi="宋体" w:eastAsia="宋体" w:cs="Times New Roman"/>
                <w:kern w:val="2"/>
                <w:sz w:val="24"/>
                <w:szCs w:val="24"/>
                <w:highlight w:val="none"/>
                <w:lang w:val="en-US" w:eastAsia="zh-CN" w:bidi="ar"/>
              </w:rPr>
              <w:t>5</w:t>
            </w:r>
            <w:r>
              <w:rPr>
                <w:rFonts w:hint="default" w:ascii="Times New Roman" w:hAnsi="宋体" w:eastAsia="宋体" w:cs="Times New Roman"/>
                <w:kern w:val="2"/>
                <w:sz w:val="24"/>
                <w:szCs w:val="24"/>
                <w:highlight w:val="none"/>
                <w:lang w:val="en-US" w:eastAsia="zh-CN" w:bidi="ar"/>
              </w:rPr>
              <w:t>mg/L</w:t>
            </w:r>
            <w:r>
              <w:rPr>
                <w:rFonts w:hint="eastAsia" w:ascii="Times New Roman" w:hAnsi="宋体" w:eastAsia="宋体" w:cs="Times New Roman"/>
                <w:kern w:val="2"/>
                <w:sz w:val="24"/>
                <w:szCs w:val="24"/>
                <w:highlight w:val="none"/>
                <w:lang w:val="en-US" w:eastAsia="zh-CN" w:bidi="ar"/>
              </w:rPr>
              <w:t>，</w:t>
            </w:r>
            <w:r>
              <w:rPr>
                <w:rFonts w:hint="eastAsia" w:ascii="Times New Roman" w:hAnsi="Times New Roman" w:eastAsia="宋体" w:cs="Times New Roman"/>
                <w:kern w:val="2"/>
                <w:sz w:val="24"/>
                <w:szCs w:val="24"/>
                <w:highlight w:val="none"/>
                <w:lang w:val="en-US" w:eastAsia="zh-CN" w:bidi="ar"/>
              </w:rPr>
              <w:t>BOD</w:t>
            </w:r>
            <w:r>
              <w:rPr>
                <w:rFonts w:hint="eastAsia" w:ascii="Times New Roman" w:hAnsi="Times New Roman" w:eastAsia="宋体" w:cs="Times New Roman"/>
                <w:kern w:val="2"/>
                <w:sz w:val="24"/>
                <w:szCs w:val="24"/>
                <w:highlight w:val="none"/>
                <w:vertAlign w:val="subscript"/>
                <w:lang w:val="en-US" w:eastAsia="zh-CN" w:bidi="ar"/>
              </w:rPr>
              <w:t>5</w:t>
            </w:r>
            <w:r>
              <w:rPr>
                <w:rFonts w:hint="eastAsia" w:ascii="Times New Roman" w:hAnsi="宋体" w:eastAsia="宋体" w:cs="宋体"/>
                <w:kern w:val="2"/>
                <w:sz w:val="24"/>
                <w:szCs w:val="24"/>
                <w:highlight w:val="none"/>
                <w:lang w:val="en-US" w:eastAsia="zh-CN" w:bidi="ar"/>
              </w:rPr>
              <w:t>≤</w:t>
            </w:r>
            <w:r>
              <w:rPr>
                <w:rFonts w:hint="default" w:ascii="Times New Roman" w:hAnsi="宋体" w:eastAsia="宋体" w:cs="Times New Roman"/>
                <w:kern w:val="2"/>
                <w:sz w:val="24"/>
                <w:szCs w:val="24"/>
                <w:highlight w:val="none"/>
                <w:lang w:val="en-US" w:eastAsia="zh-CN" w:bidi="ar"/>
              </w:rPr>
              <w:t>1</w:t>
            </w:r>
            <w:r>
              <w:rPr>
                <w:rFonts w:hint="eastAsia" w:hAnsi="宋体" w:cs="Times New Roman"/>
                <w:kern w:val="2"/>
                <w:sz w:val="24"/>
                <w:szCs w:val="24"/>
                <w:highlight w:val="none"/>
                <w:lang w:val="en-US" w:eastAsia="zh-CN" w:bidi="ar"/>
              </w:rPr>
              <w:t>70</w:t>
            </w:r>
            <w:r>
              <w:rPr>
                <w:rFonts w:hint="default" w:ascii="Times New Roman" w:hAnsi="宋体" w:eastAsia="宋体" w:cs="Times New Roman"/>
                <w:kern w:val="2"/>
                <w:sz w:val="24"/>
                <w:szCs w:val="24"/>
                <w:highlight w:val="none"/>
                <w:lang w:val="en-US" w:eastAsia="zh-CN" w:bidi="ar"/>
              </w:rPr>
              <w:t>mg/L</w:t>
            </w:r>
            <w:r>
              <w:rPr>
                <w:rFonts w:hint="eastAsia" w:ascii="Times New Roman" w:hAnsi="宋体" w:eastAsia="宋体" w:cs="宋体"/>
                <w:kern w:val="2"/>
                <w:sz w:val="24"/>
                <w:szCs w:val="24"/>
                <w:highlight w:val="none"/>
                <w:lang w:val="en-US" w:eastAsia="zh-CN" w:bidi="ar"/>
              </w:rPr>
              <w:t>，</w:t>
            </w:r>
            <w:r>
              <w:rPr>
                <w:rFonts w:hint="default" w:ascii="Times New Roman" w:hAnsi="宋体" w:eastAsia="宋体" w:cs="Times New Roman"/>
                <w:kern w:val="2"/>
                <w:sz w:val="24"/>
                <w:szCs w:val="24"/>
                <w:highlight w:val="none"/>
                <w:lang w:val="en-US" w:eastAsia="zh-CN" w:bidi="ar"/>
              </w:rPr>
              <w:t>SS</w:t>
            </w:r>
            <w:r>
              <w:rPr>
                <w:rFonts w:hint="eastAsia" w:ascii="Times New Roman" w:hAnsi="宋体" w:eastAsia="宋体" w:cs="宋体"/>
                <w:kern w:val="2"/>
                <w:sz w:val="24"/>
                <w:szCs w:val="24"/>
                <w:highlight w:val="none"/>
                <w:lang w:val="en-US" w:eastAsia="zh-CN" w:bidi="ar"/>
              </w:rPr>
              <w:t>≤</w:t>
            </w:r>
            <w:r>
              <w:rPr>
                <w:rFonts w:hint="default" w:ascii="Times New Roman" w:hAnsi="宋体" w:eastAsia="宋体" w:cs="Times New Roman"/>
                <w:kern w:val="2"/>
                <w:sz w:val="24"/>
                <w:szCs w:val="24"/>
                <w:highlight w:val="none"/>
                <w:lang w:val="en-US" w:eastAsia="zh-CN" w:bidi="ar"/>
              </w:rPr>
              <w:t>2</w:t>
            </w:r>
            <w:r>
              <w:rPr>
                <w:rFonts w:hint="eastAsia" w:hAnsi="宋体" w:cs="Times New Roman"/>
                <w:kern w:val="2"/>
                <w:sz w:val="24"/>
                <w:szCs w:val="24"/>
                <w:highlight w:val="none"/>
                <w:lang w:val="en-US" w:eastAsia="zh-CN" w:bidi="ar"/>
              </w:rPr>
              <w:t>1</w:t>
            </w:r>
            <w:r>
              <w:rPr>
                <w:rFonts w:hint="default" w:ascii="Times New Roman" w:hAnsi="宋体" w:eastAsia="宋体" w:cs="Times New Roman"/>
                <w:kern w:val="2"/>
                <w:sz w:val="24"/>
                <w:szCs w:val="24"/>
                <w:highlight w:val="none"/>
                <w:lang w:val="en-US" w:eastAsia="zh-CN" w:bidi="ar"/>
              </w:rPr>
              <w:t>0mg/L</w:t>
            </w:r>
            <w:r>
              <w:rPr>
                <w:rFonts w:hint="eastAsia" w:hAnsi="宋体" w:cs="Times New Roman"/>
                <w:kern w:val="2"/>
                <w:sz w:val="24"/>
                <w:szCs w:val="24"/>
                <w:highlight w:val="none"/>
                <w:lang w:val="en-US" w:eastAsia="zh-CN" w:bidi="ar"/>
              </w:rPr>
              <w:t>，</w:t>
            </w:r>
            <w:r>
              <w:rPr>
                <w:rFonts w:hint="eastAsia" w:ascii="Times New Roman" w:hAnsi="Times New Roman" w:eastAsia="宋体" w:cs="宋体"/>
                <w:kern w:val="2"/>
                <w:sz w:val="24"/>
                <w:szCs w:val="24"/>
                <w:lang w:val="en-US" w:eastAsia="zh-CN" w:bidi="ar"/>
              </w:rPr>
              <w:t>总磷≤</w:t>
            </w:r>
            <w:r>
              <w:rPr>
                <w:rFonts w:hint="default" w:ascii="Times New Roman" w:hAnsi="Times New Roman" w:eastAsia="宋体" w:cs="宋体"/>
                <w:kern w:val="2"/>
                <w:sz w:val="24"/>
                <w:szCs w:val="24"/>
                <w:lang w:val="en-US" w:eastAsia="zh-CN" w:bidi="ar"/>
              </w:rPr>
              <w:t>5.0mg/L</w:t>
            </w:r>
            <w:r>
              <w:rPr>
                <w:rFonts w:hint="eastAsia" w:ascii="Times New Roman" w:hAnsi="Times New Roman" w:eastAsia="宋体" w:cs="宋体"/>
                <w:kern w:val="2"/>
                <w:sz w:val="24"/>
                <w:szCs w:val="24"/>
                <w:lang w:val="en-US" w:eastAsia="zh-CN" w:bidi="ar"/>
              </w:rPr>
              <w:t>、总氮≤</w:t>
            </w:r>
            <w:r>
              <w:rPr>
                <w:rFonts w:hint="default" w:ascii="Times New Roman" w:hAnsi="Times New Roman" w:eastAsia="宋体" w:cs="宋体"/>
                <w:kern w:val="2"/>
                <w:sz w:val="24"/>
                <w:szCs w:val="24"/>
                <w:lang w:val="en-US" w:eastAsia="zh-CN" w:bidi="ar"/>
              </w:rPr>
              <w:t>45mg/L</w:t>
            </w:r>
            <w:r>
              <w:rPr>
                <w:rFonts w:hint="default" w:ascii="Times New Roman" w:hAnsi="宋体" w:eastAsia="宋体" w:cs="Times New Roman"/>
                <w:kern w:val="2"/>
                <w:sz w:val="24"/>
                <w:szCs w:val="24"/>
                <w:highlight w:val="none"/>
                <w:lang w:val="en-US" w:eastAsia="zh-CN" w:bidi="ar"/>
              </w:rPr>
              <w:t>)</w:t>
            </w:r>
            <w:r>
              <w:rPr>
                <w:rFonts w:hint="eastAsia" w:ascii="Times New Roman" w:hAnsi="Times New Roman" w:eastAsia="宋体" w:cs="宋体"/>
                <w:kern w:val="2"/>
                <w:sz w:val="24"/>
                <w:szCs w:val="24"/>
                <w:highlight w:val="none"/>
                <w:lang w:val="en-US" w:eastAsia="zh-CN" w:bidi="ar"/>
              </w:rPr>
              <w:t>，</w:t>
            </w:r>
            <w:r>
              <w:rPr>
                <w:rFonts w:hint="eastAsia" w:ascii="Times New Roman" w:hAnsi="宋体" w:eastAsia="宋体" w:cs="宋体"/>
                <w:kern w:val="2"/>
                <w:sz w:val="24"/>
                <w:szCs w:val="24"/>
                <w:highlight w:val="none"/>
                <w:lang w:val="en-US" w:eastAsia="zh-CN" w:bidi="ar"/>
              </w:rPr>
              <w:t>项目废水中污染物排放浓度可以满足要求。</w:t>
            </w:r>
          </w:p>
          <w:p w14:paraId="688815CC">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520" w:lineRule="exact"/>
              <w:ind w:left="0" w:right="0"/>
              <w:jc w:val="center"/>
              <w:textAlignment w:val="auto"/>
              <w:rPr>
                <w:rFonts w:hint="default" w:eastAsia="黑体" w:cs="Times New Roman"/>
                <w:b w:val="0"/>
                <w:bCs w:val="0"/>
                <w:color w:val="000000" w:themeColor="text1"/>
                <w:sz w:val="24"/>
                <w:szCs w:val="24"/>
                <w:highlight w:val="none"/>
                <w:lang w:val="en-US" w:eastAsia="zh-CN"/>
                <w14:textFill>
                  <w14:solidFill>
                    <w14:schemeClr w14:val="tx1"/>
                  </w14:solidFill>
                </w14:textFill>
              </w:rPr>
            </w:pPr>
            <w:r>
              <w:rPr>
                <w:rFonts w:hint="eastAsia" w:eastAsia="黑体" w:cs="Times New Roman"/>
                <w:b w:val="0"/>
                <w:bCs w:val="0"/>
                <w:color w:val="000000" w:themeColor="text1"/>
                <w:sz w:val="24"/>
                <w:szCs w:val="24"/>
                <w:highlight w:val="none"/>
                <w:lang w:val="en-US" w:eastAsia="zh-CN"/>
                <w14:textFill>
                  <w14:solidFill>
                    <w14:schemeClr w14:val="tx1"/>
                  </w14:solidFill>
                </w14:textFill>
              </w:rPr>
              <w:t>表</w:t>
            </w:r>
            <w:r>
              <w:rPr>
                <w:rFonts w:hint="default" w:eastAsia="黑体" w:cs="Times New Roman"/>
                <w:b w:val="0"/>
                <w:bCs w:val="0"/>
                <w:color w:val="000000" w:themeColor="text1"/>
                <w:sz w:val="24"/>
                <w:szCs w:val="24"/>
                <w:highlight w:val="none"/>
                <w:lang w:val="en-US" w:eastAsia="zh-CN"/>
                <w14:textFill>
                  <w14:solidFill>
                    <w14:schemeClr w14:val="tx1"/>
                  </w14:solidFill>
                </w14:textFill>
              </w:rPr>
              <w:t xml:space="preserve">4-1  </w:t>
            </w:r>
            <w:r>
              <w:rPr>
                <w:rFonts w:hint="eastAsia" w:eastAsia="黑体" w:cs="Times New Roman"/>
                <w:b w:val="0"/>
                <w:bCs w:val="0"/>
                <w:color w:val="000000" w:themeColor="text1"/>
                <w:sz w:val="24"/>
                <w:szCs w:val="24"/>
                <w:highlight w:val="none"/>
                <w:lang w:val="en-US" w:eastAsia="zh-CN"/>
                <w14:textFill>
                  <w14:solidFill>
                    <w14:schemeClr w14:val="tx1"/>
                  </w14:solidFill>
                </w14:textFill>
              </w:rPr>
              <w:t>废水中污染因子的产排情况一览表</w:t>
            </w:r>
          </w:p>
          <w:tbl>
            <w:tblPr>
              <w:tblStyle w:val="25"/>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836"/>
              <w:gridCol w:w="914"/>
              <w:gridCol w:w="1091"/>
              <w:gridCol w:w="1091"/>
              <w:gridCol w:w="1285"/>
              <w:gridCol w:w="1487"/>
              <w:gridCol w:w="1483"/>
            </w:tblGrid>
            <w:tr w14:paraId="6CF873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511" w:type="pct"/>
                  <w:tcBorders>
                    <w:tl2br w:val="nil"/>
                    <w:tr2bl w:val="nil"/>
                  </w:tcBorders>
                  <w:shd w:val="clear" w:color="auto" w:fill="auto"/>
                  <w:vAlign w:val="center"/>
                </w:tcPr>
                <w:p w14:paraId="7633880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highlight w:val="none"/>
                      <w:lang w:val="en-US"/>
                    </w:rPr>
                  </w:pPr>
                  <w:r>
                    <w:rPr>
                      <w:rFonts w:hint="eastAsia" w:ascii="Times New Roman" w:hAnsi="Times New Roman" w:eastAsia="宋体" w:cs="宋体"/>
                      <w:b w:val="0"/>
                      <w:bCs/>
                      <w:kern w:val="2"/>
                      <w:sz w:val="21"/>
                      <w:szCs w:val="24"/>
                      <w:highlight w:val="none"/>
                      <w:lang w:val="en-US" w:eastAsia="zh-CN" w:bidi="ar"/>
                    </w:rPr>
                    <w:t>项目</w:t>
                  </w:r>
                </w:p>
              </w:tc>
              <w:tc>
                <w:tcPr>
                  <w:tcW w:w="558" w:type="pct"/>
                  <w:tcBorders>
                    <w:tl2br w:val="nil"/>
                    <w:tr2bl w:val="nil"/>
                  </w:tcBorders>
                  <w:shd w:val="clear" w:color="auto" w:fill="auto"/>
                  <w:vAlign w:val="center"/>
                </w:tcPr>
                <w:p w14:paraId="5CDB4E5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highlight w:val="none"/>
                      <w:lang w:val="en-US"/>
                    </w:rPr>
                  </w:pPr>
                  <w:r>
                    <w:rPr>
                      <w:rFonts w:hint="eastAsia" w:ascii="Times New Roman" w:hAnsi="Times New Roman" w:eastAsia="宋体" w:cs="宋体"/>
                      <w:b w:val="0"/>
                      <w:bCs/>
                      <w:kern w:val="2"/>
                      <w:sz w:val="21"/>
                      <w:szCs w:val="24"/>
                      <w:highlight w:val="none"/>
                      <w:lang w:val="en-US" w:eastAsia="zh-CN" w:bidi="ar"/>
                    </w:rPr>
                    <w:t>产生</w:t>
                  </w:r>
                </w:p>
                <w:p w14:paraId="3E06427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highlight w:val="none"/>
                      <w:lang w:val="en-US"/>
                    </w:rPr>
                  </w:pPr>
                  <w:r>
                    <w:rPr>
                      <w:rFonts w:hint="eastAsia" w:ascii="Times New Roman" w:hAnsi="Times New Roman" w:eastAsia="宋体" w:cs="宋体"/>
                      <w:b w:val="0"/>
                      <w:bCs/>
                      <w:kern w:val="2"/>
                      <w:sz w:val="21"/>
                      <w:szCs w:val="24"/>
                      <w:highlight w:val="none"/>
                      <w:lang w:val="en-US" w:eastAsia="zh-CN" w:bidi="ar"/>
                    </w:rPr>
                    <w:t>浓度</w:t>
                  </w:r>
                </w:p>
              </w:tc>
              <w:tc>
                <w:tcPr>
                  <w:tcW w:w="666" w:type="pct"/>
                  <w:tcBorders>
                    <w:tl2br w:val="nil"/>
                    <w:tr2bl w:val="nil"/>
                  </w:tcBorders>
                  <w:shd w:val="clear" w:color="auto" w:fill="auto"/>
                  <w:vAlign w:val="center"/>
                </w:tcPr>
                <w:p w14:paraId="0AB2817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highlight w:val="none"/>
                      <w:lang w:val="en-US"/>
                    </w:rPr>
                  </w:pPr>
                  <w:r>
                    <w:rPr>
                      <w:rFonts w:hint="eastAsia" w:ascii="Times New Roman" w:hAnsi="Times New Roman" w:eastAsia="宋体" w:cs="宋体"/>
                      <w:b w:val="0"/>
                      <w:bCs/>
                      <w:kern w:val="2"/>
                      <w:sz w:val="21"/>
                      <w:szCs w:val="24"/>
                      <w:highlight w:val="none"/>
                      <w:lang w:val="en-US" w:eastAsia="zh-CN" w:bidi="ar"/>
                    </w:rPr>
                    <w:t>产生量</w:t>
                  </w:r>
                </w:p>
              </w:tc>
              <w:tc>
                <w:tcPr>
                  <w:tcW w:w="666" w:type="pct"/>
                  <w:tcBorders>
                    <w:tl2br w:val="nil"/>
                    <w:tr2bl w:val="nil"/>
                  </w:tcBorders>
                  <w:shd w:val="clear" w:color="auto" w:fill="auto"/>
                  <w:vAlign w:val="center"/>
                </w:tcPr>
                <w:p w14:paraId="76DAC35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highlight w:val="none"/>
                      <w:lang w:val="en-US"/>
                    </w:rPr>
                  </w:pPr>
                  <w:r>
                    <w:rPr>
                      <w:rFonts w:hint="eastAsia" w:ascii="Times New Roman" w:hAnsi="Times New Roman" w:eastAsia="宋体" w:cs="宋体"/>
                      <w:b w:val="0"/>
                      <w:bCs/>
                      <w:kern w:val="2"/>
                      <w:sz w:val="21"/>
                      <w:szCs w:val="24"/>
                      <w:highlight w:val="none"/>
                      <w:lang w:val="en-US" w:eastAsia="zh-CN" w:bidi="ar"/>
                    </w:rPr>
                    <w:t>化粪池处理后浓度</w:t>
                  </w:r>
                </w:p>
              </w:tc>
              <w:tc>
                <w:tcPr>
                  <w:tcW w:w="785" w:type="pct"/>
                  <w:tcBorders>
                    <w:tl2br w:val="nil"/>
                    <w:tr2bl w:val="nil"/>
                  </w:tcBorders>
                  <w:shd w:val="clear" w:color="auto" w:fill="auto"/>
                  <w:vAlign w:val="center"/>
                </w:tcPr>
                <w:p w14:paraId="0DEAB38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highlight w:val="none"/>
                      <w:lang w:val="en-US"/>
                    </w:rPr>
                  </w:pPr>
                  <w:r>
                    <w:rPr>
                      <w:rFonts w:hint="eastAsia" w:ascii="Times New Roman" w:hAnsi="Times New Roman" w:eastAsia="宋体" w:cs="宋体"/>
                      <w:b w:val="0"/>
                      <w:bCs/>
                      <w:kern w:val="2"/>
                      <w:sz w:val="21"/>
                      <w:szCs w:val="24"/>
                      <w:highlight w:val="none"/>
                      <w:lang w:val="en-US" w:eastAsia="zh-CN" w:bidi="ar"/>
                    </w:rPr>
                    <w:t>化粪池处理后排放量</w:t>
                  </w:r>
                </w:p>
              </w:tc>
              <w:tc>
                <w:tcPr>
                  <w:tcW w:w="908" w:type="pct"/>
                  <w:tcBorders>
                    <w:tl2br w:val="nil"/>
                    <w:tr2bl w:val="nil"/>
                  </w:tcBorders>
                  <w:shd w:val="clear" w:color="auto" w:fill="auto"/>
                  <w:vAlign w:val="center"/>
                </w:tcPr>
                <w:p w14:paraId="0CCEE64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highlight w:val="none"/>
                      <w:lang w:val="en-US"/>
                    </w:rPr>
                  </w:pPr>
                  <w:r>
                    <w:rPr>
                      <w:rFonts w:hint="eastAsia" w:ascii="Times New Roman" w:hAnsi="Times New Roman" w:eastAsia="宋体" w:cs="宋体"/>
                      <w:b w:val="0"/>
                      <w:bCs/>
                      <w:kern w:val="2"/>
                      <w:sz w:val="21"/>
                      <w:szCs w:val="24"/>
                      <w:highlight w:val="none"/>
                      <w:lang w:val="en-US" w:eastAsia="zh-CN" w:bidi="ar"/>
                    </w:rPr>
                    <w:t>污水处理厂处理后排放浓度</w:t>
                  </w:r>
                </w:p>
              </w:tc>
              <w:tc>
                <w:tcPr>
                  <w:tcW w:w="903" w:type="pct"/>
                  <w:tcBorders>
                    <w:tl2br w:val="nil"/>
                    <w:tr2bl w:val="nil"/>
                  </w:tcBorders>
                  <w:shd w:val="clear" w:color="auto" w:fill="auto"/>
                  <w:vAlign w:val="center"/>
                </w:tcPr>
                <w:p w14:paraId="1AE98C0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highlight w:val="none"/>
                      <w:lang w:val="en-US"/>
                    </w:rPr>
                  </w:pPr>
                  <w:r>
                    <w:rPr>
                      <w:rFonts w:hint="eastAsia" w:ascii="Times New Roman" w:hAnsi="Times New Roman" w:eastAsia="宋体" w:cs="宋体"/>
                      <w:b w:val="0"/>
                      <w:bCs/>
                      <w:kern w:val="2"/>
                      <w:sz w:val="21"/>
                      <w:szCs w:val="24"/>
                      <w:highlight w:val="none"/>
                      <w:lang w:val="en-US" w:eastAsia="zh-CN" w:bidi="ar"/>
                    </w:rPr>
                    <w:t>污水处理厂处理后排放量</w:t>
                  </w:r>
                </w:p>
              </w:tc>
            </w:tr>
            <w:tr w14:paraId="1ADA9F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511" w:type="pct"/>
                  <w:tcBorders>
                    <w:tl2br w:val="nil"/>
                    <w:tr2bl w:val="nil"/>
                  </w:tcBorders>
                  <w:shd w:val="clear" w:color="auto" w:fill="auto"/>
                  <w:vAlign w:val="center"/>
                </w:tcPr>
                <w:p w14:paraId="31DCC58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highlight w:val="none"/>
                    </w:rPr>
                  </w:pPr>
                  <w:r>
                    <w:rPr>
                      <w:rFonts w:hint="default" w:ascii="Times New Roman" w:hAnsi="Times New Roman" w:eastAsia="宋体" w:cs="Times New Roman"/>
                      <w:b w:val="0"/>
                      <w:bCs/>
                      <w:kern w:val="2"/>
                      <w:sz w:val="21"/>
                      <w:szCs w:val="24"/>
                      <w:highlight w:val="none"/>
                      <w:lang w:val="en-US" w:eastAsia="zh-CN" w:bidi="ar"/>
                    </w:rPr>
                    <w:t>COD</w:t>
                  </w:r>
                </w:p>
              </w:tc>
              <w:tc>
                <w:tcPr>
                  <w:tcW w:w="558" w:type="pct"/>
                  <w:tcBorders>
                    <w:tl2br w:val="nil"/>
                    <w:tr2bl w:val="nil"/>
                  </w:tcBorders>
                  <w:shd w:val="clear" w:color="auto" w:fill="auto"/>
                  <w:vAlign w:val="center"/>
                </w:tcPr>
                <w:p w14:paraId="0502554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highlight w:val="none"/>
                    </w:rPr>
                  </w:pPr>
                  <w:r>
                    <w:rPr>
                      <w:rFonts w:hint="default" w:ascii="Times New Roman" w:hAnsi="Times New Roman" w:eastAsia="宋体" w:cs="Times New Roman"/>
                      <w:b w:val="0"/>
                      <w:bCs/>
                      <w:kern w:val="2"/>
                      <w:sz w:val="21"/>
                      <w:szCs w:val="24"/>
                      <w:highlight w:val="none"/>
                      <w:lang w:val="en-US" w:eastAsia="zh-CN" w:bidi="ar"/>
                    </w:rPr>
                    <w:t>250</w:t>
                  </w:r>
                </w:p>
              </w:tc>
              <w:tc>
                <w:tcPr>
                  <w:tcW w:w="666" w:type="pct"/>
                  <w:tcBorders>
                    <w:tl2br w:val="nil"/>
                    <w:tr2bl w:val="nil"/>
                  </w:tcBorders>
                  <w:shd w:val="clear" w:color="auto" w:fill="auto"/>
                  <w:vAlign w:val="center"/>
                </w:tcPr>
                <w:p w14:paraId="44D7649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eastAsia="宋体"/>
                      <w:b w:val="0"/>
                      <w:bCs/>
                      <w:highlight w:val="none"/>
                      <w:lang w:val="en-US" w:eastAsia="zh-CN"/>
                    </w:rPr>
                  </w:pPr>
                  <w:r>
                    <w:rPr>
                      <w:rFonts w:hint="eastAsia"/>
                      <w:b w:val="0"/>
                      <w:bCs/>
                      <w:highlight w:val="none"/>
                      <w:lang w:val="en-US" w:eastAsia="zh-CN"/>
                    </w:rPr>
                    <w:t>0.048</w:t>
                  </w:r>
                </w:p>
              </w:tc>
              <w:tc>
                <w:tcPr>
                  <w:tcW w:w="666" w:type="pct"/>
                  <w:tcBorders>
                    <w:tl2br w:val="nil"/>
                    <w:tr2bl w:val="nil"/>
                  </w:tcBorders>
                  <w:shd w:val="clear" w:color="auto" w:fill="auto"/>
                  <w:vAlign w:val="center"/>
                </w:tcPr>
                <w:p w14:paraId="38AC926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highlight w:val="none"/>
                    </w:rPr>
                  </w:pPr>
                  <w:r>
                    <w:rPr>
                      <w:rFonts w:hint="default" w:ascii="Times New Roman" w:hAnsi="Times New Roman" w:eastAsia="宋体" w:cs="Times New Roman"/>
                      <w:b w:val="0"/>
                      <w:bCs/>
                      <w:kern w:val="2"/>
                      <w:sz w:val="21"/>
                      <w:szCs w:val="24"/>
                      <w:highlight w:val="none"/>
                      <w:lang w:val="en-US" w:eastAsia="zh-CN" w:bidi="ar"/>
                    </w:rPr>
                    <w:t>212.5</w:t>
                  </w:r>
                </w:p>
              </w:tc>
              <w:tc>
                <w:tcPr>
                  <w:tcW w:w="785" w:type="pct"/>
                  <w:tcBorders>
                    <w:tl2br w:val="nil"/>
                    <w:tr2bl w:val="nil"/>
                  </w:tcBorders>
                  <w:shd w:val="clear" w:color="auto" w:fill="auto"/>
                  <w:vAlign w:val="center"/>
                </w:tcPr>
                <w:p w14:paraId="65FA2D7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eastAsia="宋体"/>
                      <w:b w:val="0"/>
                      <w:bCs/>
                      <w:highlight w:val="none"/>
                      <w:lang w:val="en-US" w:eastAsia="zh-CN"/>
                    </w:rPr>
                  </w:pPr>
                  <w:r>
                    <w:rPr>
                      <w:rFonts w:hint="eastAsia"/>
                      <w:b w:val="0"/>
                      <w:bCs/>
                      <w:highlight w:val="none"/>
                      <w:lang w:val="en-US" w:eastAsia="zh-CN"/>
                    </w:rPr>
                    <w:t>0.0408</w:t>
                  </w:r>
                </w:p>
              </w:tc>
              <w:tc>
                <w:tcPr>
                  <w:tcW w:w="908" w:type="pct"/>
                  <w:tcBorders>
                    <w:tl2br w:val="nil"/>
                    <w:tr2bl w:val="nil"/>
                  </w:tcBorders>
                  <w:shd w:val="clear" w:color="auto" w:fill="auto"/>
                  <w:vAlign w:val="center"/>
                </w:tcPr>
                <w:p w14:paraId="5D9ACF6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eastAsia="宋体"/>
                      <w:b w:val="0"/>
                      <w:bCs/>
                      <w:highlight w:val="none"/>
                      <w:lang w:val="en-US" w:eastAsia="zh-CN"/>
                    </w:rPr>
                  </w:pPr>
                  <w:r>
                    <w:rPr>
                      <w:rFonts w:hint="eastAsia"/>
                      <w:b w:val="0"/>
                      <w:bCs/>
                      <w:highlight w:val="none"/>
                      <w:lang w:val="en-US" w:eastAsia="zh-CN"/>
                    </w:rPr>
                    <w:t>50</w:t>
                  </w:r>
                </w:p>
              </w:tc>
              <w:tc>
                <w:tcPr>
                  <w:tcW w:w="903" w:type="pct"/>
                  <w:tcBorders>
                    <w:tl2br w:val="nil"/>
                    <w:tr2bl w:val="nil"/>
                  </w:tcBorders>
                  <w:shd w:val="clear" w:color="auto" w:fill="auto"/>
                  <w:vAlign w:val="center"/>
                </w:tcPr>
                <w:p w14:paraId="6A2DD46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eastAsia="宋体"/>
                      <w:b w:val="0"/>
                      <w:bCs/>
                      <w:highlight w:val="none"/>
                      <w:lang w:val="en-US" w:eastAsia="zh-CN"/>
                    </w:rPr>
                  </w:pPr>
                  <w:r>
                    <w:rPr>
                      <w:rFonts w:hint="eastAsia"/>
                      <w:b w:val="0"/>
                      <w:bCs/>
                      <w:highlight w:val="none"/>
                      <w:lang w:val="en-US" w:eastAsia="zh-CN"/>
                    </w:rPr>
                    <w:t>0.0096</w:t>
                  </w:r>
                </w:p>
              </w:tc>
            </w:tr>
            <w:tr w14:paraId="215524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511" w:type="pct"/>
                  <w:tcBorders>
                    <w:tl2br w:val="nil"/>
                    <w:tr2bl w:val="nil"/>
                  </w:tcBorders>
                  <w:shd w:val="clear" w:color="auto" w:fill="auto"/>
                  <w:vAlign w:val="center"/>
                </w:tcPr>
                <w:p w14:paraId="1324662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highlight w:val="none"/>
                      <w:lang w:val="en-US"/>
                    </w:rPr>
                  </w:pPr>
                  <w:r>
                    <w:rPr>
                      <w:rFonts w:hint="default" w:ascii="Times New Roman" w:hAnsi="Times New Roman" w:eastAsia="宋体" w:cs="Times New Roman"/>
                      <w:b w:val="0"/>
                      <w:bCs/>
                      <w:kern w:val="2"/>
                      <w:sz w:val="21"/>
                      <w:szCs w:val="24"/>
                      <w:highlight w:val="none"/>
                      <w:lang w:val="en-US" w:eastAsia="zh-CN" w:bidi="ar"/>
                    </w:rPr>
                    <w:t>BOD</w:t>
                  </w:r>
                  <w:r>
                    <w:rPr>
                      <w:rFonts w:hint="default" w:ascii="Times New Roman" w:hAnsi="Times New Roman" w:eastAsia="宋体" w:cs="Times New Roman"/>
                      <w:b w:val="0"/>
                      <w:bCs/>
                      <w:kern w:val="2"/>
                      <w:sz w:val="21"/>
                      <w:szCs w:val="24"/>
                      <w:highlight w:val="none"/>
                      <w:vertAlign w:val="subscript"/>
                      <w:lang w:val="en-US" w:eastAsia="zh-CN" w:bidi="ar"/>
                    </w:rPr>
                    <w:t>5</w:t>
                  </w:r>
                </w:p>
              </w:tc>
              <w:tc>
                <w:tcPr>
                  <w:tcW w:w="558" w:type="pct"/>
                  <w:tcBorders>
                    <w:tl2br w:val="nil"/>
                    <w:tr2bl w:val="nil"/>
                  </w:tcBorders>
                  <w:shd w:val="clear" w:color="auto" w:fill="auto"/>
                  <w:vAlign w:val="center"/>
                </w:tcPr>
                <w:p w14:paraId="60A2222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highlight w:val="none"/>
                    </w:rPr>
                  </w:pPr>
                  <w:r>
                    <w:rPr>
                      <w:rFonts w:hint="default" w:ascii="Times New Roman" w:hAnsi="Times New Roman" w:eastAsia="宋体" w:cs="Times New Roman"/>
                      <w:b w:val="0"/>
                      <w:bCs/>
                      <w:kern w:val="2"/>
                      <w:sz w:val="21"/>
                      <w:szCs w:val="24"/>
                      <w:highlight w:val="none"/>
                      <w:lang w:val="en-US" w:eastAsia="zh-CN" w:bidi="ar"/>
                    </w:rPr>
                    <w:t>100</w:t>
                  </w:r>
                </w:p>
              </w:tc>
              <w:tc>
                <w:tcPr>
                  <w:tcW w:w="666" w:type="pct"/>
                  <w:tcBorders>
                    <w:tl2br w:val="nil"/>
                    <w:tr2bl w:val="nil"/>
                  </w:tcBorders>
                  <w:shd w:val="clear" w:color="auto" w:fill="auto"/>
                  <w:vAlign w:val="center"/>
                </w:tcPr>
                <w:p w14:paraId="1AD3E23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eastAsia="宋体"/>
                      <w:b w:val="0"/>
                      <w:bCs/>
                      <w:highlight w:val="none"/>
                      <w:lang w:val="en-US" w:eastAsia="zh-CN"/>
                    </w:rPr>
                  </w:pPr>
                  <w:r>
                    <w:rPr>
                      <w:rFonts w:hint="eastAsia"/>
                      <w:b w:val="0"/>
                      <w:bCs/>
                      <w:highlight w:val="none"/>
                      <w:lang w:val="en-US" w:eastAsia="zh-CN"/>
                    </w:rPr>
                    <w:t>0.0192</w:t>
                  </w:r>
                </w:p>
              </w:tc>
              <w:tc>
                <w:tcPr>
                  <w:tcW w:w="666" w:type="pct"/>
                  <w:tcBorders>
                    <w:tl2br w:val="nil"/>
                    <w:tr2bl w:val="nil"/>
                  </w:tcBorders>
                  <w:shd w:val="clear" w:color="auto" w:fill="auto"/>
                  <w:vAlign w:val="center"/>
                </w:tcPr>
                <w:p w14:paraId="02E20BE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highlight w:val="none"/>
                    </w:rPr>
                  </w:pPr>
                  <w:r>
                    <w:rPr>
                      <w:rFonts w:hint="default" w:ascii="Times New Roman" w:hAnsi="Times New Roman" w:eastAsia="宋体" w:cs="Times New Roman"/>
                      <w:b w:val="0"/>
                      <w:bCs/>
                      <w:kern w:val="2"/>
                      <w:sz w:val="21"/>
                      <w:szCs w:val="24"/>
                      <w:highlight w:val="none"/>
                      <w:lang w:val="en-US" w:eastAsia="zh-CN" w:bidi="ar"/>
                    </w:rPr>
                    <w:t>91</w:t>
                  </w:r>
                </w:p>
              </w:tc>
              <w:tc>
                <w:tcPr>
                  <w:tcW w:w="785" w:type="pct"/>
                  <w:tcBorders>
                    <w:tl2br w:val="nil"/>
                    <w:tr2bl w:val="nil"/>
                  </w:tcBorders>
                  <w:shd w:val="clear" w:color="auto" w:fill="auto"/>
                  <w:vAlign w:val="center"/>
                </w:tcPr>
                <w:p w14:paraId="4EB405E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eastAsia="宋体"/>
                      <w:b w:val="0"/>
                      <w:bCs/>
                      <w:highlight w:val="none"/>
                      <w:lang w:val="en-US" w:eastAsia="zh-CN"/>
                    </w:rPr>
                  </w:pPr>
                  <w:r>
                    <w:rPr>
                      <w:rFonts w:hint="eastAsia"/>
                      <w:b w:val="0"/>
                      <w:bCs/>
                      <w:highlight w:val="none"/>
                      <w:lang w:val="en-US" w:eastAsia="zh-CN"/>
                    </w:rPr>
                    <w:t>0.0175</w:t>
                  </w:r>
                </w:p>
              </w:tc>
              <w:tc>
                <w:tcPr>
                  <w:tcW w:w="908" w:type="pct"/>
                  <w:tcBorders>
                    <w:tl2br w:val="nil"/>
                    <w:tr2bl w:val="nil"/>
                  </w:tcBorders>
                  <w:shd w:val="clear" w:color="auto" w:fill="auto"/>
                  <w:vAlign w:val="center"/>
                </w:tcPr>
                <w:p w14:paraId="433FBE7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eastAsia="宋体"/>
                      <w:b w:val="0"/>
                      <w:bCs/>
                      <w:highlight w:val="none"/>
                      <w:lang w:val="en-US" w:eastAsia="zh-CN"/>
                    </w:rPr>
                  </w:pPr>
                  <w:r>
                    <w:rPr>
                      <w:rFonts w:hint="eastAsia"/>
                      <w:b w:val="0"/>
                      <w:bCs/>
                      <w:highlight w:val="none"/>
                      <w:lang w:val="en-US" w:eastAsia="zh-CN"/>
                    </w:rPr>
                    <w:t>10</w:t>
                  </w:r>
                </w:p>
              </w:tc>
              <w:tc>
                <w:tcPr>
                  <w:tcW w:w="903" w:type="pct"/>
                  <w:tcBorders>
                    <w:tl2br w:val="nil"/>
                    <w:tr2bl w:val="nil"/>
                  </w:tcBorders>
                  <w:shd w:val="clear" w:color="auto" w:fill="auto"/>
                  <w:vAlign w:val="center"/>
                </w:tcPr>
                <w:p w14:paraId="67CBF02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eastAsia="宋体"/>
                      <w:b w:val="0"/>
                      <w:bCs/>
                      <w:highlight w:val="none"/>
                      <w:lang w:val="en-US" w:eastAsia="zh-CN"/>
                    </w:rPr>
                  </w:pPr>
                  <w:r>
                    <w:rPr>
                      <w:rFonts w:hint="eastAsia"/>
                      <w:b w:val="0"/>
                      <w:bCs/>
                      <w:highlight w:val="none"/>
                      <w:lang w:val="en-US" w:eastAsia="zh-CN"/>
                    </w:rPr>
                    <w:t>0.0019</w:t>
                  </w:r>
                </w:p>
              </w:tc>
            </w:tr>
            <w:tr w14:paraId="6601E4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511" w:type="pct"/>
                  <w:tcBorders>
                    <w:tl2br w:val="nil"/>
                    <w:tr2bl w:val="nil"/>
                  </w:tcBorders>
                  <w:shd w:val="clear" w:color="auto" w:fill="auto"/>
                  <w:vAlign w:val="center"/>
                </w:tcPr>
                <w:p w14:paraId="5092F54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highlight w:val="none"/>
                    </w:rPr>
                  </w:pPr>
                  <w:r>
                    <w:rPr>
                      <w:rFonts w:hint="default" w:ascii="Times New Roman" w:hAnsi="Times New Roman" w:eastAsia="宋体" w:cs="Times New Roman"/>
                      <w:b w:val="0"/>
                      <w:bCs/>
                      <w:kern w:val="2"/>
                      <w:sz w:val="21"/>
                      <w:szCs w:val="24"/>
                      <w:highlight w:val="none"/>
                      <w:lang w:val="en-US" w:eastAsia="zh-CN" w:bidi="ar"/>
                    </w:rPr>
                    <w:t>NH</w:t>
                  </w:r>
                  <w:r>
                    <w:rPr>
                      <w:rFonts w:hint="default" w:ascii="Times New Roman" w:hAnsi="Times New Roman" w:eastAsia="宋体" w:cs="Times New Roman"/>
                      <w:b w:val="0"/>
                      <w:bCs/>
                      <w:kern w:val="2"/>
                      <w:sz w:val="21"/>
                      <w:szCs w:val="24"/>
                      <w:highlight w:val="none"/>
                      <w:vertAlign w:val="subscript"/>
                      <w:lang w:val="en-US" w:eastAsia="zh-CN" w:bidi="ar"/>
                    </w:rPr>
                    <w:t>3</w:t>
                  </w:r>
                  <w:r>
                    <w:rPr>
                      <w:rFonts w:hint="default" w:ascii="Times New Roman" w:hAnsi="Times New Roman" w:eastAsia="宋体" w:cs="Times New Roman"/>
                      <w:b w:val="0"/>
                      <w:bCs/>
                      <w:kern w:val="2"/>
                      <w:sz w:val="21"/>
                      <w:szCs w:val="24"/>
                      <w:highlight w:val="none"/>
                      <w:lang w:val="en-US" w:eastAsia="zh-CN" w:bidi="ar"/>
                    </w:rPr>
                    <w:t>-N</w:t>
                  </w:r>
                </w:p>
              </w:tc>
              <w:tc>
                <w:tcPr>
                  <w:tcW w:w="558" w:type="pct"/>
                  <w:tcBorders>
                    <w:tl2br w:val="nil"/>
                    <w:tr2bl w:val="nil"/>
                  </w:tcBorders>
                  <w:shd w:val="clear" w:color="auto" w:fill="auto"/>
                  <w:vAlign w:val="center"/>
                </w:tcPr>
                <w:p w14:paraId="76F00EB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highlight w:val="none"/>
                    </w:rPr>
                  </w:pPr>
                  <w:r>
                    <w:rPr>
                      <w:rFonts w:hint="default" w:ascii="Times New Roman" w:hAnsi="Times New Roman" w:eastAsia="宋体" w:cs="Times New Roman"/>
                      <w:b w:val="0"/>
                      <w:bCs/>
                      <w:kern w:val="2"/>
                      <w:sz w:val="21"/>
                      <w:szCs w:val="24"/>
                      <w:highlight w:val="none"/>
                      <w:lang w:val="en-US" w:eastAsia="zh-CN" w:bidi="ar"/>
                    </w:rPr>
                    <w:t>20</w:t>
                  </w:r>
                </w:p>
              </w:tc>
              <w:tc>
                <w:tcPr>
                  <w:tcW w:w="666" w:type="pct"/>
                  <w:tcBorders>
                    <w:tl2br w:val="nil"/>
                    <w:tr2bl w:val="nil"/>
                  </w:tcBorders>
                  <w:shd w:val="clear" w:color="auto" w:fill="auto"/>
                  <w:vAlign w:val="center"/>
                </w:tcPr>
                <w:p w14:paraId="6890271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eastAsia="宋体"/>
                      <w:b w:val="0"/>
                      <w:bCs/>
                      <w:highlight w:val="none"/>
                      <w:lang w:val="en-US" w:eastAsia="zh-CN"/>
                    </w:rPr>
                  </w:pPr>
                  <w:r>
                    <w:rPr>
                      <w:rFonts w:hint="eastAsia"/>
                      <w:b w:val="0"/>
                      <w:bCs/>
                      <w:highlight w:val="none"/>
                      <w:lang w:val="en-US" w:eastAsia="zh-CN"/>
                    </w:rPr>
                    <w:t>0.0038</w:t>
                  </w:r>
                </w:p>
              </w:tc>
              <w:tc>
                <w:tcPr>
                  <w:tcW w:w="666" w:type="pct"/>
                  <w:tcBorders>
                    <w:tl2br w:val="nil"/>
                    <w:tr2bl w:val="nil"/>
                  </w:tcBorders>
                  <w:shd w:val="clear" w:color="auto" w:fill="auto"/>
                  <w:vAlign w:val="center"/>
                </w:tcPr>
                <w:p w14:paraId="6287A0F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highlight w:val="none"/>
                    </w:rPr>
                  </w:pPr>
                  <w:r>
                    <w:rPr>
                      <w:rFonts w:hint="default" w:ascii="Times New Roman" w:hAnsi="Times New Roman" w:eastAsia="宋体" w:cs="Times New Roman"/>
                      <w:b w:val="0"/>
                      <w:bCs/>
                      <w:kern w:val="2"/>
                      <w:sz w:val="21"/>
                      <w:szCs w:val="24"/>
                      <w:highlight w:val="none"/>
                      <w:lang w:val="en-US" w:eastAsia="zh-CN" w:bidi="ar"/>
                    </w:rPr>
                    <w:t>19.4</w:t>
                  </w:r>
                </w:p>
              </w:tc>
              <w:tc>
                <w:tcPr>
                  <w:tcW w:w="785" w:type="pct"/>
                  <w:tcBorders>
                    <w:tl2br w:val="nil"/>
                    <w:tr2bl w:val="nil"/>
                  </w:tcBorders>
                  <w:shd w:val="clear" w:color="auto" w:fill="auto"/>
                  <w:vAlign w:val="center"/>
                </w:tcPr>
                <w:p w14:paraId="0FB0F15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eastAsia="宋体"/>
                      <w:b w:val="0"/>
                      <w:bCs/>
                      <w:highlight w:val="none"/>
                      <w:lang w:val="en-US" w:eastAsia="zh-CN"/>
                    </w:rPr>
                  </w:pPr>
                  <w:r>
                    <w:rPr>
                      <w:rFonts w:hint="eastAsia"/>
                      <w:b w:val="0"/>
                      <w:bCs/>
                      <w:highlight w:val="none"/>
                      <w:lang w:val="en-US" w:eastAsia="zh-CN"/>
                    </w:rPr>
                    <w:t>0.0037</w:t>
                  </w:r>
                </w:p>
              </w:tc>
              <w:tc>
                <w:tcPr>
                  <w:tcW w:w="908" w:type="pct"/>
                  <w:tcBorders>
                    <w:tl2br w:val="nil"/>
                    <w:tr2bl w:val="nil"/>
                  </w:tcBorders>
                  <w:shd w:val="clear" w:color="auto" w:fill="auto"/>
                  <w:vAlign w:val="center"/>
                </w:tcPr>
                <w:p w14:paraId="73AB412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eastAsia="宋体"/>
                      <w:b w:val="0"/>
                      <w:bCs/>
                      <w:highlight w:val="none"/>
                      <w:lang w:val="en-US" w:eastAsia="zh-CN"/>
                    </w:rPr>
                  </w:pPr>
                  <w:r>
                    <w:rPr>
                      <w:rFonts w:hint="eastAsia"/>
                      <w:b w:val="0"/>
                      <w:bCs/>
                      <w:highlight w:val="none"/>
                      <w:lang w:val="en-US" w:eastAsia="zh-CN"/>
                    </w:rPr>
                    <w:t>5</w:t>
                  </w:r>
                </w:p>
              </w:tc>
              <w:tc>
                <w:tcPr>
                  <w:tcW w:w="903" w:type="pct"/>
                  <w:tcBorders>
                    <w:tl2br w:val="nil"/>
                    <w:tr2bl w:val="nil"/>
                  </w:tcBorders>
                  <w:shd w:val="clear" w:color="auto" w:fill="auto"/>
                  <w:vAlign w:val="center"/>
                </w:tcPr>
                <w:p w14:paraId="76ED15C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eastAsia="宋体"/>
                      <w:b w:val="0"/>
                      <w:bCs/>
                      <w:highlight w:val="none"/>
                      <w:lang w:val="en-US" w:eastAsia="zh-CN"/>
                    </w:rPr>
                  </w:pPr>
                  <w:r>
                    <w:rPr>
                      <w:rFonts w:hint="eastAsia"/>
                      <w:b w:val="0"/>
                      <w:bCs/>
                      <w:highlight w:val="none"/>
                      <w:lang w:val="en-US" w:eastAsia="zh-CN"/>
                    </w:rPr>
                    <w:t>0.001</w:t>
                  </w:r>
                </w:p>
              </w:tc>
            </w:tr>
            <w:tr w14:paraId="7C3D3F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511" w:type="pct"/>
                  <w:tcBorders>
                    <w:tl2br w:val="nil"/>
                    <w:tr2bl w:val="nil"/>
                  </w:tcBorders>
                  <w:shd w:val="clear" w:color="auto" w:fill="auto"/>
                  <w:vAlign w:val="center"/>
                </w:tcPr>
                <w:p w14:paraId="75B081A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highlight w:val="none"/>
                    </w:rPr>
                  </w:pPr>
                  <w:r>
                    <w:rPr>
                      <w:rFonts w:hint="default" w:ascii="Times New Roman" w:hAnsi="Times New Roman" w:eastAsia="宋体" w:cs="Times New Roman"/>
                      <w:b w:val="0"/>
                      <w:bCs/>
                      <w:kern w:val="2"/>
                      <w:sz w:val="21"/>
                      <w:szCs w:val="24"/>
                      <w:highlight w:val="none"/>
                      <w:lang w:val="en-US" w:eastAsia="zh-CN" w:bidi="ar"/>
                    </w:rPr>
                    <w:t>SS</w:t>
                  </w:r>
                </w:p>
              </w:tc>
              <w:tc>
                <w:tcPr>
                  <w:tcW w:w="558" w:type="pct"/>
                  <w:tcBorders>
                    <w:tl2br w:val="nil"/>
                    <w:tr2bl w:val="nil"/>
                  </w:tcBorders>
                  <w:shd w:val="clear" w:color="auto" w:fill="auto"/>
                  <w:vAlign w:val="center"/>
                </w:tcPr>
                <w:p w14:paraId="4D6A509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highlight w:val="none"/>
                    </w:rPr>
                  </w:pPr>
                  <w:r>
                    <w:rPr>
                      <w:rFonts w:hint="default" w:ascii="Times New Roman" w:hAnsi="Times New Roman" w:eastAsia="宋体" w:cs="Times New Roman"/>
                      <w:b w:val="0"/>
                      <w:bCs/>
                      <w:kern w:val="2"/>
                      <w:sz w:val="21"/>
                      <w:szCs w:val="24"/>
                      <w:highlight w:val="none"/>
                      <w:lang w:val="en-US" w:eastAsia="zh-CN" w:bidi="ar"/>
                    </w:rPr>
                    <w:t>200</w:t>
                  </w:r>
                </w:p>
              </w:tc>
              <w:tc>
                <w:tcPr>
                  <w:tcW w:w="666" w:type="pct"/>
                  <w:tcBorders>
                    <w:tl2br w:val="nil"/>
                    <w:tr2bl w:val="nil"/>
                  </w:tcBorders>
                  <w:shd w:val="clear" w:color="auto" w:fill="auto"/>
                  <w:vAlign w:val="center"/>
                </w:tcPr>
                <w:p w14:paraId="5B752D4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eastAsia="宋体"/>
                      <w:b w:val="0"/>
                      <w:bCs/>
                      <w:highlight w:val="none"/>
                      <w:lang w:val="en-US" w:eastAsia="zh-CN"/>
                    </w:rPr>
                  </w:pPr>
                  <w:r>
                    <w:rPr>
                      <w:rFonts w:hint="eastAsia"/>
                      <w:b w:val="0"/>
                      <w:bCs/>
                      <w:highlight w:val="none"/>
                      <w:lang w:val="en-US" w:eastAsia="zh-CN"/>
                    </w:rPr>
                    <w:t>0.0384</w:t>
                  </w:r>
                </w:p>
              </w:tc>
              <w:tc>
                <w:tcPr>
                  <w:tcW w:w="666" w:type="pct"/>
                  <w:tcBorders>
                    <w:tl2br w:val="nil"/>
                    <w:tr2bl w:val="nil"/>
                  </w:tcBorders>
                  <w:shd w:val="clear" w:color="auto" w:fill="auto"/>
                  <w:vAlign w:val="center"/>
                </w:tcPr>
                <w:p w14:paraId="48F5413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highlight w:val="none"/>
                    </w:rPr>
                  </w:pPr>
                  <w:r>
                    <w:rPr>
                      <w:rFonts w:hint="default" w:ascii="Times New Roman" w:hAnsi="Times New Roman" w:eastAsia="宋体" w:cs="Times New Roman"/>
                      <w:b w:val="0"/>
                      <w:bCs/>
                      <w:kern w:val="2"/>
                      <w:sz w:val="21"/>
                      <w:szCs w:val="24"/>
                      <w:highlight w:val="none"/>
                      <w:lang w:val="en-US" w:eastAsia="zh-CN" w:bidi="ar"/>
                    </w:rPr>
                    <w:t>140</w:t>
                  </w:r>
                </w:p>
              </w:tc>
              <w:tc>
                <w:tcPr>
                  <w:tcW w:w="785" w:type="pct"/>
                  <w:tcBorders>
                    <w:tl2br w:val="nil"/>
                    <w:tr2bl w:val="nil"/>
                  </w:tcBorders>
                  <w:shd w:val="clear" w:color="auto" w:fill="auto"/>
                  <w:vAlign w:val="center"/>
                </w:tcPr>
                <w:p w14:paraId="10C2F39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eastAsia="宋体"/>
                      <w:b w:val="0"/>
                      <w:bCs/>
                      <w:highlight w:val="none"/>
                      <w:lang w:val="en-US" w:eastAsia="zh-CN"/>
                    </w:rPr>
                  </w:pPr>
                  <w:r>
                    <w:rPr>
                      <w:rFonts w:hint="eastAsia"/>
                      <w:b w:val="0"/>
                      <w:bCs/>
                      <w:highlight w:val="none"/>
                      <w:lang w:val="en-US" w:eastAsia="zh-CN"/>
                    </w:rPr>
                    <w:t>0.0269</w:t>
                  </w:r>
                </w:p>
              </w:tc>
              <w:tc>
                <w:tcPr>
                  <w:tcW w:w="908" w:type="pct"/>
                  <w:tcBorders>
                    <w:tl2br w:val="nil"/>
                    <w:tr2bl w:val="nil"/>
                  </w:tcBorders>
                  <w:shd w:val="clear" w:color="auto" w:fill="auto"/>
                  <w:vAlign w:val="center"/>
                </w:tcPr>
                <w:p w14:paraId="0A8092F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eastAsia="宋体"/>
                      <w:b w:val="0"/>
                      <w:bCs/>
                      <w:highlight w:val="none"/>
                      <w:lang w:val="en-US" w:eastAsia="zh-CN"/>
                    </w:rPr>
                  </w:pPr>
                  <w:r>
                    <w:rPr>
                      <w:rFonts w:hint="eastAsia"/>
                      <w:b w:val="0"/>
                      <w:bCs/>
                      <w:highlight w:val="none"/>
                      <w:lang w:val="en-US" w:eastAsia="zh-CN"/>
                    </w:rPr>
                    <w:t>10</w:t>
                  </w:r>
                </w:p>
              </w:tc>
              <w:tc>
                <w:tcPr>
                  <w:tcW w:w="903" w:type="pct"/>
                  <w:tcBorders>
                    <w:tl2br w:val="nil"/>
                    <w:tr2bl w:val="nil"/>
                  </w:tcBorders>
                  <w:shd w:val="clear" w:color="auto" w:fill="auto"/>
                  <w:vAlign w:val="center"/>
                </w:tcPr>
                <w:p w14:paraId="62B4058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eastAsia="宋体"/>
                      <w:b w:val="0"/>
                      <w:bCs/>
                      <w:highlight w:val="none"/>
                      <w:lang w:val="en-US" w:eastAsia="zh-CN"/>
                    </w:rPr>
                  </w:pPr>
                  <w:r>
                    <w:rPr>
                      <w:rFonts w:hint="eastAsia"/>
                      <w:b w:val="0"/>
                      <w:bCs/>
                      <w:highlight w:val="none"/>
                      <w:lang w:val="en-US" w:eastAsia="zh-CN"/>
                    </w:rPr>
                    <w:t>0.0019</w:t>
                  </w:r>
                </w:p>
              </w:tc>
            </w:tr>
            <w:tr w14:paraId="12D5C6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511" w:type="pct"/>
                  <w:tcBorders>
                    <w:tl2br w:val="nil"/>
                    <w:tr2bl w:val="nil"/>
                  </w:tcBorders>
                  <w:shd w:val="clear" w:color="auto" w:fill="auto"/>
                  <w:vAlign w:val="center"/>
                </w:tcPr>
                <w:p w14:paraId="716D467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宋体" w:cs="Times New Roman"/>
                      <w:b w:val="0"/>
                      <w:bCs/>
                      <w:kern w:val="2"/>
                      <w:sz w:val="21"/>
                      <w:szCs w:val="24"/>
                      <w:highlight w:val="none"/>
                      <w:lang w:val="en-US" w:eastAsia="zh-CN" w:bidi="ar"/>
                    </w:rPr>
                  </w:pPr>
                  <w:r>
                    <w:rPr>
                      <w:rFonts w:hint="eastAsia" w:cs="Times New Roman"/>
                      <w:b w:val="0"/>
                      <w:bCs/>
                      <w:kern w:val="2"/>
                      <w:sz w:val="21"/>
                      <w:szCs w:val="24"/>
                      <w:highlight w:val="none"/>
                      <w:lang w:val="en-US" w:eastAsia="zh-CN" w:bidi="ar"/>
                    </w:rPr>
                    <w:t>总磷</w:t>
                  </w:r>
                </w:p>
              </w:tc>
              <w:tc>
                <w:tcPr>
                  <w:tcW w:w="558" w:type="pct"/>
                  <w:tcBorders>
                    <w:tl2br w:val="nil"/>
                    <w:tr2bl w:val="nil"/>
                  </w:tcBorders>
                  <w:shd w:val="clear" w:color="auto" w:fill="auto"/>
                  <w:vAlign w:val="center"/>
                </w:tcPr>
                <w:p w14:paraId="429D299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宋体" w:cs="Times New Roman"/>
                      <w:b w:val="0"/>
                      <w:bCs/>
                      <w:kern w:val="2"/>
                      <w:sz w:val="21"/>
                      <w:szCs w:val="24"/>
                      <w:highlight w:val="none"/>
                      <w:lang w:val="en-US" w:eastAsia="zh-CN" w:bidi="ar"/>
                    </w:rPr>
                  </w:pPr>
                  <w:r>
                    <w:rPr>
                      <w:rFonts w:hint="eastAsia" w:cs="Times New Roman"/>
                      <w:b w:val="0"/>
                      <w:bCs/>
                      <w:kern w:val="2"/>
                      <w:sz w:val="21"/>
                      <w:szCs w:val="24"/>
                      <w:highlight w:val="none"/>
                      <w:lang w:val="en-US" w:eastAsia="zh-CN" w:bidi="ar"/>
                    </w:rPr>
                    <w:t>2.5</w:t>
                  </w:r>
                </w:p>
              </w:tc>
              <w:tc>
                <w:tcPr>
                  <w:tcW w:w="666" w:type="pct"/>
                  <w:tcBorders>
                    <w:tl2br w:val="nil"/>
                    <w:tr2bl w:val="nil"/>
                  </w:tcBorders>
                  <w:shd w:val="clear" w:color="auto" w:fill="auto"/>
                  <w:vAlign w:val="center"/>
                </w:tcPr>
                <w:p w14:paraId="332DBD8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highlight w:val="none"/>
                      <w:lang w:val="en-US" w:eastAsia="zh-CN"/>
                    </w:rPr>
                  </w:pPr>
                  <w:r>
                    <w:rPr>
                      <w:rFonts w:hint="eastAsia"/>
                      <w:b w:val="0"/>
                      <w:bCs/>
                      <w:highlight w:val="none"/>
                      <w:lang w:val="en-US" w:eastAsia="zh-CN"/>
                    </w:rPr>
                    <w:t>0.0005</w:t>
                  </w:r>
                </w:p>
              </w:tc>
              <w:tc>
                <w:tcPr>
                  <w:tcW w:w="666" w:type="pct"/>
                  <w:tcBorders>
                    <w:tl2br w:val="nil"/>
                    <w:tr2bl w:val="nil"/>
                  </w:tcBorders>
                  <w:shd w:val="clear" w:color="auto" w:fill="auto"/>
                  <w:vAlign w:val="center"/>
                </w:tcPr>
                <w:p w14:paraId="2502337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宋体" w:cs="Times New Roman"/>
                      <w:b w:val="0"/>
                      <w:bCs/>
                      <w:kern w:val="2"/>
                      <w:sz w:val="21"/>
                      <w:szCs w:val="24"/>
                      <w:highlight w:val="none"/>
                      <w:lang w:val="en-US" w:eastAsia="zh-CN" w:bidi="ar"/>
                    </w:rPr>
                  </w:pPr>
                  <w:r>
                    <w:rPr>
                      <w:rFonts w:hint="eastAsia" w:cs="Times New Roman"/>
                      <w:b w:val="0"/>
                      <w:bCs/>
                      <w:kern w:val="2"/>
                      <w:sz w:val="21"/>
                      <w:szCs w:val="24"/>
                      <w:highlight w:val="none"/>
                      <w:lang w:val="en-US" w:eastAsia="zh-CN" w:bidi="ar"/>
                    </w:rPr>
                    <w:t>2.5</w:t>
                  </w:r>
                </w:p>
              </w:tc>
              <w:tc>
                <w:tcPr>
                  <w:tcW w:w="1285" w:type="dxa"/>
                  <w:tcBorders>
                    <w:tl2br w:val="nil"/>
                    <w:tr2bl w:val="nil"/>
                  </w:tcBorders>
                  <w:shd w:val="clear" w:color="auto" w:fill="auto"/>
                  <w:vAlign w:val="center"/>
                </w:tcPr>
                <w:p w14:paraId="723A53C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eastAsia"/>
                      <w:b w:val="0"/>
                      <w:bCs/>
                      <w:highlight w:val="none"/>
                      <w:lang w:val="en-US" w:eastAsia="zh-CN"/>
                    </w:rPr>
                  </w:pPr>
                  <w:r>
                    <w:rPr>
                      <w:rFonts w:hint="eastAsia"/>
                      <w:b w:val="0"/>
                      <w:bCs/>
                      <w:highlight w:val="none"/>
                      <w:lang w:val="en-US" w:eastAsia="zh-CN"/>
                    </w:rPr>
                    <w:t>0.0005</w:t>
                  </w:r>
                </w:p>
              </w:tc>
              <w:tc>
                <w:tcPr>
                  <w:tcW w:w="908" w:type="pct"/>
                  <w:tcBorders>
                    <w:tl2br w:val="nil"/>
                    <w:tr2bl w:val="nil"/>
                  </w:tcBorders>
                  <w:shd w:val="clear" w:color="auto" w:fill="auto"/>
                  <w:vAlign w:val="center"/>
                </w:tcPr>
                <w:p w14:paraId="04E309C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highlight w:val="none"/>
                      <w:lang w:val="en-US" w:eastAsia="zh-CN"/>
                    </w:rPr>
                  </w:pPr>
                  <w:r>
                    <w:rPr>
                      <w:rFonts w:hint="eastAsia"/>
                      <w:b w:val="0"/>
                      <w:bCs/>
                      <w:highlight w:val="none"/>
                      <w:lang w:val="en-US" w:eastAsia="zh-CN"/>
                    </w:rPr>
                    <w:t>0.5</w:t>
                  </w:r>
                </w:p>
              </w:tc>
              <w:tc>
                <w:tcPr>
                  <w:tcW w:w="903" w:type="pct"/>
                  <w:tcBorders>
                    <w:tl2br w:val="nil"/>
                    <w:tr2bl w:val="nil"/>
                  </w:tcBorders>
                  <w:shd w:val="clear" w:color="auto" w:fill="auto"/>
                  <w:vAlign w:val="center"/>
                </w:tcPr>
                <w:p w14:paraId="66881FB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highlight w:val="none"/>
                      <w:lang w:val="en-US" w:eastAsia="zh-CN"/>
                    </w:rPr>
                  </w:pPr>
                  <w:r>
                    <w:rPr>
                      <w:rFonts w:hint="eastAsia"/>
                      <w:b w:val="0"/>
                      <w:bCs/>
                      <w:highlight w:val="none"/>
                      <w:lang w:val="en-US" w:eastAsia="zh-CN"/>
                    </w:rPr>
                    <w:t>0.0001</w:t>
                  </w:r>
                </w:p>
              </w:tc>
            </w:tr>
            <w:tr w14:paraId="698257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511" w:type="pct"/>
                  <w:tcBorders>
                    <w:tl2br w:val="nil"/>
                    <w:tr2bl w:val="nil"/>
                  </w:tcBorders>
                  <w:shd w:val="clear" w:color="auto" w:fill="auto"/>
                  <w:vAlign w:val="center"/>
                </w:tcPr>
                <w:p w14:paraId="622C416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宋体" w:cs="Times New Roman"/>
                      <w:b w:val="0"/>
                      <w:bCs/>
                      <w:kern w:val="2"/>
                      <w:sz w:val="21"/>
                      <w:szCs w:val="24"/>
                      <w:highlight w:val="none"/>
                      <w:lang w:val="en-US" w:eastAsia="zh-CN" w:bidi="ar"/>
                    </w:rPr>
                  </w:pPr>
                  <w:r>
                    <w:rPr>
                      <w:rFonts w:hint="eastAsia" w:cs="Times New Roman"/>
                      <w:b w:val="0"/>
                      <w:bCs/>
                      <w:kern w:val="2"/>
                      <w:sz w:val="21"/>
                      <w:szCs w:val="24"/>
                      <w:highlight w:val="none"/>
                      <w:lang w:val="en-US" w:eastAsia="zh-CN" w:bidi="ar"/>
                    </w:rPr>
                    <w:t>总氮</w:t>
                  </w:r>
                </w:p>
              </w:tc>
              <w:tc>
                <w:tcPr>
                  <w:tcW w:w="558" w:type="pct"/>
                  <w:tcBorders>
                    <w:tl2br w:val="nil"/>
                    <w:tr2bl w:val="nil"/>
                  </w:tcBorders>
                  <w:shd w:val="clear" w:color="auto" w:fill="auto"/>
                  <w:vAlign w:val="center"/>
                </w:tcPr>
                <w:p w14:paraId="6AC0C28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宋体" w:cs="Times New Roman"/>
                      <w:b w:val="0"/>
                      <w:bCs/>
                      <w:kern w:val="2"/>
                      <w:sz w:val="21"/>
                      <w:szCs w:val="24"/>
                      <w:highlight w:val="none"/>
                      <w:lang w:val="en-US" w:eastAsia="zh-CN" w:bidi="ar"/>
                    </w:rPr>
                  </w:pPr>
                  <w:r>
                    <w:rPr>
                      <w:rFonts w:hint="eastAsia" w:cs="Times New Roman"/>
                      <w:b w:val="0"/>
                      <w:bCs/>
                      <w:kern w:val="2"/>
                      <w:sz w:val="21"/>
                      <w:szCs w:val="24"/>
                      <w:highlight w:val="none"/>
                      <w:lang w:val="en-US" w:eastAsia="zh-CN" w:bidi="ar"/>
                    </w:rPr>
                    <w:t>30</w:t>
                  </w:r>
                </w:p>
              </w:tc>
              <w:tc>
                <w:tcPr>
                  <w:tcW w:w="666" w:type="pct"/>
                  <w:tcBorders>
                    <w:tl2br w:val="nil"/>
                    <w:tr2bl w:val="nil"/>
                  </w:tcBorders>
                  <w:shd w:val="clear" w:color="auto" w:fill="auto"/>
                  <w:vAlign w:val="center"/>
                </w:tcPr>
                <w:p w14:paraId="49612CD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highlight w:val="none"/>
                      <w:lang w:val="en-US" w:eastAsia="zh-CN"/>
                    </w:rPr>
                  </w:pPr>
                  <w:r>
                    <w:rPr>
                      <w:rFonts w:hint="eastAsia"/>
                      <w:b w:val="0"/>
                      <w:bCs/>
                      <w:highlight w:val="none"/>
                      <w:lang w:val="en-US" w:eastAsia="zh-CN"/>
                    </w:rPr>
                    <w:t>0.0058</w:t>
                  </w:r>
                </w:p>
              </w:tc>
              <w:tc>
                <w:tcPr>
                  <w:tcW w:w="666" w:type="pct"/>
                  <w:tcBorders>
                    <w:tl2br w:val="nil"/>
                    <w:tr2bl w:val="nil"/>
                  </w:tcBorders>
                  <w:shd w:val="clear" w:color="auto" w:fill="auto"/>
                  <w:vAlign w:val="center"/>
                </w:tcPr>
                <w:p w14:paraId="29F9CCA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宋体" w:cs="Times New Roman"/>
                      <w:b w:val="0"/>
                      <w:bCs/>
                      <w:kern w:val="2"/>
                      <w:sz w:val="21"/>
                      <w:szCs w:val="24"/>
                      <w:highlight w:val="none"/>
                      <w:lang w:val="en-US" w:eastAsia="zh-CN" w:bidi="ar"/>
                    </w:rPr>
                  </w:pPr>
                  <w:r>
                    <w:rPr>
                      <w:rFonts w:hint="eastAsia" w:cs="Times New Roman"/>
                      <w:b w:val="0"/>
                      <w:bCs/>
                      <w:kern w:val="2"/>
                      <w:sz w:val="21"/>
                      <w:szCs w:val="24"/>
                      <w:highlight w:val="none"/>
                      <w:lang w:val="en-US" w:eastAsia="zh-CN" w:bidi="ar"/>
                    </w:rPr>
                    <w:t>30</w:t>
                  </w:r>
                </w:p>
              </w:tc>
              <w:tc>
                <w:tcPr>
                  <w:tcW w:w="1285" w:type="dxa"/>
                  <w:tcBorders>
                    <w:tl2br w:val="nil"/>
                    <w:tr2bl w:val="nil"/>
                  </w:tcBorders>
                  <w:shd w:val="clear" w:color="auto" w:fill="auto"/>
                  <w:vAlign w:val="center"/>
                </w:tcPr>
                <w:p w14:paraId="1E5A52E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eastAsia"/>
                      <w:b w:val="0"/>
                      <w:bCs/>
                      <w:highlight w:val="none"/>
                      <w:lang w:val="en-US" w:eastAsia="zh-CN"/>
                    </w:rPr>
                  </w:pPr>
                  <w:r>
                    <w:rPr>
                      <w:rFonts w:hint="eastAsia"/>
                      <w:b w:val="0"/>
                      <w:bCs/>
                      <w:highlight w:val="none"/>
                      <w:lang w:val="en-US" w:eastAsia="zh-CN"/>
                    </w:rPr>
                    <w:t>0.0058</w:t>
                  </w:r>
                </w:p>
              </w:tc>
              <w:tc>
                <w:tcPr>
                  <w:tcW w:w="908" w:type="pct"/>
                  <w:tcBorders>
                    <w:tl2br w:val="nil"/>
                    <w:tr2bl w:val="nil"/>
                  </w:tcBorders>
                  <w:shd w:val="clear" w:color="auto" w:fill="auto"/>
                  <w:vAlign w:val="center"/>
                </w:tcPr>
                <w:p w14:paraId="1EC0FAB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highlight w:val="none"/>
                      <w:lang w:val="en-US" w:eastAsia="zh-CN"/>
                    </w:rPr>
                  </w:pPr>
                  <w:r>
                    <w:rPr>
                      <w:rFonts w:hint="eastAsia"/>
                      <w:b w:val="0"/>
                      <w:bCs/>
                      <w:highlight w:val="none"/>
                      <w:lang w:val="en-US" w:eastAsia="zh-CN"/>
                    </w:rPr>
                    <w:t>15</w:t>
                  </w:r>
                </w:p>
              </w:tc>
              <w:tc>
                <w:tcPr>
                  <w:tcW w:w="903" w:type="pct"/>
                  <w:tcBorders>
                    <w:tl2br w:val="nil"/>
                    <w:tr2bl w:val="nil"/>
                  </w:tcBorders>
                  <w:shd w:val="clear" w:color="auto" w:fill="auto"/>
                  <w:vAlign w:val="center"/>
                </w:tcPr>
                <w:p w14:paraId="25BEA16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highlight w:val="none"/>
                      <w:lang w:val="en-US" w:eastAsia="zh-CN"/>
                    </w:rPr>
                  </w:pPr>
                  <w:r>
                    <w:rPr>
                      <w:rFonts w:hint="eastAsia"/>
                      <w:b w:val="0"/>
                      <w:bCs/>
                      <w:highlight w:val="none"/>
                      <w:lang w:val="en-US" w:eastAsia="zh-CN"/>
                    </w:rPr>
                    <w:t>0.0029</w:t>
                  </w:r>
                </w:p>
              </w:tc>
            </w:tr>
            <w:tr w14:paraId="38BF42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5000" w:type="pct"/>
                  <w:gridSpan w:val="7"/>
                  <w:tcBorders>
                    <w:tl2br w:val="nil"/>
                    <w:tr2bl w:val="nil"/>
                  </w:tcBorders>
                  <w:shd w:val="clear" w:color="auto" w:fill="auto"/>
                  <w:vAlign w:val="center"/>
                </w:tcPr>
                <w:p w14:paraId="02396AE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both"/>
                    <w:textAlignment w:val="auto"/>
                    <w:rPr>
                      <w:rFonts w:hint="default"/>
                      <w:b w:val="0"/>
                      <w:bCs/>
                      <w:highlight w:val="none"/>
                    </w:rPr>
                  </w:pPr>
                  <w:r>
                    <w:rPr>
                      <w:rFonts w:hint="eastAsia" w:ascii="Times New Roman" w:hAnsi="Times New Roman" w:eastAsia="宋体" w:cs="宋体"/>
                      <w:b w:val="0"/>
                      <w:bCs/>
                      <w:kern w:val="2"/>
                      <w:sz w:val="21"/>
                      <w:szCs w:val="24"/>
                      <w:highlight w:val="none"/>
                      <w:lang w:val="en-US" w:eastAsia="zh-CN" w:bidi="ar"/>
                    </w:rPr>
                    <w:t>注：浓度单位：</w:t>
                  </w:r>
                  <w:r>
                    <w:rPr>
                      <w:rFonts w:hint="default" w:ascii="Times New Roman" w:hAnsi="Times New Roman" w:eastAsia="宋体" w:cs="Times New Roman"/>
                      <w:b w:val="0"/>
                      <w:bCs/>
                      <w:kern w:val="2"/>
                      <w:sz w:val="21"/>
                      <w:szCs w:val="24"/>
                      <w:highlight w:val="none"/>
                      <w:lang w:val="en-US" w:eastAsia="zh-CN" w:bidi="ar"/>
                    </w:rPr>
                    <w:t>mg/L</w:t>
                  </w:r>
                  <w:r>
                    <w:rPr>
                      <w:rFonts w:hint="eastAsia" w:ascii="Times New Roman" w:hAnsi="Times New Roman" w:eastAsia="宋体" w:cs="宋体"/>
                      <w:b w:val="0"/>
                      <w:bCs/>
                      <w:kern w:val="2"/>
                      <w:sz w:val="21"/>
                      <w:szCs w:val="24"/>
                      <w:highlight w:val="none"/>
                      <w:lang w:val="en-US" w:eastAsia="zh-CN" w:bidi="ar"/>
                    </w:rPr>
                    <w:t>，产排量单位：</w:t>
                  </w:r>
                  <w:r>
                    <w:rPr>
                      <w:rFonts w:hint="default" w:ascii="Times New Roman" w:hAnsi="Times New Roman" w:eastAsia="宋体" w:cs="Times New Roman"/>
                      <w:b w:val="0"/>
                      <w:bCs/>
                      <w:kern w:val="2"/>
                      <w:sz w:val="21"/>
                      <w:szCs w:val="24"/>
                      <w:highlight w:val="none"/>
                      <w:lang w:val="en-US" w:eastAsia="zh-CN" w:bidi="ar"/>
                    </w:rPr>
                    <w:t>t/a</w:t>
                  </w:r>
                </w:p>
              </w:tc>
            </w:tr>
          </w:tbl>
          <w:p w14:paraId="5D17846C">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520" w:lineRule="exact"/>
              <w:ind w:left="0" w:right="0"/>
              <w:jc w:val="center"/>
              <w:textAlignment w:val="auto"/>
              <w:rPr>
                <w:rFonts w:hint="eastAsia" w:eastAsia="黑体" w:cs="Times New Roman"/>
                <w:b w:val="0"/>
                <w:bCs w:val="0"/>
                <w:color w:val="000000" w:themeColor="text1"/>
                <w:sz w:val="24"/>
                <w:szCs w:val="24"/>
                <w:highlight w:val="none"/>
                <w:lang w:val="en-US" w:eastAsia="zh-CN"/>
                <w14:textFill>
                  <w14:solidFill>
                    <w14:schemeClr w14:val="tx1"/>
                  </w14:solidFill>
                </w14:textFill>
              </w:rPr>
            </w:pPr>
            <w:r>
              <w:rPr>
                <w:rFonts w:hint="eastAsia" w:eastAsia="黑体" w:cs="Times New Roman"/>
                <w:b w:val="0"/>
                <w:bCs w:val="0"/>
                <w:color w:val="000000" w:themeColor="text1"/>
                <w:sz w:val="24"/>
                <w:szCs w:val="24"/>
                <w:highlight w:val="none"/>
                <w:lang w:val="en-US" w:eastAsia="zh-CN"/>
                <w14:textFill>
                  <w14:solidFill>
                    <w14:schemeClr w14:val="tx1"/>
                  </w14:solidFill>
                </w14:textFill>
              </w:rPr>
              <w:t>表</w:t>
            </w:r>
            <w:r>
              <w:rPr>
                <w:rFonts w:hint="default" w:eastAsia="黑体" w:cs="Times New Roman"/>
                <w:b w:val="0"/>
                <w:bCs w:val="0"/>
                <w:color w:val="000000" w:themeColor="text1"/>
                <w:sz w:val="24"/>
                <w:szCs w:val="24"/>
                <w:highlight w:val="none"/>
                <w:lang w:val="en-US" w:eastAsia="zh-CN"/>
                <w14:textFill>
                  <w14:solidFill>
                    <w14:schemeClr w14:val="tx1"/>
                  </w14:solidFill>
                </w14:textFill>
              </w:rPr>
              <w:t xml:space="preserve">4-2  </w:t>
            </w:r>
            <w:r>
              <w:rPr>
                <w:rFonts w:hint="eastAsia" w:eastAsia="黑体" w:cs="Times New Roman"/>
                <w:b w:val="0"/>
                <w:bCs w:val="0"/>
                <w:color w:val="000000" w:themeColor="text1"/>
                <w:sz w:val="24"/>
                <w:szCs w:val="24"/>
                <w:highlight w:val="none"/>
                <w:lang w:val="en-US" w:eastAsia="zh-CN"/>
                <w14:textFill>
                  <w14:solidFill>
                    <w14:schemeClr w14:val="tx1"/>
                  </w14:solidFill>
                </w14:textFill>
              </w:rPr>
              <w:t>废水排放口基本情况一览表</w:t>
            </w:r>
          </w:p>
          <w:tbl>
            <w:tblPr>
              <w:tblStyle w:val="92"/>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758"/>
              <w:gridCol w:w="1168"/>
              <w:gridCol w:w="1086"/>
              <w:gridCol w:w="818"/>
              <w:gridCol w:w="977"/>
              <w:gridCol w:w="836"/>
              <w:gridCol w:w="891"/>
              <w:gridCol w:w="1658"/>
            </w:tblGrid>
            <w:tr w14:paraId="608F185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20" w:hRule="atLeast"/>
              </w:trPr>
              <w:tc>
                <w:tcPr>
                  <w:tcW w:w="462" w:type="pct"/>
                  <w:vMerge w:val="restart"/>
                  <w:tcBorders>
                    <w:tl2br w:val="nil"/>
                    <w:tr2bl w:val="nil"/>
                  </w:tcBorders>
                  <w:shd w:val="clear" w:color="auto" w:fill="auto"/>
                  <w:vAlign w:val="center"/>
                </w:tcPr>
                <w:p w14:paraId="644B2EA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szCs w:val="21"/>
                      <w:highlight w:val="none"/>
                      <w:lang w:val="en-US"/>
                    </w:rPr>
                  </w:pPr>
                  <w:r>
                    <w:rPr>
                      <w:rFonts w:hint="eastAsia" w:ascii="Times New Roman" w:hAnsi="Times New Roman" w:eastAsia="宋体" w:cs="宋体"/>
                      <w:b w:val="0"/>
                      <w:bCs/>
                      <w:kern w:val="2"/>
                      <w:sz w:val="21"/>
                      <w:szCs w:val="21"/>
                      <w:highlight w:val="none"/>
                      <w:lang w:val="en-US" w:eastAsia="zh-CN" w:bidi="ar"/>
                    </w:rPr>
                    <w:t>废水类别</w:t>
                  </w:r>
                </w:p>
              </w:tc>
              <w:tc>
                <w:tcPr>
                  <w:tcW w:w="712" w:type="pct"/>
                  <w:vMerge w:val="restart"/>
                  <w:tcBorders>
                    <w:tl2br w:val="nil"/>
                    <w:tr2bl w:val="nil"/>
                  </w:tcBorders>
                  <w:shd w:val="clear" w:color="auto" w:fill="auto"/>
                  <w:vAlign w:val="center"/>
                </w:tcPr>
                <w:p w14:paraId="68F2D50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szCs w:val="21"/>
                      <w:highlight w:val="none"/>
                      <w:lang w:val="en-US"/>
                    </w:rPr>
                  </w:pPr>
                  <w:r>
                    <w:rPr>
                      <w:rFonts w:hint="eastAsia" w:ascii="Times New Roman" w:hAnsi="Times New Roman" w:eastAsia="宋体" w:cs="宋体"/>
                      <w:b w:val="0"/>
                      <w:bCs/>
                      <w:kern w:val="2"/>
                      <w:sz w:val="21"/>
                      <w:szCs w:val="21"/>
                      <w:highlight w:val="none"/>
                      <w:lang w:val="en-US" w:eastAsia="zh-CN" w:bidi="ar"/>
                    </w:rPr>
                    <w:t>污染物种类</w:t>
                  </w:r>
                </w:p>
              </w:tc>
              <w:tc>
                <w:tcPr>
                  <w:tcW w:w="662" w:type="pct"/>
                  <w:vMerge w:val="restart"/>
                  <w:tcBorders>
                    <w:tl2br w:val="nil"/>
                    <w:tr2bl w:val="nil"/>
                  </w:tcBorders>
                  <w:shd w:val="clear" w:color="auto" w:fill="auto"/>
                  <w:vAlign w:val="center"/>
                </w:tcPr>
                <w:p w14:paraId="31F8323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szCs w:val="21"/>
                      <w:highlight w:val="none"/>
                      <w:lang w:val="en-US"/>
                    </w:rPr>
                  </w:pPr>
                  <w:r>
                    <w:rPr>
                      <w:rFonts w:hint="eastAsia" w:ascii="Times New Roman" w:hAnsi="Times New Roman" w:eastAsia="宋体" w:cs="宋体"/>
                      <w:b w:val="0"/>
                      <w:bCs/>
                      <w:kern w:val="2"/>
                      <w:sz w:val="21"/>
                      <w:szCs w:val="21"/>
                      <w:highlight w:val="none"/>
                      <w:lang w:val="en-US" w:eastAsia="zh-CN" w:bidi="ar"/>
                    </w:rPr>
                    <w:t>排放去向</w:t>
                  </w:r>
                </w:p>
              </w:tc>
              <w:tc>
                <w:tcPr>
                  <w:tcW w:w="499" w:type="pct"/>
                  <w:vMerge w:val="restart"/>
                  <w:tcBorders>
                    <w:tl2br w:val="nil"/>
                    <w:tr2bl w:val="nil"/>
                  </w:tcBorders>
                  <w:shd w:val="clear" w:color="auto" w:fill="auto"/>
                  <w:vAlign w:val="center"/>
                </w:tcPr>
                <w:p w14:paraId="69CDA22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szCs w:val="21"/>
                      <w:highlight w:val="none"/>
                      <w:lang w:val="en-US"/>
                    </w:rPr>
                  </w:pPr>
                  <w:r>
                    <w:rPr>
                      <w:rFonts w:hint="eastAsia" w:ascii="Times New Roman" w:hAnsi="Times New Roman" w:eastAsia="宋体" w:cs="宋体"/>
                      <w:b w:val="0"/>
                      <w:bCs/>
                      <w:kern w:val="2"/>
                      <w:sz w:val="21"/>
                      <w:szCs w:val="21"/>
                      <w:highlight w:val="none"/>
                      <w:lang w:val="en-US" w:eastAsia="zh-CN" w:bidi="ar"/>
                    </w:rPr>
                    <w:t>排放规律</w:t>
                  </w:r>
                </w:p>
              </w:tc>
              <w:tc>
                <w:tcPr>
                  <w:tcW w:w="1106" w:type="pct"/>
                  <w:gridSpan w:val="2"/>
                  <w:tcBorders>
                    <w:tl2br w:val="nil"/>
                    <w:tr2bl w:val="nil"/>
                  </w:tcBorders>
                  <w:shd w:val="clear" w:color="auto" w:fill="auto"/>
                  <w:vAlign w:val="center"/>
                </w:tcPr>
                <w:p w14:paraId="5E444C7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szCs w:val="21"/>
                      <w:highlight w:val="none"/>
                      <w:lang w:val="en-US"/>
                    </w:rPr>
                  </w:pPr>
                  <w:r>
                    <w:rPr>
                      <w:rFonts w:hint="eastAsia" w:ascii="Times New Roman" w:hAnsi="Times New Roman" w:eastAsia="宋体" w:cs="宋体"/>
                      <w:b w:val="0"/>
                      <w:bCs/>
                      <w:kern w:val="2"/>
                      <w:sz w:val="21"/>
                      <w:szCs w:val="21"/>
                      <w:highlight w:val="none"/>
                      <w:lang w:val="en-US" w:eastAsia="zh-CN" w:bidi="ar"/>
                    </w:rPr>
                    <w:t>污染治理设施</w:t>
                  </w:r>
                </w:p>
              </w:tc>
              <w:tc>
                <w:tcPr>
                  <w:tcW w:w="543" w:type="pct"/>
                  <w:vMerge w:val="restart"/>
                  <w:tcBorders>
                    <w:tl2br w:val="nil"/>
                    <w:tr2bl w:val="nil"/>
                  </w:tcBorders>
                  <w:shd w:val="clear" w:color="auto" w:fill="auto"/>
                  <w:vAlign w:val="center"/>
                </w:tcPr>
                <w:p w14:paraId="4D06758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szCs w:val="21"/>
                      <w:highlight w:val="none"/>
                      <w:lang w:val="en-US"/>
                    </w:rPr>
                  </w:pPr>
                  <w:r>
                    <w:rPr>
                      <w:rFonts w:hint="eastAsia" w:ascii="Times New Roman" w:hAnsi="Times New Roman" w:eastAsia="宋体" w:cs="宋体"/>
                      <w:b w:val="0"/>
                      <w:bCs/>
                      <w:kern w:val="2"/>
                      <w:sz w:val="21"/>
                      <w:szCs w:val="21"/>
                      <w:highlight w:val="none"/>
                      <w:lang w:val="en-US" w:eastAsia="zh-CN" w:bidi="ar"/>
                    </w:rPr>
                    <w:t>排放口编号</w:t>
                  </w:r>
                </w:p>
              </w:tc>
              <w:tc>
                <w:tcPr>
                  <w:tcW w:w="1011" w:type="pct"/>
                  <w:vMerge w:val="restart"/>
                  <w:tcBorders>
                    <w:tl2br w:val="nil"/>
                    <w:tr2bl w:val="nil"/>
                  </w:tcBorders>
                  <w:shd w:val="clear" w:color="auto" w:fill="auto"/>
                  <w:vAlign w:val="center"/>
                </w:tcPr>
                <w:p w14:paraId="5947241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szCs w:val="21"/>
                      <w:highlight w:val="none"/>
                      <w:lang w:val="en-US"/>
                    </w:rPr>
                  </w:pPr>
                  <w:r>
                    <w:rPr>
                      <w:rFonts w:hint="eastAsia" w:ascii="Times New Roman" w:hAnsi="Times New Roman" w:eastAsia="宋体" w:cs="宋体"/>
                      <w:b w:val="0"/>
                      <w:bCs/>
                      <w:kern w:val="2"/>
                      <w:sz w:val="21"/>
                      <w:szCs w:val="21"/>
                      <w:highlight w:val="none"/>
                      <w:lang w:val="en-US" w:eastAsia="zh-CN" w:bidi="ar"/>
                    </w:rPr>
                    <w:t>地理坐标</w:t>
                  </w:r>
                </w:p>
              </w:tc>
            </w:tr>
            <w:tr w14:paraId="03AC63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20" w:hRule="atLeast"/>
              </w:trPr>
              <w:tc>
                <w:tcPr>
                  <w:tcW w:w="462" w:type="pct"/>
                  <w:vMerge w:val="continue"/>
                  <w:tcBorders>
                    <w:tl2br w:val="nil"/>
                    <w:tr2bl w:val="nil"/>
                  </w:tcBorders>
                  <w:shd w:val="clear" w:color="auto" w:fill="auto"/>
                  <w:vAlign w:val="center"/>
                </w:tcPr>
                <w:p w14:paraId="416FC9E8">
                  <w:pPr>
                    <w:keepNext w:val="0"/>
                    <w:keepLines w:val="0"/>
                    <w:pageBreakBefore w:val="0"/>
                    <w:suppressLineNumbers w:val="0"/>
                    <w:kinsoku/>
                    <w:wordWrap/>
                    <w:overflowPunct/>
                    <w:topLinePunct w:val="0"/>
                    <w:autoSpaceDE/>
                    <w:autoSpaceDN/>
                    <w:bidi w:val="0"/>
                    <w:spacing w:before="0" w:beforeAutospacing="0" w:after="0" w:afterAutospacing="0" w:line="360" w:lineRule="exact"/>
                    <w:ind w:left="0" w:right="0"/>
                    <w:textAlignment w:val="auto"/>
                    <w:rPr>
                      <w:rFonts w:hint="default" w:ascii="Times New Roman" w:hAnsi="Times New Roman" w:cs="Times New Roman"/>
                      <w:b w:val="0"/>
                      <w:bCs/>
                      <w:sz w:val="20"/>
                      <w:szCs w:val="20"/>
                      <w:highlight w:val="none"/>
                    </w:rPr>
                  </w:pPr>
                </w:p>
              </w:tc>
              <w:tc>
                <w:tcPr>
                  <w:tcW w:w="712" w:type="pct"/>
                  <w:vMerge w:val="continue"/>
                  <w:tcBorders>
                    <w:tl2br w:val="nil"/>
                    <w:tr2bl w:val="nil"/>
                  </w:tcBorders>
                  <w:shd w:val="clear" w:color="auto" w:fill="auto"/>
                  <w:vAlign w:val="center"/>
                </w:tcPr>
                <w:p w14:paraId="31897923">
                  <w:pPr>
                    <w:keepNext w:val="0"/>
                    <w:keepLines w:val="0"/>
                    <w:pageBreakBefore w:val="0"/>
                    <w:suppressLineNumbers w:val="0"/>
                    <w:kinsoku/>
                    <w:wordWrap/>
                    <w:overflowPunct/>
                    <w:topLinePunct w:val="0"/>
                    <w:autoSpaceDE/>
                    <w:autoSpaceDN/>
                    <w:bidi w:val="0"/>
                    <w:spacing w:before="0" w:beforeAutospacing="0" w:after="0" w:afterAutospacing="0" w:line="360" w:lineRule="exact"/>
                    <w:ind w:left="0" w:right="0"/>
                    <w:textAlignment w:val="auto"/>
                    <w:rPr>
                      <w:rFonts w:hint="default" w:ascii="Times New Roman" w:hAnsi="Times New Roman" w:cs="Times New Roman"/>
                      <w:b w:val="0"/>
                      <w:bCs/>
                      <w:sz w:val="20"/>
                      <w:szCs w:val="20"/>
                      <w:highlight w:val="none"/>
                    </w:rPr>
                  </w:pPr>
                </w:p>
              </w:tc>
              <w:tc>
                <w:tcPr>
                  <w:tcW w:w="662" w:type="pct"/>
                  <w:vMerge w:val="continue"/>
                  <w:tcBorders>
                    <w:tl2br w:val="nil"/>
                    <w:tr2bl w:val="nil"/>
                  </w:tcBorders>
                  <w:shd w:val="clear" w:color="auto" w:fill="auto"/>
                  <w:vAlign w:val="center"/>
                </w:tcPr>
                <w:p w14:paraId="3BC1D438">
                  <w:pPr>
                    <w:keepNext w:val="0"/>
                    <w:keepLines w:val="0"/>
                    <w:pageBreakBefore w:val="0"/>
                    <w:suppressLineNumbers w:val="0"/>
                    <w:kinsoku/>
                    <w:wordWrap/>
                    <w:overflowPunct/>
                    <w:topLinePunct w:val="0"/>
                    <w:autoSpaceDE/>
                    <w:autoSpaceDN/>
                    <w:bidi w:val="0"/>
                    <w:spacing w:before="0" w:beforeAutospacing="0" w:after="0" w:afterAutospacing="0" w:line="360" w:lineRule="exact"/>
                    <w:ind w:left="0" w:right="0"/>
                    <w:textAlignment w:val="auto"/>
                    <w:rPr>
                      <w:rFonts w:hint="default" w:ascii="Times New Roman" w:hAnsi="Times New Roman" w:cs="Times New Roman"/>
                      <w:b w:val="0"/>
                      <w:bCs/>
                      <w:sz w:val="20"/>
                      <w:szCs w:val="20"/>
                      <w:highlight w:val="none"/>
                    </w:rPr>
                  </w:pPr>
                </w:p>
              </w:tc>
              <w:tc>
                <w:tcPr>
                  <w:tcW w:w="499" w:type="pct"/>
                  <w:vMerge w:val="continue"/>
                  <w:tcBorders>
                    <w:tl2br w:val="nil"/>
                    <w:tr2bl w:val="nil"/>
                  </w:tcBorders>
                  <w:shd w:val="clear" w:color="auto" w:fill="auto"/>
                  <w:vAlign w:val="center"/>
                </w:tcPr>
                <w:p w14:paraId="63DED965">
                  <w:pPr>
                    <w:keepNext w:val="0"/>
                    <w:keepLines w:val="0"/>
                    <w:pageBreakBefore w:val="0"/>
                    <w:suppressLineNumbers w:val="0"/>
                    <w:kinsoku/>
                    <w:wordWrap/>
                    <w:overflowPunct/>
                    <w:topLinePunct w:val="0"/>
                    <w:autoSpaceDE/>
                    <w:autoSpaceDN/>
                    <w:bidi w:val="0"/>
                    <w:spacing w:before="0" w:beforeAutospacing="0" w:after="0" w:afterAutospacing="0" w:line="360" w:lineRule="exact"/>
                    <w:ind w:left="0" w:right="0"/>
                    <w:textAlignment w:val="auto"/>
                    <w:rPr>
                      <w:rFonts w:hint="default" w:ascii="Times New Roman" w:hAnsi="Times New Roman" w:cs="Times New Roman"/>
                      <w:b w:val="0"/>
                      <w:bCs/>
                      <w:sz w:val="20"/>
                      <w:szCs w:val="20"/>
                      <w:highlight w:val="none"/>
                    </w:rPr>
                  </w:pPr>
                </w:p>
              </w:tc>
              <w:tc>
                <w:tcPr>
                  <w:tcW w:w="596" w:type="pct"/>
                  <w:tcBorders>
                    <w:tl2br w:val="nil"/>
                    <w:tr2bl w:val="nil"/>
                  </w:tcBorders>
                  <w:shd w:val="clear" w:color="auto" w:fill="auto"/>
                  <w:vAlign w:val="center"/>
                </w:tcPr>
                <w:p w14:paraId="3BF1BD5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szCs w:val="21"/>
                      <w:highlight w:val="none"/>
                      <w:lang w:val="en-US"/>
                    </w:rPr>
                  </w:pPr>
                  <w:r>
                    <w:rPr>
                      <w:rFonts w:hint="eastAsia" w:ascii="Times New Roman" w:hAnsi="Times New Roman" w:eastAsia="宋体" w:cs="宋体"/>
                      <w:b w:val="0"/>
                      <w:bCs/>
                      <w:kern w:val="2"/>
                      <w:sz w:val="21"/>
                      <w:szCs w:val="21"/>
                      <w:highlight w:val="none"/>
                      <w:lang w:val="en-US" w:eastAsia="zh-CN" w:bidi="ar"/>
                    </w:rPr>
                    <w:t>编号</w:t>
                  </w:r>
                </w:p>
              </w:tc>
              <w:tc>
                <w:tcPr>
                  <w:tcW w:w="509" w:type="pct"/>
                  <w:tcBorders>
                    <w:tl2br w:val="nil"/>
                    <w:tr2bl w:val="nil"/>
                  </w:tcBorders>
                  <w:shd w:val="clear" w:color="auto" w:fill="auto"/>
                  <w:vAlign w:val="center"/>
                </w:tcPr>
                <w:p w14:paraId="5AE6012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szCs w:val="21"/>
                      <w:highlight w:val="none"/>
                      <w:lang w:val="en-US"/>
                    </w:rPr>
                  </w:pPr>
                  <w:r>
                    <w:rPr>
                      <w:rFonts w:hint="eastAsia" w:ascii="Times New Roman" w:hAnsi="Times New Roman" w:eastAsia="宋体" w:cs="宋体"/>
                      <w:b w:val="0"/>
                      <w:bCs/>
                      <w:kern w:val="2"/>
                      <w:sz w:val="21"/>
                      <w:szCs w:val="21"/>
                      <w:highlight w:val="none"/>
                      <w:lang w:val="en-US" w:eastAsia="zh-CN" w:bidi="ar"/>
                    </w:rPr>
                    <w:t>工艺</w:t>
                  </w:r>
                </w:p>
              </w:tc>
              <w:tc>
                <w:tcPr>
                  <w:tcW w:w="543" w:type="pct"/>
                  <w:vMerge w:val="continue"/>
                  <w:tcBorders>
                    <w:tl2br w:val="nil"/>
                    <w:tr2bl w:val="nil"/>
                  </w:tcBorders>
                  <w:shd w:val="clear" w:color="auto" w:fill="auto"/>
                  <w:vAlign w:val="center"/>
                </w:tcPr>
                <w:p w14:paraId="2C087175">
                  <w:pPr>
                    <w:keepNext w:val="0"/>
                    <w:keepLines w:val="0"/>
                    <w:pageBreakBefore w:val="0"/>
                    <w:suppressLineNumbers w:val="0"/>
                    <w:kinsoku/>
                    <w:wordWrap/>
                    <w:overflowPunct/>
                    <w:topLinePunct w:val="0"/>
                    <w:autoSpaceDE/>
                    <w:autoSpaceDN/>
                    <w:bidi w:val="0"/>
                    <w:spacing w:before="0" w:beforeAutospacing="0" w:after="0" w:afterAutospacing="0" w:line="360" w:lineRule="exact"/>
                    <w:ind w:left="0" w:right="0"/>
                    <w:textAlignment w:val="auto"/>
                    <w:rPr>
                      <w:rFonts w:hint="default" w:ascii="Times New Roman" w:hAnsi="Times New Roman" w:cs="Times New Roman"/>
                      <w:b w:val="0"/>
                      <w:bCs/>
                      <w:sz w:val="20"/>
                      <w:szCs w:val="20"/>
                      <w:highlight w:val="none"/>
                    </w:rPr>
                  </w:pPr>
                </w:p>
              </w:tc>
              <w:tc>
                <w:tcPr>
                  <w:tcW w:w="1011" w:type="pct"/>
                  <w:vMerge w:val="continue"/>
                  <w:tcBorders>
                    <w:tl2br w:val="nil"/>
                    <w:tr2bl w:val="nil"/>
                  </w:tcBorders>
                  <w:shd w:val="clear" w:color="auto" w:fill="auto"/>
                  <w:vAlign w:val="center"/>
                </w:tcPr>
                <w:p w14:paraId="453E67F9">
                  <w:pPr>
                    <w:keepNext w:val="0"/>
                    <w:keepLines w:val="0"/>
                    <w:pageBreakBefore w:val="0"/>
                    <w:suppressLineNumbers w:val="0"/>
                    <w:kinsoku/>
                    <w:wordWrap/>
                    <w:overflowPunct/>
                    <w:topLinePunct w:val="0"/>
                    <w:autoSpaceDE/>
                    <w:autoSpaceDN/>
                    <w:bidi w:val="0"/>
                    <w:spacing w:before="0" w:beforeAutospacing="0" w:after="0" w:afterAutospacing="0" w:line="360" w:lineRule="exact"/>
                    <w:ind w:left="0" w:right="0"/>
                    <w:textAlignment w:val="auto"/>
                    <w:rPr>
                      <w:rFonts w:hint="default" w:ascii="Times New Roman" w:hAnsi="Times New Roman" w:cs="Times New Roman"/>
                      <w:b w:val="0"/>
                      <w:bCs/>
                      <w:sz w:val="20"/>
                      <w:szCs w:val="20"/>
                      <w:highlight w:val="none"/>
                    </w:rPr>
                  </w:pPr>
                </w:p>
              </w:tc>
            </w:tr>
            <w:tr w14:paraId="3EE67B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20" w:hRule="atLeast"/>
              </w:trPr>
              <w:tc>
                <w:tcPr>
                  <w:tcW w:w="462" w:type="pct"/>
                  <w:tcBorders>
                    <w:tl2br w:val="nil"/>
                    <w:tr2bl w:val="nil"/>
                  </w:tcBorders>
                  <w:shd w:val="clear" w:color="auto" w:fill="auto"/>
                  <w:vAlign w:val="center"/>
                </w:tcPr>
                <w:p w14:paraId="1196048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szCs w:val="21"/>
                      <w:highlight w:val="none"/>
                      <w:lang w:val="en-US"/>
                    </w:rPr>
                  </w:pPr>
                  <w:r>
                    <w:rPr>
                      <w:rFonts w:hint="eastAsia" w:ascii="Times New Roman" w:hAnsi="Times New Roman" w:eastAsia="宋体" w:cs="宋体"/>
                      <w:b w:val="0"/>
                      <w:bCs/>
                      <w:kern w:val="2"/>
                      <w:sz w:val="21"/>
                      <w:szCs w:val="21"/>
                      <w:highlight w:val="none"/>
                      <w:lang w:val="en-US" w:eastAsia="zh-CN" w:bidi="ar"/>
                    </w:rPr>
                    <w:t>生活废水</w:t>
                  </w:r>
                </w:p>
              </w:tc>
              <w:tc>
                <w:tcPr>
                  <w:tcW w:w="712" w:type="pct"/>
                  <w:tcBorders>
                    <w:tl2br w:val="nil"/>
                    <w:tr2bl w:val="nil"/>
                  </w:tcBorders>
                  <w:shd w:val="clear" w:color="auto" w:fill="auto"/>
                  <w:vAlign w:val="center"/>
                </w:tcPr>
                <w:p w14:paraId="45FB233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szCs w:val="21"/>
                      <w:highlight w:val="none"/>
                      <w:lang w:val="en-US"/>
                    </w:rPr>
                  </w:pPr>
                  <w:r>
                    <w:rPr>
                      <w:rFonts w:hint="eastAsia" w:cs="Times New Roman"/>
                      <w:b w:val="0"/>
                      <w:bCs/>
                      <w:kern w:val="2"/>
                      <w:sz w:val="21"/>
                      <w:szCs w:val="21"/>
                      <w:highlight w:val="none"/>
                      <w:lang w:val="en-US" w:eastAsia="zh-CN" w:bidi="ar"/>
                    </w:rPr>
                    <w:t>pH、</w:t>
                  </w:r>
                  <w:r>
                    <w:rPr>
                      <w:rFonts w:hint="default" w:ascii="Times New Roman" w:hAnsi="Times New Roman" w:eastAsia="宋体" w:cs="Times New Roman"/>
                      <w:b w:val="0"/>
                      <w:bCs/>
                      <w:kern w:val="2"/>
                      <w:sz w:val="21"/>
                      <w:szCs w:val="21"/>
                      <w:highlight w:val="none"/>
                      <w:lang w:val="en-US" w:eastAsia="zh-CN" w:bidi="ar"/>
                    </w:rPr>
                    <w:t>COD</w:t>
                  </w:r>
                  <w:r>
                    <w:rPr>
                      <w:rFonts w:hint="eastAsia" w:ascii="Times New Roman" w:hAnsi="Times New Roman" w:eastAsia="宋体" w:cs="宋体"/>
                      <w:b w:val="0"/>
                      <w:bCs/>
                      <w:kern w:val="2"/>
                      <w:sz w:val="21"/>
                      <w:szCs w:val="21"/>
                      <w:highlight w:val="none"/>
                      <w:lang w:val="en-US" w:eastAsia="zh-CN" w:bidi="ar"/>
                    </w:rPr>
                    <w:t>、</w:t>
                  </w:r>
                  <w:r>
                    <w:rPr>
                      <w:rFonts w:hint="default" w:ascii="Times New Roman" w:hAnsi="Times New Roman" w:eastAsia="宋体" w:cs="Times New Roman"/>
                      <w:b w:val="0"/>
                      <w:bCs/>
                      <w:kern w:val="2"/>
                      <w:sz w:val="21"/>
                      <w:szCs w:val="21"/>
                      <w:highlight w:val="none"/>
                      <w:lang w:val="en-US" w:eastAsia="zh-CN" w:bidi="ar"/>
                    </w:rPr>
                    <w:t>BOD</w:t>
                  </w:r>
                  <w:r>
                    <w:rPr>
                      <w:rFonts w:hint="default" w:ascii="Times New Roman" w:hAnsi="Times New Roman" w:eastAsia="宋体" w:cs="Times New Roman"/>
                      <w:b w:val="0"/>
                      <w:bCs/>
                      <w:kern w:val="2"/>
                      <w:sz w:val="21"/>
                      <w:szCs w:val="21"/>
                      <w:highlight w:val="none"/>
                      <w:vertAlign w:val="subscript"/>
                      <w:lang w:val="en-US" w:eastAsia="zh-CN" w:bidi="ar"/>
                    </w:rPr>
                    <w:t>5</w:t>
                  </w:r>
                  <w:r>
                    <w:rPr>
                      <w:rFonts w:hint="eastAsia" w:ascii="Times New Roman" w:hAnsi="Times New Roman" w:eastAsia="宋体" w:cs="宋体"/>
                      <w:b w:val="0"/>
                      <w:bCs/>
                      <w:kern w:val="2"/>
                      <w:sz w:val="21"/>
                      <w:szCs w:val="21"/>
                      <w:highlight w:val="none"/>
                      <w:lang w:val="en-US" w:eastAsia="zh-CN" w:bidi="ar"/>
                    </w:rPr>
                    <w:t>、</w:t>
                  </w:r>
                  <w:r>
                    <w:rPr>
                      <w:rFonts w:hint="default" w:ascii="Times New Roman" w:hAnsi="Times New Roman" w:eastAsia="宋体" w:cs="Times New Roman"/>
                      <w:b w:val="0"/>
                      <w:bCs/>
                      <w:kern w:val="2"/>
                      <w:sz w:val="21"/>
                      <w:szCs w:val="21"/>
                      <w:highlight w:val="none"/>
                      <w:lang w:val="en-US" w:eastAsia="zh-CN" w:bidi="ar"/>
                    </w:rPr>
                    <w:t>SS</w:t>
                  </w:r>
                  <w:r>
                    <w:rPr>
                      <w:rFonts w:hint="eastAsia" w:ascii="Times New Roman" w:hAnsi="Times New Roman" w:eastAsia="宋体" w:cs="宋体"/>
                      <w:b w:val="0"/>
                      <w:bCs/>
                      <w:kern w:val="2"/>
                      <w:sz w:val="21"/>
                      <w:szCs w:val="21"/>
                      <w:highlight w:val="none"/>
                      <w:lang w:val="en-US" w:eastAsia="zh-CN" w:bidi="ar"/>
                    </w:rPr>
                    <w:t>、氨氮</w:t>
                  </w:r>
                  <w:r>
                    <w:rPr>
                      <w:rFonts w:hint="eastAsia" w:cs="宋体"/>
                      <w:b w:val="0"/>
                      <w:bCs/>
                      <w:kern w:val="2"/>
                      <w:sz w:val="21"/>
                      <w:szCs w:val="21"/>
                      <w:highlight w:val="none"/>
                      <w:lang w:val="en-US" w:eastAsia="zh-CN" w:bidi="ar"/>
                    </w:rPr>
                    <w:t>、总磷、总氮</w:t>
                  </w:r>
                </w:p>
              </w:tc>
              <w:tc>
                <w:tcPr>
                  <w:tcW w:w="662" w:type="pct"/>
                  <w:tcBorders>
                    <w:tl2br w:val="nil"/>
                    <w:tr2bl w:val="nil"/>
                  </w:tcBorders>
                  <w:shd w:val="clear" w:color="auto" w:fill="auto"/>
                  <w:vAlign w:val="center"/>
                </w:tcPr>
                <w:p w14:paraId="1F37DDD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szCs w:val="21"/>
                      <w:highlight w:val="none"/>
                      <w:lang w:val="en-US"/>
                    </w:rPr>
                  </w:pPr>
                  <w:r>
                    <w:rPr>
                      <w:rFonts w:hint="default"/>
                      <w:b w:val="0"/>
                      <w:bCs/>
                      <w:szCs w:val="21"/>
                      <w:highlight w:val="none"/>
                      <w:lang w:val="en-US" w:eastAsia="zh-CN"/>
                    </w:rPr>
                    <w:t>汤阴东方环宇污水处理有限公司</w:t>
                  </w:r>
                </w:p>
              </w:tc>
              <w:tc>
                <w:tcPr>
                  <w:tcW w:w="499" w:type="pct"/>
                  <w:tcBorders>
                    <w:tl2br w:val="nil"/>
                    <w:tr2bl w:val="nil"/>
                  </w:tcBorders>
                  <w:shd w:val="clear" w:color="auto" w:fill="auto"/>
                  <w:vAlign w:val="center"/>
                </w:tcPr>
                <w:p w14:paraId="7ACF93D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szCs w:val="21"/>
                      <w:highlight w:val="none"/>
                      <w:lang w:val="en-US"/>
                    </w:rPr>
                  </w:pPr>
                  <w:r>
                    <w:rPr>
                      <w:rFonts w:hint="eastAsia" w:ascii="Times New Roman" w:hAnsi="Times New Roman" w:eastAsia="宋体" w:cs="宋体"/>
                      <w:b w:val="0"/>
                      <w:bCs/>
                      <w:kern w:val="2"/>
                      <w:sz w:val="21"/>
                      <w:szCs w:val="21"/>
                      <w:highlight w:val="none"/>
                      <w:lang w:val="en-US" w:eastAsia="zh-CN" w:bidi="ar"/>
                    </w:rPr>
                    <w:t>间接排放</w:t>
                  </w:r>
                </w:p>
              </w:tc>
              <w:tc>
                <w:tcPr>
                  <w:tcW w:w="596" w:type="pct"/>
                  <w:tcBorders>
                    <w:tl2br w:val="nil"/>
                    <w:tr2bl w:val="nil"/>
                  </w:tcBorders>
                  <w:shd w:val="clear" w:color="auto" w:fill="auto"/>
                  <w:vAlign w:val="center"/>
                </w:tcPr>
                <w:p w14:paraId="2F0AA8D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szCs w:val="21"/>
                      <w:highlight w:val="none"/>
                      <w:lang w:val="en-US"/>
                    </w:rPr>
                  </w:pPr>
                  <w:r>
                    <w:rPr>
                      <w:rFonts w:hint="default" w:ascii="Times New Roman" w:hAnsi="Times New Roman" w:eastAsia="宋体" w:cs="Times New Roman"/>
                      <w:b w:val="0"/>
                      <w:bCs/>
                      <w:kern w:val="2"/>
                      <w:sz w:val="21"/>
                      <w:szCs w:val="21"/>
                      <w:highlight w:val="none"/>
                      <w:lang w:val="en-US" w:eastAsia="zh-CN" w:bidi="ar"/>
                    </w:rPr>
                    <w:t>TW001</w:t>
                  </w:r>
                  <w:r>
                    <w:rPr>
                      <w:rFonts w:hint="eastAsia" w:ascii="Times New Roman" w:hAnsi="Times New Roman" w:eastAsia="宋体" w:cs="Times New Roman"/>
                      <w:b w:val="0"/>
                      <w:bCs/>
                      <w:kern w:val="2"/>
                      <w:sz w:val="21"/>
                      <w:szCs w:val="21"/>
                      <w:highlight w:val="none"/>
                      <w:lang w:val="en-US" w:eastAsia="zh-CN" w:bidi="ar"/>
                    </w:rPr>
                    <w:t>（依托现有）</w:t>
                  </w:r>
                </w:p>
              </w:tc>
              <w:tc>
                <w:tcPr>
                  <w:tcW w:w="509" w:type="pct"/>
                  <w:tcBorders>
                    <w:tl2br w:val="nil"/>
                    <w:tr2bl w:val="nil"/>
                  </w:tcBorders>
                  <w:shd w:val="clear" w:color="auto" w:fill="auto"/>
                  <w:vAlign w:val="center"/>
                </w:tcPr>
                <w:p w14:paraId="697A7B0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szCs w:val="21"/>
                      <w:highlight w:val="none"/>
                      <w:lang w:val="en-US"/>
                    </w:rPr>
                  </w:pPr>
                  <w:r>
                    <w:rPr>
                      <w:rFonts w:hint="eastAsia" w:ascii="Times New Roman" w:hAnsi="Times New Roman" w:eastAsia="宋体" w:cs="宋体"/>
                      <w:b w:val="0"/>
                      <w:bCs/>
                      <w:kern w:val="2"/>
                      <w:sz w:val="21"/>
                      <w:szCs w:val="21"/>
                      <w:highlight w:val="none"/>
                      <w:lang w:val="en-US" w:eastAsia="zh-CN" w:bidi="ar"/>
                    </w:rPr>
                    <w:t>化粪池</w:t>
                  </w:r>
                </w:p>
              </w:tc>
              <w:tc>
                <w:tcPr>
                  <w:tcW w:w="543" w:type="pct"/>
                  <w:tcBorders>
                    <w:tl2br w:val="nil"/>
                    <w:tr2bl w:val="nil"/>
                  </w:tcBorders>
                  <w:shd w:val="clear" w:color="auto" w:fill="auto"/>
                  <w:vAlign w:val="center"/>
                </w:tcPr>
                <w:p w14:paraId="1B5AF62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szCs w:val="21"/>
                      <w:highlight w:val="none"/>
                      <w:lang w:val="en-US"/>
                    </w:rPr>
                  </w:pPr>
                  <w:r>
                    <w:rPr>
                      <w:rFonts w:hint="default" w:ascii="Times New Roman" w:hAnsi="Times New Roman" w:eastAsia="宋体" w:cs="Times New Roman"/>
                      <w:b w:val="0"/>
                      <w:bCs/>
                      <w:kern w:val="2"/>
                      <w:sz w:val="21"/>
                      <w:szCs w:val="21"/>
                      <w:highlight w:val="none"/>
                      <w:lang w:val="en-US" w:eastAsia="zh-CN" w:bidi="ar"/>
                    </w:rPr>
                    <w:t>DW001（依托现有）</w:t>
                  </w:r>
                </w:p>
              </w:tc>
              <w:tc>
                <w:tcPr>
                  <w:tcW w:w="1011" w:type="pct"/>
                  <w:tcBorders>
                    <w:tl2br w:val="nil"/>
                    <w:tr2bl w:val="nil"/>
                  </w:tcBorders>
                  <w:shd w:val="clear" w:color="auto" w:fill="auto"/>
                  <w:vAlign w:val="center"/>
                </w:tcPr>
                <w:p w14:paraId="0F10477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szCs w:val="21"/>
                      <w:highlight w:val="none"/>
                      <w:lang w:val="en-US"/>
                    </w:rPr>
                  </w:pPr>
                  <w:r>
                    <w:rPr>
                      <w:rFonts w:hint="default" w:ascii="Times New Roman" w:hAnsi="Times New Roman" w:eastAsia="宋体" w:cs="Times New Roman"/>
                      <w:b w:val="0"/>
                      <w:bCs/>
                      <w:kern w:val="2"/>
                      <w:sz w:val="21"/>
                      <w:szCs w:val="21"/>
                      <w:highlight w:val="none"/>
                      <w:lang w:val="en-US" w:eastAsia="zh-CN" w:bidi="ar"/>
                    </w:rPr>
                    <w:t>N3</w:t>
                  </w:r>
                  <w:r>
                    <w:rPr>
                      <w:rFonts w:hint="eastAsia" w:ascii="Times New Roman" w:hAnsi="Times New Roman" w:eastAsia="宋体" w:cs="Times New Roman"/>
                      <w:b w:val="0"/>
                      <w:bCs/>
                      <w:kern w:val="2"/>
                      <w:sz w:val="21"/>
                      <w:szCs w:val="21"/>
                      <w:highlight w:val="none"/>
                      <w:lang w:val="en-US" w:eastAsia="zh-CN" w:bidi="ar"/>
                    </w:rPr>
                    <w:t>5</w:t>
                  </w:r>
                  <w:r>
                    <w:rPr>
                      <w:rFonts w:hint="default" w:ascii="Times New Roman" w:hAnsi="Times New Roman" w:eastAsia="宋体" w:cs="Times New Roman"/>
                      <w:b w:val="0"/>
                      <w:bCs/>
                      <w:kern w:val="2"/>
                      <w:sz w:val="21"/>
                      <w:szCs w:val="21"/>
                      <w:highlight w:val="none"/>
                      <w:lang w:val="en-US" w:eastAsia="zh-CN" w:bidi="ar"/>
                    </w:rPr>
                    <w:t>°</w:t>
                  </w:r>
                  <w:r>
                    <w:rPr>
                      <w:rFonts w:hint="eastAsia" w:ascii="Times New Roman" w:hAnsi="Times New Roman" w:eastAsia="宋体" w:cs="Times New Roman"/>
                      <w:b w:val="0"/>
                      <w:bCs/>
                      <w:kern w:val="2"/>
                      <w:sz w:val="21"/>
                      <w:szCs w:val="21"/>
                      <w:highlight w:val="none"/>
                      <w:lang w:val="en-US" w:eastAsia="zh-CN" w:bidi="ar"/>
                    </w:rPr>
                    <w:t>5</w:t>
                  </w:r>
                  <w:r>
                    <w:rPr>
                      <w:rFonts w:hint="eastAsia" w:cs="Times New Roman"/>
                      <w:b w:val="0"/>
                      <w:bCs/>
                      <w:kern w:val="2"/>
                      <w:sz w:val="21"/>
                      <w:szCs w:val="21"/>
                      <w:highlight w:val="none"/>
                      <w:lang w:val="en-US" w:eastAsia="zh-CN" w:bidi="ar"/>
                    </w:rPr>
                    <w:t>3</w:t>
                  </w:r>
                  <w:r>
                    <w:rPr>
                      <w:rFonts w:hint="default" w:ascii="Times New Roman" w:hAnsi="Times New Roman" w:eastAsia="宋体" w:cs="Times New Roman"/>
                      <w:b w:val="0"/>
                      <w:bCs/>
                      <w:kern w:val="2"/>
                      <w:sz w:val="21"/>
                      <w:szCs w:val="21"/>
                      <w:highlight w:val="none"/>
                      <w:lang w:val="en-US" w:eastAsia="zh-CN" w:bidi="ar"/>
                    </w:rPr>
                    <w:t>′</w:t>
                  </w:r>
                  <w:r>
                    <w:rPr>
                      <w:rFonts w:hint="eastAsia" w:cs="Times New Roman"/>
                      <w:b w:val="0"/>
                      <w:bCs/>
                      <w:kern w:val="2"/>
                      <w:sz w:val="21"/>
                      <w:szCs w:val="21"/>
                      <w:highlight w:val="none"/>
                      <w:lang w:val="en-US" w:eastAsia="zh-CN" w:bidi="ar"/>
                    </w:rPr>
                    <w:t>34.928</w:t>
                  </w:r>
                  <w:r>
                    <w:rPr>
                      <w:rFonts w:hint="default" w:ascii="Times New Roman" w:hAnsi="Times New Roman" w:eastAsia="宋体" w:cs="Times New Roman"/>
                      <w:b w:val="0"/>
                      <w:bCs/>
                      <w:kern w:val="2"/>
                      <w:sz w:val="21"/>
                      <w:szCs w:val="21"/>
                      <w:highlight w:val="none"/>
                      <w:lang w:val="en-US" w:eastAsia="zh-CN" w:bidi="ar"/>
                    </w:rPr>
                    <w:t>″</w:t>
                  </w:r>
                </w:p>
                <w:p w14:paraId="6CFE605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szCs w:val="21"/>
                      <w:highlight w:val="none"/>
                      <w:lang w:val="en-US"/>
                    </w:rPr>
                  </w:pPr>
                  <w:r>
                    <w:rPr>
                      <w:rFonts w:hint="default" w:ascii="Times New Roman" w:hAnsi="Times New Roman" w:eastAsia="宋体" w:cs="Times New Roman"/>
                      <w:b w:val="0"/>
                      <w:bCs/>
                      <w:kern w:val="2"/>
                      <w:sz w:val="21"/>
                      <w:szCs w:val="21"/>
                      <w:highlight w:val="none"/>
                      <w:lang w:val="en-US" w:eastAsia="zh-CN" w:bidi="ar"/>
                    </w:rPr>
                    <w:t>E114°</w:t>
                  </w:r>
                  <w:r>
                    <w:rPr>
                      <w:rFonts w:hint="eastAsia" w:cs="Times New Roman"/>
                      <w:b w:val="0"/>
                      <w:bCs/>
                      <w:kern w:val="2"/>
                      <w:sz w:val="21"/>
                      <w:szCs w:val="21"/>
                      <w:highlight w:val="none"/>
                      <w:lang w:val="en-US" w:eastAsia="zh-CN" w:bidi="ar"/>
                    </w:rPr>
                    <w:t>20</w:t>
                  </w:r>
                  <w:r>
                    <w:rPr>
                      <w:rFonts w:hint="default" w:ascii="Times New Roman" w:hAnsi="Times New Roman" w:eastAsia="宋体" w:cs="Times New Roman"/>
                      <w:b w:val="0"/>
                      <w:bCs/>
                      <w:kern w:val="2"/>
                      <w:sz w:val="21"/>
                      <w:szCs w:val="21"/>
                      <w:highlight w:val="none"/>
                      <w:lang w:val="en-US" w:eastAsia="zh-CN" w:bidi="ar"/>
                    </w:rPr>
                    <w:t>′</w:t>
                  </w:r>
                  <w:r>
                    <w:rPr>
                      <w:rFonts w:hint="eastAsia" w:cs="Times New Roman"/>
                      <w:b w:val="0"/>
                      <w:bCs/>
                      <w:kern w:val="2"/>
                      <w:sz w:val="21"/>
                      <w:szCs w:val="21"/>
                      <w:highlight w:val="none"/>
                      <w:lang w:val="en-US" w:eastAsia="zh-CN" w:bidi="ar"/>
                    </w:rPr>
                    <w:t>45.813</w:t>
                  </w:r>
                  <w:r>
                    <w:rPr>
                      <w:rFonts w:hint="default" w:ascii="Times New Roman" w:hAnsi="Times New Roman" w:eastAsia="宋体" w:cs="Times New Roman"/>
                      <w:b w:val="0"/>
                      <w:bCs/>
                      <w:kern w:val="2"/>
                      <w:sz w:val="21"/>
                      <w:szCs w:val="21"/>
                      <w:highlight w:val="none"/>
                      <w:lang w:val="en-US" w:eastAsia="zh-CN" w:bidi="ar"/>
                    </w:rPr>
                    <w:t>″</w:t>
                  </w:r>
                </w:p>
              </w:tc>
            </w:tr>
          </w:tbl>
          <w:p w14:paraId="1CEC7A1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2" w:firstLineChars="200"/>
              <w:textAlignment w:val="auto"/>
              <w:rPr>
                <w:rFonts w:hint="default" w:ascii="Times New Roman" w:hAnsi="Times New Roman" w:eastAsia="宋体" w:cs="Times New Roman"/>
                <w:b/>
                <w:bCs/>
                <w:kern w:val="2"/>
                <w:sz w:val="24"/>
                <w:szCs w:val="24"/>
                <w:highlight w:val="none"/>
                <w:lang w:val="en-US" w:eastAsia="zh-CN" w:bidi="ar"/>
              </w:rPr>
            </w:pPr>
            <w:r>
              <w:rPr>
                <w:rFonts w:hint="eastAsia" w:cs="Times New Roman"/>
                <w:b/>
                <w:bCs/>
                <w:kern w:val="2"/>
                <w:sz w:val="24"/>
                <w:szCs w:val="24"/>
                <w:highlight w:val="none"/>
                <w:lang w:val="en-US" w:eastAsia="zh-CN" w:bidi="ar"/>
              </w:rPr>
              <w:t>排入污水处理厂可行性分析</w:t>
            </w:r>
          </w:p>
          <w:p w14:paraId="03C825E7">
            <w:pPr>
              <w:pStyle w:val="96"/>
              <w:keepNext w:val="0"/>
              <w:keepLines w:val="0"/>
              <w:pageBreakBefore w:val="0"/>
              <w:widowControl/>
              <w:kinsoku/>
              <w:overflowPunct/>
              <w:topLinePunct w:val="0"/>
              <w:bidi w:val="0"/>
              <w:adjustRightInd w:val="0"/>
              <w:snapToGrid w:val="0"/>
              <w:spacing w:after="0" w:afterAutospacing="0" w:line="520" w:lineRule="exact"/>
              <w:ind w:left="0" w:firstLine="480" w:firstLineChars="200"/>
              <w:jc w:val="left"/>
            </w:pPr>
            <w:r>
              <w:rPr>
                <w:lang w:val="en-US"/>
              </w:rPr>
              <w:t>a.</w:t>
            </w:r>
            <w:r>
              <w:rPr>
                <w:rFonts w:hint="eastAsia" w:ascii="Times New Roman" w:hAnsi="Times New Roman" w:eastAsia="宋体" w:cs="宋体"/>
              </w:rPr>
              <w:t>收水范围</w:t>
            </w:r>
          </w:p>
          <w:p w14:paraId="394688F2">
            <w:pPr>
              <w:keepNext w:val="0"/>
              <w:keepLines w:val="0"/>
              <w:pageBreakBefore w:val="0"/>
              <w:widowControl w:val="0"/>
              <w:suppressLineNumbers w:val="0"/>
              <w:kinsoku/>
              <w:overflowPunct/>
              <w:topLinePunct w:val="0"/>
              <w:autoSpaceDE w:val="0"/>
              <w:autoSpaceDN w:val="0"/>
              <w:bidi w:val="0"/>
              <w:adjustRightInd w:val="0"/>
              <w:snapToGrid w:val="0"/>
              <w:spacing w:before="0" w:beforeAutospacing="0" w:after="0" w:afterAutospacing="0" w:line="520" w:lineRule="exact"/>
              <w:ind w:left="0" w:right="0" w:firstLine="480" w:firstLineChars="200"/>
              <w:jc w:val="both"/>
              <w:rPr>
                <w:rFonts w:hint="default"/>
                <w:kern w:val="0"/>
                <w:sz w:val="24"/>
                <w:szCs w:val="20"/>
                <w:lang w:val="en-US"/>
              </w:rPr>
            </w:pPr>
            <w:r>
              <w:rPr>
                <w:rFonts w:hint="eastAsia" w:ascii="Times New Roman" w:hAnsi="Times New Roman" w:eastAsia="宋体" w:cs="宋体"/>
                <w:kern w:val="0"/>
                <w:sz w:val="24"/>
                <w:szCs w:val="20"/>
                <w:lang w:val="en-US" w:eastAsia="zh-CN" w:bidi="ar"/>
              </w:rPr>
              <w:t>本项目位于汤阴县韩庄</w:t>
            </w:r>
            <w:r>
              <w:rPr>
                <w:rFonts w:hint="eastAsia" w:cs="宋体"/>
                <w:kern w:val="0"/>
                <w:sz w:val="24"/>
                <w:szCs w:val="20"/>
                <w:lang w:val="en-US" w:eastAsia="zh-CN" w:bidi="ar"/>
              </w:rPr>
              <w:t>镇</w:t>
            </w:r>
            <w:r>
              <w:rPr>
                <w:rFonts w:hint="eastAsia" w:ascii="Times New Roman" w:hAnsi="Times New Roman" w:eastAsia="宋体" w:cs="宋体"/>
                <w:kern w:val="0"/>
                <w:sz w:val="24"/>
                <w:szCs w:val="20"/>
                <w:lang w:val="en-US" w:eastAsia="zh-CN" w:bidi="ar"/>
              </w:rPr>
              <w:t>工兴大道与岳庙街交叉口东南角，属于汤阴县东方环宇污水处理有限公司收水范围内，因此项目生活废水可排入污水处理厂。</w:t>
            </w:r>
          </w:p>
          <w:p w14:paraId="5F96BF2C">
            <w:pPr>
              <w:pStyle w:val="96"/>
              <w:keepNext w:val="0"/>
              <w:keepLines w:val="0"/>
              <w:pageBreakBefore w:val="0"/>
              <w:widowControl/>
              <w:kinsoku/>
              <w:overflowPunct/>
              <w:topLinePunct w:val="0"/>
              <w:bidi w:val="0"/>
              <w:adjustRightInd w:val="0"/>
              <w:snapToGrid w:val="0"/>
              <w:spacing w:after="0" w:afterAutospacing="0" w:line="520" w:lineRule="exact"/>
              <w:ind w:left="0" w:firstLine="480" w:firstLineChars="200"/>
              <w:jc w:val="left"/>
            </w:pPr>
            <w:r>
              <w:rPr>
                <w:lang w:val="en-US"/>
              </w:rPr>
              <w:t>b.</w:t>
            </w:r>
            <w:r>
              <w:rPr>
                <w:rFonts w:hint="eastAsia" w:ascii="Times New Roman" w:hAnsi="Times New Roman" w:eastAsia="宋体" w:cs="宋体"/>
              </w:rPr>
              <w:t>处理能力及工艺</w:t>
            </w:r>
          </w:p>
          <w:p w14:paraId="38C2808B">
            <w:pPr>
              <w:keepNext w:val="0"/>
              <w:keepLines w:val="0"/>
              <w:pageBreakBefore w:val="0"/>
              <w:widowControl w:val="0"/>
              <w:suppressLineNumbers w:val="0"/>
              <w:kinsoku/>
              <w:overflowPunct/>
              <w:topLinePunct w:val="0"/>
              <w:autoSpaceDE w:val="0"/>
              <w:autoSpaceDN w:val="0"/>
              <w:bidi w:val="0"/>
              <w:adjustRightInd w:val="0"/>
              <w:snapToGrid w:val="0"/>
              <w:spacing w:before="0" w:beforeAutospacing="0" w:after="0" w:afterAutospacing="0" w:line="520" w:lineRule="exact"/>
              <w:ind w:left="0" w:right="0" w:firstLine="480" w:firstLineChars="200"/>
              <w:jc w:val="both"/>
              <w:rPr>
                <w:rFonts w:hint="default"/>
                <w:kern w:val="0"/>
                <w:sz w:val="24"/>
                <w:szCs w:val="20"/>
                <w:lang w:val="en-US"/>
              </w:rPr>
            </w:pPr>
            <w:r>
              <w:rPr>
                <w:rFonts w:hint="eastAsia" w:ascii="Times New Roman" w:hAnsi="Times New Roman" w:eastAsia="宋体" w:cs="宋体"/>
                <w:kern w:val="0"/>
                <w:sz w:val="24"/>
                <w:szCs w:val="20"/>
                <w:lang w:val="en-US" w:eastAsia="zh-CN" w:bidi="ar"/>
              </w:rPr>
              <w:t>汤阴东方环宇污水处理有限公司设计处理规模为</w:t>
            </w:r>
            <w:r>
              <w:rPr>
                <w:rFonts w:hint="default" w:ascii="Times New Roman" w:hAnsi="Times New Roman" w:eastAsia="宋体" w:cs="Times New Roman"/>
                <w:kern w:val="0"/>
                <w:sz w:val="24"/>
                <w:szCs w:val="20"/>
                <w:lang w:val="en-US" w:eastAsia="zh-CN" w:bidi="ar"/>
              </w:rPr>
              <w:t>3</w:t>
            </w:r>
            <w:r>
              <w:rPr>
                <w:rFonts w:hint="eastAsia" w:ascii="Times New Roman" w:hAnsi="Times New Roman" w:eastAsia="宋体" w:cs="宋体"/>
                <w:kern w:val="0"/>
                <w:sz w:val="24"/>
                <w:szCs w:val="20"/>
                <w:lang w:val="en-US" w:eastAsia="zh-CN" w:bidi="ar"/>
              </w:rPr>
              <w:t>万</w:t>
            </w:r>
            <w:r>
              <w:rPr>
                <w:rFonts w:hint="default" w:ascii="Times New Roman" w:hAnsi="Times New Roman" w:eastAsia="宋体" w:cs="Times New Roman"/>
                <w:kern w:val="0"/>
                <w:sz w:val="24"/>
                <w:szCs w:val="20"/>
                <w:lang w:val="en-US" w:eastAsia="zh-CN" w:bidi="ar"/>
              </w:rPr>
              <w:t>t/d</w:t>
            </w:r>
            <w:r>
              <w:rPr>
                <w:rFonts w:hint="eastAsia" w:ascii="Times New Roman" w:hAnsi="Times New Roman" w:eastAsia="宋体" w:cs="宋体"/>
                <w:kern w:val="0"/>
                <w:sz w:val="24"/>
                <w:szCs w:val="20"/>
                <w:lang w:val="en-US" w:eastAsia="zh-CN" w:bidi="ar"/>
              </w:rPr>
              <w:t>，主要处理工业废水，其中一期</w:t>
            </w:r>
            <w:r>
              <w:rPr>
                <w:rFonts w:hint="default" w:ascii="Times New Roman" w:hAnsi="Times New Roman" w:eastAsia="宋体" w:cs="Times New Roman"/>
                <w:kern w:val="0"/>
                <w:sz w:val="24"/>
                <w:szCs w:val="20"/>
                <w:lang w:val="en-US" w:eastAsia="zh-CN" w:bidi="ar"/>
              </w:rPr>
              <w:t>1.5</w:t>
            </w:r>
            <w:r>
              <w:rPr>
                <w:rFonts w:hint="eastAsia" w:ascii="Times New Roman" w:hAnsi="Times New Roman" w:eastAsia="宋体" w:cs="宋体"/>
                <w:kern w:val="0"/>
                <w:sz w:val="24"/>
                <w:szCs w:val="20"/>
                <w:lang w:val="en-US" w:eastAsia="zh-CN" w:bidi="ar"/>
              </w:rPr>
              <w:t>万</w:t>
            </w:r>
            <w:r>
              <w:rPr>
                <w:rFonts w:hint="default" w:ascii="Times New Roman" w:hAnsi="Times New Roman" w:eastAsia="宋体" w:cs="Times New Roman"/>
                <w:kern w:val="0"/>
                <w:sz w:val="24"/>
                <w:szCs w:val="20"/>
                <w:lang w:val="en-US" w:eastAsia="zh-CN" w:bidi="ar"/>
              </w:rPr>
              <w:t>t/d</w:t>
            </w:r>
            <w:r>
              <w:rPr>
                <w:rFonts w:hint="eastAsia" w:ascii="Times New Roman" w:hAnsi="Times New Roman" w:eastAsia="宋体" w:cs="宋体"/>
                <w:kern w:val="0"/>
                <w:sz w:val="24"/>
                <w:szCs w:val="20"/>
                <w:lang w:val="en-US" w:eastAsia="zh-CN" w:bidi="ar"/>
              </w:rPr>
              <w:t>（已满负荷运行），处理工艺采用</w:t>
            </w:r>
            <w:r>
              <w:rPr>
                <w:rFonts w:hint="default" w:ascii="Times New Roman" w:hAnsi="Times New Roman" w:eastAsia="宋体" w:cs="Times New Roman"/>
                <w:kern w:val="0"/>
                <w:sz w:val="24"/>
                <w:szCs w:val="20"/>
                <w:lang w:val="en-US" w:eastAsia="zh-CN" w:bidi="ar"/>
              </w:rPr>
              <w:t>BCM</w:t>
            </w:r>
            <w:r>
              <w:rPr>
                <w:rFonts w:hint="eastAsia" w:ascii="Times New Roman" w:hAnsi="Times New Roman" w:eastAsia="宋体" w:cs="宋体"/>
                <w:kern w:val="0"/>
                <w:sz w:val="24"/>
                <w:szCs w:val="20"/>
                <w:lang w:val="en-US" w:eastAsia="zh-CN" w:bidi="ar"/>
              </w:rPr>
              <w:t>工艺（</w:t>
            </w:r>
            <w:r>
              <w:rPr>
                <w:rFonts w:hint="default" w:ascii="Times New Roman" w:hAnsi="Times New Roman" w:eastAsia="宋体" w:cs="Times New Roman"/>
                <w:kern w:val="0"/>
                <w:sz w:val="24"/>
                <w:szCs w:val="20"/>
                <w:lang w:val="en-US" w:eastAsia="zh-CN" w:bidi="ar"/>
              </w:rPr>
              <w:t>A</w:t>
            </w:r>
            <w:r>
              <w:rPr>
                <w:rFonts w:hint="default" w:ascii="Times New Roman" w:hAnsi="Times New Roman" w:eastAsia="宋体" w:cs="Times New Roman"/>
                <w:kern w:val="0"/>
                <w:sz w:val="24"/>
                <w:szCs w:val="20"/>
                <w:vertAlign w:val="superscript"/>
                <w:lang w:val="en-US" w:eastAsia="zh-CN" w:bidi="ar"/>
              </w:rPr>
              <w:t>2</w:t>
            </w:r>
            <w:r>
              <w:rPr>
                <w:rFonts w:hint="default" w:ascii="Times New Roman" w:hAnsi="Times New Roman" w:eastAsia="宋体" w:cs="Times New Roman"/>
                <w:kern w:val="0"/>
                <w:sz w:val="24"/>
                <w:szCs w:val="20"/>
                <w:lang w:val="en-US" w:eastAsia="zh-CN" w:bidi="ar"/>
              </w:rPr>
              <w:t>/O+</w:t>
            </w:r>
            <w:r>
              <w:rPr>
                <w:rFonts w:hint="eastAsia" w:ascii="Times New Roman" w:hAnsi="Times New Roman" w:eastAsia="宋体" w:cs="宋体"/>
                <w:kern w:val="0"/>
                <w:sz w:val="24"/>
                <w:szCs w:val="20"/>
                <w:lang w:val="en-US" w:eastAsia="zh-CN" w:bidi="ar"/>
              </w:rPr>
              <w:t>混凝沉淀</w:t>
            </w:r>
            <w:r>
              <w:rPr>
                <w:rFonts w:hint="default" w:ascii="Times New Roman" w:hAnsi="Times New Roman" w:eastAsia="宋体" w:cs="Times New Roman"/>
                <w:kern w:val="0"/>
                <w:sz w:val="24"/>
                <w:szCs w:val="20"/>
                <w:lang w:val="en-US" w:eastAsia="zh-CN" w:bidi="ar"/>
              </w:rPr>
              <w:t>+</w:t>
            </w:r>
            <w:r>
              <w:rPr>
                <w:rFonts w:hint="eastAsia" w:ascii="Times New Roman" w:hAnsi="Times New Roman" w:eastAsia="宋体" w:cs="宋体"/>
                <w:kern w:val="0"/>
                <w:sz w:val="24"/>
                <w:szCs w:val="20"/>
                <w:lang w:val="en-US" w:eastAsia="zh-CN" w:bidi="ar"/>
              </w:rPr>
              <w:t>滤布滤池）；二期</w:t>
            </w:r>
            <w:r>
              <w:rPr>
                <w:rFonts w:hint="default" w:ascii="Times New Roman" w:hAnsi="Times New Roman" w:eastAsia="宋体" w:cs="Times New Roman"/>
                <w:kern w:val="0"/>
                <w:sz w:val="24"/>
                <w:szCs w:val="20"/>
                <w:lang w:val="en-US" w:eastAsia="zh-CN" w:bidi="ar"/>
              </w:rPr>
              <w:t>1.5</w:t>
            </w:r>
            <w:r>
              <w:rPr>
                <w:rFonts w:hint="eastAsia" w:ascii="Times New Roman" w:hAnsi="Times New Roman" w:eastAsia="宋体" w:cs="宋体"/>
                <w:kern w:val="0"/>
                <w:sz w:val="24"/>
                <w:szCs w:val="20"/>
                <w:lang w:val="en-US" w:eastAsia="zh-CN" w:bidi="ar"/>
              </w:rPr>
              <w:t>万</w:t>
            </w:r>
            <w:r>
              <w:rPr>
                <w:rFonts w:hint="default" w:ascii="Times New Roman" w:hAnsi="Times New Roman" w:eastAsia="宋体" w:cs="Times New Roman"/>
                <w:kern w:val="0"/>
                <w:sz w:val="24"/>
                <w:szCs w:val="20"/>
                <w:lang w:val="en-US" w:eastAsia="zh-CN" w:bidi="ar"/>
              </w:rPr>
              <w:t>t/d</w:t>
            </w:r>
            <w:r>
              <w:rPr>
                <w:rFonts w:hint="eastAsia" w:ascii="Times New Roman" w:hAnsi="Times New Roman" w:eastAsia="宋体" w:cs="宋体"/>
                <w:kern w:val="0"/>
                <w:sz w:val="24"/>
                <w:szCs w:val="20"/>
                <w:lang w:val="en-US" w:eastAsia="zh-CN" w:bidi="ar"/>
              </w:rPr>
              <w:t>，处理工艺采用韩国</w:t>
            </w:r>
            <w:r>
              <w:rPr>
                <w:rFonts w:hint="default" w:ascii="Times New Roman" w:hAnsi="Times New Roman" w:eastAsia="宋体" w:cs="Times New Roman"/>
                <w:kern w:val="0"/>
                <w:sz w:val="24"/>
                <w:szCs w:val="20"/>
                <w:lang w:val="en-US" w:eastAsia="zh-CN" w:bidi="ar"/>
              </w:rPr>
              <w:t>CNR</w:t>
            </w:r>
            <w:r>
              <w:rPr>
                <w:rFonts w:hint="eastAsia" w:ascii="Times New Roman" w:hAnsi="Times New Roman" w:eastAsia="宋体" w:cs="宋体"/>
                <w:kern w:val="0"/>
                <w:sz w:val="24"/>
                <w:szCs w:val="20"/>
                <w:lang w:val="en-US" w:eastAsia="zh-CN" w:bidi="ar"/>
              </w:rPr>
              <w:t>工艺</w:t>
            </w:r>
            <w:r>
              <w:rPr>
                <w:rFonts w:hint="default" w:ascii="Times New Roman" w:hAnsi="Times New Roman" w:eastAsia="宋体" w:cs="Times New Roman"/>
                <w:kern w:val="0"/>
                <w:sz w:val="24"/>
                <w:szCs w:val="20"/>
                <w:lang w:val="en-US" w:eastAsia="zh-CN" w:bidi="ar"/>
              </w:rPr>
              <w:t>+</w:t>
            </w:r>
            <w:r>
              <w:rPr>
                <w:rFonts w:hint="eastAsia" w:ascii="Times New Roman" w:hAnsi="Times New Roman" w:eastAsia="宋体" w:cs="宋体"/>
                <w:kern w:val="0"/>
                <w:sz w:val="24"/>
                <w:szCs w:val="20"/>
                <w:lang w:val="en-US" w:eastAsia="zh-CN" w:bidi="ar"/>
              </w:rPr>
              <w:t>磁分离技术，利用纤毛状填料同步脱氮除磷的生物接触工艺，目前二期收水量</w:t>
            </w:r>
            <w:r>
              <w:rPr>
                <w:rFonts w:hint="default" w:ascii="Times New Roman" w:hAnsi="Times New Roman" w:eastAsia="宋体" w:cs="Times New Roman"/>
                <w:kern w:val="0"/>
                <w:sz w:val="24"/>
                <w:szCs w:val="20"/>
                <w:lang w:val="en-US" w:eastAsia="zh-CN" w:bidi="ar"/>
              </w:rPr>
              <w:t>0.9</w:t>
            </w:r>
            <w:r>
              <w:rPr>
                <w:rFonts w:hint="eastAsia" w:ascii="Times New Roman" w:hAnsi="Times New Roman" w:eastAsia="宋体" w:cs="宋体"/>
                <w:kern w:val="0"/>
                <w:sz w:val="24"/>
                <w:szCs w:val="20"/>
                <w:lang w:val="en-US" w:eastAsia="zh-CN" w:bidi="ar"/>
              </w:rPr>
              <w:t>万</w:t>
            </w:r>
            <w:r>
              <w:rPr>
                <w:rFonts w:hint="default" w:ascii="Times New Roman" w:hAnsi="Times New Roman" w:eastAsia="宋体" w:cs="Times New Roman"/>
                <w:kern w:val="0"/>
                <w:sz w:val="24"/>
                <w:szCs w:val="20"/>
                <w:lang w:val="en-US" w:eastAsia="zh-CN" w:bidi="ar"/>
              </w:rPr>
              <w:t>t/d</w:t>
            </w:r>
            <w:r>
              <w:rPr>
                <w:rFonts w:hint="eastAsia" w:ascii="Times New Roman" w:hAnsi="Times New Roman" w:eastAsia="宋体" w:cs="宋体"/>
                <w:kern w:val="0"/>
                <w:sz w:val="24"/>
                <w:szCs w:val="20"/>
                <w:lang w:val="en-US" w:eastAsia="zh-CN" w:bidi="ar"/>
              </w:rPr>
              <w:t>，本项目生活废水排放量很少，二期工程剩余污水处理能力能够满足本项目需要。</w:t>
            </w:r>
          </w:p>
          <w:p w14:paraId="62EE4824">
            <w:pPr>
              <w:pStyle w:val="96"/>
              <w:keepNext w:val="0"/>
              <w:keepLines w:val="0"/>
              <w:pageBreakBefore w:val="0"/>
              <w:widowControl/>
              <w:kinsoku/>
              <w:overflowPunct/>
              <w:topLinePunct w:val="0"/>
              <w:bidi w:val="0"/>
              <w:adjustRightInd w:val="0"/>
              <w:snapToGrid w:val="0"/>
              <w:spacing w:after="0" w:afterAutospacing="0" w:line="520" w:lineRule="exact"/>
              <w:ind w:left="0" w:firstLine="480" w:firstLineChars="200"/>
              <w:jc w:val="left"/>
            </w:pPr>
            <w:r>
              <w:rPr>
                <w:lang w:val="en-US"/>
              </w:rPr>
              <w:t>c.</w:t>
            </w:r>
            <w:r>
              <w:rPr>
                <w:rFonts w:hint="eastAsia" w:ascii="Times New Roman" w:hAnsi="Times New Roman" w:eastAsia="宋体" w:cs="宋体"/>
              </w:rPr>
              <w:t>设计进、出水水质</w:t>
            </w:r>
          </w:p>
          <w:p w14:paraId="1ED1A7A3">
            <w:pPr>
              <w:pStyle w:val="96"/>
              <w:keepNext w:val="0"/>
              <w:keepLines w:val="0"/>
              <w:pageBreakBefore w:val="0"/>
              <w:widowControl/>
              <w:kinsoku/>
              <w:wordWrap w:val="0"/>
              <w:overflowPunct/>
              <w:topLinePunct w:val="0"/>
              <w:bidi w:val="0"/>
              <w:adjustRightInd w:val="0"/>
              <w:snapToGrid w:val="0"/>
              <w:spacing w:after="0" w:afterAutospacing="0" w:line="520" w:lineRule="exact"/>
              <w:ind w:left="0" w:firstLine="480" w:firstLineChars="200"/>
              <w:jc w:val="left"/>
              <w:rPr>
                <w:bCs/>
                <w:lang w:val="en-US"/>
              </w:rPr>
            </w:pPr>
            <w:r>
              <w:rPr>
                <w:rFonts w:hint="eastAsia" w:ascii="Times New Roman" w:hAnsi="Times New Roman" w:eastAsia="宋体" w:cs="宋体"/>
              </w:rPr>
              <w:t>汤阴东方环宇污水处理有限公司</w:t>
            </w:r>
            <w:r>
              <w:rPr>
                <w:rFonts w:hint="eastAsia" w:ascii="Times New Roman" w:hAnsi="Times New Roman" w:eastAsia="宋体" w:cs="宋体"/>
                <w:bCs/>
              </w:rPr>
              <w:t>设计进水水质为</w:t>
            </w:r>
            <w:r>
              <w:rPr>
                <w:bCs/>
                <w:lang w:val="en-US"/>
              </w:rPr>
              <w:t>COD≤350mg/L</w:t>
            </w:r>
            <w:r>
              <w:rPr>
                <w:rFonts w:hint="eastAsia" w:ascii="Times New Roman" w:hAnsi="Times New Roman" w:eastAsia="宋体" w:cs="宋体"/>
                <w:bCs/>
              </w:rPr>
              <w:t>、</w:t>
            </w:r>
            <w:r>
              <w:rPr>
                <w:bCs/>
                <w:lang w:val="en-US"/>
              </w:rPr>
              <w:t>BOD</w:t>
            </w:r>
            <w:r>
              <w:rPr>
                <w:bCs/>
                <w:vertAlign w:val="subscript"/>
                <w:lang w:val="en-US"/>
              </w:rPr>
              <w:t>5</w:t>
            </w:r>
            <w:r>
              <w:rPr>
                <w:bCs/>
                <w:lang w:val="en-US"/>
              </w:rPr>
              <w:t>≤</w:t>
            </w:r>
          </w:p>
          <w:p w14:paraId="0843EEEE">
            <w:pPr>
              <w:pStyle w:val="96"/>
              <w:keepNext w:val="0"/>
              <w:keepLines w:val="0"/>
              <w:pageBreakBefore w:val="0"/>
              <w:widowControl/>
              <w:kinsoku/>
              <w:wordWrap w:val="0"/>
              <w:overflowPunct/>
              <w:topLinePunct w:val="0"/>
              <w:bidi w:val="0"/>
              <w:adjustRightInd w:val="0"/>
              <w:snapToGrid w:val="0"/>
              <w:spacing w:after="0" w:afterAutospacing="0" w:line="520" w:lineRule="exact"/>
              <w:jc w:val="left"/>
            </w:pPr>
            <w:r>
              <w:rPr>
                <w:bCs/>
                <w:lang w:val="en-US"/>
              </w:rPr>
              <w:t>170mg/L</w:t>
            </w:r>
            <w:r>
              <w:rPr>
                <w:rFonts w:hint="eastAsia" w:ascii="Times New Roman" w:hAnsi="Times New Roman" w:eastAsia="宋体" w:cs="宋体"/>
                <w:bCs/>
              </w:rPr>
              <w:t>、</w:t>
            </w:r>
            <w:r>
              <w:rPr>
                <w:bCs/>
                <w:lang w:val="en-US"/>
              </w:rPr>
              <w:t>NH</w:t>
            </w:r>
            <w:r>
              <w:rPr>
                <w:bCs/>
                <w:vertAlign w:val="subscript"/>
                <w:lang w:val="en-US"/>
              </w:rPr>
              <w:t>3</w:t>
            </w:r>
            <w:r>
              <w:rPr>
                <w:bCs/>
                <w:lang w:val="en-US"/>
              </w:rPr>
              <w:t>-N≤35mg/L</w:t>
            </w:r>
            <w:r>
              <w:rPr>
                <w:rFonts w:hint="eastAsia" w:ascii="Times New Roman" w:hAnsi="Times New Roman" w:eastAsia="宋体" w:cs="宋体"/>
                <w:bCs/>
              </w:rPr>
              <w:t>、</w:t>
            </w:r>
            <w:r>
              <w:rPr>
                <w:bCs/>
                <w:lang w:val="en-US"/>
              </w:rPr>
              <w:t>SS≤210mg/L</w:t>
            </w:r>
            <w:r>
              <w:rPr>
                <w:rFonts w:hint="eastAsia" w:ascii="Times New Roman" w:hAnsi="Times New Roman" w:eastAsia="宋体" w:cs="宋体"/>
                <w:bCs/>
              </w:rPr>
              <w:t>，设计出水水质《城镇污水处理厂污染物排放标准》（</w:t>
            </w:r>
            <w:r>
              <w:rPr>
                <w:bCs/>
                <w:lang w:val="en-US"/>
              </w:rPr>
              <w:t>GB18918-2002</w:t>
            </w:r>
            <w:r>
              <w:rPr>
                <w:rFonts w:hint="eastAsia" w:ascii="Times New Roman" w:hAnsi="Times New Roman" w:eastAsia="宋体" w:cs="宋体"/>
                <w:bCs/>
              </w:rPr>
              <w:t>）一级</w:t>
            </w:r>
            <w:r>
              <w:rPr>
                <w:bCs/>
                <w:lang w:val="en-US"/>
              </w:rPr>
              <w:t>A</w:t>
            </w:r>
            <w:r>
              <w:rPr>
                <w:rFonts w:hint="eastAsia" w:ascii="Times New Roman" w:hAnsi="Times New Roman" w:eastAsia="宋体" w:cs="宋体"/>
                <w:bCs/>
              </w:rPr>
              <w:t>标准，即</w:t>
            </w:r>
            <w:r>
              <w:rPr>
                <w:bCs/>
                <w:lang w:val="en-US"/>
              </w:rPr>
              <w:t>COD≤50mg/L</w:t>
            </w:r>
            <w:r>
              <w:rPr>
                <w:rFonts w:hint="eastAsia" w:ascii="Times New Roman" w:hAnsi="Times New Roman" w:eastAsia="宋体" w:cs="宋体"/>
                <w:bCs/>
              </w:rPr>
              <w:t>、</w:t>
            </w:r>
            <w:r>
              <w:rPr>
                <w:bCs/>
                <w:lang w:val="en-US"/>
              </w:rPr>
              <w:t>BOD</w:t>
            </w:r>
            <w:r>
              <w:rPr>
                <w:bCs/>
                <w:vertAlign w:val="subscript"/>
                <w:lang w:val="en-US"/>
              </w:rPr>
              <w:t>5</w:t>
            </w:r>
            <w:r>
              <w:rPr>
                <w:bCs/>
                <w:lang w:val="en-US"/>
              </w:rPr>
              <w:t>≤10mg/L</w:t>
            </w:r>
            <w:r>
              <w:rPr>
                <w:rFonts w:hint="eastAsia" w:ascii="Times New Roman" w:hAnsi="Times New Roman" w:eastAsia="宋体" w:cs="宋体"/>
                <w:bCs/>
              </w:rPr>
              <w:t>、</w:t>
            </w:r>
            <w:r>
              <w:rPr>
                <w:bCs/>
                <w:lang w:val="en-US"/>
              </w:rPr>
              <w:t>NH</w:t>
            </w:r>
            <w:r>
              <w:rPr>
                <w:bCs/>
                <w:vertAlign w:val="subscript"/>
                <w:lang w:val="en-US"/>
              </w:rPr>
              <w:t>3</w:t>
            </w:r>
            <w:r>
              <w:rPr>
                <w:bCs/>
                <w:lang w:val="en-US"/>
              </w:rPr>
              <w:t>-N≤5mg/L</w:t>
            </w:r>
            <w:r>
              <w:rPr>
                <w:rFonts w:hint="eastAsia" w:ascii="Times New Roman" w:hAnsi="Times New Roman" w:eastAsia="宋体" w:cs="宋体"/>
                <w:bCs/>
              </w:rPr>
              <w:t>、</w:t>
            </w:r>
            <w:r>
              <w:rPr>
                <w:bCs/>
                <w:lang w:val="en-US"/>
              </w:rPr>
              <w:t>SS≤10mg/L</w:t>
            </w:r>
            <w:r>
              <w:rPr>
                <w:rFonts w:hint="eastAsia" w:ascii="Times New Roman" w:hAnsi="Times New Roman" w:eastAsia="宋体" w:cs="宋体"/>
                <w:bCs/>
              </w:rPr>
              <w:t>。经调查，该污水处理厂运行稳定，出水水质可满足《城镇污水处理厂污染物排放标准》（</w:t>
            </w:r>
            <w:r>
              <w:rPr>
                <w:bCs/>
                <w:lang w:val="en-US"/>
              </w:rPr>
              <w:t>GB18918-2002</w:t>
            </w:r>
            <w:r>
              <w:rPr>
                <w:rFonts w:hint="eastAsia" w:ascii="Times New Roman" w:hAnsi="Times New Roman" w:eastAsia="宋体" w:cs="宋体"/>
                <w:bCs/>
              </w:rPr>
              <w:t>）一级</w:t>
            </w:r>
            <w:r>
              <w:rPr>
                <w:bCs/>
                <w:lang w:val="en-US"/>
              </w:rPr>
              <w:t>A</w:t>
            </w:r>
            <w:r>
              <w:rPr>
                <w:rFonts w:hint="eastAsia" w:ascii="Times New Roman" w:hAnsi="Times New Roman" w:eastAsia="宋体" w:cs="宋体"/>
                <w:bCs/>
              </w:rPr>
              <w:t>标准要求。</w:t>
            </w:r>
          </w:p>
          <w:p w14:paraId="52196484">
            <w:pPr>
              <w:keepNext w:val="0"/>
              <w:keepLines w:val="0"/>
              <w:pageBreakBefore w:val="0"/>
              <w:widowControl w:val="0"/>
              <w:suppressLineNumbers w:val="0"/>
              <w:kinsoku/>
              <w:overflowPunct/>
              <w:topLinePunct w:val="0"/>
              <w:bidi w:val="0"/>
              <w:adjustRightInd w:val="0"/>
              <w:snapToGrid w:val="0"/>
              <w:spacing w:before="0" w:beforeAutospacing="0" w:after="0" w:afterAutospacing="0" w:line="520" w:lineRule="exact"/>
              <w:ind w:left="0" w:right="0" w:firstLine="480" w:firstLineChars="200"/>
              <w:jc w:val="both"/>
              <w:rPr>
                <w:rFonts w:hint="default"/>
                <w:sz w:val="24"/>
                <w:szCs w:val="24"/>
                <w:lang w:val="en-US"/>
              </w:rPr>
            </w:pPr>
            <w:r>
              <w:rPr>
                <w:rStyle w:val="31"/>
                <w:rFonts w:hint="eastAsia" w:ascii="Times New Roman" w:hAnsi="Times New Roman" w:eastAsia="宋体" w:cs="宋体"/>
                <w:kern w:val="0"/>
                <w:sz w:val="24"/>
                <w:szCs w:val="24"/>
                <w:lang w:val="en-US" w:eastAsia="zh-CN" w:bidi="ar"/>
              </w:rPr>
              <w:t>根据上表可知，项目生活废水排放能够满足《污水综合排放标准》（</w:t>
            </w:r>
            <w:r>
              <w:rPr>
                <w:rStyle w:val="31"/>
                <w:rFonts w:hint="default" w:ascii="Times New Roman" w:hAnsi="Times New Roman" w:eastAsia="宋体" w:cs="Times New Roman"/>
                <w:kern w:val="0"/>
                <w:sz w:val="24"/>
                <w:szCs w:val="24"/>
                <w:lang w:val="en-US" w:eastAsia="zh-CN" w:bidi="ar"/>
              </w:rPr>
              <w:t>GB8978-1996</w:t>
            </w:r>
            <w:r>
              <w:rPr>
                <w:rStyle w:val="31"/>
                <w:rFonts w:hint="eastAsia" w:ascii="Times New Roman" w:hAnsi="Times New Roman" w:eastAsia="宋体" w:cs="宋体"/>
                <w:kern w:val="0"/>
                <w:sz w:val="24"/>
                <w:szCs w:val="24"/>
                <w:lang w:val="en-US" w:eastAsia="zh-CN" w:bidi="ar"/>
              </w:rPr>
              <w:t>）三级标准，同时满足汤阴东方环宇污水处理有限公司进水水质要求</w:t>
            </w:r>
            <w:r>
              <w:rPr>
                <w:rFonts w:hint="eastAsia" w:ascii="Times New Roman" w:hAnsi="Times New Roman" w:eastAsia="宋体" w:cs="宋体"/>
                <w:kern w:val="2"/>
                <w:sz w:val="24"/>
                <w:szCs w:val="24"/>
                <w:lang w:val="en-US" w:eastAsia="zh-CN" w:bidi="ar"/>
              </w:rPr>
              <w:t>。</w:t>
            </w:r>
          </w:p>
          <w:p w14:paraId="0EFA728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rPr>
                <w:rFonts w:hint="default"/>
                <w:sz w:val="24"/>
                <w:szCs w:val="24"/>
                <w:lang w:val="en-US"/>
              </w:rPr>
            </w:pPr>
            <w:r>
              <w:rPr>
                <w:rFonts w:hint="default" w:ascii="Times New Roman" w:hAnsi="Times New Roman" w:eastAsia="宋体" w:cs="Times New Roman"/>
                <w:kern w:val="2"/>
                <w:sz w:val="24"/>
                <w:szCs w:val="24"/>
                <w:lang w:val="en-US" w:eastAsia="zh-CN" w:bidi="ar"/>
              </w:rPr>
              <w:t>d.</w:t>
            </w:r>
            <w:r>
              <w:rPr>
                <w:rFonts w:hint="eastAsia" w:ascii="Times New Roman" w:hAnsi="Times New Roman" w:eastAsia="宋体" w:cs="宋体"/>
                <w:kern w:val="2"/>
                <w:sz w:val="24"/>
                <w:szCs w:val="24"/>
                <w:lang w:val="en-US" w:eastAsia="zh-CN" w:bidi="ar"/>
              </w:rPr>
              <w:t>运行状态</w:t>
            </w:r>
          </w:p>
          <w:p w14:paraId="13B50DD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rPr>
                <w:rFonts w:hint="default"/>
                <w:kern w:val="0"/>
                <w:sz w:val="24"/>
                <w:szCs w:val="20"/>
                <w:lang w:val="en-US"/>
              </w:rPr>
            </w:pPr>
            <w:r>
              <w:rPr>
                <w:rFonts w:hint="eastAsia" w:ascii="Times New Roman" w:hAnsi="Times New Roman" w:eastAsia="宋体" w:cs="宋体"/>
                <w:kern w:val="0"/>
                <w:sz w:val="24"/>
                <w:szCs w:val="20"/>
                <w:lang w:val="en-US" w:eastAsia="zh-CN" w:bidi="ar"/>
              </w:rPr>
              <w:t>汤阴县东方环宇污水处理有限公司污水处理厂自投产运行以来运行状况良好，出水水质稳定达到一级</w:t>
            </w:r>
            <w:r>
              <w:rPr>
                <w:rFonts w:hint="default" w:ascii="Times New Roman" w:hAnsi="Times New Roman" w:eastAsia="宋体" w:cs="Times New Roman"/>
                <w:kern w:val="0"/>
                <w:sz w:val="24"/>
                <w:szCs w:val="20"/>
                <w:lang w:val="en-US" w:eastAsia="zh-CN" w:bidi="ar"/>
              </w:rPr>
              <w:t>A</w:t>
            </w:r>
            <w:r>
              <w:rPr>
                <w:rFonts w:hint="eastAsia" w:ascii="Times New Roman" w:hAnsi="Times New Roman" w:eastAsia="宋体" w:cs="宋体"/>
                <w:kern w:val="0"/>
                <w:sz w:val="24"/>
                <w:szCs w:val="20"/>
                <w:lang w:val="en-US" w:eastAsia="zh-CN" w:bidi="ar"/>
              </w:rPr>
              <w:t>标准要求。</w:t>
            </w:r>
          </w:p>
          <w:p w14:paraId="1BA4889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rPr>
                <w:rFonts w:hint="default" w:ascii="Times New Roman" w:hAnsi="Times New Roman" w:eastAsia="宋体" w:cs="宋体"/>
                <w:kern w:val="0"/>
                <w:sz w:val="24"/>
                <w:szCs w:val="20"/>
                <w:lang w:val="en-US" w:eastAsia="zh-CN" w:bidi="ar"/>
              </w:rPr>
            </w:pPr>
            <w:r>
              <w:rPr>
                <w:rFonts w:hint="eastAsia" w:ascii="Times New Roman" w:hAnsi="Times New Roman" w:eastAsia="宋体" w:cs="宋体"/>
                <w:kern w:val="0"/>
                <w:sz w:val="24"/>
                <w:szCs w:val="20"/>
                <w:lang w:val="en-US" w:eastAsia="zh-CN" w:bidi="ar"/>
              </w:rPr>
              <w:t>综上所述，本项目产生的生活废水排入汤阴东方环宇污水处理有限公司合理可行。</w:t>
            </w:r>
          </w:p>
          <w:p w14:paraId="10061FC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0" w:firstLineChars="0"/>
              <w:textAlignment w:val="auto"/>
              <w:rPr>
                <w:rFonts w:hint="default" w:ascii="Times New Roman" w:hAnsi="Times New Roman" w:cs="Times New Roman"/>
                <w:b/>
                <w:bCs/>
                <w:color w:val="000000" w:themeColor="text1"/>
                <w:sz w:val="24"/>
                <w:szCs w:val="24"/>
                <w:highlight w:val="none"/>
                <w:lang w:val="en-US" w:eastAsia="zh-CN"/>
                <w14:textFill>
                  <w14:solidFill>
                    <w14:schemeClr w14:val="tx1"/>
                  </w14:solidFill>
                </w14:textFill>
              </w:rPr>
            </w:pPr>
            <w:r>
              <w:rPr>
                <w:rFonts w:hint="eastAsia" w:cs="Times New Roman"/>
                <w:b/>
                <w:bCs/>
                <w:color w:val="000000" w:themeColor="text1"/>
                <w:sz w:val="24"/>
                <w:szCs w:val="24"/>
                <w:highlight w:val="none"/>
                <w:lang w:val="en-US" w:eastAsia="zh-CN"/>
                <w14:textFill>
                  <w14:solidFill>
                    <w14:schemeClr w14:val="tx1"/>
                  </w14:solidFill>
                </w14:textFill>
              </w:rPr>
              <w:t>二</w:t>
            </w:r>
            <w:r>
              <w:rPr>
                <w:rFonts w:hint="default" w:ascii="Times New Roman" w:hAnsi="Times New Roman" w:cs="Times New Roman"/>
                <w:b/>
                <w:bCs/>
                <w:color w:val="000000" w:themeColor="text1"/>
                <w:sz w:val="24"/>
                <w:szCs w:val="24"/>
                <w:highlight w:val="none"/>
                <w:lang w:val="en-US" w:eastAsia="zh-CN"/>
                <w14:textFill>
                  <w14:solidFill>
                    <w14:schemeClr w14:val="tx1"/>
                  </w14:solidFill>
                </w14:textFill>
              </w:rPr>
              <w:t>、</w:t>
            </w:r>
            <w:r>
              <w:rPr>
                <w:rFonts w:hint="default"/>
                <w:b/>
                <w:bCs/>
                <w:color w:val="000000" w:themeColor="text1"/>
                <w:sz w:val="24"/>
                <w:highlight w:val="none"/>
                <w:lang w:val="en-US" w:eastAsia="zh-CN"/>
                <w14:textFill>
                  <w14:solidFill>
                    <w14:schemeClr w14:val="tx1"/>
                  </w14:solidFill>
                </w14:textFill>
              </w:rPr>
              <w:t>废气</w:t>
            </w:r>
          </w:p>
          <w:p w14:paraId="53E42EA9">
            <w:pPr>
              <w:keepNext w:val="0"/>
              <w:keepLines w:val="0"/>
              <w:widowControl w:val="0"/>
              <w:suppressLineNumbers w:val="0"/>
              <w:adjustRightInd w:val="0"/>
              <w:snapToGrid w:val="0"/>
              <w:spacing w:before="0" w:beforeAutospacing="0" w:after="0" w:afterAutospacing="0" w:line="520" w:lineRule="exact"/>
              <w:ind w:left="0" w:right="0" w:firstLine="480" w:firstLineChars="200"/>
              <w:jc w:val="both"/>
              <w:rPr>
                <w:rFonts w:hint="eastAsia" w:ascii="Times New Roman" w:hAnsi="Times New Roman" w:eastAsia="宋体" w:cs="宋体"/>
                <w:kern w:val="2"/>
                <w:sz w:val="24"/>
                <w:szCs w:val="24"/>
                <w:lang w:val="en-US" w:eastAsia="zh-CN" w:bidi="ar"/>
              </w:rPr>
            </w:pPr>
            <w:r>
              <w:rPr>
                <w:rFonts w:hint="eastAsia" w:ascii="Times New Roman" w:hAnsi="Times New Roman" w:eastAsia="宋体" w:cs="宋体"/>
                <w:kern w:val="2"/>
                <w:sz w:val="24"/>
                <w:szCs w:val="24"/>
                <w:lang w:val="en-US" w:eastAsia="zh-CN" w:bidi="ar"/>
              </w:rPr>
              <w:t>项目原料</w:t>
            </w:r>
            <w:r>
              <w:rPr>
                <w:rFonts w:hint="eastAsia" w:cs="宋体"/>
                <w:kern w:val="2"/>
                <w:sz w:val="24"/>
                <w:szCs w:val="24"/>
                <w:lang w:val="en-US" w:eastAsia="zh-CN" w:bidi="ar"/>
              </w:rPr>
              <w:t>聚乙烯</w:t>
            </w:r>
            <w:r>
              <w:rPr>
                <w:rFonts w:hint="eastAsia" w:ascii="Times New Roman" w:hAnsi="Times New Roman" w:eastAsia="宋体" w:cs="宋体"/>
                <w:kern w:val="2"/>
                <w:sz w:val="24"/>
                <w:szCs w:val="24"/>
                <w:lang w:val="en-US" w:eastAsia="zh-CN" w:bidi="ar"/>
              </w:rPr>
              <w:t>进厂为颗粒状袋装，洁净型聚合物，粒径</w:t>
            </w:r>
            <w:r>
              <w:rPr>
                <w:rFonts w:hint="eastAsia" w:cs="宋体"/>
                <w:kern w:val="2"/>
                <w:sz w:val="24"/>
                <w:szCs w:val="24"/>
                <w:lang w:val="en-US" w:eastAsia="zh-CN" w:bidi="ar"/>
              </w:rPr>
              <w:t>5</w:t>
            </w:r>
            <w:r>
              <w:rPr>
                <w:rFonts w:hint="eastAsia" w:ascii="Times New Roman" w:hAnsi="Times New Roman" w:eastAsia="宋体" w:cs="宋体"/>
                <w:kern w:val="2"/>
                <w:sz w:val="24"/>
                <w:szCs w:val="24"/>
                <w:lang w:val="en-US" w:eastAsia="zh-CN" w:bidi="ar"/>
              </w:rPr>
              <w:t>mm</w:t>
            </w:r>
            <w:r>
              <w:rPr>
                <w:rFonts w:hint="eastAsia" w:cs="宋体"/>
                <w:kern w:val="2"/>
                <w:sz w:val="24"/>
                <w:szCs w:val="24"/>
                <w:lang w:val="en-US" w:eastAsia="zh-CN" w:bidi="ar"/>
              </w:rPr>
              <w:t>左右</w:t>
            </w:r>
            <w:r>
              <w:rPr>
                <w:rFonts w:hint="eastAsia" w:ascii="Times New Roman" w:hAnsi="Times New Roman" w:eastAsia="宋体" w:cs="宋体"/>
                <w:kern w:val="2"/>
                <w:sz w:val="24"/>
                <w:szCs w:val="24"/>
                <w:lang w:val="en-US" w:eastAsia="zh-CN" w:bidi="ar"/>
              </w:rPr>
              <w:t>，经自动上料机真空抽取</w:t>
            </w:r>
            <w:r>
              <w:rPr>
                <w:rFonts w:hint="eastAsia" w:cs="宋体"/>
                <w:kern w:val="2"/>
                <w:sz w:val="24"/>
                <w:szCs w:val="24"/>
                <w:lang w:val="en-US" w:eastAsia="zh-CN" w:bidi="ar"/>
              </w:rPr>
              <w:t>上料</w:t>
            </w:r>
            <w:r>
              <w:rPr>
                <w:rFonts w:hint="eastAsia" w:ascii="Times New Roman" w:hAnsi="Times New Roman" w:eastAsia="宋体" w:cs="宋体"/>
                <w:kern w:val="2"/>
                <w:sz w:val="24"/>
                <w:szCs w:val="24"/>
                <w:lang w:val="en-US" w:eastAsia="zh-CN" w:bidi="ar"/>
              </w:rPr>
              <w:t>；项目不涉及粉状物料，上料过程中产生颗粒物极少，不再进行分析。</w:t>
            </w:r>
          </w:p>
          <w:p w14:paraId="75AD21D0">
            <w:pPr>
              <w:keepNext w:val="0"/>
              <w:keepLines w:val="0"/>
              <w:widowControl w:val="0"/>
              <w:suppressLineNumbers w:val="0"/>
              <w:adjustRightInd w:val="0"/>
              <w:snapToGrid w:val="0"/>
              <w:spacing w:before="0" w:beforeAutospacing="0" w:after="0" w:afterAutospacing="0" w:line="520" w:lineRule="exact"/>
              <w:ind w:left="0" w:right="0" w:firstLine="480" w:firstLineChars="200"/>
              <w:jc w:val="both"/>
              <w:rPr>
                <w:rFonts w:hint="eastAsia" w:ascii="Times New Roman" w:hAnsi="Times New Roman" w:eastAsia="宋体" w:cs="宋体"/>
                <w:kern w:val="2"/>
                <w:sz w:val="24"/>
                <w:szCs w:val="24"/>
                <w:lang w:val="en-US" w:eastAsia="zh-CN" w:bidi="ar"/>
              </w:rPr>
            </w:pPr>
            <w:r>
              <w:rPr>
                <w:rFonts w:hint="eastAsia" w:ascii="Times New Roman" w:hAnsi="Times New Roman" w:eastAsia="宋体" w:cs="宋体"/>
                <w:kern w:val="2"/>
                <w:sz w:val="24"/>
                <w:szCs w:val="24"/>
                <w:lang w:val="en-US" w:eastAsia="zh-CN" w:bidi="ar"/>
              </w:rPr>
              <w:t>物料运输采用国五及以上车辆或新能源车辆，车辆行驶过程可能产生的扬尘，进厂道路及车间内地面硬化，同时定时对道路清扫洒水，减少车辆运输扬尘，颗粒物产生量很少，不做定量分析。</w:t>
            </w:r>
          </w:p>
          <w:p w14:paraId="64672338">
            <w:pPr>
              <w:keepNext w:val="0"/>
              <w:keepLines w:val="0"/>
              <w:widowControl w:val="0"/>
              <w:suppressLineNumbers w:val="0"/>
              <w:adjustRightInd w:val="0"/>
              <w:snapToGrid w:val="0"/>
              <w:spacing w:before="0" w:beforeAutospacing="0" w:after="0" w:afterAutospacing="0" w:line="520" w:lineRule="exact"/>
              <w:ind w:left="0" w:right="0" w:firstLine="480" w:firstLineChars="200"/>
              <w:jc w:val="both"/>
              <w:rPr>
                <w:rFonts w:hint="default"/>
                <w:sz w:val="24"/>
                <w:szCs w:val="24"/>
                <w:lang w:val="en-US"/>
              </w:rPr>
            </w:pPr>
            <w:r>
              <w:rPr>
                <w:rFonts w:hint="eastAsia" w:ascii="Times New Roman" w:hAnsi="Times New Roman" w:eastAsia="宋体" w:cs="宋体"/>
                <w:kern w:val="2"/>
                <w:sz w:val="24"/>
                <w:szCs w:val="24"/>
                <w:lang w:val="en-US" w:eastAsia="zh-CN" w:bidi="ar"/>
              </w:rPr>
              <w:t>本项目废气主要为：</w:t>
            </w:r>
            <w:r>
              <w:rPr>
                <w:rFonts w:hint="eastAsia" w:cs="宋体"/>
                <w:kern w:val="2"/>
                <w:sz w:val="24"/>
                <w:szCs w:val="24"/>
                <w:lang w:val="en-US" w:eastAsia="zh-CN" w:bidi="ar"/>
              </w:rPr>
              <w:t>挤出拉丝废气</w:t>
            </w:r>
            <w:r>
              <w:rPr>
                <w:rFonts w:hint="eastAsia" w:ascii="Times New Roman" w:hAnsi="Times New Roman" w:eastAsia="宋体" w:cs="Times New Roman"/>
                <w:color w:val="000000"/>
                <w:kern w:val="2"/>
                <w:sz w:val="24"/>
                <w:szCs w:val="24"/>
                <w:lang w:val="en-US" w:eastAsia="zh-CN" w:bidi="ar"/>
              </w:rPr>
              <w:t>和</w:t>
            </w:r>
            <w:r>
              <w:rPr>
                <w:rFonts w:hint="eastAsia" w:cs="Times New Roman"/>
                <w:color w:val="000000"/>
                <w:kern w:val="2"/>
                <w:sz w:val="24"/>
                <w:szCs w:val="24"/>
                <w:lang w:val="en-US" w:eastAsia="zh-CN" w:bidi="ar"/>
              </w:rPr>
              <w:t>覆膜废气</w:t>
            </w:r>
            <w:r>
              <w:rPr>
                <w:rFonts w:hint="eastAsia" w:ascii="Times New Roman" w:hAnsi="Times New Roman" w:eastAsia="宋体" w:cs="宋体"/>
                <w:kern w:val="2"/>
                <w:sz w:val="24"/>
                <w:szCs w:val="24"/>
                <w:lang w:val="en-US" w:eastAsia="zh-CN" w:bidi="ar"/>
              </w:rPr>
              <w:t>。</w:t>
            </w:r>
          </w:p>
          <w:p w14:paraId="54AC116C">
            <w:pPr>
              <w:keepNext w:val="0"/>
              <w:keepLines w:val="0"/>
              <w:pageBreakBefore w:val="0"/>
              <w:suppressLineNumbers w:val="0"/>
              <w:tabs>
                <w:tab w:val="left" w:pos="851"/>
                <w:tab w:val="left" w:pos="1134"/>
                <w:tab w:val="left" w:pos="1276"/>
              </w:tabs>
              <w:kinsoku/>
              <w:wordWrap/>
              <w:overflowPunct/>
              <w:topLinePunct w:val="0"/>
              <w:autoSpaceDE/>
              <w:autoSpaceDN/>
              <w:bidi w:val="0"/>
              <w:snapToGrid w:val="0"/>
              <w:spacing w:before="0" w:beforeAutospacing="0" w:after="0" w:afterAutospacing="0" w:line="520" w:lineRule="exact"/>
              <w:ind w:left="0" w:right="0" w:firstLine="480" w:firstLineChars="200"/>
              <w:rPr>
                <w:rFonts w:hint="default" w:ascii="Times New Roman" w:hAnsi="Times New Roman" w:eastAsia="宋体" w:cs="Times New Roman"/>
                <w:color w:val="auto"/>
                <w:sz w:val="24"/>
                <w:highlight w:val="none"/>
                <w:lang w:val="en-US" w:eastAsia="zh-CN"/>
              </w:rPr>
            </w:pPr>
            <w:r>
              <w:rPr>
                <w:rFonts w:hint="eastAsia" w:cs="Times New Roman"/>
                <w:color w:val="auto"/>
                <w:sz w:val="24"/>
                <w:highlight w:val="none"/>
                <w:lang w:val="en-US" w:eastAsia="zh-CN"/>
              </w:rPr>
              <w:t>2.1源强分析</w:t>
            </w:r>
          </w:p>
          <w:p w14:paraId="7B8AEAE2">
            <w:pPr>
              <w:keepNext w:val="0"/>
              <w:keepLines w:val="0"/>
              <w:pageBreakBefore w:val="0"/>
              <w:suppressLineNumbers w:val="0"/>
              <w:tabs>
                <w:tab w:val="left" w:pos="851"/>
                <w:tab w:val="left" w:pos="1134"/>
                <w:tab w:val="left" w:pos="1276"/>
              </w:tabs>
              <w:kinsoku/>
              <w:wordWrap/>
              <w:overflowPunct/>
              <w:topLinePunct w:val="0"/>
              <w:autoSpaceDE/>
              <w:autoSpaceDN/>
              <w:bidi w:val="0"/>
              <w:snapToGrid w:val="0"/>
              <w:spacing w:before="0" w:beforeAutospacing="0" w:after="0" w:afterAutospacing="0" w:line="520" w:lineRule="exact"/>
              <w:ind w:left="0" w:right="0" w:firstLine="480" w:firstLineChars="200"/>
              <w:rPr>
                <w:rFonts w:hint="default" w:ascii="Times New Roman" w:hAnsi="Times New Roman" w:eastAsia="宋体" w:cs="Times New Roman"/>
                <w:color w:val="auto"/>
                <w:sz w:val="24"/>
                <w:lang w:val="en-US" w:eastAsia="zh-CN"/>
              </w:rPr>
            </w:pPr>
            <w:r>
              <w:rPr>
                <w:rFonts w:hint="eastAsia" w:cs="Times New Roman"/>
                <w:color w:val="auto"/>
                <w:sz w:val="24"/>
                <w:lang w:val="en-US" w:eastAsia="zh-CN"/>
              </w:rPr>
              <w:t>①挤出拉丝废气</w:t>
            </w:r>
          </w:p>
          <w:p w14:paraId="168CD95A">
            <w:pPr>
              <w:keepNext w:val="0"/>
              <w:keepLines w:val="0"/>
              <w:widowControl w:val="0"/>
              <w:suppressLineNumbers w:val="0"/>
              <w:adjustRightInd w:val="0"/>
              <w:snapToGrid w:val="0"/>
              <w:spacing w:before="0" w:beforeAutospacing="0" w:after="0" w:afterAutospacing="0" w:line="520" w:lineRule="exact"/>
              <w:ind w:left="0" w:right="0" w:firstLine="480" w:firstLineChars="200"/>
              <w:jc w:val="both"/>
              <w:rPr>
                <w:rFonts w:hint="eastAsia" w:cs="Times New Roman"/>
                <w:kern w:val="2"/>
                <w:sz w:val="24"/>
                <w:szCs w:val="24"/>
                <w:lang w:val="en-US" w:eastAsia="zh-CN" w:bidi="ar"/>
              </w:rPr>
            </w:pPr>
            <w:r>
              <w:rPr>
                <w:rFonts w:hint="eastAsia" w:ascii="Times New Roman" w:hAnsi="Times New Roman" w:eastAsia="宋体" w:cs="宋体"/>
                <w:kern w:val="2"/>
                <w:sz w:val="24"/>
                <w:szCs w:val="24"/>
                <w:lang w:val="en-US" w:eastAsia="zh-CN" w:bidi="ar"/>
              </w:rPr>
              <w:t>本项目</w:t>
            </w:r>
            <w:r>
              <w:rPr>
                <w:rFonts w:hint="eastAsia"/>
                <w:b w:val="0"/>
                <w:bCs/>
                <w:color w:val="auto"/>
                <w:sz w:val="24"/>
                <w:szCs w:val="24"/>
                <w:lang w:val="en-US" w:eastAsia="zh-CN"/>
              </w:rPr>
              <w:t>挤出机</w:t>
            </w:r>
            <w:r>
              <w:rPr>
                <w:rFonts w:hint="eastAsia" w:ascii="Times New Roman" w:hAnsi="Times New Roman" w:eastAsia="宋体" w:cs="Times New Roman"/>
                <w:kern w:val="2"/>
                <w:sz w:val="24"/>
                <w:szCs w:val="24"/>
                <w:lang w:val="en-US" w:eastAsia="zh-CN" w:bidi="ar"/>
              </w:rPr>
              <w:t>采用电加热方式，加热温度约200℃</w:t>
            </w:r>
            <w:r>
              <w:rPr>
                <w:rFonts w:hint="eastAsia" w:cs="Times New Roman"/>
                <w:kern w:val="2"/>
                <w:sz w:val="24"/>
                <w:szCs w:val="24"/>
                <w:lang w:val="en-US" w:eastAsia="zh-CN" w:bidi="ar"/>
              </w:rPr>
              <w:t>，达不到聚乙烯分解温度，因此不会出现裂解和化学形态变化，但在受热过程中可能残存未聚合的单体挥发产生有机废气，以非甲烷总烃计。</w:t>
            </w:r>
          </w:p>
          <w:p w14:paraId="22B200B9">
            <w:pPr>
              <w:keepNext w:val="0"/>
              <w:keepLines w:val="0"/>
              <w:widowControl w:val="0"/>
              <w:suppressLineNumbers w:val="0"/>
              <w:adjustRightInd w:val="0"/>
              <w:snapToGrid w:val="0"/>
              <w:spacing w:before="0" w:beforeAutospacing="0" w:after="0" w:afterAutospacing="0" w:line="520" w:lineRule="exact"/>
              <w:ind w:left="0" w:right="0" w:firstLine="480" w:firstLineChars="200"/>
              <w:jc w:val="both"/>
              <w:rPr>
                <w:rFonts w:hint="eastAsia" w:cs="Times New Roman"/>
                <w:kern w:val="2"/>
                <w:sz w:val="24"/>
                <w:szCs w:val="24"/>
                <w:lang w:val="en-US" w:eastAsia="zh-CN" w:bidi="ar"/>
              </w:rPr>
            </w:pPr>
            <w:r>
              <w:rPr>
                <w:rFonts w:hint="eastAsia" w:cs="Times New Roman"/>
                <w:kern w:val="2"/>
                <w:sz w:val="24"/>
                <w:szCs w:val="24"/>
                <w:lang w:val="en-US" w:eastAsia="zh-CN" w:bidi="ar"/>
              </w:rPr>
              <w:t>参照《排放源统计调查产排污核算方法和系数手册》中塑料制品行业系数手册，原料为树脂和助剂，采用“熔化-挤塑-拉丝”工艺，挥发性有机物产污系数为3.76千克/吨-产品，该系数主要是针对含大量助剂的复杂配方生产，助剂是挥发性有机物产生的主要来源；本项目仅采用PE颗粒进行热熔拉丝，不添加助剂，与本项目工况不符，仅需考虑树脂高温熔融过程的微量挥发，因此选用《空气污染物排放和控制手册》中挥发性有机物产生系数0.35kg/t树脂原料，</w:t>
            </w:r>
            <w:r>
              <w:rPr>
                <w:rFonts w:hint="default" w:ascii="宋体" w:hAnsi="宋体" w:eastAsia="宋体" w:cs="宋体"/>
                <w:sz w:val="24"/>
                <w:szCs w:val="24"/>
              </w:rPr>
              <w:t>与本项目“无助剂、纯树脂热熔”的工况完全匹配，</w:t>
            </w:r>
            <w:r>
              <w:rPr>
                <w:rFonts w:hint="eastAsia" w:ascii="宋体" w:hAnsi="宋体" w:eastAsia="宋体" w:cs="宋体"/>
                <w:sz w:val="24"/>
                <w:szCs w:val="24"/>
                <w:lang w:val="en-US" w:eastAsia="zh-CN"/>
              </w:rPr>
              <w:t>能够客观反应工序</w:t>
            </w:r>
            <w:r>
              <w:rPr>
                <w:rFonts w:hint="eastAsia" w:cs="Times New Roman"/>
                <w:kern w:val="2"/>
                <w:sz w:val="24"/>
                <w:szCs w:val="24"/>
                <w:lang w:val="en-US" w:eastAsia="zh-CN" w:bidi="ar"/>
              </w:rPr>
              <w:t>挥发性有机物的实际产出水平。本项目拉丝工序聚乙烯颗粒用量约为6000t/a，则非甲烷总烃产生量为2.1t/a。</w:t>
            </w:r>
          </w:p>
          <w:p w14:paraId="6F4B67AB">
            <w:pPr>
              <w:keepNext w:val="0"/>
              <w:keepLines w:val="0"/>
              <w:pageBreakBefore w:val="0"/>
              <w:suppressLineNumbers w:val="0"/>
              <w:tabs>
                <w:tab w:val="left" w:pos="851"/>
                <w:tab w:val="left" w:pos="1134"/>
                <w:tab w:val="left" w:pos="1276"/>
              </w:tabs>
              <w:kinsoku/>
              <w:wordWrap/>
              <w:overflowPunct/>
              <w:topLinePunct w:val="0"/>
              <w:autoSpaceDE/>
              <w:autoSpaceDN/>
              <w:bidi w:val="0"/>
              <w:snapToGrid w:val="0"/>
              <w:spacing w:before="0" w:beforeAutospacing="0" w:after="0" w:afterAutospacing="0" w:line="520" w:lineRule="exact"/>
              <w:ind w:left="0" w:right="0" w:firstLine="480" w:firstLineChars="200"/>
              <w:rPr>
                <w:rFonts w:hint="default" w:ascii="Times New Roman" w:hAnsi="Times New Roman" w:eastAsia="宋体" w:cs="Times New Roman"/>
                <w:color w:val="auto"/>
                <w:sz w:val="24"/>
                <w:lang w:val="en-US" w:eastAsia="zh-CN"/>
              </w:rPr>
            </w:pPr>
            <w:r>
              <w:rPr>
                <w:rFonts w:hint="eastAsia" w:cs="Times New Roman"/>
                <w:color w:val="auto"/>
                <w:sz w:val="24"/>
                <w:lang w:val="en-US" w:eastAsia="zh-CN"/>
              </w:rPr>
              <w:t>②覆膜废气</w:t>
            </w:r>
          </w:p>
          <w:p w14:paraId="3EEA1AB5">
            <w:pPr>
              <w:keepNext w:val="0"/>
              <w:keepLines w:val="0"/>
              <w:widowControl w:val="0"/>
              <w:suppressLineNumbers w:val="0"/>
              <w:adjustRightInd w:val="0"/>
              <w:snapToGrid w:val="0"/>
              <w:spacing w:before="0" w:beforeAutospacing="0" w:after="0" w:afterAutospacing="0" w:line="520" w:lineRule="exact"/>
              <w:ind w:left="0" w:right="0" w:firstLine="480" w:firstLineChars="200"/>
              <w:jc w:val="both"/>
              <w:rPr>
                <w:rFonts w:hint="eastAsia" w:ascii="Segoe UI" w:hAnsi="Segoe UI" w:eastAsia="宋体" w:cs="Segoe UI"/>
                <w:i w:val="0"/>
                <w:iCs w:val="0"/>
                <w:caps w:val="0"/>
                <w:spacing w:val="0"/>
                <w:sz w:val="24"/>
                <w:szCs w:val="24"/>
                <w:shd w:val="clear" w:fill="FFFFFF"/>
                <w:lang w:eastAsia="zh-CN"/>
              </w:rPr>
            </w:pPr>
            <w:r>
              <w:rPr>
                <w:rFonts w:hint="default"/>
                <w:b w:val="0"/>
                <w:bCs/>
                <w:color w:val="auto"/>
                <w:sz w:val="24"/>
                <w:szCs w:val="24"/>
                <w:lang w:val="en-US" w:eastAsia="zh-CN"/>
              </w:rPr>
              <w:t>PE</w:t>
            </w:r>
            <w:r>
              <w:rPr>
                <w:rFonts w:hint="eastAsia"/>
                <w:b w:val="0"/>
                <w:bCs/>
                <w:color w:val="auto"/>
                <w:sz w:val="24"/>
                <w:szCs w:val="24"/>
                <w:lang w:val="en-US" w:eastAsia="zh-CN"/>
              </w:rPr>
              <w:t>颗粒物</w:t>
            </w:r>
            <w:r>
              <w:rPr>
                <w:rFonts w:hint="default"/>
                <w:b w:val="0"/>
                <w:bCs/>
                <w:color w:val="auto"/>
                <w:sz w:val="24"/>
                <w:szCs w:val="24"/>
                <w:lang w:val="en-US" w:eastAsia="zh-CN"/>
              </w:rPr>
              <w:t>送入热熔覆膜机</w:t>
            </w:r>
            <w:r>
              <w:rPr>
                <w:rFonts w:hint="eastAsia"/>
                <w:b w:val="0"/>
                <w:bCs/>
                <w:color w:val="auto"/>
                <w:sz w:val="24"/>
                <w:szCs w:val="24"/>
                <w:lang w:val="en-US" w:eastAsia="zh-CN"/>
              </w:rPr>
              <w:t>，挤出后形成薄膜</w:t>
            </w:r>
            <w:r>
              <w:rPr>
                <w:rFonts w:hint="default" w:ascii="Segoe UI" w:hAnsi="Segoe UI" w:eastAsia="Segoe UI" w:cs="Segoe UI"/>
                <w:i w:val="0"/>
                <w:iCs w:val="0"/>
                <w:caps w:val="0"/>
                <w:spacing w:val="0"/>
                <w:sz w:val="24"/>
                <w:szCs w:val="24"/>
                <w:shd w:val="clear" w:fill="FFFFFF"/>
              </w:rPr>
              <w:t>，</w:t>
            </w:r>
            <w:r>
              <w:rPr>
                <w:rFonts w:hint="eastAsia" w:ascii="Segoe UI" w:hAnsi="Segoe UI" w:eastAsia="宋体" w:cs="Segoe UI"/>
                <w:i w:val="0"/>
                <w:iCs w:val="0"/>
                <w:caps w:val="0"/>
                <w:spacing w:val="0"/>
                <w:sz w:val="24"/>
                <w:szCs w:val="24"/>
                <w:shd w:val="clear" w:fill="FFFFFF"/>
                <w:lang w:val="en-US" w:eastAsia="zh-CN"/>
              </w:rPr>
              <w:t>与</w:t>
            </w:r>
            <w:r>
              <w:rPr>
                <w:rFonts w:hint="default" w:ascii="Times New Roman" w:hAnsi="Times New Roman" w:eastAsia="Segoe UI" w:cs="Times New Roman"/>
                <w:i w:val="0"/>
                <w:iCs w:val="0"/>
                <w:caps w:val="0"/>
                <w:spacing w:val="0"/>
                <w:sz w:val="24"/>
                <w:szCs w:val="24"/>
                <w:shd w:val="clear" w:fill="FFFFFF"/>
              </w:rPr>
              <w:t>PE</w:t>
            </w:r>
            <w:r>
              <w:rPr>
                <w:rFonts w:hint="eastAsia" w:eastAsia="宋体" w:cs="Times New Roman"/>
                <w:i w:val="0"/>
                <w:iCs w:val="0"/>
                <w:caps w:val="0"/>
                <w:spacing w:val="0"/>
                <w:sz w:val="24"/>
                <w:szCs w:val="24"/>
                <w:shd w:val="clear" w:fill="FFFFFF"/>
                <w:lang w:val="en-US" w:eastAsia="zh-CN"/>
              </w:rPr>
              <w:t>基</w:t>
            </w:r>
            <w:r>
              <w:rPr>
                <w:rFonts w:hint="default" w:ascii="Segoe UI" w:hAnsi="Segoe UI" w:eastAsia="Segoe UI" w:cs="Segoe UI"/>
                <w:i w:val="0"/>
                <w:iCs w:val="0"/>
                <w:caps w:val="0"/>
                <w:spacing w:val="0"/>
                <w:sz w:val="24"/>
                <w:szCs w:val="24"/>
                <w:shd w:val="clear" w:fill="FFFFFF"/>
              </w:rPr>
              <w:t>布紧密压合</w:t>
            </w:r>
            <w:r>
              <w:rPr>
                <w:rFonts w:hint="eastAsia" w:ascii="Segoe UI" w:hAnsi="Segoe UI" w:eastAsia="宋体" w:cs="Segoe UI"/>
                <w:i w:val="0"/>
                <w:iCs w:val="0"/>
                <w:caps w:val="0"/>
                <w:spacing w:val="0"/>
                <w:sz w:val="24"/>
                <w:szCs w:val="24"/>
                <w:shd w:val="clear" w:fill="FFFFFF"/>
                <w:lang w:eastAsia="zh-CN"/>
              </w:rPr>
              <w:t>。</w:t>
            </w:r>
          </w:p>
          <w:p w14:paraId="5B0617B7">
            <w:pPr>
              <w:keepNext w:val="0"/>
              <w:keepLines w:val="0"/>
              <w:widowControl w:val="0"/>
              <w:suppressLineNumbers w:val="0"/>
              <w:adjustRightInd w:val="0"/>
              <w:snapToGrid w:val="0"/>
              <w:spacing w:before="0" w:beforeAutospacing="0" w:after="0" w:afterAutospacing="0" w:line="520" w:lineRule="exact"/>
              <w:ind w:left="0" w:right="0" w:firstLine="480" w:firstLineChars="200"/>
              <w:jc w:val="both"/>
              <w:rPr>
                <w:rFonts w:hint="eastAsia" w:cs="Times New Roman"/>
                <w:kern w:val="2"/>
                <w:sz w:val="24"/>
                <w:szCs w:val="24"/>
                <w:lang w:val="en-US" w:eastAsia="zh-CN" w:bidi="ar"/>
              </w:rPr>
            </w:pPr>
            <w:r>
              <w:rPr>
                <w:rFonts w:hint="eastAsia" w:cs="Times New Roman"/>
                <w:kern w:val="2"/>
                <w:sz w:val="24"/>
                <w:szCs w:val="24"/>
                <w:lang w:val="en-US" w:eastAsia="zh-CN" w:bidi="ar"/>
              </w:rPr>
              <w:t>参照《排放源统计调查产排污核算方法和系数手册》中塑料制品行业系数手册，原料为树脂和助剂，采用“配料-混合-挤出”工艺，挥发性有机物产污系数为2.50千克/吨-产品，该系数主要是针对含大量助剂的复杂配方生产，助剂是挥发性有机物产生的主要来源；本项目仅采用PE颗粒挤出形成薄膜，不添加助剂，与本项目工况不符，仅需考虑树脂高温熔融过程的微量挥发，因此选用《空气污染物排放和控制手册》中挥发性有机物产生系数0.35kg/t树脂原料，</w:t>
            </w:r>
            <w:r>
              <w:rPr>
                <w:rFonts w:hint="default" w:ascii="宋体" w:hAnsi="宋体" w:eastAsia="宋体" w:cs="宋体"/>
                <w:sz w:val="24"/>
                <w:szCs w:val="24"/>
              </w:rPr>
              <w:t>与本项目“无助剂、纯树脂热熔”的工况完全匹配，</w:t>
            </w:r>
            <w:r>
              <w:rPr>
                <w:rFonts w:hint="eastAsia" w:ascii="宋体" w:hAnsi="宋体" w:eastAsia="宋体" w:cs="宋体"/>
                <w:sz w:val="24"/>
                <w:szCs w:val="24"/>
                <w:lang w:val="en-US" w:eastAsia="zh-CN"/>
              </w:rPr>
              <w:t>能够客观反应工序</w:t>
            </w:r>
            <w:r>
              <w:rPr>
                <w:rFonts w:hint="eastAsia" w:cs="Times New Roman"/>
                <w:kern w:val="2"/>
                <w:sz w:val="24"/>
                <w:szCs w:val="24"/>
                <w:lang w:val="en-US" w:eastAsia="zh-CN" w:bidi="ar"/>
              </w:rPr>
              <w:t>挥发性有机物的实际产出水平。本项目覆膜工序聚乙烯颗粒用量约为4000t/a，则非甲烷总烃产生量为1.4t/a。</w:t>
            </w:r>
          </w:p>
          <w:p w14:paraId="7B0DCA60">
            <w:pPr>
              <w:keepNext w:val="0"/>
              <w:keepLines w:val="0"/>
              <w:widowControl w:val="0"/>
              <w:suppressLineNumbers w:val="0"/>
              <w:adjustRightInd w:val="0"/>
              <w:snapToGrid w:val="0"/>
              <w:spacing w:before="0" w:beforeAutospacing="0" w:after="0" w:afterAutospacing="0" w:line="520" w:lineRule="exact"/>
              <w:ind w:left="0" w:right="0" w:firstLine="480" w:firstLineChars="200"/>
              <w:jc w:val="both"/>
              <w:rPr>
                <w:rFonts w:hint="default" w:cs="Times New Roman"/>
                <w:kern w:val="2"/>
                <w:sz w:val="24"/>
                <w:szCs w:val="24"/>
                <w:lang w:val="en-US" w:eastAsia="zh-CN" w:bidi="ar"/>
              </w:rPr>
            </w:pPr>
            <w:r>
              <w:rPr>
                <w:rFonts w:hint="eastAsia" w:cs="Times New Roman"/>
                <w:kern w:val="2"/>
                <w:sz w:val="24"/>
                <w:szCs w:val="24"/>
                <w:lang w:val="en-US" w:eastAsia="zh-CN" w:bidi="ar"/>
              </w:rPr>
              <w:t>挤出拉丝和覆膜工序非甲烷总烃产生总量为3.5t/a。</w:t>
            </w:r>
          </w:p>
          <w:p w14:paraId="73B02687">
            <w:pPr>
              <w:keepNext w:val="0"/>
              <w:keepLines w:val="0"/>
              <w:pageBreakBefore w:val="0"/>
              <w:suppressLineNumbers w:val="0"/>
              <w:tabs>
                <w:tab w:val="left" w:pos="851"/>
                <w:tab w:val="left" w:pos="1134"/>
                <w:tab w:val="left" w:pos="1276"/>
              </w:tabs>
              <w:kinsoku/>
              <w:wordWrap/>
              <w:overflowPunct/>
              <w:topLinePunct w:val="0"/>
              <w:autoSpaceDE/>
              <w:autoSpaceDN/>
              <w:bidi w:val="0"/>
              <w:snapToGrid w:val="0"/>
              <w:spacing w:before="0" w:beforeAutospacing="0" w:after="0" w:afterAutospacing="0" w:line="520" w:lineRule="exact"/>
              <w:ind w:left="0" w:right="0" w:firstLine="480" w:firstLineChars="200"/>
              <w:rPr>
                <w:rFonts w:hint="default" w:ascii="Times New Roman" w:hAnsi="Times New Roman" w:eastAsia="宋体" w:cs="Times New Roman"/>
                <w:color w:val="auto"/>
                <w:sz w:val="24"/>
                <w:lang w:val="en-US" w:eastAsia="zh-CN"/>
              </w:rPr>
            </w:pPr>
            <w:r>
              <w:rPr>
                <w:rFonts w:hint="eastAsia" w:cs="Times New Roman"/>
                <w:color w:val="auto"/>
                <w:sz w:val="24"/>
                <w:lang w:val="en-US" w:eastAsia="zh-CN"/>
              </w:rPr>
              <w:t>2.2治理措施及污染物排放情况</w:t>
            </w:r>
          </w:p>
          <w:p w14:paraId="384D6E80">
            <w:pPr>
              <w:keepNext w:val="0"/>
              <w:keepLines w:val="0"/>
              <w:widowControl w:val="0"/>
              <w:suppressLineNumbers w:val="0"/>
              <w:adjustRightInd w:val="0"/>
              <w:snapToGrid w:val="0"/>
              <w:spacing w:before="0" w:beforeAutospacing="0" w:after="0" w:afterAutospacing="0" w:line="520" w:lineRule="exact"/>
              <w:ind w:left="0" w:right="0" w:firstLine="480" w:firstLineChars="200"/>
              <w:jc w:val="both"/>
              <w:rPr>
                <w:rFonts w:hint="default" w:cs="宋体"/>
                <w:kern w:val="2"/>
                <w:sz w:val="24"/>
                <w:szCs w:val="24"/>
                <w:lang w:val="en-US" w:eastAsia="zh-CN" w:bidi="ar"/>
              </w:rPr>
            </w:pPr>
            <w:r>
              <w:rPr>
                <w:rFonts w:hint="eastAsia" w:cs="宋体"/>
                <w:kern w:val="2"/>
                <w:sz w:val="24"/>
                <w:szCs w:val="24"/>
                <w:lang w:val="en-US" w:eastAsia="zh-CN" w:bidi="ar"/>
              </w:rPr>
              <w:t>项目共2台挤出机和2台覆膜机，其中，单台挤出机加工能力为0.6t/h，单台覆膜机加工能力为0.4t/h</w:t>
            </w:r>
            <w:r>
              <w:rPr>
                <w:rFonts w:hint="eastAsia" w:cs="Times New Roman"/>
                <w:kern w:val="2"/>
                <w:sz w:val="24"/>
                <w:szCs w:val="24"/>
                <w:lang w:val="en-US" w:eastAsia="zh-CN" w:bidi="ar"/>
              </w:rPr>
              <w:t>，</w:t>
            </w:r>
            <w:r>
              <w:rPr>
                <w:rFonts w:hint="eastAsia" w:cs="宋体"/>
                <w:kern w:val="2"/>
                <w:sz w:val="24"/>
                <w:szCs w:val="24"/>
                <w:lang w:val="en-US" w:eastAsia="zh-CN" w:bidi="ar"/>
              </w:rPr>
              <w:t>则</w:t>
            </w:r>
            <w:r>
              <w:rPr>
                <w:rFonts w:hint="eastAsia"/>
                <w:color w:val="auto"/>
                <w:sz w:val="24"/>
                <w:szCs w:val="24"/>
                <w:lang w:val="en-US" w:eastAsia="zh-CN"/>
              </w:rPr>
              <w:t>生产线</w:t>
            </w:r>
            <w:r>
              <w:rPr>
                <w:rFonts w:hint="eastAsia" w:ascii="Times New Roman" w:hAnsi="Times New Roman" w:eastAsia="宋体" w:cs="Times New Roman"/>
                <w:kern w:val="2"/>
                <w:sz w:val="24"/>
                <w:szCs w:val="24"/>
                <w:lang w:val="en-US" w:eastAsia="zh-CN" w:bidi="ar"/>
              </w:rPr>
              <w:t>年平均工作</w:t>
            </w:r>
            <w:r>
              <w:rPr>
                <w:rFonts w:hint="eastAsia" w:cs="Times New Roman"/>
                <w:kern w:val="2"/>
                <w:sz w:val="24"/>
                <w:szCs w:val="24"/>
                <w:lang w:val="en-US" w:eastAsia="zh-CN" w:bidi="ar"/>
              </w:rPr>
              <w:t>5000</w:t>
            </w:r>
            <w:r>
              <w:rPr>
                <w:rFonts w:hint="default" w:ascii="Times New Roman" w:hAnsi="Times New Roman" w:eastAsia="宋体" w:cs="Times New Roman"/>
                <w:kern w:val="2"/>
                <w:sz w:val="24"/>
                <w:szCs w:val="24"/>
                <w:lang w:val="en-US" w:eastAsia="zh-CN" w:bidi="ar"/>
              </w:rPr>
              <w:t>h</w:t>
            </w:r>
            <w:r>
              <w:rPr>
                <w:rFonts w:hint="eastAsia" w:ascii="Times New Roman" w:hAnsi="Times New Roman" w:eastAsia="宋体" w:cs="Times New Roman"/>
                <w:kern w:val="2"/>
                <w:sz w:val="24"/>
                <w:szCs w:val="24"/>
                <w:lang w:val="en-US" w:eastAsia="zh-CN" w:bidi="ar"/>
              </w:rPr>
              <w:t>。</w:t>
            </w:r>
          </w:p>
          <w:p w14:paraId="3A5269B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textAlignment w:val="auto"/>
              <w:rPr>
                <w:rFonts w:hint="eastAsia" w:cs="Times New Roman"/>
                <w:kern w:val="2"/>
                <w:sz w:val="24"/>
                <w:szCs w:val="24"/>
                <w:lang w:val="en-US" w:eastAsia="zh-CN" w:bidi="ar"/>
              </w:rPr>
            </w:pPr>
            <w:r>
              <w:rPr>
                <w:rFonts w:hint="eastAsia" w:cs="宋体"/>
                <w:kern w:val="2"/>
                <w:sz w:val="24"/>
                <w:szCs w:val="24"/>
                <w:lang w:val="en-US" w:eastAsia="zh-CN" w:bidi="ar"/>
              </w:rPr>
              <w:t>企业在每台挤出机和覆膜机上方分别设置封闭式集气罩（共4套），包括</w:t>
            </w:r>
            <w:r>
              <w:rPr>
                <w:rFonts w:hint="default" w:ascii="Segoe UI" w:hAnsi="Segoe UI" w:eastAsia="Segoe UI" w:cs="Segoe UI"/>
                <w:i w:val="0"/>
                <w:iCs w:val="0"/>
                <w:caps w:val="0"/>
                <w:spacing w:val="0"/>
                <w:sz w:val="24"/>
                <w:szCs w:val="24"/>
                <w:shd w:val="clear" w:fill="FFFFFF"/>
              </w:rPr>
              <w:t>挤出模头、</w:t>
            </w:r>
            <w:r>
              <w:rPr>
                <w:rFonts w:hint="eastAsia" w:ascii="Segoe UI" w:hAnsi="Segoe UI" w:eastAsia="Segoe UI" w:cs="Segoe UI"/>
                <w:i w:val="0"/>
                <w:iCs w:val="0"/>
                <w:caps w:val="0"/>
                <w:spacing w:val="0"/>
                <w:sz w:val="24"/>
                <w:szCs w:val="24"/>
                <w:shd w:val="clear" w:fill="FFFFFF"/>
                <w:lang w:val="en-US" w:eastAsia="zh-CN"/>
              </w:rPr>
              <w:t>牵伸装置</w:t>
            </w:r>
            <w:r>
              <w:rPr>
                <w:rFonts w:hint="default" w:ascii="Segoe UI" w:hAnsi="Segoe UI" w:eastAsia="Segoe UI" w:cs="Segoe UI"/>
                <w:i w:val="0"/>
                <w:iCs w:val="0"/>
                <w:caps w:val="0"/>
                <w:spacing w:val="0"/>
                <w:sz w:val="24"/>
                <w:szCs w:val="24"/>
                <w:shd w:val="clear" w:fill="FFFFFF"/>
              </w:rPr>
              <w:t>工段，</w:t>
            </w:r>
            <w:r>
              <w:rPr>
                <w:rFonts w:hint="eastAsia" w:ascii="Segoe UI" w:hAnsi="Segoe UI" w:eastAsia="宋体" w:cs="Segoe UI"/>
                <w:i w:val="0"/>
                <w:iCs w:val="0"/>
                <w:caps w:val="0"/>
                <w:spacing w:val="0"/>
                <w:sz w:val="24"/>
                <w:szCs w:val="24"/>
                <w:shd w:val="clear" w:fill="FFFFFF"/>
                <w:lang w:val="en-US" w:eastAsia="zh-CN"/>
              </w:rPr>
              <w:t>罩内保持稳定的负压，匹配足够风量的风机，避免废气逸散</w:t>
            </w:r>
            <w:r>
              <w:rPr>
                <w:rFonts w:hint="eastAsia" w:cs="宋体"/>
                <w:kern w:val="2"/>
                <w:sz w:val="24"/>
                <w:szCs w:val="24"/>
                <w:lang w:val="en-US" w:eastAsia="zh-CN" w:bidi="ar"/>
              </w:rPr>
              <w:t>，</w:t>
            </w:r>
            <w:r>
              <w:rPr>
                <w:rFonts w:hint="eastAsia" w:ascii="Times New Roman" w:hAnsi="宋体" w:eastAsia="宋体" w:cs="宋体"/>
                <w:kern w:val="2"/>
                <w:sz w:val="24"/>
                <w:szCs w:val="24"/>
                <w:lang w:val="en-US" w:eastAsia="zh-CN" w:bidi="ar"/>
              </w:rPr>
              <w:t>收集效率</w:t>
            </w:r>
            <w:r>
              <w:rPr>
                <w:rFonts w:hint="eastAsia" w:hAnsi="宋体" w:cs="宋体"/>
                <w:kern w:val="2"/>
                <w:sz w:val="24"/>
                <w:szCs w:val="24"/>
                <w:lang w:val="en-US" w:eastAsia="zh-CN" w:bidi="ar"/>
              </w:rPr>
              <w:t>可达</w:t>
            </w:r>
            <w:r>
              <w:rPr>
                <w:rFonts w:hint="default" w:ascii="Times New Roman" w:hAnsi="宋体" w:eastAsia="宋体" w:cs="Times New Roman"/>
                <w:kern w:val="2"/>
                <w:sz w:val="24"/>
                <w:szCs w:val="24"/>
                <w:lang w:val="en-US" w:eastAsia="zh-CN" w:bidi="ar"/>
              </w:rPr>
              <w:t>9</w:t>
            </w:r>
            <w:r>
              <w:rPr>
                <w:rFonts w:hint="eastAsia" w:hAnsi="宋体" w:cs="Times New Roman"/>
                <w:kern w:val="2"/>
                <w:sz w:val="24"/>
                <w:szCs w:val="24"/>
                <w:lang w:val="en-US" w:eastAsia="zh-CN" w:bidi="ar"/>
              </w:rPr>
              <w:t>5</w:t>
            </w:r>
            <w:r>
              <w:rPr>
                <w:rFonts w:hint="default" w:ascii="Times New Roman" w:hAnsi="宋体" w:eastAsia="宋体" w:cs="Times New Roman"/>
                <w:kern w:val="2"/>
                <w:sz w:val="24"/>
                <w:szCs w:val="24"/>
                <w:lang w:val="en-US" w:eastAsia="zh-CN" w:bidi="ar"/>
              </w:rPr>
              <w:t>%</w:t>
            </w:r>
            <w:r>
              <w:rPr>
                <w:rFonts w:hint="eastAsia" w:hAnsi="宋体" w:cs="Times New Roman"/>
                <w:kern w:val="2"/>
                <w:sz w:val="24"/>
                <w:szCs w:val="24"/>
                <w:lang w:val="en-US" w:eastAsia="zh-CN" w:bidi="ar"/>
              </w:rPr>
              <w:t>，</w:t>
            </w:r>
            <w:r>
              <w:rPr>
                <w:rFonts w:hint="eastAsia" w:ascii="Times New Roman" w:hAnsi="Times New Roman" w:eastAsia="宋体" w:cs="Times New Roman"/>
                <w:kern w:val="2"/>
                <w:sz w:val="24"/>
                <w:szCs w:val="24"/>
                <w:lang w:val="en-US" w:eastAsia="zh-CN" w:bidi="ar"/>
              </w:rPr>
              <w:t>收集废气经引风机引至一套</w:t>
            </w:r>
            <w:r>
              <w:rPr>
                <w:rFonts w:hint="eastAsia" w:ascii="Times New Roman" w:hAnsi="Times New Roman" w:eastAsia="宋体" w:cs="Times New Roman"/>
                <w:kern w:val="2"/>
                <w:sz w:val="24"/>
                <w:szCs w:val="24"/>
                <w:highlight w:val="none"/>
                <w:lang w:val="en-US" w:eastAsia="zh-CN" w:bidi="ar"/>
              </w:rPr>
              <w:t>活性炭吸附浓缩+催化燃烧装置处理后</w:t>
            </w:r>
            <w:r>
              <w:rPr>
                <w:rFonts w:hint="eastAsia" w:ascii="Times New Roman" w:hAnsi="Times New Roman" w:eastAsia="宋体" w:cs="Times New Roman"/>
                <w:kern w:val="2"/>
                <w:sz w:val="24"/>
                <w:szCs w:val="24"/>
                <w:lang w:val="en-US" w:eastAsia="zh-CN" w:bidi="ar"/>
              </w:rPr>
              <w:t>，通过</w:t>
            </w:r>
            <w:r>
              <w:rPr>
                <w:rFonts w:hint="default" w:ascii="Times New Roman" w:hAnsi="Times New Roman" w:eastAsia="宋体" w:cs="Times New Roman"/>
                <w:kern w:val="2"/>
                <w:sz w:val="24"/>
                <w:szCs w:val="24"/>
                <w:lang w:val="en-US" w:eastAsia="zh-CN" w:bidi="ar"/>
              </w:rPr>
              <w:t>1</w:t>
            </w:r>
            <w:r>
              <w:rPr>
                <w:rFonts w:hint="eastAsia" w:ascii="Times New Roman" w:hAnsi="Times New Roman" w:eastAsia="宋体" w:cs="Times New Roman"/>
                <w:kern w:val="2"/>
                <w:sz w:val="24"/>
                <w:szCs w:val="24"/>
                <w:lang w:val="en-US" w:eastAsia="zh-CN" w:bidi="ar"/>
              </w:rPr>
              <w:t>根</w:t>
            </w:r>
            <w:r>
              <w:rPr>
                <w:rFonts w:hint="default" w:ascii="Times New Roman" w:hAnsi="Times New Roman" w:eastAsia="宋体" w:cs="Times New Roman"/>
                <w:kern w:val="2"/>
                <w:sz w:val="24"/>
                <w:szCs w:val="24"/>
                <w:lang w:val="en-US" w:eastAsia="zh-CN" w:bidi="ar"/>
              </w:rPr>
              <w:t>15m</w:t>
            </w:r>
            <w:r>
              <w:rPr>
                <w:rFonts w:hint="eastAsia" w:ascii="Times New Roman" w:hAnsi="Times New Roman" w:eastAsia="宋体" w:cs="Times New Roman"/>
                <w:kern w:val="2"/>
                <w:sz w:val="24"/>
                <w:szCs w:val="24"/>
                <w:lang w:val="en-US" w:eastAsia="zh-CN" w:bidi="ar"/>
              </w:rPr>
              <w:t>高排气筒外排。单台挤出机</w:t>
            </w:r>
            <w:r>
              <w:rPr>
                <w:rFonts w:hint="eastAsia" w:cs="Times New Roman"/>
                <w:kern w:val="2"/>
                <w:sz w:val="24"/>
                <w:szCs w:val="24"/>
                <w:lang w:val="en-US" w:eastAsia="zh-CN" w:bidi="ar"/>
              </w:rPr>
              <w:t>（含牵伸装置）</w:t>
            </w:r>
            <w:r>
              <w:rPr>
                <w:rFonts w:hint="eastAsia" w:ascii="Times New Roman" w:hAnsi="Times New Roman" w:eastAsia="宋体" w:cs="Times New Roman"/>
                <w:kern w:val="2"/>
                <w:sz w:val="24"/>
                <w:szCs w:val="24"/>
                <w:lang w:val="en-US" w:eastAsia="zh-CN" w:bidi="ar"/>
              </w:rPr>
              <w:t>引风风量取</w:t>
            </w:r>
            <w:r>
              <w:rPr>
                <w:rFonts w:hint="eastAsia" w:cs="Times New Roman"/>
                <w:kern w:val="2"/>
                <w:sz w:val="24"/>
                <w:szCs w:val="24"/>
                <w:lang w:val="en-US" w:eastAsia="zh-CN" w:bidi="ar"/>
              </w:rPr>
              <w:t>4</w:t>
            </w:r>
            <w:r>
              <w:rPr>
                <w:rFonts w:hint="default" w:ascii="Times New Roman" w:hAnsi="Times New Roman" w:eastAsia="宋体" w:cs="Times New Roman"/>
                <w:kern w:val="2"/>
                <w:sz w:val="24"/>
                <w:szCs w:val="24"/>
                <w:lang w:val="en-US" w:eastAsia="zh-CN" w:bidi="ar"/>
              </w:rPr>
              <w:t>000m</w:t>
            </w:r>
            <w:r>
              <w:rPr>
                <w:rFonts w:hint="default" w:ascii="Times New Roman" w:hAnsi="Times New Roman" w:eastAsia="宋体" w:cs="Times New Roman"/>
                <w:kern w:val="2"/>
                <w:sz w:val="24"/>
                <w:szCs w:val="24"/>
                <w:vertAlign w:val="superscript"/>
                <w:lang w:val="en-US" w:eastAsia="zh-CN" w:bidi="ar"/>
              </w:rPr>
              <w:t>3</w:t>
            </w:r>
            <w:r>
              <w:rPr>
                <w:rFonts w:hint="default" w:ascii="Times New Roman" w:hAnsi="Times New Roman" w:eastAsia="宋体" w:cs="Times New Roman"/>
                <w:kern w:val="2"/>
                <w:sz w:val="24"/>
                <w:szCs w:val="24"/>
                <w:lang w:val="en-US" w:eastAsia="zh-CN" w:bidi="ar"/>
              </w:rPr>
              <w:t>/h</w:t>
            </w:r>
            <w:r>
              <w:rPr>
                <w:rFonts w:hint="eastAsia" w:ascii="Times New Roman" w:hAnsi="Times New Roman" w:eastAsia="宋体" w:cs="Times New Roman"/>
                <w:kern w:val="2"/>
                <w:sz w:val="24"/>
                <w:szCs w:val="24"/>
                <w:lang w:val="en-US" w:eastAsia="zh-CN" w:bidi="ar"/>
              </w:rPr>
              <w:t>，单台覆膜机引风风量取</w:t>
            </w:r>
            <w:r>
              <w:rPr>
                <w:rFonts w:hint="eastAsia" w:cs="Times New Roman"/>
                <w:kern w:val="2"/>
                <w:sz w:val="24"/>
                <w:szCs w:val="24"/>
                <w:lang w:val="en-US" w:eastAsia="zh-CN" w:bidi="ar"/>
              </w:rPr>
              <w:t>30</w:t>
            </w:r>
            <w:r>
              <w:rPr>
                <w:rFonts w:hint="default" w:ascii="Times New Roman" w:hAnsi="Times New Roman" w:eastAsia="宋体" w:cs="Times New Roman"/>
                <w:kern w:val="2"/>
                <w:sz w:val="24"/>
                <w:szCs w:val="24"/>
                <w:lang w:val="en-US" w:eastAsia="zh-CN" w:bidi="ar"/>
              </w:rPr>
              <w:t>00m</w:t>
            </w:r>
            <w:r>
              <w:rPr>
                <w:rFonts w:hint="default" w:ascii="Times New Roman" w:hAnsi="Times New Roman" w:eastAsia="宋体" w:cs="Times New Roman"/>
                <w:kern w:val="2"/>
                <w:sz w:val="24"/>
                <w:szCs w:val="24"/>
                <w:vertAlign w:val="superscript"/>
                <w:lang w:val="en-US" w:eastAsia="zh-CN" w:bidi="ar"/>
              </w:rPr>
              <w:t>3</w:t>
            </w:r>
            <w:r>
              <w:rPr>
                <w:rFonts w:hint="default" w:ascii="Times New Roman" w:hAnsi="Times New Roman" w:eastAsia="宋体" w:cs="Times New Roman"/>
                <w:kern w:val="2"/>
                <w:sz w:val="24"/>
                <w:szCs w:val="24"/>
                <w:lang w:val="en-US" w:eastAsia="zh-CN" w:bidi="ar"/>
              </w:rPr>
              <w:t>/h</w:t>
            </w:r>
            <w:r>
              <w:rPr>
                <w:rFonts w:hint="eastAsia" w:ascii="Times New Roman" w:hAnsi="Times New Roman" w:eastAsia="宋体" w:cs="Times New Roman"/>
                <w:kern w:val="2"/>
                <w:sz w:val="24"/>
                <w:szCs w:val="24"/>
                <w:lang w:val="en-US" w:eastAsia="zh-CN" w:bidi="ar"/>
              </w:rPr>
              <w:t>，</w:t>
            </w:r>
            <w:r>
              <w:rPr>
                <w:rFonts w:hint="eastAsia" w:cs="Times New Roman"/>
                <w:kern w:val="2"/>
                <w:sz w:val="24"/>
                <w:szCs w:val="24"/>
                <w:lang w:val="en-US" w:eastAsia="zh-CN" w:bidi="ar"/>
              </w:rPr>
              <w:t>则</w:t>
            </w:r>
            <w:r>
              <w:rPr>
                <w:rFonts w:hint="eastAsia" w:ascii="Times New Roman" w:hAnsi="Times New Roman" w:eastAsia="宋体" w:cs="Times New Roman"/>
                <w:kern w:val="2"/>
                <w:sz w:val="24"/>
                <w:szCs w:val="24"/>
                <w:lang w:val="en-US" w:eastAsia="zh-CN" w:bidi="ar"/>
              </w:rPr>
              <w:t>治理设施总引风量为</w:t>
            </w:r>
            <w:r>
              <w:rPr>
                <w:rFonts w:hint="eastAsia" w:cs="Times New Roman"/>
                <w:kern w:val="2"/>
                <w:sz w:val="24"/>
                <w:szCs w:val="24"/>
                <w:lang w:val="en-US" w:eastAsia="zh-CN" w:bidi="ar"/>
              </w:rPr>
              <w:t>14</w:t>
            </w:r>
            <w:r>
              <w:rPr>
                <w:rFonts w:hint="eastAsia" w:ascii="Times New Roman" w:hAnsi="Times New Roman" w:eastAsia="宋体" w:cs="Times New Roman"/>
                <w:kern w:val="2"/>
                <w:sz w:val="24"/>
                <w:szCs w:val="24"/>
                <w:lang w:val="en-US" w:eastAsia="zh-CN" w:bidi="ar"/>
              </w:rPr>
              <w:t>000</w:t>
            </w:r>
            <w:r>
              <w:rPr>
                <w:rFonts w:hint="default" w:ascii="Times New Roman" w:hAnsi="Times New Roman" w:eastAsia="宋体" w:cs="Times New Roman"/>
                <w:kern w:val="2"/>
                <w:sz w:val="24"/>
                <w:szCs w:val="24"/>
                <w:lang w:val="en-US" w:eastAsia="zh-CN" w:bidi="ar"/>
              </w:rPr>
              <w:t>m</w:t>
            </w:r>
            <w:r>
              <w:rPr>
                <w:rFonts w:hint="default" w:ascii="Times New Roman" w:hAnsi="Times New Roman" w:eastAsia="宋体" w:cs="Times New Roman"/>
                <w:kern w:val="2"/>
                <w:sz w:val="24"/>
                <w:szCs w:val="24"/>
                <w:vertAlign w:val="superscript"/>
                <w:lang w:val="en-US" w:eastAsia="zh-CN" w:bidi="ar"/>
              </w:rPr>
              <w:t>3</w:t>
            </w:r>
            <w:r>
              <w:rPr>
                <w:rFonts w:hint="default" w:ascii="Times New Roman" w:hAnsi="Times New Roman" w:eastAsia="宋体" w:cs="Times New Roman"/>
                <w:kern w:val="2"/>
                <w:sz w:val="24"/>
                <w:szCs w:val="24"/>
                <w:lang w:val="en-US" w:eastAsia="zh-CN" w:bidi="ar"/>
              </w:rPr>
              <w:t>/h</w:t>
            </w:r>
            <w:r>
              <w:rPr>
                <w:rFonts w:hint="eastAsia" w:ascii="Times New Roman" w:hAnsi="Times New Roman" w:eastAsia="宋体" w:cs="Times New Roman"/>
                <w:kern w:val="2"/>
                <w:sz w:val="24"/>
                <w:szCs w:val="24"/>
                <w:lang w:val="en-US" w:eastAsia="zh-CN" w:bidi="ar"/>
              </w:rPr>
              <w:t>。</w:t>
            </w:r>
            <w:r>
              <w:rPr>
                <w:rFonts w:hint="eastAsia" w:ascii="Times New Roman" w:hAnsi="Times New Roman" w:eastAsia="宋体" w:cs="Times New Roman"/>
                <w:bCs/>
                <w:kern w:val="2"/>
                <w:sz w:val="24"/>
                <w:szCs w:val="24"/>
                <w:lang w:val="en-US" w:eastAsia="zh-CN" w:bidi="ar"/>
              </w:rPr>
              <w:t>本项目</w:t>
            </w:r>
            <w:r>
              <w:rPr>
                <w:rFonts w:hint="eastAsia" w:ascii="Times New Roman" w:hAnsi="Times New Roman" w:eastAsia="宋体" w:cs="Times New Roman"/>
                <w:kern w:val="2"/>
                <w:sz w:val="24"/>
                <w:szCs w:val="24"/>
                <w:highlight w:val="none"/>
                <w:lang w:val="en-US" w:eastAsia="zh-CN" w:bidi="ar"/>
              </w:rPr>
              <w:t>活性炭吸附浓缩+催化燃烧装置</w:t>
            </w:r>
            <w:r>
              <w:rPr>
                <w:rFonts w:hint="eastAsia" w:ascii="Times New Roman" w:hAnsi="Times New Roman" w:eastAsia="宋体" w:cs="Times New Roman"/>
                <w:kern w:val="2"/>
                <w:sz w:val="24"/>
                <w:szCs w:val="24"/>
                <w:lang w:val="en-US" w:eastAsia="zh-CN" w:bidi="ar"/>
              </w:rPr>
              <w:t>对非甲烷总烃处理效率取</w:t>
            </w:r>
            <w:r>
              <w:rPr>
                <w:rFonts w:hint="default" w:ascii="Times New Roman" w:hAnsi="Times New Roman" w:eastAsia="宋体" w:cs="Times New Roman"/>
                <w:kern w:val="2"/>
                <w:sz w:val="24"/>
                <w:szCs w:val="24"/>
                <w:lang w:val="en-US" w:eastAsia="zh-CN" w:bidi="ar"/>
              </w:rPr>
              <w:t>9</w:t>
            </w:r>
            <w:r>
              <w:rPr>
                <w:rFonts w:hint="eastAsia" w:cs="Times New Roman"/>
                <w:kern w:val="2"/>
                <w:sz w:val="24"/>
                <w:szCs w:val="24"/>
                <w:lang w:val="en-US" w:eastAsia="zh-CN" w:bidi="ar"/>
              </w:rPr>
              <w:t>0</w:t>
            </w:r>
            <w:r>
              <w:rPr>
                <w:rFonts w:hint="default" w:ascii="Times New Roman" w:hAnsi="Times New Roman" w:eastAsia="宋体" w:cs="Times New Roman"/>
                <w:kern w:val="2"/>
                <w:sz w:val="24"/>
                <w:szCs w:val="24"/>
                <w:lang w:val="en-US" w:eastAsia="zh-CN" w:bidi="ar"/>
              </w:rPr>
              <w:t>%</w:t>
            </w:r>
            <w:r>
              <w:rPr>
                <w:rFonts w:hint="eastAsia" w:cs="Times New Roman"/>
                <w:kern w:val="2"/>
                <w:sz w:val="24"/>
                <w:szCs w:val="24"/>
                <w:lang w:val="en-US" w:eastAsia="zh-CN" w:bidi="ar"/>
              </w:rPr>
              <w:t>。</w:t>
            </w:r>
          </w:p>
          <w:p w14:paraId="5390AD4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textAlignment w:val="auto"/>
              <w:rPr>
                <w:rFonts w:hint="default"/>
                <w:sz w:val="24"/>
                <w:szCs w:val="24"/>
                <w:lang w:val="en-US"/>
              </w:rPr>
            </w:pPr>
            <w:r>
              <w:rPr>
                <w:rFonts w:hint="eastAsia" w:ascii="Times New Roman" w:hAnsi="Times New Roman" w:eastAsia="宋体" w:cs="宋体"/>
                <w:kern w:val="2"/>
                <w:sz w:val="24"/>
                <w:szCs w:val="24"/>
                <w:lang w:val="en-US" w:eastAsia="zh-CN" w:bidi="ar"/>
              </w:rPr>
              <w:t>参照《安阳市生态环境局关于加快低效挥发性有机物治理设施淘汰整治的通知》，采用颗粒活性炭时，气体流速宜低于</w:t>
            </w:r>
            <w:r>
              <w:rPr>
                <w:rFonts w:hint="default" w:ascii="Times New Roman" w:hAnsi="Times New Roman" w:eastAsia="宋体" w:cs="Times New Roman"/>
                <w:kern w:val="2"/>
                <w:sz w:val="24"/>
                <w:szCs w:val="24"/>
                <w:lang w:val="en-US" w:eastAsia="zh-CN" w:bidi="ar"/>
              </w:rPr>
              <w:t>0.6m/s</w:t>
            </w:r>
            <w:r>
              <w:rPr>
                <w:rFonts w:hint="eastAsia" w:ascii="Times New Roman" w:hAnsi="Times New Roman" w:eastAsia="宋体" w:cs="宋体"/>
                <w:kern w:val="2"/>
                <w:sz w:val="24"/>
                <w:szCs w:val="24"/>
                <w:lang w:val="en-US" w:eastAsia="zh-CN" w:bidi="ar"/>
              </w:rPr>
              <w:t>，装填厚度不得低于</w:t>
            </w:r>
            <w:r>
              <w:rPr>
                <w:rFonts w:hint="default" w:ascii="Times New Roman" w:hAnsi="Times New Roman" w:eastAsia="宋体" w:cs="Times New Roman"/>
                <w:kern w:val="2"/>
                <w:sz w:val="24"/>
                <w:szCs w:val="24"/>
                <w:lang w:val="en-US" w:eastAsia="zh-CN" w:bidi="ar"/>
              </w:rPr>
              <w:t>0.4m</w:t>
            </w:r>
            <w:r>
              <w:rPr>
                <w:rFonts w:hint="eastAsia" w:ascii="Times New Roman" w:hAnsi="Times New Roman" w:eastAsia="宋体" w:cs="宋体"/>
                <w:kern w:val="2"/>
                <w:sz w:val="24"/>
                <w:szCs w:val="24"/>
                <w:lang w:val="en-US" w:eastAsia="zh-CN" w:bidi="ar"/>
              </w:rPr>
              <w:t>。本项目废气量共</w:t>
            </w:r>
            <w:r>
              <w:rPr>
                <w:rFonts w:hint="default" w:ascii="Times New Roman" w:hAnsi="Times New Roman" w:eastAsia="宋体" w:cs="Times New Roman"/>
                <w:kern w:val="2"/>
                <w:sz w:val="24"/>
                <w:szCs w:val="24"/>
                <w:lang w:val="en-US" w:eastAsia="zh-CN" w:bidi="ar"/>
              </w:rPr>
              <w:t>1</w:t>
            </w:r>
            <w:r>
              <w:rPr>
                <w:rFonts w:hint="eastAsia" w:cs="Times New Roman"/>
                <w:kern w:val="2"/>
                <w:sz w:val="24"/>
                <w:szCs w:val="24"/>
                <w:lang w:val="en-US" w:eastAsia="zh-CN" w:bidi="ar"/>
              </w:rPr>
              <w:t>4</w:t>
            </w:r>
            <w:r>
              <w:rPr>
                <w:rFonts w:hint="eastAsia" w:ascii="Times New Roman" w:hAnsi="Times New Roman" w:eastAsia="宋体" w:cs="Times New Roman"/>
                <w:kern w:val="2"/>
                <w:sz w:val="24"/>
                <w:szCs w:val="24"/>
                <w:lang w:val="en-US" w:eastAsia="zh-CN" w:bidi="ar"/>
              </w:rPr>
              <w:t>00</w:t>
            </w:r>
            <w:r>
              <w:rPr>
                <w:rFonts w:hint="default" w:ascii="Times New Roman" w:hAnsi="Times New Roman" w:eastAsia="宋体" w:cs="Times New Roman"/>
                <w:kern w:val="2"/>
                <w:sz w:val="24"/>
                <w:szCs w:val="24"/>
                <w:lang w:val="en-US" w:eastAsia="zh-CN" w:bidi="ar"/>
              </w:rPr>
              <w:t>0m</w:t>
            </w:r>
            <w:r>
              <w:rPr>
                <w:rFonts w:hint="default" w:ascii="Times New Roman" w:hAnsi="Times New Roman" w:eastAsia="宋体" w:cs="Times New Roman"/>
                <w:kern w:val="2"/>
                <w:sz w:val="24"/>
                <w:szCs w:val="24"/>
                <w:vertAlign w:val="superscript"/>
                <w:lang w:val="en-US" w:eastAsia="zh-CN" w:bidi="ar"/>
              </w:rPr>
              <w:t>3</w:t>
            </w:r>
            <w:r>
              <w:rPr>
                <w:rFonts w:hint="default" w:ascii="Times New Roman" w:hAnsi="Times New Roman" w:eastAsia="宋体" w:cs="Times New Roman"/>
                <w:kern w:val="2"/>
                <w:sz w:val="24"/>
                <w:szCs w:val="24"/>
                <w:lang w:val="en-US" w:eastAsia="zh-CN" w:bidi="ar"/>
              </w:rPr>
              <w:t>/h</w:t>
            </w:r>
            <w:r>
              <w:rPr>
                <w:rFonts w:hint="eastAsia" w:ascii="Times New Roman" w:hAnsi="Times New Roman" w:eastAsia="宋体" w:cs="宋体"/>
                <w:kern w:val="2"/>
                <w:sz w:val="24"/>
                <w:szCs w:val="24"/>
                <w:lang w:val="en-US" w:eastAsia="zh-CN" w:bidi="ar"/>
              </w:rPr>
              <w:t>，活性炭过滤面积不小于</w:t>
            </w:r>
            <w:r>
              <w:rPr>
                <w:rFonts w:hint="eastAsia" w:cs="Times New Roman"/>
                <w:kern w:val="2"/>
                <w:sz w:val="24"/>
                <w:szCs w:val="24"/>
                <w:lang w:val="en-US" w:eastAsia="zh-CN" w:bidi="ar"/>
              </w:rPr>
              <w:t>6.5</w:t>
            </w:r>
            <w:r>
              <w:rPr>
                <w:rFonts w:hint="default" w:ascii="Times New Roman" w:hAnsi="Times New Roman" w:eastAsia="宋体" w:cs="Times New Roman"/>
                <w:kern w:val="2"/>
                <w:sz w:val="24"/>
                <w:szCs w:val="24"/>
                <w:lang w:val="en-US" w:eastAsia="zh-CN" w:bidi="ar"/>
              </w:rPr>
              <w:t>m</w:t>
            </w:r>
            <w:r>
              <w:rPr>
                <w:rFonts w:hint="default" w:ascii="Times New Roman" w:hAnsi="Times New Roman" w:eastAsia="宋体" w:cs="Times New Roman"/>
                <w:kern w:val="2"/>
                <w:sz w:val="24"/>
                <w:szCs w:val="24"/>
                <w:vertAlign w:val="superscript"/>
                <w:lang w:val="en-US" w:eastAsia="zh-CN" w:bidi="ar"/>
              </w:rPr>
              <w:t>2</w:t>
            </w:r>
            <w:r>
              <w:rPr>
                <w:rFonts w:hint="eastAsia" w:ascii="Times New Roman" w:hAnsi="Times New Roman" w:eastAsia="宋体" w:cs="宋体"/>
                <w:kern w:val="2"/>
                <w:sz w:val="24"/>
                <w:szCs w:val="24"/>
                <w:lang w:val="en-US" w:eastAsia="zh-CN" w:bidi="ar"/>
              </w:rPr>
              <w:t>，装填量不少于</w:t>
            </w:r>
            <w:r>
              <w:rPr>
                <w:rFonts w:hint="eastAsia" w:cs="Times New Roman"/>
                <w:kern w:val="2"/>
                <w:sz w:val="24"/>
                <w:szCs w:val="24"/>
                <w:lang w:val="en-US" w:eastAsia="zh-CN" w:bidi="ar"/>
              </w:rPr>
              <w:t>2.6</w:t>
            </w:r>
            <w:r>
              <w:rPr>
                <w:rFonts w:hint="default" w:ascii="Times New Roman" w:hAnsi="Times New Roman" w:eastAsia="宋体" w:cs="Times New Roman"/>
                <w:kern w:val="2"/>
                <w:sz w:val="24"/>
                <w:szCs w:val="24"/>
                <w:lang w:val="en-US" w:eastAsia="zh-CN" w:bidi="ar"/>
              </w:rPr>
              <w:t>m</w:t>
            </w:r>
            <w:r>
              <w:rPr>
                <w:rFonts w:hint="default" w:ascii="Times New Roman" w:hAnsi="Times New Roman" w:eastAsia="宋体" w:cs="Times New Roman"/>
                <w:kern w:val="2"/>
                <w:sz w:val="24"/>
                <w:szCs w:val="24"/>
                <w:vertAlign w:val="superscript"/>
                <w:lang w:val="en-US" w:eastAsia="zh-CN" w:bidi="ar"/>
              </w:rPr>
              <w:t>3</w:t>
            </w:r>
            <w:r>
              <w:rPr>
                <w:rFonts w:hint="eastAsia" w:ascii="Times New Roman" w:hAnsi="Times New Roman" w:eastAsia="宋体" w:cs="宋体"/>
                <w:kern w:val="2"/>
                <w:sz w:val="24"/>
                <w:szCs w:val="24"/>
                <w:lang w:val="en-US" w:eastAsia="zh-CN" w:bidi="ar"/>
              </w:rPr>
              <w:t>，活性炭堆积密度约</w:t>
            </w:r>
            <w:r>
              <w:rPr>
                <w:rFonts w:hint="default" w:ascii="Times New Roman" w:hAnsi="Times New Roman" w:eastAsia="宋体" w:cs="Times New Roman"/>
                <w:kern w:val="2"/>
                <w:sz w:val="24"/>
                <w:szCs w:val="24"/>
                <w:lang w:val="en-US" w:eastAsia="zh-CN" w:bidi="ar"/>
              </w:rPr>
              <w:t>470kg/m</w:t>
            </w:r>
            <w:r>
              <w:rPr>
                <w:rFonts w:hint="default" w:ascii="Times New Roman" w:hAnsi="Times New Roman" w:eastAsia="宋体" w:cs="Times New Roman"/>
                <w:kern w:val="2"/>
                <w:sz w:val="24"/>
                <w:szCs w:val="24"/>
                <w:vertAlign w:val="superscript"/>
                <w:lang w:val="en-US" w:eastAsia="zh-CN" w:bidi="ar"/>
              </w:rPr>
              <w:t>3</w:t>
            </w:r>
            <w:r>
              <w:rPr>
                <w:rFonts w:hint="eastAsia" w:ascii="Times New Roman" w:hAnsi="Times New Roman" w:eastAsia="宋体" w:cs="宋体"/>
                <w:kern w:val="2"/>
                <w:sz w:val="24"/>
                <w:szCs w:val="24"/>
                <w:lang w:val="en-US" w:eastAsia="zh-CN" w:bidi="ar"/>
              </w:rPr>
              <w:t>，折合</w:t>
            </w:r>
            <w:r>
              <w:rPr>
                <w:rFonts w:hint="eastAsia" w:cs="Times New Roman"/>
                <w:kern w:val="2"/>
                <w:sz w:val="24"/>
                <w:szCs w:val="24"/>
                <w:lang w:val="en-US" w:eastAsia="zh-CN" w:bidi="ar"/>
              </w:rPr>
              <w:t>1.222</w:t>
            </w:r>
            <w:r>
              <w:rPr>
                <w:rFonts w:hint="default" w:ascii="Times New Roman" w:hAnsi="Times New Roman" w:eastAsia="宋体" w:cs="Times New Roman"/>
                <w:kern w:val="2"/>
                <w:sz w:val="24"/>
                <w:szCs w:val="24"/>
                <w:lang w:val="en-US" w:eastAsia="zh-CN" w:bidi="ar"/>
              </w:rPr>
              <w:t>t</w:t>
            </w:r>
            <w:r>
              <w:rPr>
                <w:rFonts w:hint="eastAsia" w:ascii="Times New Roman" w:hAnsi="Times New Roman" w:eastAsia="宋体" w:cs="宋体"/>
                <w:kern w:val="2"/>
                <w:sz w:val="24"/>
                <w:szCs w:val="24"/>
                <w:lang w:val="en-US" w:eastAsia="zh-CN" w:bidi="ar"/>
              </w:rPr>
              <w:t>，碘吸附值不低于</w:t>
            </w:r>
            <w:r>
              <w:rPr>
                <w:rFonts w:hint="default" w:ascii="Times New Roman" w:hAnsi="Times New Roman" w:eastAsia="宋体" w:cs="Times New Roman"/>
                <w:kern w:val="2"/>
                <w:sz w:val="24"/>
                <w:szCs w:val="24"/>
                <w:lang w:val="en-US" w:eastAsia="zh-CN" w:bidi="ar"/>
              </w:rPr>
              <w:t>800mg/g</w:t>
            </w:r>
            <w:r>
              <w:rPr>
                <w:rFonts w:hint="eastAsia" w:ascii="Times New Roman" w:hAnsi="Times New Roman" w:eastAsia="宋体" w:cs="宋体"/>
                <w:kern w:val="2"/>
                <w:sz w:val="24"/>
                <w:szCs w:val="24"/>
                <w:lang w:val="en-US" w:eastAsia="zh-CN" w:bidi="ar"/>
              </w:rPr>
              <w:t>。</w:t>
            </w:r>
          </w:p>
          <w:p w14:paraId="0EF5716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textAlignment w:val="auto"/>
              <w:rPr>
                <w:rFonts w:hint="default"/>
                <w:sz w:val="24"/>
                <w:szCs w:val="24"/>
                <w:lang w:val="en-US"/>
              </w:rPr>
            </w:pPr>
            <w:r>
              <w:rPr>
                <w:rFonts w:hint="eastAsia" w:ascii="Times New Roman" w:hAnsi="宋体" w:eastAsia="宋体" w:cs="宋体"/>
                <w:kern w:val="2"/>
                <w:sz w:val="24"/>
                <w:szCs w:val="24"/>
                <w:lang w:val="en-US" w:eastAsia="zh-CN" w:bidi="ar"/>
              </w:rPr>
              <w:t>有机废气收集量为</w:t>
            </w:r>
            <w:r>
              <w:rPr>
                <w:rFonts w:hint="eastAsia" w:hAnsi="宋体" w:cs="Times New Roman"/>
                <w:kern w:val="2"/>
                <w:sz w:val="24"/>
                <w:szCs w:val="24"/>
                <w:lang w:val="en-US" w:eastAsia="zh-CN" w:bidi="ar"/>
              </w:rPr>
              <w:t>3.325</w:t>
            </w:r>
            <w:r>
              <w:rPr>
                <w:rFonts w:hint="default" w:ascii="Times New Roman" w:hAnsi="宋体" w:eastAsia="宋体" w:cs="Times New Roman"/>
                <w:kern w:val="2"/>
                <w:sz w:val="24"/>
                <w:szCs w:val="24"/>
                <w:lang w:val="en-US" w:eastAsia="zh-CN" w:bidi="ar"/>
              </w:rPr>
              <w:t>t/a</w:t>
            </w:r>
            <w:r>
              <w:rPr>
                <w:rFonts w:hint="eastAsia" w:ascii="Times New Roman" w:hAnsi="宋体" w:eastAsia="宋体" w:cs="宋体"/>
                <w:kern w:val="2"/>
                <w:sz w:val="24"/>
                <w:szCs w:val="24"/>
                <w:lang w:val="en-US" w:eastAsia="zh-CN" w:bidi="ar"/>
              </w:rPr>
              <w:t>，处理前浓度为</w:t>
            </w:r>
            <w:r>
              <w:rPr>
                <w:rFonts w:hint="eastAsia" w:hAnsi="宋体" w:cs="宋体"/>
                <w:kern w:val="2"/>
                <w:sz w:val="24"/>
                <w:szCs w:val="24"/>
                <w:lang w:val="en-US" w:eastAsia="zh-CN" w:bidi="ar"/>
              </w:rPr>
              <w:t>47.5</w:t>
            </w:r>
            <w:r>
              <w:rPr>
                <w:rFonts w:hint="default" w:ascii="Times New Roman" w:hAnsi="宋体" w:eastAsia="宋体" w:cs="Times New Roman"/>
                <w:kern w:val="2"/>
                <w:sz w:val="24"/>
                <w:szCs w:val="24"/>
                <w:lang w:val="en-US" w:eastAsia="zh-CN" w:bidi="ar"/>
              </w:rPr>
              <w:t>mg/m</w:t>
            </w:r>
            <w:r>
              <w:rPr>
                <w:rFonts w:hint="default" w:ascii="Times New Roman" w:hAnsi="宋体" w:eastAsia="宋体" w:cs="Times New Roman"/>
                <w:kern w:val="2"/>
                <w:sz w:val="24"/>
                <w:szCs w:val="24"/>
                <w:vertAlign w:val="superscript"/>
                <w:lang w:val="en-US" w:eastAsia="zh-CN" w:bidi="ar"/>
              </w:rPr>
              <w:t>3</w:t>
            </w:r>
            <w:r>
              <w:rPr>
                <w:rFonts w:hint="eastAsia" w:ascii="Times New Roman" w:hAnsi="宋体" w:eastAsia="宋体" w:cs="宋体"/>
                <w:kern w:val="2"/>
                <w:sz w:val="24"/>
                <w:szCs w:val="24"/>
                <w:lang w:val="en-US" w:eastAsia="zh-CN" w:bidi="ar"/>
              </w:rPr>
              <w:t>；经</w:t>
            </w:r>
            <w:r>
              <w:rPr>
                <w:rFonts w:hint="eastAsia" w:ascii="Times New Roman" w:hAnsi="Times New Roman" w:eastAsia="宋体" w:cs="Times New Roman"/>
                <w:kern w:val="2"/>
                <w:sz w:val="24"/>
                <w:szCs w:val="24"/>
                <w:highlight w:val="none"/>
                <w:lang w:val="en-US" w:eastAsia="zh-CN" w:bidi="ar"/>
              </w:rPr>
              <w:t>活性炭吸附浓缩+催化燃烧装置</w:t>
            </w:r>
            <w:r>
              <w:rPr>
                <w:rFonts w:hint="eastAsia" w:ascii="Times New Roman" w:hAnsi="Times New Roman" w:eastAsia="宋体" w:cs="宋体"/>
                <w:kern w:val="2"/>
                <w:sz w:val="24"/>
                <w:szCs w:val="24"/>
                <w:lang w:val="en-US" w:eastAsia="zh-CN" w:bidi="ar"/>
              </w:rPr>
              <w:t>处理后，非甲烷总烃排放浓度</w:t>
            </w:r>
            <w:r>
              <w:rPr>
                <w:rFonts w:hint="eastAsia" w:cs="Times New Roman"/>
                <w:kern w:val="2"/>
                <w:sz w:val="24"/>
                <w:szCs w:val="24"/>
                <w:lang w:val="en-US" w:eastAsia="zh-CN" w:bidi="ar"/>
              </w:rPr>
              <w:t>4.8</w:t>
            </w:r>
            <w:r>
              <w:rPr>
                <w:rFonts w:hint="default" w:ascii="Times New Roman" w:hAnsi="Times New Roman" w:eastAsia="宋体" w:cs="Times New Roman"/>
                <w:kern w:val="2"/>
                <w:sz w:val="24"/>
                <w:szCs w:val="24"/>
                <w:lang w:val="en-US" w:eastAsia="zh-CN" w:bidi="ar"/>
              </w:rPr>
              <w:t>mg/m</w:t>
            </w:r>
            <w:r>
              <w:rPr>
                <w:rFonts w:hint="default" w:ascii="Times New Roman" w:hAnsi="Times New Roman" w:eastAsia="宋体" w:cs="Times New Roman"/>
                <w:kern w:val="2"/>
                <w:sz w:val="24"/>
                <w:szCs w:val="24"/>
                <w:vertAlign w:val="superscript"/>
                <w:lang w:val="en-US" w:eastAsia="zh-CN" w:bidi="ar"/>
              </w:rPr>
              <w:t>3</w:t>
            </w:r>
            <w:r>
              <w:rPr>
                <w:rFonts w:hint="eastAsia" w:ascii="Times New Roman" w:hAnsi="Times New Roman" w:eastAsia="宋体" w:cs="宋体"/>
                <w:kern w:val="2"/>
                <w:sz w:val="24"/>
                <w:szCs w:val="24"/>
                <w:lang w:val="en-US" w:eastAsia="zh-CN" w:bidi="ar"/>
              </w:rPr>
              <w:t>，排放速率</w:t>
            </w:r>
            <w:r>
              <w:rPr>
                <w:rFonts w:hint="eastAsia" w:cs="Times New Roman"/>
                <w:kern w:val="2"/>
                <w:sz w:val="24"/>
                <w:szCs w:val="24"/>
                <w:lang w:val="en-US" w:eastAsia="zh-CN" w:bidi="ar"/>
              </w:rPr>
              <w:t>0.0665</w:t>
            </w:r>
            <w:r>
              <w:rPr>
                <w:rFonts w:hint="default" w:ascii="Times New Roman" w:hAnsi="Times New Roman" w:eastAsia="宋体" w:cs="Times New Roman"/>
                <w:kern w:val="2"/>
                <w:sz w:val="24"/>
                <w:szCs w:val="24"/>
                <w:lang w:val="en-US" w:eastAsia="zh-CN" w:bidi="ar"/>
              </w:rPr>
              <w:t>kg/h</w:t>
            </w:r>
            <w:r>
              <w:rPr>
                <w:rFonts w:hint="eastAsia" w:ascii="Times New Roman" w:hAnsi="Times New Roman" w:eastAsia="宋体" w:cs="宋体"/>
                <w:kern w:val="2"/>
                <w:sz w:val="24"/>
                <w:szCs w:val="24"/>
                <w:lang w:val="en-US" w:eastAsia="zh-CN" w:bidi="ar"/>
              </w:rPr>
              <w:t>，排放量</w:t>
            </w:r>
            <w:r>
              <w:rPr>
                <w:rFonts w:hint="eastAsia" w:cs="Times New Roman"/>
                <w:kern w:val="2"/>
                <w:sz w:val="24"/>
                <w:szCs w:val="24"/>
                <w:lang w:val="en-US" w:eastAsia="zh-CN" w:bidi="ar"/>
              </w:rPr>
              <w:t>0.3325</w:t>
            </w:r>
            <w:r>
              <w:rPr>
                <w:rFonts w:hint="default" w:ascii="Times New Roman" w:hAnsi="Times New Roman" w:eastAsia="宋体" w:cs="Times New Roman"/>
                <w:kern w:val="2"/>
                <w:sz w:val="24"/>
                <w:szCs w:val="24"/>
                <w:lang w:val="en-US" w:eastAsia="zh-CN" w:bidi="ar"/>
              </w:rPr>
              <w:t>t/a</w:t>
            </w:r>
            <w:r>
              <w:rPr>
                <w:rFonts w:hint="eastAsia" w:ascii="Times New Roman" w:hAnsi="Times New Roman" w:eastAsia="宋体" w:cs="宋体"/>
                <w:kern w:val="2"/>
                <w:sz w:val="24"/>
                <w:szCs w:val="24"/>
                <w:lang w:val="en-US" w:eastAsia="zh-CN" w:bidi="ar"/>
              </w:rPr>
              <w:t>。</w:t>
            </w:r>
          </w:p>
          <w:p w14:paraId="0C00070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textAlignment w:val="auto"/>
              <w:rPr>
                <w:rFonts w:hint="default"/>
                <w:sz w:val="24"/>
                <w:szCs w:val="24"/>
                <w:lang w:val="en-US"/>
              </w:rPr>
            </w:pPr>
            <w:r>
              <w:rPr>
                <w:rFonts w:hint="eastAsia" w:ascii="Times New Roman" w:hAnsi="Times New Roman" w:eastAsia="宋体" w:cs="宋体"/>
                <w:kern w:val="2"/>
                <w:sz w:val="24"/>
                <w:szCs w:val="24"/>
                <w:lang w:val="en-US" w:eastAsia="zh-CN" w:bidi="ar"/>
              </w:rPr>
              <w:t>未被收集部分共</w:t>
            </w:r>
            <w:r>
              <w:rPr>
                <w:rFonts w:hint="eastAsia" w:cs="Times New Roman"/>
                <w:kern w:val="2"/>
                <w:sz w:val="24"/>
                <w:szCs w:val="24"/>
                <w:lang w:val="en-US" w:eastAsia="zh-CN" w:bidi="ar"/>
              </w:rPr>
              <w:t>0.175</w:t>
            </w:r>
            <w:r>
              <w:rPr>
                <w:rFonts w:hint="default" w:ascii="Times New Roman" w:hAnsi="Times New Roman" w:eastAsia="宋体" w:cs="Times New Roman"/>
                <w:kern w:val="2"/>
                <w:sz w:val="24"/>
                <w:szCs w:val="24"/>
                <w:lang w:val="en-US" w:eastAsia="zh-CN" w:bidi="ar"/>
              </w:rPr>
              <w:t>t/a</w:t>
            </w:r>
            <w:r>
              <w:rPr>
                <w:rFonts w:hint="eastAsia" w:ascii="Times New Roman" w:hAnsi="Times New Roman" w:eastAsia="宋体" w:cs="宋体"/>
                <w:kern w:val="2"/>
                <w:sz w:val="24"/>
                <w:szCs w:val="24"/>
                <w:lang w:val="en-US" w:eastAsia="zh-CN" w:bidi="ar"/>
              </w:rPr>
              <w:t>，</w:t>
            </w:r>
            <w:r>
              <w:rPr>
                <w:rFonts w:hint="eastAsia" w:cs="宋体"/>
                <w:kern w:val="2"/>
                <w:sz w:val="24"/>
                <w:szCs w:val="24"/>
                <w:lang w:val="en-US" w:eastAsia="zh-CN" w:bidi="ar"/>
              </w:rPr>
              <w:t>企业提高废气收集效率</w:t>
            </w:r>
            <w:r>
              <w:rPr>
                <w:rFonts w:hint="eastAsia" w:ascii="Times New Roman" w:hAnsi="Times New Roman" w:eastAsia="宋体" w:cs="宋体"/>
                <w:kern w:val="2"/>
                <w:sz w:val="24"/>
                <w:szCs w:val="24"/>
                <w:lang w:val="en-US" w:eastAsia="zh-CN" w:bidi="ar"/>
              </w:rPr>
              <w:t>，加强</w:t>
            </w:r>
            <w:r>
              <w:rPr>
                <w:rFonts w:hint="eastAsia" w:cs="宋体"/>
                <w:kern w:val="2"/>
                <w:sz w:val="24"/>
                <w:szCs w:val="24"/>
                <w:lang w:val="en-US" w:eastAsia="zh-CN" w:bidi="ar"/>
              </w:rPr>
              <w:t>车间内</w:t>
            </w:r>
            <w:r>
              <w:rPr>
                <w:rFonts w:hint="eastAsia" w:ascii="Times New Roman" w:hAnsi="Times New Roman" w:eastAsia="宋体" w:cs="宋体"/>
                <w:kern w:val="2"/>
                <w:sz w:val="24"/>
                <w:szCs w:val="24"/>
                <w:lang w:val="en-US" w:eastAsia="zh-CN" w:bidi="ar"/>
              </w:rPr>
              <w:t>通风，非甲烷总烃以无组织形式外排，排放速率</w:t>
            </w:r>
            <w:r>
              <w:rPr>
                <w:rFonts w:hint="default" w:ascii="Times New Roman" w:hAnsi="Times New Roman" w:eastAsia="宋体" w:cs="Times New Roman"/>
                <w:kern w:val="2"/>
                <w:sz w:val="24"/>
                <w:szCs w:val="24"/>
                <w:lang w:val="en-US" w:eastAsia="zh-CN" w:bidi="ar"/>
              </w:rPr>
              <w:t>0.</w:t>
            </w:r>
            <w:r>
              <w:rPr>
                <w:rFonts w:hint="eastAsia" w:cs="Times New Roman"/>
                <w:kern w:val="2"/>
                <w:sz w:val="24"/>
                <w:szCs w:val="24"/>
                <w:lang w:val="en-US" w:eastAsia="zh-CN" w:bidi="ar"/>
              </w:rPr>
              <w:t>035</w:t>
            </w:r>
            <w:r>
              <w:rPr>
                <w:rFonts w:hint="default" w:ascii="Times New Roman" w:hAnsi="Times New Roman" w:eastAsia="宋体" w:cs="Times New Roman"/>
                <w:kern w:val="2"/>
                <w:sz w:val="24"/>
                <w:szCs w:val="24"/>
                <w:lang w:val="en-US" w:eastAsia="zh-CN" w:bidi="ar"/>
              </w:rPr>
              <w:t>kg/h</w:t>
            </w:r>
            <w:r>
              <w:rPr>
                <w:rFonts w:hint="eastAsia" w:ascii="Times New Roman" w:hAnsi="Times New Roman" w:eastAsia="宋体" w:cs="宋体"/>
                <w:kern w:val="2"/>
                <w:sz w:val="24"/>
                <w:szCs w:val="24"/>
                <w:lang w:val="en-US" w:eastAsia="zh-CN" w:bidi="ar"/>
              </w:rPr>
              <w:t>。</w:t>
            </w:r>
          </w:p>
          <w:p w14:paraId="13944C10">
            <w:pPr>
              <w:keepNext w:val="0"/>
              <w:keepLines w:val="0"/>
              <w:widowControl w:val="0"/>
              <w:suppressLineNumbers w:val="0"/>
              <w:adjustRightInd w:val="0"/>
              <w:snapToGrid w:val="0"/>
              <w:spacing w:before="0" w:beforeAutospacing="0" w:after="0" w:afterAutospacing="0" w:line="520" w:lineRule="exact"/>
              <w:ind w:left="0" w:right="0" w:firstLine="480" w:firstLineChars="200"/>
              <w:jc w:val="both"/>
              <w:outlineLvl w:val="1"/>
              <w:rPr>
                <w:rFonts w:hint="default"/>
                <w:b w:val="0"/>
                <w:bCs/>
                <w:sz w:val="24"/>
                <w:szCs w:val="20"/>
                <w:lang w:val="en-US"/>
              </w:rPr>
            </w:pPr>
            <w:bookmarkStart w:id="32" w:name="_Toc17661"/>
            <w:bookmarkStart w:id="33" w:name="_Toc9939"/>
            <w:r>
              <w:rPr>
                <w:rFonts w:hint="eastAsia" w:ascii="Times New Roman" w:hAnsi="Times New Roman" w:eastAsia="宋体" w:cs="Times New Roman"/>
                <w:b w:val="0"/>
                <w:bCs/>
                <w:kern w:val="2"/>
                <w:sz w:val="24"/>
                <w:szCs w:val="20"/>
                <w:lang w:val="en-US" w:eastAsia="zh-CN" w:bidi="ar"/>
              </w:rPr>
              <w:t>2.3</w:t>
            </w:r>
            <w:bookmarkEnd w:id="32"/>
            <w:bookmarkEnd w:id="33"/>
            <w:r>
              <w:rPr>
                <w:rFonts w:hint="eastAsia" w:cs="Times New Roman"/>
                <w:b w:val="0"/>
                <w:bCs/>
                <w:kern w:val="2"/>
                <w:sz w:val="24"/>
                <w:szCs w:val="20"/>
                <w:lang w:val="en-US" w:eastAsia="zh-CN" w:bidi="ar"/>
              </w:rPr>
              <w:t>污染物排放信息汇总</w:t>
            </w:r>
          </w:p>
          <w:p w14:paraId="1C117B3F">
            <w:pPr>
              <w:keepNext w:val="0"/>
              <w:keepLines w:val="0"/>
              <w:pageBreakBefore w:val="0"/>
              <w:widowControl/>
              <w:numPr>
                <w:ilvl w:val="0"/>
                <w:numId w:val="0"/>
              </w:numPr>
              <w:suppressLineNumbers w:val="0"/>
              <w:kinsoku/>
              <w:wordWrap/>
              <w:overflowPunct/>
              <w:topLinePunct w:val="0"/>
              <w:autoSpaceDE/>
              <w:autoSpaceDN/>
              <w:bidi w:val="0"/>
              <w:adjustRightInd w:val="0"/>
              <w:snapToGrid/>
              <w:spacing w:before="0" w:beforeAutospacing="0" w:after="0" w:afterAutospacing="0" w:line="520" w:lineRule="exact"/>
              <w:ind w:left="0" w:right="0"/>
              <w:jc w:val="center"/>
              <w:textAlignment w:val="auto"/>
              <w:rPr>
                <w:rFonts w:hint="eastAsia" w:eastAsia="黑体" w:cs="Times New Roman"/>
                <w:b w:val="0"/>
                <w:bCs w:val="0"/>
                <w:color w:val="000000" w:themeColor="text1"/>
                <w:sz w:val="24"/>
                <w:szCs w:val="24"/>
                <w:highlight w:val="none"/>
                <w:lang w:val="en-US" w:eastAsia="zh-CN"/>
                <w14:textFill>
                  <w14:solidFill>
                    <w14:schemeClr w14:val="tx1"/>
                  </w14:solidFill>
                </w14:textFill>
              </w:rPr>
            </w:pPr>
          </w:p>
          <w:p w14:paraId="601A5BC5">
            <w:pPr>
              <w:keepNext w:val="0"/>
              <w:keepLines w:val="0"/>
              <w:pageBreakBefore w:val="0"/>
              <w:widowControl/>
              <w:numPr>
                <w:ilvl w:val="0"/>
                <w:numId w:val="0"/>
              </w:numPr>
              <w:suppressLineNumbers w:val="0"/>
              <w:kinsoku/>
              <w:wordWrap/>
              <w:overflowPunct/>
              <w:topLinePunct w:val="0"/>
              <w:autoSpaceDE/>
              <w:autoSpaceDN/>
              <w:bidi w:val="0"/>
              <w:adjustRightInd w:val="0"/>
              <w:snapToGrid/>
              <w:spacing w:before="0" w:beforeAutospacing="0" w:after="0" w:afterAutospacing="0" w:line="520" w:lineRule="exact"/>
              <w:ind w:left="0" w:right="0"/>
              <w:jc w:val="center"/>
              <w:textAlignment w:val="auto"/>
              <w:rPr>
                <w:rFonts w:hint="eastAsia" w:eastAsia="黑体" w:cs="Times New Roman"/>
                <w:b w:val="0"/>
                <w:bCs w:val="0"/>
                <w:color w:val="000000" w:themeColor="text1"/>
                <w:sz w:val="24"/>
                <w:szCs w:val="24"/>
                <w:highlight w:val="none"/>
                <w:lang w:val="en-US" w:eastAsia="zh-CN"/>
                <w14:textFill>
                  <w14:solidFill>
                    <w14:schemeClr w14:val="tx1"/>
                  </w14:solidFill>
                </w14:textFill>
              </w:rPr>
            </w:pPr>
          </w:p>
          <w:p w14:paraId="4C7FBC64">
            <w:pPr>
              <w:keepNext w:val="0"/>
              <w:keepLines w:val="0"/>
              <w:pageBreakBefore w:val="0"/>
              <w:widowControl/>
              <w:numPr>
                <w:ilvl w:val="0"/>
                <w:numId w:val="0"/>
              </w:numPr>
              <w:suppressLineNumbers w:val="0"/>
              <w:kinsoku/>
              <w:wordWrap/>
              <w:overflowPunct/>
              <w:topLinePunct w:val="0"/>
              <w:autoSpaceDE/>
              <w:autoSpaceDN/>
              <w:bidi w:val="0"/>
              <w:adjustRightInd w:val="0"/>
              <w:snapToGrid/>
              <w:spacing w:before="0" w:beforeAutospacing="0" w:after="0" w:afterAutospacing="0" w:line="520" w:lineRule="exact"/>
              <w:ind w:left="0" w:right="0"/>
              <w:jc w:val="center"/>
              <w:textAlignment w:val="auto"/>
              <w:rPr>
                <w:rFonts w:hint="default" w:eastAsia="黑体" w:cs="Times New Roman"/>
                <w:b w:val="0"/>
                <w:bCs w:val="0"/>
                <w:color w:val="000000" w:themeColor="text1"/>
                <w:sz w:val="24"/>
                <w:szCs w:val="24"/>
                <w:highlight w:val="none"/>
                <w:lang w:val="en-US" w:eastAsia="zh-CN"/>
                <w14:textFill>
                  <w14:solidFill>
                    <w14:schemeClr w14:val="tx1"/>
                  </w14:solidFill>
                </w14:textFill>
              </w:rPr>
            </w:pPr>
            <w:r>
              <w:rPr>
                <w:rFonts w:hint="eastAsia" w:eastAsia="黑体" w:cs="Times New Roman"/>
                <w:b w:val="0"/>
                <w:bCs w:val="0"/>
                <w:color w:val="000000" w:themeColor="text1"/>
                <w:sz w:val="24"/>
                <w:szCs w:val="24"/>
                <w:highlight w:val="none"/>
                <w:lang w:val="en-US" w:eastAsia="zh-CN"/>
                <w14:textFill>
                  <w14:solidFill>
                    <w14:schemeClr w14:val="tx1"/>
                  </w14:solidFill>
                </w14:textFill>
              </w:rPr>
              <w:t>表</w:t>
            </w:r>
            <w:r>
              <w:rPr>
                <w:rFonts w:hint="default" w:eastAsia="黑体" w:cs="Times New Roman"/>
                <w:b w:val="0"/>
                <w:bCs w:val="0"/>
                <w:color w:val="000000" w:themeColor="text1"/>
                <w:sz w:val="24"/>
                <w:szCs w:val="24"/>
                <w:highlight w:val="none"/>
                <w:lang w:val="en-US" w:eastAsia="zh-CN"/>
                <w14:textFill>
                  <w14:solidFill>
                    <w14:schemeClr w14:val="tx1"/>
                  </w14:solidFill>
                </w14:textFill>
              </w:rPr>
              <w:t>4-</w:t>
            </w:r>
            <w:r>
              <w:rPr>
                <w:rFonts w:hint="eastAsia" w:eastAsia="黑体" w:cs="Times New Roman"/>
                <w:b w:val="0"/>
                <w:bCs w:val="0"/>
                <w:color w:val="000000" w:themeColor="text1"/>
                <w:sz w:val="24"/>
                <w:szCs w:val="24"/>
                <w:highlight w:val="none"/>
                <w:lang w:val="en-US" w:eastAsia="zh-CN"/>
                <w14:textFill>
                  <w14:solidFill>
                    <w14:schemeClr w14:val="tx1"/>
                  </w14:solidFill>
                </w14:textFill>
              </w:rPr>
              <w:t>3</w:t>
            </w:r>
            <w:r>
              <w:rPr>
                <w:rFonts w:hint="default" w:eastAsia="黑体" w:cs="Times New Roman"/>
                <w:b w:val="0"/>
                <w:bCs w:val="0"/>
                <w:color w:val="000000" w:themeColor="text1"/>
                <w:sz w:val="24"/>
                <w:szCs w:val="24"/>
                <w:highlight w:val="none"/>
                <w:lang w:val="en-US" w:eastAsia="zh-CN"/>
                <w14:textFill>
                  <w14:solidFill>
                    <w14:schemeClr w14:val="tx1"/>
                  </w14:solidFill>
                </w14:textFill>
              </w:rPr>
              <w:t xml:space="preserve">  </w:t>
            </w:r>
            <w:r>
              <w:rPr>
                <w:rFonts w:hint="eastAsia" w:eastAsia="黑体" w:cs="Times New Roman"/>
                <w:b w:val="0"/>
                <w:bCs w:val="0"/>
                <w:color w:val="000000" w:themeColor="text1"/>
                <w:sz w:val="24"/>
                <w:szCs w:val="24"/>
                <w:highlight w:val="none"/>
                <w:lang w:val="en-US" w:eastAsia="zh-CN"/>
                <w14:textFill>
                  <w14:solidFill>
                    <w14:schemeClr w14:val="tx1"/>
                  </w14:solidFill>
                </w14:textFill>
              </w:rPr>
              <w:t>废气产排污节点、污染物及污染治理设施信息表</w:t>
            </w:r>
          </w:p>
          <w:tbl>
            <w:tblPr>
              <w:tblStyle w:val="2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728"/>
              <w:gridCol w:w="795"/>
              <w:gridCol w:w="705"/>
              <w:gridCol w:w="1020"/>
              <w:gridCol w:w="818"/>
              <w:gridCol w:w="818"/>
              <w:gridCol w:w="676"/>
              <w:gridCol w:w="1072"/>
              <w:gridCol w:w="818"/>
              <w:gridCol w:w="742"/>
            </w:tblGrid>
            <w:tr w14:paraId="4E04BE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0" w:hRule="atLeast"/>
                <w:jc w:val="center"/>
              </w:trPr>
              <w:tc>
                <w:tcPr>
                  <w:tcW w:w="444" w:type="pct"/>
                  <w:tcBorders>
                    <w:tl2br w:val="nil"/>
                    <w:tr2bl w:val="nil"/>
                  </w:tcBorders>
                  <w:shd w:val="clear" w:color="auto" w:fill="auto"/>
                  <w:vAlign w:val="center"/>
                </w:tcPr>
                <w:p w14:paraId="0A8CAB7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spacing w:val="-10"/>
                      <w:sz w:val="21"/>
                      <w:szCs w:val="21"/>
                      <w:highlight w:val="none"/>
                      <w:lang w:val="en-US"/>
                    </w:rPr>
                  </w:pPr>
                  <w:r>
                    <w:rPr>
                      <w:rFonts w:hint="eastAsia" w:ascii="Times New Roman" w:hAnsi="Times New Roman" w:eastAsia="宋体" w:cs="宋体"/>
                      <w:b w:val="0"/>
                      <w:bCs/>
                      <w:spacing w:val="-10"/>
                      <w:kern w:val="2"/>
                      <w:sz w:val="21"/>
                      <w:szCs w:val="21"/>
                      <w:highlight w:val="none"/>
                      <w:lang w:val="en-US" w:eastAsia="zh-CN" w:bidi="ar"/>
                    </w:rPr>
                    <w:t>产污环节</w:t>
                  </w:r>
                </w:p>
              </w:tc>
              <w:tc>
                <w:tcPr>
                  <w:tcW w:w="485" w:type="pct"/>
                  <w:tcBorders>
                    <w:tl2br w:val="nil"/>
                    <w:tr2bl w:val="nil"/>
                  </w:tcBorders>
                  <w:shd w:val="clear" w:color="auto" w:fill="auto"/>
                  <w:vAlign w:val="center"/>
                </w:tcPr>
                <w:p w14:paraId="2468751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spacing w:val="-10"/>
                      <w:sz w:val="21"/>
                      <w:szCs w:val="21"/>
                      <w:highlight w:val="none"/>
                      <w:lang w:val="en-US"/>
                    </w:rPr>
                  </w:pPr>
                  <w:r>
                    <w:rPr>
                      <w:rFonts w:hint="eastAsia" w:ascii="Times New Roman" w:hAnsi="Times New Roman" w:eastAsia="宋体" w:cs="宋体"/>
                      <w:b w:val="0"/>
                      <w:bCs/>
                      <w:spacing w:val="-10"/>
                      <w:kern w:val="2"/>
                      <w:sz w:val="21"/>
                      <w:szCs w:val="21"/>
                      <w:highlight w:val="none"/>
                      <w:lang w:val="en-US" w:eastAsia="zh-CN" w:bidi="ar"/>
                    </w:rPr>
                    <w:t>污染物种类</w:t>
                  </w:r>
                </w:p>
              </w:tc>
              <w:tc>
                <w:tcPr>
                  <w:tcW w:w="430" w:type="pct"/>
                  <w:tcBorders>
                    <w:tl2br w:val="nil"/>
                    <w:tr2bl w:val="nil"/>
                  </w:tcBorders>
                  <w:shd w:val="clear" w:color="auto" w:fill="auto"/>
                  <w:vAlign w:val="center"/>
                </w:tcPr>
                <w:p w14:paraId="5F3852B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spacing w:val="-10"/>
                      <w:sz w:val="21"/>
                      <w:szCs w:val="21"/>
                      <w:highlight w:val="none"/>
                      <w:lang w:val="en-US"/>
                    </w:rPr>
                  </w:pPr>
                  <w:r>
                    <w:rPr>
                      <w:rFonts w:hint="eastAsia" w:ascii="Times New Roman" w:hAnsi="Times New Roman" w:eastAsia="宋体" w:cs="宋体"/>
                      <w:b w:val="0"/>
                      <w:bCs/>
                      <w:spacing w:val="-10"/>
                      <w:kern w:val="2"/>
                      <w:sz w:val="21"/>
                      <w:szCs w:val="21"/>
                      <w:highlight w:val="none"/>
                      <w:lang w:val="en-US" w:eastAsia="zh-CN" w:bidi="ar"/>
                    </w:rPr>
                    <w:t>收集效率</w:t>
                  </w:r>
                </w:p>
              </w:tc>
              <w:tc>
                <w:tcPr>
                  <w:tcW w:w="622" w:type="pct"/>
                  <w:tcBorders>
                    <w:tl2br w:val="nil"/>
                    <w:tr2bl w:val="nil"/>
                  </w:tcBorders>
                  <w:shd w:val="clear" w:color="auto" w:fill="auto"/>
                  <w:vAlign w:val="center"/>
                </w:tcPr>
                <w:p w14:paraId="701785E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eastAsia" w:ascii="Times New Roman" w:hAnsi="Times New Roman" w:eastAsia="宋体" w:cs="宋体"/>
                      <w:b w:val="0"/>
                      <w:bCs/>
                      <w:spacing w:val="-10"/>
                      <w:kern w:val="2"/>
                      <w:sz w:val="21"/>
                      <w:szCs w:val="21"/>
                      <w:highlight w:val="none"/>
                      <w:lang w:val="en-US" w:eastAsia="zh-CN" w:bidi="ar"/>
                    </w:rPr>
                  </w:pPr>
                  <w:r>
                    <w:rPr>
                      <w:rFonts w:hint="eastAsia" w:ascii="Times New Roman" w:hAnsi="Times New Roman" w:eastAsia="宋体" w:cs="宋体"/>
                      <w:b w:val="0"/>
                      <w:bCs/>
                      <w:spacing w:val="-10"/>
                      <w:kern w:val="2"/>
                      <w:sz w:val="21"/>
                      <w:szCs w:val="21"/>
                      <w:highlight w:val="none"/>
                      <w:lang w:val="en-US" w:eastAsia="zh-CN" w:bidi="ar"/>
                    </w:rPr>
                    <w:t>排放浓度</w:t>
                  </w:r>
                </w:p>
                <w:p w14:paraId="024B7E3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spacing w:val="-10"/>
                      <w:sz w:val="21"/>
                      <w:szCs w:val="21"/>
                      <w:highlight w:val="none"/>
                      <w:lang w:val="en-US"/>
                    </w:rPr>
                  </w:pPr>
                  <w:r>
                    <w:rPr>
                      <w:rFonts w:hint="default" w:ascii="Times New Roman" w:hAnsi="Times New Roman" w:eastAsia="宋体" w:cs="Times New Roman"/>
                      <w:b w:val="0"/>
                      <w:bCs/>
                      <w:kern w:val="2"/>
                      <w:sz w:val="21"/>
                      <w:szCs w:val="21"/>
                      <w:highlight w:val="none"/>
                      <w:lang w:val="en-US" w:eastAsia="zh-CN" w:bidi="ar"/>
                    </w:rPr>
                    <w:t>mg/m</w:t>
                  </w:r>
                  <w:r>
                    <w:rPr>
                      <w:rFonts w:hint="default" w:ascii="Times New Roman" w:hAnsi="Times New Roman" w:eastAsia="宋体" w:cs="Times New Roman"/>
                      <w:b w:val="0"/>
                      <w:bCs/>
                      <w:kern w:val="2"/>
                      <w:sz w:val="21"/>
                      <w:szCs w:val="21"/>
                      <w:highlight w:val="none"/>
                      <w:vertAlign w:val="superscript"/>
                      <w:lang w:val="en-US" w:eastAsia="zh-CN" w:bidi="ar"/>
                    </w:rPr>
                    <w:t>3</w:t>
                  </w:r>
                </w:p>
              </w:tc>
              <w:tc>
                <w:tcPr>
                  <w:tcW w:w="499" w:type="pct"/>
                  <w:tcBorders>
                    <w:tl2br w:val="nil"/>
                    <w:tr2bl w:val="nil"/>
                  </w:tcBorders>
                  <w:shd w:val="clear" w:color="auto" w:fill="auto"/>
                  <w:vAlign w:val="center"/>
                </w:tcPr>
                <w:p w14:paraId="0D7A797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spacing w:val="-10"/>
                      <w:sz w:val="21"/>
                      <w:szCs w:val="21"/>
                      <w:highlight w:val="none"/>
                      <w:lang w:val="en-US"/>
                    </w:rPr>
                  </w:pPr>
                  <w:r>
                    <w:rPr>
                      <w:rFonts w:hint="eastAsia" w:ascii="Times New Roman" w:hAnsi="Times New Roman" w:eastAsia="宋体" w:cs="宋体"/>
                      <w:b w:val="0"/>
                      <w:bCs/>
                      <w:spacing w:val="-10"/>
                      <w:kern w:val="2"/>
                      <w:sz w:val="21"/>
                      <w:szCs w:val="21"/>
                      <w:highlight w:val="none"/>
                      <w:lang w:val="en-US" w:eastAsia="zh-CN" w:bidi="ar"/>
                    </w:rPr>
                    <w:t>排放速率</w:t>
                  </w:r>
                  <w:r>
                    <w:rPr>
                      <w:rFonts w:hint="default" w:ascii="Times New Roman" w:hAnsi="Times New Roman" w:eastAsia="宋体" w:cs="Times New Roman"/>
                      <w:b w:val="0"/>
                      <w:bCs/>
                      <w:kern w:val="2"/>
                      <w:sz w:val="21"/>
                      <w:szCs w:val="21"/>
                      <w:highlight w:val="none"/>
                      <w:lang w:val="en-US" w:eastAsia="zh-CN" w:bidi="ar"/>
                    </w:rPr>
                    <w:t>kg/h</w:t>
                  </w:r>
                </w:p>
              </w:tc>
              <w:tc>
                <w:tcPr>
                  <w:tcW w:w="499" w:type="pct"/>
                  <w:tcBorders>
                    <w:tl2br w:val="nil"/>
                    <w:tr2bl w:val="nil"/>
                  </w:tcBorders>
                  <w:shd w:val="clear" w:color="auto" w:fill="auto"/>
                  <w:vAlign w:val="center"/>
                </w:tcPr>
                <w:p w14:paraId="4E20717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spacing w:val="-10"/>
                      <w:sz w:val="21"/>
                      <w:szCs w:val="21"/>
                      <w:highlight w:val="none"/>
                      <w:lang w:val="en-US"/>
                    </w:rPr>
                  </w:pPr>
                  <w:r>
                    <w:rPr>
                      <w:rFonts w:hint="eastAsia" w:ascii="Times New Roman" w:hAnsi="Times New Roman" w:eastAsia="宋体" w:cs="宋体"/>
                      <w:b w:val="0"/>
                      <w:bCs/>
                      <w:spacing w:val="-10"/>
                      <w:kern w:val="2"/>
                      <w:sz w:val="21"/>
                      <w:szCs w:val="21"/>
                      <w:highlight w:val="none"/>
                      <w:lang w:val="en-US" w:eastAsia="zh-CN" w:bidi="ar"/>
                    </w:rPr>
                    <w:t>排放量</w:t>
                  </w:r>
                </w:p>
                <w:p w14:paraId="07E0D75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spacing w:val="-10"/>
                      <w:sz w:val="21"/>
                      <w:szCs w:val="21"/>
                      <w:highlight w:val="none"/>
                      <w:lang w:val="en-US"/>
                    </w:rPr>
                  </w:pPr>
                  <w:r>
                    <w:rPr>
                      <w:rFonts w:hint="default" w:ascii="Times New Roman" w:hAnsi="Times New Roman" w:eastAsia="宋体" w:cs="Times New Roman"/>
                      <w:b w:val="0"/>
                      <w:bCs/>
                      <w:kern w:val="2"/>
                      <w:sz w:val="21"/>
                      <w:szCs w:val="21"/>
                      <w:highlight w:val="none"/>
                      <w:lang w:val="en-US" w:eastAsia="zh-CN" w:bidi="ar"/>
                    </w:rPr>
                    <w:t>t/a</w:t>
                  </w:r>
                </w:p>
              </w:tc>
              <w:tc>
                <w:tcPr>
                  <w:tcW w:w="412" w:type="pct"/>
                  <w:tcBorders>
                    <w:tl2br w:val="nil"/>
                    <w:tr2bl w:val="nil"/>
                  </w:tcBorders>
                  <w:shd w:val="clear" w:color="auto" w:fill="auto"/>
                  <w:vAlign w:val="center"/>
                </w:tcPr>
                <w:p w14:paraId="5DD81BB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spacing w:val="-10"/>
                      <w:sz w:val="21"/>
                      <w:szCs w:val="21"/>
                      <w:highlight w:val="none"/>
                      <w:lang w:val="en-US"/>
                    </w:rPr>
                  </w:pPr>
                  <w:r>
                    <w:rPr>
                      <w:rFonts w:hint="eastAsia" w:ascii="Times New Roman" w:hAnsi="Times New Roman" w:eastAsia="宋体" w:cs="宋体"/>
                      <w:b w:val="0"/>
                      <w:bCs/>
                      <w:spacing w:val="-10"/>
                      <w:kern w:val="2"/>
                      <w:sz w:val="21"/>
                      <w:szCs w:val="21"/>
                      <w:highlight w:val="none"/>
                      <w:lang w:val="en-US" w:eastAsia="zh-CN" w:bidi="ar"/>
                    </w:rPr>
                    <w:t>排放形式</w:t>
                  </w:r>
                </w:p>
              </w:tc>
              <w:tc>
                <w:tcPr>
                  <w:tcW w:w="654" w:type="pct"/>
                  <w:tcBorders>
                    <w:tl2br w:val="nil"/>
                    <w:tr2bl w:val="nil"/>
                  </w:tcBorders>
                  <w:shd w:val="clear" w:color="auto" w:fill="auto"/>
                  <w:vAlign w:val="center"/>
                </w:tcPr>
                <w:p w14:paraId="3FAD9A7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spacing w:val="-10"/>
                      <w:sz w:val="21"/>
                      <w:szCs w:val="21"/>
                      <w:highlight w:val="none"/>
                      <w:lang w:val="en-US"/>
                    </w:rPr>
                  </w:pPr>
                  <w:r>
                    <w:rPr>
                      <w:rFonts w:hint="eastAsia" w:ascii="Times New Roman" w:hAnsi="Times New Roman" w:eastAsia="宋体" w:cs="宋体"/>
                      <w:b w:val="0"/>
                      <w:bCs/>
                      <w:spacing w:val="-10"/>
                      <w:kern w:val="2"/>
                      <w:sz w:val="21"/>
                      <w:szCs w:val="21"/>
                      <w:highlight w:val="none"/>
                      <w:lang w:val="en-US" w:eastAsia="zh-CN" w:bidi="ar"/>
                    </w:rPr>
                    <w:t>治理工艺</w:t>
                  </w:r>
                </w:p>
              </w:tc>
              <w:tc>
                <w:tcPr>
                  <w:tcW w:w="499" w:type="pct"/>
                  <w:tcBorders>
                    <w:tl2br w:val="nil"/>
                    <w:tr2bl w:val="nil"/>
                  </w:tcBorders>
                  <w:shd w:val="clear" w:color="auto" w:fill="auto"/>
                  <w:vAlign w:val="center"/>
                </w:tcPr>
                <w:p w14:paraId="2EF3DEC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spacing w:val="-10"/>
                      <w:sz w:val="21"/>
                      <w:szCs w:val="21"/>
                      <w:highlight w:val="none"/>
                      <w:lang w:val="en-US"/>
                    </w:rPr>
                  </w:pPr>
                  <w:r>
                    <w:rPr>
                      <w:rFonts w:hint="eastAsia" w:ascii="Times New Roman" w:hAnsi="Times New Roman" w:eastAsia="宋体" w:cs="宋体"/>
                      <w:b w:val="0"/>
                      <w:bCs/>
                      <w:spacing w:val="-10"/>
                      <w:kern w:val="2"/>
                      <w:sz w:val="21"/>
                      <w:szCs w:val="21"/>
                      <w:highlight w:val="none"/>
                      <w:lang w:val="en-US" w:eastAsia="zh-CN" w:bidi="ar"/>
                    </w:rPr>
                    <w:t>是否为可行性技术</w:t>
                  </w:r>
                </w:p>
              </w:tc>
              <w:tc>
                <w:tcPr>
                  <w:tcW w:w="452" w:type="pct"/>
                  <w:tcBorders>
                    <w:tl2br w:val="nil"/>
                    <w:tr2bl w:val="nil"/>
                  </w:tcBorders>
                  <w:shd w:val="clear" w:color="auto" w:fill="auto"/>
                  <w:vAlign w:val="center"/>
                </w:tcPr>
                <w:p w14:paraId="296E1CE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spacing w:val="-10"/>
                      <w:sz w:val="21"/>
                      <w:szCs w:val="21"/>
                      <w:highlight w:val="none"/>
                      <w:lang w:val="en-US"/>
                    </w:rPr>
                  </w:pPr>
                  <w:r>
                    <w:rPr>
                      <w:rFonts w:hint="eastAsia" w:ascii="Times New Roman" w:hAnsi="Times New Roman" w:eastAsia="宋体" w:cs="宋体"/>
                      <w:b w:val="0"/>
                      <w:bCs/>
                      <w:spacing w:val="-10"/>
                      <w:kern w:val="2"/>
                      <w:sz w:val="21"/>
                      <w:szCs w:val="21"/>
                      <w:highlight w:val="none"/>
                      <w:lang w:val="en-US" w:eastAsia="zh-CN" w:bidi="ar"/>
                    </w:rPr>
                    <w:t>排放口名称</w:t>
                  </w:r>
                </w:p>
              </w:tc>
            </w:tr>
            <w:tr w14:paraId="1FE12F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0" w:hRule="atLeast"/>
                <w:jc w:val="center"/>
              </w:trPr>
              <w:tc>
                <w:tcPr>
                  <w:tcW w:w="444" w:type="pct"/>
                  <w:vMerge w:val="restart"/>
                  <w:tcBorders>
                    <w:tl2br w:val="nil"/>
                    <w:tr2bl w:val="nil"/>
                  </w:tcBorders>
                  <w:shd w:val="clear" w:color="auto" w:fill="auto"/>
                  <w:vAlign w:val="center"/>
                </w:tcPr>
                <w:p w14:paraId="4BBB418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eastAsia="宋体"/>
                      <w:b w:val="0"/>
                      <w:bCs/>
                      <w:spacing w:val="-10"/>
                      <w:sz w:val="21"/>
                      <w:szCs w:val="21"/>
                      <w:highlight w:val="none"/>
                      <w:lang w:val="en-US" w:eastAsia="zh-CN"/>
                    </w:rPr>
                  </w:pPr>
                  <w:r>
                    <w:rPr>
                      <w:rFonts w:hint="eastAsia"/>
                      <w:b w:val="0"/>
                      <w:bCs/>
                      <w:spacing w:val="-10"/>
                      <w:sz w:val="21"/>
                      <w:szCs w:val="21"/>
                      <w:highlight w:val="none"/>
                      <w:lang w:val="en-US" w:eastAsia="zh-CN"/>
                    </w:rPr>
                    <w:t>挤出拉丝、覆膜</w:t>
                  </w:r>
                </w:p>
              </w:tc>
              <w:tc>
                <w:tcPr>
                  <w:tcW w:w="485" w:type="pct"/>
                  <w:vMerge w:val="restart"/>
                  <w:tcBorders>
                    <w:tl2br w:val="nil"/>
                    <w:tr2bl w:val="nil"/>
                  </w:tcBorders>
                  <w:shd w:val="clear" w:color="auto" w:fill="auto"/>
                  <w:vAlign w:val="center"/>
                </w:tcPr>
                <w:p w14:paraId="54A85B5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default" w:ascii="Times New Roman" w:hAnsi="Times New Roman" w:eastAsia="宋体" w:cs="宋体"/>
                      <w:b w:val="0"/>
                      <w:bCs/>
                      <w:spacing w:val="-10"/>
                      <w:kern w:val="2"/>
                      <w:sz w:val="21"/>
                      <w:szCs w:val="21"/>
                      <w:highlight w:val="none"/>
                      <w:lang w:val="en-US" w:eastAsia="zh-CN" w:bidi="ar"/>
                    </w:rPr>
                  </w:pPr>
                  <w:r>
                    <w:rPr>
                      <w:rFonts w:hint="eastAsia" w:cs="宋体"/>
                      <w:b w:val="0"/>
                      <w:bCs/>
                      <w:spacing w:val="-10"/>
                      <w:kern w:val="2"/>
                      <w:sz w:val="21"/>
                      <w:szCs w:val="21"/>
                      <w:highlight w:val="none"/>
                      <w:lang w:val="en-US" w:eastAsia="zh-CN" w:bidi="ar"/>
                    </w:rPr>
                    <w:t>非甲烷总烃</w:t>
                  </w:r>
                </w:p>
              </w:tc>
              <w:tc>
                <w:tcPr>
                  <w:tcW w:w="430" w:type="pct"/>
                  <w:tcBorders>
                    <w:tl2br w:val="nil"/>
                    <w:tr2bl w:val="nil"/>
                  </w:tcBorders>
                  <w:shd w:val="clear" w:color="auto" w:fill="auto"/>
                  <w:vAlign w:val="center"/>
                </w:tcPr>
                <w:p w14:paraId="7FD29BB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sz w:val="21"/>
                      <w:szCs w:val="21"/>
                      <w:highlight w:val="none"/>
                      <w:lang w:val="en-US"/>
                    </w:rPr>
                  </w:pPr>
                  <w:r>
                    <w:rPr>
                      <w:rFonts w:hint="default" w:ascii="Times New Roman" w:hAnsi="Times New Roman" w:eastAsia="宋体" w:cs="Times New Roman"/>
                      <w:b w:val="0"/>
                      <w:bCs/>
                      <w:kern w:val="2"/>
                      <w:sz w:val="21"/>
                      <w:szCs w:val="21"/>
                      <w:highlight w:val="none"/>
                      <w:lang w:val="en-US" w:eastAsia="zh-CN" w:bidi="ar"/>
                    </w:rPr>
                    <w:t>9</w:t>
                  </w:r>
                  <w:r>
                    <w:rPr>
                      <w:rFonts w:hint="eastAsia" w:cs="Times New Roman"/>
                      <w:b w:val="0"/>
                      <w:bCs/>
                      <w:kern w:val="2"/>
                      <w:sz w:val="21"/>
                      <w:szCs w:val="21"/>
                      <w:highlight w:val="none"/>
                      <w:lang w:val="en-US" w:eastAsia="zh-CN" w:bidi="ar"/>
                    </w:rPr>
                    <w:t>5</w:t>
                  </w:r>
                  <w:r>
                    <w:rPr>
                      <w:rFonts w:hint="default" w:ascii="Times New Roman" w:hAnsi="Times New Roman" w:eastAsia="宋体" w:cs="Times New Roman"/>
                      <w:b w:val="0"/>
                      <w:bCs/>
                      <w:kern w:val="2"/>
                      <w:sz w:val="21"/>
                      <w:szCs w:val="21"/>
                      <w:highlight w:val="none"/>
                      <w:lang w:val="en-US" w:eastAsia="zh-CN" w:bidi="ar"/>
                    </w:rPr>
                    <w:t>%</w:t>
                  </w:r>
                </w:p>
              </w:tc>
              <w:tc>
                <w:tcPr>
                  <w:tcW w:w="622" w:type="pct"/>
                  <w:tcBorders>
                    <w:tl2br w:val="nil"/>
                    <w:tr2bl w:val="nil"/>
                  </w:tcBorders>
                  <w:shd w:val="clear" w:color="auto" w:fill="auto"/>
                  <w:vAlign w:val="center"/>
                </w:tcPr>
                <w:p w14:paraId="4F02CD4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eastAsia="宋体"/>
                      <w:b w:val="0"/>
                      <w:bCs/>
                      <w:spacing w:val="-10"/>
                      <w:sz w:val="21"/>
                      <w:szCs w:val="21"/>
                      <w:highlight w:val="none"/>
                      <w:lang w:val="en-US" w:eastAsia="zh-CN"/>
                    </w:rPr>
                  </w:pPr>
                  <w:r>
                    <w:rPr>
                      <w:rFonts w:hint="eastAsia"/>
                      <w:b w:val="0"/>
                      <w:bCs/>
                      <w:spacing w:val="-10"/>
                      <w:sz w:val="21"/>
                      <w:szCs w:val="21"/>
                      <w:highlight w:val="none"/>
                      <w:lang w:val="en-US" w:eastAsia="zh-CN"/>
                    </w:rPr>
                    <w:t>4.8</w:t>
                  </w:r>
                </w:p>
              </w:tc>
              <w:tc>
                <w:tcPr>
                  <w:tcW w:w="499" w:type="pct"/>
                  <w:tcBorders>
                    <w:tl2br w:val="nil"/>
                    <w:tr2bl w:val="nil"/>
                  </w:tcBorders>
                  <w:shd w:val="clear" w:color="auto" w:fill="auto"/>
                  <w:vAlign w:val="center"/>
                </w:tcPr>
                <w:p w14:paraId="7855E4B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eastAsia="宋体"/>
                      <w:b w:val="0"/>
                      <w:bCs/>
                      <w:spacing w:val="-10"/>
                      <w:sz w:val="21"/>
                      <w:szCs w:val="21"/>
                      <w:highlight w:val="none"/>
                      <w:lang w:val="en-US" w:eastAsia="zh-CN"/>
                    </w:rPr>
                  </w:pPr>
                  <w:r>
                    <w:rPr>
                      <w:rFonts w:hint="eastAsia"/>
                      <w:b w:val="0"/>
                      <w:bCs/>
                      <w:spacing w:val="-10"/>
                      <w:sz w:val="21"/>
                      <w:szCs w:val="21"/>
                      <w:highlight w:val="none"/>
                      <w:lang w:val="en-US" w:eastAsia="zh-CN"/>
                    </w:rPr>
                    <w:t>0.0665</w:t>
                  </w:r>
                </w:p>
              </w:tc>
              <w:tc>
                <w:tcPr>
                  <w:tcW w:w="499" w:type="pct"/>
                  <w:tcBorders>
                    <w:tl2br w:val="nil"/>
                    <w:tr2bl w:val="nil"/>
                  </w:tcBorders>
                  <w:shd w:val="clear" w:color="auto" w:fill="auto"/>
                  <w:vAlign w:val="center"/>
                </w:tcPr>
                <w:p w14:paraId="4629DA9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eastAsia="宋体"/>
                      <w:b w:val="0"/>
                      <w:bCs/>
                      <w:sz w:val="21"/>
                      <w:szCs w:val="21"/>
                      <w:highlight w:val="none"/>
                      <w:lang w:val="en-US" w:eastAsia="zh-CN"/>
                    </w:rPr>
                  </w:pPr>
                  <w:r>
                    <w:rPr>
                      <w:rFonts w:hint="eastAsia"/>
                      <w:b w:val="0"/>
                      <w:bCs/>
                      <w:sz w:val="21"/>
                      <w:szCs w:val="21"/>
                      <w:highlight w:val="none"/>
                      <w:lang w:val="en-US" w:eastAsia="zh-CN"/>
                    </w:rPr>
                    <w:t>0.3325</w:t>
                  </w:r>
                </w:p>
              </w:tc>
              <w:tc>
                <w:tcPr>
                  <w:tcW w:w="412" w:type="pct"/>
                  <w:tcBorders>
                    <w:tl2br w:val="nil"/>
                    <w:tr2bl w:val="nil"/>
                  </w:tcBorders>
                  <w:shd w:val="clear" w:color="auto" w:fill="auto"/>
                  <w:vAlign w:val="center"/>
                </w:tcPr>
                <w:p w14:paraId="0A10758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spacing w:val="-10"/>
                      <w:sz w:val="21"/>
                      <w:szCs w:val="21"/>
                      <w:highlight w:val="none"/>
                      <w:lang w:val="en-US"/>
                    </w:rPr>
                  </w:pPr>
                  <w:r>
                    <w:rPr>
                      <w:rFonts w:hint="eastAsia" w:ascii="Times New Roman" w:hAnsi="Times New Roman" w:eastAsia="宋体" w:cs="宋体"/>
                      <w:b w:val="0"/>
                      <w:bCs/>
                      <w:kern w:val="2"/>
                      <w:sz w:val="21"/>
                      <w:szCs w:val="21"/>
                      <w:highlight w:val="none"/>
                      <w:lang w:val="en-US" w:eastAsia="zh-CN" w:bidi="ar"/>
                    </w:rPr>
                    <w:t>有组织</w:t>
                  </w:r>
                </w:p>
              </w:tc>
              <w:tc>
                <w:tcPr>
                  <w:tcW w:w="654" w:type="pct"/>
                  <w:tcBorders>
                    <w:tl2br w:val="nil"/>
                    <w:tr2bl w:val="nil"/>
                  </w:tcBorders>
                  <w:shd w:val="clear" w:color="auto" w:fill="auto"/>
                  <w:vAlign w:val="center"/>
                </w:tcPr>
                <w:p w14:paraId="6E91072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spacing w:val="-10"/>
                      <w:sz w:val="21"/>
                      <w:szCs w:val="21"/>
                      <w:highlight w:val="none"/>
                      <w:lang w:val="en-US"/>
                    </w:rPr>
                  </w:pPr>
                  <w:r>
                    <w:rPr>
                      <w:rFonts w:hint="default" w:cs="宋体"/>
                      <w:b w:val="0"/>
                      <w:bCs/>
                      <w:kern w:val="2"/>
                      <w:sz w:val="21"/>
                      <w:szCs w:val="21"/>
                      <w:highlight w:val="none"/>
                      <w:lang w:val="en-US" w:eastAsia="zh-CN" w:bidi="ar"/>
                    </w:rPr>
                    <w:t>活性炭吸附浓缩+催化燃烧装置</w:t>
                  </w:r>
                </w:p>
              </w:tc>
              <w:tc>
                <w:tcPr>
                  <w:tcW w:w="499" w:type="pct"/>
                  <w:tcBorders>
                    <w:tl2br w:val="nil"/>
                    <w:tr2bl w:val="nil"/>
                  </w:tcBorders>
                  <w:shd w:val="clear" w:color="auto" w:fill="auto"/>
                  <w:vAlign w:val="center"/>
                </w:tcPr>
                <w:p w14:paraId="6A158E4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spacing w:val="-10"/>
                      <w:sz w:val="21"/>
                      <w:szCs w:val="21"/>
                      <w:highlight w:val="none"/>
                      <w:lang w:val="en-US"/>
                    </w:rPr>
                  </w:pPr>
                  <w:r>
                    <w:rPr>
                      <w:rFonts w:hint="eastAsia" w:ascii="Times New Roman" w:hAnsi="Times New Roman" w:eastAsia="宋体" w:cs="宋体"/>
                      <w:b w:val="0"/>
                      <w:bCs/>
                      <w:spacing w:val="-10"/>
                      <w:kern w:val="2"/>
                      <w:sz w:val="21"/>
                      <w:szCs w:val="21"/>
                      <w:highlight w:val="none"/>
                      <w:lang w:val="en-US" w:eastAsia="zh-CN" w:bidi="ar"/>
                    </w:rPr>
                    <w:t>是</w:t>
                  </w:r>
                </w:p>
              </w:tc>
              <w:tc>
                <w:tcPr>
                  <w:tcW w:w="452" w:type="pct"/>
                  <w:tcBorders>
                    <w:tl2br w:val="nil"/>
                    <w:tr2bl w:val="nil"/>
                  </w:tcBorders>
                  <w:shd w:val="clear" w:color="auto" w:fill="auto"/>
                  <w:vAlign w:val="center"/>
                </w:tcPr>
                <w:p w14:paraId="2D9F98B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spacing w:val="-10"/>
                      <w:sz w:val="21"/>
                      <w:szCs w:val="21"/>
                      <w:highlight w:val="none"/>
                      <w:lang w:val="en-US"/>
                    </w:rPr>
                  </w:pPr>
                  <w:r>
                    <w:rPr>
                      <w:rFonts w:hint="eastAsia" w:cs="宋体"/>
                      <w:b w:val="0"/>
                      <w:bCs/>
                      <w:spacing w:val="-10"/>
                      <w:kern w:val="2"/>
                      <w:sz w:val="21"/>
                      <w:szCs w:val="21"/>
                      <w:highlight w:val="none"/>
                      <w:lang w:val="en-US" w:eastAsia="zh-CN" w:bidi="ar"/>
                    </w:rPr>
                    <w:t>有机</w:t>
                  </w:r>
                  <w:r>
                    <w:rPr>
                      <w:rFonts w:hint="eastAsia" w:ascii="Times New Roman" w:hAnsi="Times New Roman" w:eastAsia="宋体" w:cs="宋体"/>
                      <w:b w:val="0"/>
                      <w:bCs/>
                      <w:spacing w:val="-10"/>
                      <w:kern w:val="2"/>
                      <w:sz w:val="21"/>
                      <w:szCs w:val="21"/>
                      <w:highlight w:val="none"/>
                      <w:lang w:val="en-US" w:eastAsia="zh-CN" w:bidi="ar"/>
                    </w:rPr>
                    <w:t>废气排放口</w:t>
                  </w:r>
                </w:p>
              </w:tc>
            </w:tr>
            <w:tr w14:paraId="247BEA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20" w:hRule="atLeast"/>
                <w:jc w:val="center"/>
              </w:trPr>
              <w:tc>
                <w:tcPr>
                  <w:tcW w:w="444" w:type="pct"/>
                  <w:vMerge w:val="continue"/>
                  <w:tcBorders>
                    <w:tl2br w:val="nil"/>
                    <w:tr2bl w:val="nil"/>
                  </w:tcBorders>
                  <w:shd w:val="clear" w:color="auto" w:fill="auto"/>
                  <w:vAlign w:val="center"/>
                </w:tcPr>
                <w:p w14:paraId="56861AB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eastAsia"/>
                      <w:b w:val="0"/>
                      <w:bCs/>
                      <w:spacing w:val="-10"/>
                      <w:sz w:val="21"/>
                      <w:szCs w:val="21"/>
                      <w:highlight w:val="none"/>
                      <w:lang w:val="en-US" w:eastAsia="zh-CN"/>
                    </w:rPr>
                  </w:pPr>
                </w:p>
              </w:tc>
              <w:tc>
                <w:tcPr>
                  <w:tcW w:w="485" w:type="pct"/>
                  <w:vMerge w:val="continue"/>
                  <w:tcBorders>
                    <w:tl2br w:val="nil"/>
                    <w:tr2bl w:val="nil"/>
                  </w:tcBorders>
                  <w:shd w:val="clear" w:color="auto" w:fill="auto"/>
                  <w:vAlign w:val="center"/>
                </w:tcPr>
                <w:p w14:paraId="4789851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eastAsia" w:ascii="Times New Roman" w:hAnsi="Times New Roman" w:eastAsia="宋体" w:cs="宋体"/>
                      <w:b w:val="0"/>
                      <w:bCs/>
                      <w:spacing w:val="-10"/>
                      <w:kern w:val="2"/>
                      <w:sz w:val="21"/>
                      <w:szCs w:val="21"/>
                      <w:highlight w:val="none"/>
                      <w:lang w:val="en-US" w:eastAsia="zh-CN" w:bidi="ar"/>
                    </w:rPr>
                  </w:pPr>
                </w:p>
              </w:tc>
              <w:tc>
                <w:tcPr>
                  <w:tcW w:w="430" w:type="pct"/>
                  <w:tcBorders>
                    <w:tl2br w:val="nil"/>
                    <w:tr2bl w:val="nil"/>
                  </w:tcBorders>
                  <w:shd w:val="clear" w:color="auto" w:fill="auto"/>
                  <w:vAlign w:val="center"/>
                </w:tcPr>
                <w:p w14:paraId="5475563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宋体" w:cs="Times New Roman"/>
                      <w:b w:val="0"/>
                      <w:bCs/>
                      <w:kern w:val="2"/>
                      <w:sz w:val="21"/>
                      <w:szCs w:val="21"/>
                      <w:highlight w:val="none"/>
                      <w:lang w:val="en-US" w:eastAsia="zh-CN" w:bidi="ar"/>
                    </w:rPr>
                  </w:pPr>
                  <w:r>
                    <w:rPr>
                      <w:rFonts w:hint="eastAsia" w:cs="Times New Roman"/>
                      <w:b w:val="0"/>
                      <w:bCs/>
                      <w:kern w:val="2"/>
                      <w:sz w:val="21"/>
                      <w:szCs w:val="21"/>
                      <w:highlight w:val="none"/>
                      <w:lang w:val="en-US" w:eastAsia="zh-CN" w:bidi="ar"/>
                    </w:rPr>
                    <w:t>/</w:t>
                  </w:r>
                </w:p>
              </w:tc>
              <w:tc>
                <w:tcPr>
                  <w:tcW w:w="622" w:type="pct"/>
                  <w:tcBorders>
                    <w:tl2br w:val="nil"/>
                    <w:tr2bl w:val="nil"/>
                  </w:tcBorders>
                  <w:shd w:val="clear" w:color="auto" w:fill="auto"/>
                  <w:vAlign w:val="center"/>
                </w:tcPr>
                <w:p w14:paraId="5E64108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spacing w:val="-10"/>
                      <w:sz w:val="21"/>
                      <w:szCs w:val="21"/>
                      <w:highlight w:val="none"/>
                      <w:lang w:val="en-US" w:eastAsia="zh-CN"/>
                    </w:rPr>
                  </w:pPr>
                  <w:r>
                    <w:rPr>
                      <w:rFonts w:hint="eastAsia"/>
                      <w:b w:val="0"/>
                      <w:bCs/>
                      <w:spacing w:val="-10"/>
                      <w:sz w:val="21"/>
                      <w:szCs w:val="21"/>
                      <w:highlight w:val="none"/>
                      <w:lang w:val="en-US" w:eastAsia="zh-CN"/>
                    </w:rPr>
                    <w:t>/</w:t>
                  </w:r>
                </w:p>
              </w:tc>
              <w:tc>
                <w:tcPr>
                  <w:tcW w:w="499" w:type="pct"/>
                  <w:tcBorders>
                    <w:tl2br w:val="nil"/>
                    <w:tr2bl w:val="nil"/>
                  </w:tcBorders>
                  <w:shd w:val="clear" w:color="auto" w:fill="auto"/>
                  <w:vAlign w:val="center"/>
                </w:tcPr>
                <w:p w14:paraId="1122F48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spacing w:val="-10"/>
                      <w:sz w:val="21"/>
                      <w:szCs w:val="21"/>
                      <w:highlight w:val="none"/>
                      <w:lang w:val="en-US" w:eastAsia="zh-CN"/>
                    </w:rPr>
                  </w:pPr>
                  <w:r>
                    <w:rPr>
                      <w:rFonts w:hint="eastAsia"/>
                      <w:b w:val="0"/>
                      <w:bCs/>
                      <w:spacing w:val="-10"/>
                      <w:sz w:val="21"/>
                      <w:szCs w:val="21"/>
                      <w:highlight w:val="none"/>
                      <w:lang w:val="en-US" w:eastAsia="zh-CN"/>
                    </w:rPr>
                    <w:t>0.035</w:t>
                  </w:r>
                </w:p>
              </w:tc>
              <w:tc>
                <w:tcPr>
                  <w:tcW w:w="499" w:type="pct"/>
                  <w:tcBorders>
                    <w:tl2br w:val="nil"/>
                    <w:tr2bl w:val="nil"/>
                  </w:tcBorders>
                  <w:shd w:val="clear" w:color="auto" w:fill="auto"/>
                  <w:vAlign w:val="center"/>
                </w:tcPr>
                <w:p w14:paraId="597243D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sz w:val="21"/>
                      <w:szCs w:val="21"/>
                      <w:highlight w:val="none"/>
                      <w:lang w:val="en-US" w:eastAsia="zh-CN"/>
                    </w:rPr>
                  </w:pPr>
                  <w:r>
                    <w:rPr>
                      <w:rFonts w:hint="eastAsia"/>
                      <w:b w:val="0"/>
                      <w:bCs/>
                      <w:sz w:val="21"/>
                      <w:szCs w:val="21"/>
                      <w:highlight w:val="none"/>
                      <w:lang w:val="en-US" w:eastAsia="zh-CN"/>
                    </w:rPr>
                    <w:t>0.175</w:t>
                  </w:r>
                </w:p>
              </w:tc>
              <w:tc>
                <w:tcPr>
                  <w:tcW w:w="412" w:type="pct"/>
                  <w:tcBorders>
                    <w:tl2br w:val="nil"/>
                    <w:tr2bl w:val="nil"/>
                  </w:tcBorders>
                  <w:shd w:val="clear" w:color="auto" w:fill="auto"/>
                  <w:vAlign w:val="center"/>
                </w:tcPr>
                <w:p w14:paraId="19E5DC5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sz w:val="21"/>
                      <w:szCs w:val="21"/>
                      <w:highlight w:val="none"/>
                      <w:lang w:val="en-US"/>
                    </w:rPr>
                  </w:pPr>
                  <w:r>
                    <w:rPr>
                      <w:rFonts w:hint="eastAsia" w:ascii="Times New Roman" w:hAnsi="Times New Roman" w:eastAsia="宋体" w:cs="宋体"/>
                      <w:b w:val="0"/>
                      <w:bCs/>
                      <w:kern w:val="2"/>
                      <w:sz w:val="21"/>
                      <w:szCs w:val="21"/>
                      <w:highlight w:val="none"/>
                      <w:lang w:val="en-US" w:eastAsia="zh-CN" w:bidi="ar"/>
                    </w:rPr>
                    <w:t>无组织</w:t>
                  </w:r>
                </w:p>
              </w:tc>
              <w:tc>
                <w:tcPr>
                  <w:tcW w:w="654" w:type="pct"/>
                  <w:tcBorders>
                    <w:tl2br w:val="nil"/>
                    <w:tr2bl w:val="nil"/>
                  </w:tcBorders>
                  <w:shd w:val="clear" w:color="auto" w:fill="auto"/>
                  <w:vAlign w:val="center"/>
                </w:tcPr>
                <w:p w14:paraId="6F8F135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宋体" w:cs="宋体"/>
                      <w:b w:val="0"/>
                      <w:bCs/>
                      <w:kern w:val="2"/>
                      <w:sz w:val="21"/>
                      <w:szCs w:val="21"/>
                      <w:highlight w:val="none"/>
                      <w:lang w:val="en-US" w:eastAsia="zh-CN" w:bidi="ar"/>
                    </w:rPr>
                  </w:pPr>
                  <w:r>
                    <w:rPr>
                      <w:rFonts w:hint="eastAsia" w:cs="宋体"/>
                      <w:b w:val="0"/>
                      <w:bCs/>
                      <w:kern w:val="2"/>
                      <w:sz w:val="21"/>
                      <w:szCs w:val="21"/>
                      <w:highlight w:val="none"/>
                      <w:lang w:val="en-US" w:eastAsia="zh-CN" w:bidi="ar"/>
                    </w:rPr>
                    <w:t>提高收集效率，加强通风</w:t>
                  </w:r>
                </w:p>
              </w:tc>
              <w:tc>
                <w:tcPr>
                  <w:tcW w:w="499" w:type="pct"/>
                  <w:tcBorders>
                    <w:tl2br w:val="nil"/>
                    <w:tr2bl w:val="nil"/>
                  </w:tcBorders>
                  <w:shd w:val="clear" w:color="auto" w:fill="auto"/>
                  <w:vAlign w:val="center"/>
                </w:tcPr>
                <w:p w14:paraId="35830AB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宋体" w:cs="宋体"/>
                      <w:b w:val="0"/>
                      <w:bCs/>
                      <w:spacing w:val="-10"/>
                      <w:kern w:val="2"/>
                      <w:sz w:val="21"/>
                      <w:szCs w:val="21"/>
                      <w:highlight w:val="none"/>
                      <w:lang w:val="en-US" w:eastAsia="zh-CN" w:bidi="ar"/>
                    </w:rPr>
                  </w:pPr>
                  <w:r>
                    <w:rPr>
                      <w:rFonts w:hint="eastAsia" w:cs="宋体"/>
                      <w:b w:val="0"/>
                      <w:bCs/>
                      <w:spacing w:val="-10"/>
                      <w:kern w:val="2"/>
                      <w:sz w:val="21"/>
                      <w:szCs w:val="21"/>
                      <w:highlight w:val="none"/>
                      <w:lang w:val="en-US" w:eastAsia="zh-CN" w:bidi="ar"/>
                    </w:rPr>
                    <w:t>/</w:t>
                  </w:r>
                </w:p>
              </w:tc>
              <w:tc>
                <w:tcPr>
                  <w:tcW w:w="452" w:type="pct"/>
                  <w:tcBorders>
                    <w:tl2br w:val="nil"/>
                    <w:tr2bl w:val="nil"/>
                  </w:tcBorders>
                  <w:shd w:val="clear" w:color="auto" w:fill="auto"/>
                  <w:vAlign w:val="center"/>
                </w:tcPr>
                <w:p w14:paraId="3EEFC02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宋体" w:cs="宋体"/>
                      <w:b w:val="0"/>
                      <w:bCs/>
                      <w:spacing w:val="-10"/>
                      <w:kern w:val="2"/>
                      <w:sz w:val="21"/>
                      <w:szCs w:val="21"/>
                      <w:highlight w:val="none"/>
                      <w:lang w:val="en-US" w:eastAsia="zh-CN" w:bidi="ar"/>
                    </w:rPr>
                  </w:pPr>
                  <w:r>
                    <w:rPr>
                      <w:rFonts w:hint="eastAsia" w:cs="宋体"/>
                      <w:b w:val="0"/>
                      <w:bCs/>
                      <w:spacing w:val="-10"/>
                      <w:kern w:val="2"/>
                      <w:sz w:val="21"/>
                      <w:szCs w:val="21"/>
                      <w:highlight w:val="none"/>
                      <w:lang w:val="en-US" w:eastAsia="zh-CN" w:bidi="ar"/>
                    </w:rPr>
                    <w:t>/</w:t>
                  </w:r>
                </w:p>
              </w:tc>
            </w:tr>
          </w:tbl>
          <w:p w14:paraId="25336AB0">
            <w:pPr>
              <w:keepNext w:val="0"/>
              <w:keepLines w:val="0"/>
              <w:pageBreakBefore w:val="0"/>
              <w:widowControl/>
              <w:numPr>
                <w:ilvl w:val="0"/>
                <w:numId w:val="0"/>
              </w:numPr>
              <w:suppressLineNumbers w:val="0"/>
              <w:kinsoku/>
              <w:wordWrap/>
              <w:overflowPunct/>
              <w:topLinePunct w:val="0"/>
              <w:autoSpaceDE/>
              <w:autoSpaceDN/>
              <w:bidi w:val="0"/>
              <w:adjustRightInd w:val="0"/>
              <w:snapToGrid/>
              <w:spacing w:before="0" w:beforeAutospacing="0" w:after="0" w:afterAutospacing="0" w:line="520" w:lineRule="exact"/>
              <w:ind w:left="0" w:right="0"/>
              <w:jc w:val="center"/>
              <w:textAlignment w:val="auto"/>
              <w:rPr>
                <w:rFonts w:hint="eastAsia" w:eastAsia="黑体" w:cs="Times New Roman"/>
                <w:b w:val="0"/>
                <w:bCs w:val="0"/>
                <w:color w:val="000000" w:themeColor="text1"/>
                <w:sz w:val="24"/>
                <w:szCs w:val="24"/>
                <w:highlight w:val="none"/>
                <w:lang w:val="en-US" w:eastAsia="zh-CN"/>
                <w14:textFill>
                  <w14:solidFill>
                    <w14:schemeClr w14:val="tx1"/>
                  </w14:solidFill>
                </w14:textFill>
              </w:rPr>
            </w:pPr>
            <w:r>
              <w:rPr>
                <w:rFonts w:hint="eastAsia" w:eastAsia="黑体" w:cs="Times New Roman"/>
                <w:b w:val="0"/>
                <w:bCs w:val="0"/>
                <w:color w:val="000000" w:themeColor="text1"/>
                <w:sz w:val="24"/>
                <w:szCs w:val="24"/>
                <w:highlight w:val="none"/>
                <w:lang w:val="en-US" w:eastAsia="zh-CN"/>
                <w14:textFill>
                  <w14:solidFill>
                    <w14:schemeClr w14:val="tx1"/>
                  </w14:solidFill>
                </w14:textFill>
              </w:rPr>
              <w:t>表</w:t>
            </w:r>
            <w:r>
              <w:rPr>
                <w:rFonts w:hint="default" w:eastAsia="黑体" w:cs="Times New Roman"/>
                <w:b w:val="0"/>
                <w:bCs w:val="0"/>
                <w:color w:val="000000" w:themeColor="text1"/>
                <w:sz w:val="24"/>
                <w:szCs w:val="24"/>
                <w:highlight w:val="none"/>
                <w:lang w:val="en-US" w:eastAsia="zh-CN"/>
                <w14:textFill>
                  <w14:solidFill>
                    <w14:schemeClr w14:val="tx1"/>
                  </w14:solidFill>
                </w14:textFill>
              </w:rPr>
              <w:t>4-</w:t>
            </w:r>
            <w:r>
              <w:rPr>
                <w:rFonts w:hint="eastAsia" w:eastAsia="黑体" w:cs="Times New Roman"/>
                <w:b w:val="0"/>
                <w:bCs w:val="0"/>
                <w:color w:val="000000" w:themeColor="text1"/>
                <w:sz w:val="24"/>
                <w:szCs w:val="24"/>
                <w:highlight w:val="none"/>
                <w:lang w:val="en-US" w:eastAsia="zh-CN"/>
                <w14:textFill>
                  <w14:solidFill>
                    <w14:schemeClr w14:val="tx1"/>
                  </w14:solidFill>
                </w14:textFill>
              </w:rPr>
              <w:t>4</w:t>
            </w:r>
            <w:r>
              <w:rPr>
                <w:rFonts w:hint="default" w:eastAsia="黑体" w:cs="Times New Roman"/>
                <w:b w:val="0"/>
                <w:bCs w:val="0"/>
                <w:color w:val="000000" w:themeColor="text1"/>
                <w:sz w:val="24"/>
                <w:szCs w:val="24"/>
                <w:highlight w:val="none"/>
                <w:lang w:val="en-US" w:eastAsia="zh-CN"/>
                <w14:textFill>
                  <w14:solidFill>
                    <w14:schemeClr w14:val="tx1"/>
                  </w14:solidFill>
                </w14:textFill>
              </w:rPr>
              <w:t xml:space="preserve">  </w:t>
            </w:r>
            <w:r>
              <w:rPr>
                <w:rFonts w:hint="eastAsia" w:eastAsia="黑体" w:cs="Times New Roman"/>
                <w:b w:val="0"/>
                <w:bCs w:val="0"/>
                <w:color w:val="000000" w:themeColor="text1"/>
                <w:sz w:val="24"/>
                <w:szCs w:val="24"/>
                <w:highlight w:val="none"/>
                <w:lang w:val="en-US" w:eastAsia="zh-CN"/>
                <w14:textFill>
                  <w14:solidFill>
                    <w14:schemeClr w14:val="tx1"/>
                  </w14:solidFill>
                </w14:textFill>
              </w:rPr>
              <w:t>大气有组织排放信息表</w:t>
            </w:r>
          </w:p>
          <w:tbl>
            <w:tblPr>
              <w:tblStyle w:val="25"/>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803"/>
              <w:gridCol w:w="618"/>
              <w:gridCol w:w="647"/>
              <w:gridCol w:w="608"/>
              <w:gridCol w:w="875"/>
              <w:gridCol w:w="721"/>
              <w:gridCol w:w="1001"/>
              <w:gridCol w:w="986"/>
              <w:gridCol w:w="1930"/>
            </w:tblGrid>
            <w:tr w14:paraId="27316F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497" w:type="pct"/>
                  <w:vMerge w:val="restart"/>
                  <w:tcBorders>
                    <w:tl2br w:val="nil"/>
                    <w:tr2bl w:val="nil"/>
                  </w:tcBorders>
                  <w:shd w:val="clear" w:color="auto" w:fill="auto"/>
                  <w:vAlign w:val="center"/>
                </w:tcPr>
                <w:p w14:paraId="01896A9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b w:val="0"/>
                      <w:bCs/>
                      <w:spacing w:val="-10"/>
                      <w:szCs w:val="21"/>
                      <w:highlight w:val="none"/>
                      <w:lang w:val="en-US"/>
                    </w:rPr>
                  </w:pPr>
                  <w:r>
                    <w:rPr>
                      <w:rFonts w:hint="eastAsia" w:ascii="Times New Roman" w:hAnsi="Times New Roman" w:eastAsia="宋体" w:cs="宋体"/>
                      <w:b w:val="0"/>
                      <w:bCs/>
                      <w:spacing w:val="-10"/>
                      <w:kern w:val="2"/>
                      <w:sz w:val="21"/>
                      <w:szCs w:val="21"/>
                      <w:highlight w:val="none"/>
                      <w:lang w:val="en-US" w:eastAsia="zh-CN" w:bidi="ar"/>
                    </w:rPr>
                    <w:t>排放口名称</w:t>
                  </w:r>
                </w:p>
              </w:tc>
              <w:tc>
                <w:tcPr>
                  <w:tcW w:w="3317" w:type="pct"/>
                  <w:gridSpan w:val="7"/>
                  <w:tcBorders>
                    <w:tl2br w:val="nil"/>
                    <w:tr2bl w:val="nil"/>
                  </w:tcBorders>
                  <w:shd w:val="clear" w:color="auto" w:fill="auto"/>
                  <w:vAlign w:val="center"/>
                </w:tcPr>
                <w:p w14:paraId="55E794B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b w:val="0"/>
                      <w:bCs/>
                      <w:spacing w:val="-10"/>
                      <w:szCs w:val="21"/>
                      <w:highlight w:val="none"/>
                      <w:lang w:val="en-US"/>
                    </w:rPr>
                  </w:pPr>
                  <w:r>
                    <w:rPr>
                      <w:rFonts w:hint="eastAsia" w:ascii="Times New Roman" w:hAnsi="Times New Roman" w:eastAsia="宋体" w:cs="宋体"/>
                      <w:b w:val="0"/>
                      <w:bCs/>
                      <w:spacing w:val="-10"/>
                      <w:kern w:val="2"/>
                      <w:sz w:val="21"/>
                      <w:szCs w:val="21"/>
                      <w:highlight w:val="none"/>
                      <w:lang w:val="en-US" w:eastAsia="zh-CN" w:bidi="ar"/>
                    </w:rPr>
                    <w:t>排放口基本情况</w:t>
                  </w:r>
                </w:p>
              </w:tc>
              <w:tc>
                <w:tcPr>
                  <w:tcW w:w="1184" w:type="pct"/>
                  <w:vMerge w:val="restart"/>
                  <w:tcBorders>
                    <w:tl2br w:val="nil"/>
                    <w:tr2bl w:val="nil"/>
                  </w:tcBorders>
                  <w:shd w:val="clear" w:color="auto" w:fill="auto"/>
                  <w:vAlign w:val="center"/>
                </w:tcPr>
                <w:p w14:paraId="12A99E2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eastAsia" w:ascii="Times New Roman" w:hAnsi="Times New Roman" w:eastAsia="宋体" w:cs="宋体"/>
                      <w:b w:val="0"/>
                      <w:bCs/>
                      <w:spacing w:val="-10"/>
                      <w:kern w:val="2"/>
                      <w:sz w:val="21"/>
                      <w:szCs w:val="21"/>
                      <w:highlight w:val="none"/>
                      <w:lang w:val="en-US" w:eastAsia="zh-CN" w:bidi="ar"/>
                    </w:rPr>
                  </w:pPr>
                  <w:r>
                    <w:rPr>
                      <w:rFonts w:hint="eastAsia" w:ascii="Times New Roman" w:hAnsi="Times New Roman" w:eastAsia="宋体" w:cs="宋体"/>
                      <w:b w:val="0"/>
                      <w:bCs/>
                      <w:spacing w:val="-10"/>
                      <w:kern w:val="2"/>
                      <w:sz w:val="21"/>
                      <w:szCs w:val="21"/>
                      <w:highlight w:val="none"/>
                      <w:lang w:val="en-US" w:eastAsia="zh-CN" w:bidi="ar"/>
                    </w:rPr>
                    <w:t>排放标准</w:t>
                  </w:r>
                </w:p>
                <w:p w14:paraId="32BBE83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b w:val="0"/>
                      <w:bCs/>
                      <w:spacing w:val="-10"/>
                      <w:szCs w:val="21"/>
                      <w:highlight w:val="none"/>
                      <w:lang w:val="en-US"/>
                    </w:rPr>
                  </w:pPr>
                  <w:r>
                    <w:rPr>
                      <w:rFonts w:hint="eastAsia" w:ascii="Times New Roman" w:hAnsi="Times New Roman" w:eastAsia="宋体" w:cs="宋体"/>
                      <w:b w:val="0"/>
                      <w:bCs/>
                      <w:spacing w:val="-10"/>
                      <w:kern w:val="2"/>
                      <w:sz w:val="21"/>
                      <w:szCs w:val="21"/>
                      <w:highlight w:val="none"/>
                      <w:lang w:val="en-US" w:eastAsia="zh-CN" w:bidi="ar"/>
                    </w:rPr>
                    <w:t>名称</w:t>
                  </w:r>
                </w:p>
              </w:tc>
            </w:tr>
            <w:tr w14:paraId="43C1F7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497" w:type="pct"/>
                  <w:vMerge w:val="continue"/>
                  <w:tcBorders>
                    <w:tl2br w:val="nil"/>
                    <w:tr2bl w:val="nil"/>
                  </w:tcBorders>
                  <w:shd w:val="clear" w:color="auto" w:fill="auto"/>
                  <w:vAlign w:val="center"/>
                </w:tcPr>
                <w:p w14:paraId="14A845AE">
                  <w:pPr>
                    <w:keepNext w:val="0"/>
                    <w:keepLines w:val="0"/>
                    <w:pageBreakBefore w:val="0"/>
                    <w:suppressLineNumbers w:val="0"/>
                    <w:kinsoku/>
                    <w:wordWrap/>
                    <w:overflowPunct/>
                    <w:topLinePunct w:val="0"/>
                    <w:autoSpaceDE/>
                    <w:autoSpaceDN/>
                    <w:bidi w:val="0"/>
                    <w:spacing w:before="0" w:beforeAutospacing="0" w:after="0" w:afterAutospacing="0" w:line="360" w:lineRule="exact"/>
                    <w:ind w:left="0" w:right="0"/>
                    <w:rPr>
                      <w:rFonts w:hint="default" w:ascii="Times New Roman" w:hAnsi="Times New Roman" w:eastAsia="Times New Roman" w:cs="Times New Roman"/>
                      <w:b w:val="0"/>
                      <w:bCs/>
                      <w:sz w:val="20"/>
                      <w:szCs w:val="20"/>
                      <w:highlight w:val="none"/>
                    </w:rPr>
                  </w:pPr>
                </w:p>
              </w:tc>
              <w:tc>
                <w:tcPr>
                  <w:tcW w:w="383" w:type="pct"/>
                  <w:tcBorders>
                    <w:tl2br w:val="nil"/>
                    <w:tr2bl w:val="nil"/>
                  </w:tcBorders>
                  <w:shd w:val="clear" w:color="auto" w:fill="auto"/>
                  <w:vAlign w:val="center"/>
                </w:tcPr>
                <w:p w14:paraId="7D99525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b w:val="0"/>
                      <w:bCs/>
                      <w:spacing w:val="-10"/>
                      <w:szCs w:val="21"/>
                      <w:highlight w:val="none"/>
                      <w:lang w:val="en-US"/>
                    </w:rPr>
                  </w:pPr>
                  <w:r>
                    <w:rPr>
                      <w:rFonts w:hint="eastAsia" w:ascii="Times New Roman" w:hAnsi="Times New Roman" w:eastAsia="宋体" w:cs="宋体"/>
                      <w:b w:val="0"/>
                      <w:bCs/>
                      <w:spacing w:val="-10"/>
                      <w:kern w:val="2"/>
                      <w:sz w:val="21"/>
                      <w:szCs w:val="21"/>
                      <w:highlight w:val="none"/>
                      <w:lang w:val="en-US" w:eastAsia="zh-CN" w:bidi="ar"/>
                    </w:rPr>
                    <w:t>高度</w:t>
                  </w:r>
                </w:p>
              </w:tc>
              <w:tc>
                <w:tcPr>
                  <w:tcW w:w="401" w:type="pct"/>
                  <w:tcBorders>
                    <w:tl2br w:val="nil"/>
                    <w:tr2bl w:val="nil"/>
                  </w:tcBorders>
                  <w:shd w:val="clear" w:color="auto" w:fill="auto"/>
                  <w:vAlign w:val="center"/>
                </w:tcPr>
                <w:p w14:paraId="1861293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b w:val="0"/>
                      <w:bCs/>
                      <w:spacing w:val="-10"/>
                      <w:szCs w:val="21"/>
                      <w:highlight w:val="none"/>
                      <w:lang w:val="en-US"/>
                    </w:rPr>
                  </w:pPr>
                  <w:r>
                    <w:rPr>
                      <w:rFonts w:hint="eastAsia" w:ascii="Times New Roman" w:hAnsi="Times New Roman" w:eastAsia="宋体" w:cs="宋体"/>
                      <w:b w:val="0"/>
                      <w:bCs/>
                      <w:spacing w:val="-10"/>
                      <w:kern w:val="2"/>
                      <w:sz w:val="21"/>
                      <w:szCs w:val="21"/>
                      <w:highlight w:val="none"/>
                      <w:lang w:val="en-US" w:eastAsia="zh-CN" w:bidi="ar"/>
                    </w:rPr>
                    <w:t>内径</w:t>
                  </w:r>
                </w:p>
              </w:tc>
              <w:tc>
                <w:tcPr>
                  <w:tcW w:w="377" w:type="pct"/>
                  <w:tcBorders>
                    <w:tl2br w:val="nil"/>
                    <w:tr2bl w:val="nil"/>
                  </w:tcBorders>
                  <w:shd w:val="clear" w:color="auto" w:fill="auto"/>
                  <w:vAlign w:val="center"/>
                </w:tcPr>
                <w:p w14:paraId="0CDA205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b w:val="0"/>
                      <w:bCs/>
                      <w:spacing w:val="-10"/>
                      <w:szCs w:val="21"/>
                      <w:highlight w:val="none"/>
                      <w:lang w:val="en-US"/>
                    </w:rPr>
                  </w:pPr>
                  <w:r>
                    <w:rPr>
                      <w:rFonts w:hint="eastAsia" w:ascii="Times New Roman" w:hAnsi="Times New Roman" w:eastAsia="宋体" w:cs="宋体"/>
                      <w:b w:val="0"/>
                      <w:bCs/>
                      <w:spacing w:val="-10"/>
                      <w:kern w:val="2"/>
                      <w:sz w:val="21"/>
                      <w:szCs w:val="21"/>
                      <w:highlight w:val="none"/>
                      <w:lang w:val="en-US" w:eastAsia="zh-CN" w:bidi="ar"/>
                    </w:rPr>
                    <w:t>温度</w:t>
                  </w:r>
                </w:p>
              </w:tc>
              <w:tc>
                <w:tcPr>
                  <w:tcW w:w="540" w:type="pct"/>
                  <w:tcBorders>
                    <w:tl2br w:val="nil"/>
                    <w:tr2bl w:val="nil"/>
                  </w:tcBorders>
                  <w:shd w:val="clear" w:color="auto" w:fill="auto"/>
                  <w:vAlign w:val="center"/>
                </w:tcPr>
                <w:p w14:paraId="71FCDE2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b w:val="0"/>
                      <w:bCs/>
                      <w:spacing w:val="-10"/>
                      <w:szCs w:val="21"/>
                      <w:highlight w:val="none"/>
                      <w:lang w:val="en-US"/>
                    </w:rPr>
                  </w:pPr>
                  <w:r>
                    <w:rPr>
                      <w:rFonts w:hint="eastAsia" w:ascii="Times New Roman" w:hAnsi="Times New Roman" w:eastAsia="宋体" w:cs="宋体"/>
                      <w:b w:val="0"/>
                      <w:bCs/>
                      <w:spacing w:val="-10"/>
                      <w:kern w:val="2"/>
                      <w:sz w:val="21"/>
                      <w:szCs w:val="21"/>
                      <w:highlight w:val="none"/>
                      <w:lang w:val="en-US" w:eastAsia="zh-CN" w:bidi="ar"/>
                    </w:rPr>
                    <w:t>编号</w:t>
                  </w:r>
                </w:p>
              </w:tc>
              <w:tc>
                <w:tcPr>
                  <w:tcW w:w="446" w:type="pct"/>
                  <w:tcBorders>
                    <w:tl2br w:val="nil"/>
                    <w:tr2bl w:val="nil"/>
                  </w:tcBorders>
                  <w:shd w:val="clear" w:color="auto" w:fill="auto"/>
                  <w:vAlign w:val="center"/>
                </w:tcPr>
                <w:p w14:paraId="63A4D5C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b w:val="0"/>
                      <w:bCs/>
                      <w:spacing w:val="-10"/>
                      <w:szCs w:val="21"/>
                      <w:highlight w:val="none"/>
                      <w:lang w:val="en-US"/>
                    </w:rPr>
                  </w:pPr>
                  <w:r>
                    <w:rPr>
                      <w:rFonts w:hint="eastAsia" w:ascii="Times New Roman" w:hAnsi="Times New Roman" w:eastAsia="宋体" w:cs="宋体"/>
                      <w:b w:val="0"/>
                      <w:bCs/>
                      <w:spacing w:val="-10"/>
                      <w:kern w:val="2"/>
                      <w:sz w:val="21"/>
                      <w:szCs w:val="21"/>
                      <w:highlight w:val="none"/>
                      <w:lang w:val="en-US" w:eastAsia="zh-CN" w:bidi="ar"/>
                    </w:rPr>
                    <w:t>类型</w:t>
                  </w:r>
                </w:p>
              </w:tc>
              <w:tc>
                <w:tcPr>
                  <w:tcW w:w="562" w:type="pct"/>
                  <w:tcBorders>
                    <w:tl2br w:val="nil"/>
                    <w:tr2bl w:val="nil"/>
                  </w:tcBorders>
                  <w:shd w:val="clear" w:color="auto" w:fill="auto"/>
                  <w:vAlign w:val="center"/>
                </w:tcPr>
                <w:p w14:paraId="56CAB36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b w:val="0"/>
                      <w:bCs/>
                      <w:spacing w:val="-10"/>
                      <w:szCs w:val="21"/>
                      <w:highlight w:val="none"/>
                      <w:lang w:val="en-US"/>
                    </w:rPr>
                  </w:pPr>
                  <w:r>
                    <w:rPr>
                      <w:rFonts w:hint="eastAsia" w:ascii="Times New Roman" w:hAnsi="Times New Roman" w:eastAsia="宋体" w:cs="宋体"/>
                      <w:b w:val="0"/>
                      <w:bCs/>
                      <w:spacing w:val="-10"/>
                      <w:kern w:val="2"/>
                      <w:sz w:val="21"/>
                      <w:szCs w:val="21"/>
                      <w:highlight w:val="none"/>
                      <w:lang w:val="en-US" w:eastAsia="zh-CN" w:bidi="ar"/>
                    </w:rPr>
                    <w:t>地理坐标</w:t>
                  </w:r>
                </w:p>
              </w:tc>
              <w:tc>
                <w:tcPr>
                  <w:tcW w:w="604" w:type="pct"/>
                  <w:tcBorders>
                    <w:tl2br w:val="nil"/>
                    <w:tr2bl w:val="nil"/>
                  </w:tcBorders>
                  <w:shd w:val="clear" w:color="auto" w:fill="auto"/>
                  <w:vAlign w:val="center"/>
                </w:tcPr>
                <w:p w14:paraId="14AF335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ascii="Times New Roman" w:hAnsi="Times New Roman" w:eastAsia="宋体" w:cs="宋体"/>
                      <w:b w:val="0"/>
                      <w:bCs/>
                      <w:spacing w:val="-10"/>
                      <w:kern w:val="2"/>
                      <w:sz w:val="21"/>
                      <w:szCs w:val="21"/>
                      <w:highlight w:val="none"/>
                      <w:lang w:val="en-US" w:eastAsia="zh-CN" w:bidi="ar"/>
                    </w:rPr>
                  </w:pPr>
                  <w:r>
                    <w:rPr>
                      <w:rFonts w:hint="eastAsia" w:cs="宋体"/>
                      <w:b w:val="0"/>
                      <w:bCs/>
                      <w:spacing w:val="-10"/>
                      <w:kern w:val="2"/>
                      <w:sz w:val="21"/>
                      <w:szCs w:val="21"/>
                      <w:highlight w:val="none"/>
                      <w:lang w:val="en-US" w:eastAsia="zh-CN" w:bidi="ar"/>
                    </w:rPr>
                    <w:t>排放量</w:t>
                  </w:r>
                </w:p>
              </w:tc>
              <w:tc>
                <w:tcPr>
                  <w:tcW w:w="1184" w:type="pct"/>
                  <w:vMerge w:val="continue"/>
                  <w:tcBorders>
                    <w:tl2br w:val="nil"/>
                    <w:tr2bl w:val="nil"/>
                  </w:tcBorders>
                  <w:shd w:val="clear" w:color="auto" w:fill="auto"/>
                  <w:vAlign w:val="center"/>
                </w:tcPr>
                <w:p w14:paraId="523FA95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b w:val="0"/>
                      <w:bCs/>
                      <w:spacing w:val="-10"/>
                      <w:szCs w:val="21"/>
                      <w:highlight w:val="none"/>
                      <w:lang w:val="en-US"/>
                    </w:rPr>
                  </w:pPr>
                </w:p>
              </w:tc>
            </w:tr>
            <w:tr w14:paraId="56E183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497" w:type="pct"/>
                  <w:tcBorders>
                    <w:tl2br w:val="nil"/>
                    <w:tr2bl w:val="nil"/>
                  </w:tcBorders>
                  <w:shd w:val="clear" w:color="auto" w:fill="auto"/>
                  <w:vAlign w:val="center"/>
                </w:tcPr>
                <w:p w14:paraId="3FFF4D9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b w:val="0"/>
                      <w:bCs/>
                      <w:spacing w:val="-10"/>
                      <w:szCs w:val="21"/>
                      <w:highlight w:val="none"/>
                      <w:lang w:val="en-US"/>
                    </w:rPr>
                  </w:pPr>
                  <w:r>
                    <w:rPr>
                      <w:rFonts w:hint="eastAsia" w:cs="宋体"/>
                      <w:b w:val="0"/>
                      <w:bCs/>
                      <w:spacing w:val="-10"/>
                      <w:kern w:val="2"/>
                      <w:sz w:val="21"/>
                      <w:szCs w:val="21"/>
                      <w:highlight w:val="none"/>
                      <w:lang w:val="en-US" w:eastAsia="zh-CN" w:bidi="ar"/>
                    </w:rPr>
                    <w:t>有机</w:t>
                  </w:r>
                  <w:r>
                    <w:rPr>
                      <w:rFonts w:hint="eastAsia" w:ascii="Times New Roman" w:hAnsi="Times New Roman" w:eastAsia="宋体" w:cs="宋体"/>
                      <w:b w:val="0"/>
                      <w:bCs/>
                      <w:spacing w:val="-10"/>
                      <w:kern w:val="2"/>
                      <w:sz w:val="21"/>
                      <w:szCs w:val="21"/>
                      <w:highlight w:val="none"/>
                      <w:lang w:val="en-US" w:eastAsia="zh-CN" w:bidi="ar"/>
                    </w:rPr>
                    <w:t>废气排放口</w:t>
                  </w:r>
                </w:p>
              </w:tc>
              <w:tc>
                <w:tcPr>
                  <w:tcW w:w="383" w:type="pct"/>
                  <w:tcBorders>
                    <w:tl2br w:val="nil"/>
                    <w:tr2bl w:val="nil"/>
                  </w:tcBorders>
                  <w:shd w:val="clear" w:color="auto" w:fill="auto"/>
                  <w:vAlign w:val="center"/>
                </w:tcPr>
                <w:p w14:paraId="1565D66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b w:val="0"/>
                      <w:bCs/>
                      <w:szCs w:val="21"/>
                      <w:highlight w:val="none"/>
                      <w:lang w:val="en-US"/>
                    </w:rPr>
                  </w:pPr>
                  <w:r>
                    <w:rPr>
                      <w:rFonts w:hint="default" w:ascii="Times New Roman" w:hAnsi="Times New Roman" w:eastAsia="宋体" w:cs="Times New Roman"/>
                      <w:b w:val="0"/>
                      <w:bCs/>
                      <w:kern w:val="2"/>
                      <w:sz w:val="21"/>
                      <w:szCs w:val="21"/>
                      <w:highlight w:val="none"/>
                      <w:lang w:val="en-US" w:eastAsia="zh-CN" w:bidi="ar"/>
                    </w:rPr>
                    <w:t>15m</w:t>
                  </w:r>
                </w:p>
              </w:tc>
              <w:tc>
                <w:tcPr>
                  <w:tcW w:w="401" w:type="pct"/>
                  <w:tcBorders>
                    <w:tl2br w:val="nil"/>
                    <w:tr2bl w:val="nil"/>
                  </w:tcBorders>
                  <w:shd w:val="clear" w:color="auto" w:fill="auto"/>
                  <w:vAlign w:val="center"/>
                </w:tcPr>
                <w:p w14:paraId="62FAB3A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b w:val="0"/>
                      <w:bCs/>
                      <w:szCs w:val="21"/>
                      <w:highlight w:val="none"/>
                      <w:lang w:val="en-US"/>
                    </w:rPr>
                  </w:pPr>
                  <w:r>
                    <w:rPr>
                      <w:rFonts w:hint="eastAsia" w:cs="Times New Roman"/>
                      <w:b w:val="0"/>
                      <w:bCs/>
                      <w:kern w:val="2"/>
                      <w:sz w:val="21"/>
                      <w:szCs w:val="21"/>
                      <w:highlight w:val="none"/>
                      <w:lang w:val="en-US" w:eastAsia="zh-CN" w:bidi="ar"/>
                    </w:rPr>
                    <w:t>0.7</w:t>
                  </w:r>
                  <w:r>
                    <w:rPr>
                      <w:rFonts w:hint="default" w:ascii="Times New Roman" w:hAnsi="Times New Roman" w:eastAsia="宋体" w:cs="Times New Roman"/>
                      <w:b w:val="0"/>
                      <w:bCs/>
                      <w:kern w:val="2"/>
                      <w:sz w:val="21"/>
                      <w:szCs w:val="21"/>
                      <w:highlight w:val="none"/>
                      <w:lang w:val="en-US" w:eastAsia="zh-CN" w:bidi="ar"/>
                    </w:rPr>
                    <w:t>m</w:t>
                  </w:r>
                </w:p>
              </w:tc>
              <w:tc>
                <w:tcPr>
                  <w:tcW w:w="377" w:type="pct"/>
                  <w:tcBorders>
                    <w:tl2br w:val="nil"/>
                    <w:tr2bl w:val="nil"/>
                  </w:tcBorders>
                  <w:shd w:val="clear" w:color="auto" w:fill="auto"/>
                  <w:vAlign w:val="center"/>
                </w:tcPr>
                <w:p w14:paraId="61031B5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b w:val="0"/>
                      <w:bCs/>
                      <w:szCs w:val="21"/>
                      <w:highlight w:val="none"/>
                      <w:lang w:val="en-US"/>
                    </w:rPr>
                  </w:pPr>
                  <w:r>
                    <w:rPr>
                      <w:rFonts w:hint="eastAsia" w:ascii="Times New Roman" w:hAnsi="Times New Roman" w:eastAsia="宋体" w:cs="宋体"/>
                      <w:b w:val="0"/>
                      <w:bCs/>
                      <w:kern w:val="2"/>
                      <w:sz w:val="21"/>
                      <w:szCs w:val="21"/>
                      <w:highlight w:val="none"/>
                      <w:lang w:val="en-US" w:eastAsia="zh-CN" w:bidi="ar"/>
                    </w:rPr>
                    <w:t>常温</w:t>
                  </w:r>
                </w:p>
              </w:tc>
              <w:tc>
                <w:tcPr>
                  <w:tcW w:w="540" w:type="pct"/>
                  <w:tcBorders>
                    <w:tl2br w:val="nil"/>
                    <w:tr2bl w:val="nil"/>
                  </w:tcBorders>
                  <w:shd w:val="clear" w:color="auto" w:fill="auto"/>
                  <w:vAlign w:val="center"/>
                </w:tcPr>
                <w:p w14:paraId="1B1B921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center"/>
                    <w:rPr>
                      <w:rFonts w:hint="default"/>
                      <w:b w:val="0"/>
                      <w:bCs/>
                      <w:spacing w:val="-10"/>
                      <w:szCs w:val="21"/>
                      <w:highlight w:val="none"/>
                      <w:lang w:val="en-US"/>
                    </w:rPr>
                  </w:pPr>
                  <w:r>
                    <w:rPr>
                      <w:rFonts w:hint="default" w:ascii="Times New Roman" w:hAnsi="Times New Roman" w:eastAsia="宋体" w:cs="Times New Roman"/>
                      <w:b w:val="0"/>
                      <w:bCs/>
                      <w:spacing w:val="-10"/>
                      <w:kern w:val="2"/>
                      <w:sz w:val="21"/>
                      <w:szCs w:val="21"/>
                      <w:highlight w:val="none"/>
                      <w:lang w:val="en-US" w:eastAsia="zh-CN" w:bidi="ar"/>
                    </w:rPr>
                    <w:t>DA001</w:t>
                  </w:r>
                </w:p>
              </w:tc>
              <w:tc>
                <w:tcPr>
                  <w:tcW w:w="446" w:type="pct"/>
                  <w:tcBorders>
                    <w:tl2br w:val="nil"/>
                    <w:tr2bl w:val="nil"/>
                  </w:tcBorders>
                  <w:shd w:val="clear" w:color="auto" w:fill="auto"/>
                  <w:vAlign w:val="center"/>
                </w:tcPr>
                <w:p w14:paraId="62F49DB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center"/>
                    <w:rPr>
                      <w:rFonts w:hint="default"/>
                      <w:b w:val="0"/>
                      <w:bCs/>
                      <w:kern w:val="0"/>
                      <w:szCs w:val="21"/>
                      <w:highlight w:val="none"/>
                      <w:lang w:val="en-US" w:bidi="ar"/>
                    </w:rPr>
                  </w:pPr>
                  <w:r>
                    <w:rPr>
                      <w:rFonts w:hint="eastAsia" w:ascii="Times New Roman" w:hAnsi="Times New Roman" w:eastAsia="宋体" w:cs="宋体"/>
                      <w:b w:val="0"/>
                      <w:bCs/>
                      <w:kern w:val="0"/>
                      <w:sz w:val="21"/>
                      <w:szCs w:val="21"/>
                      <w:highlight w:val="none"/>
                      <w:lang w:val="en-US" w:eastAsia="zh-CN" w:bidi="ar"/>
                    </w:rPr>
                    <w:t>一般排放口</w:t>
                  </w:r>
                </w:p>
              </w:tc>
              <w:tc>
                <w:tcPr>
                  <w:tcW w:w="562" w:type="pct"/>
                  <w:tcBorders>
                    <w:tl2br w:val="nil"/>
                    <w:tr2bl w:val="nil"/>
                  </w:tcBorders>
                  <w:shd w:val="clear" w:color="auto" w:fill="auto"/>
                  <w:vAlign w:val="center"/>
                </w:tcPr>
                <w:p w14:paraId="7C016DC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ascii="Times New Roman" w:hAnsi="Times New Roman" w:eastAsia="宋体" w:cs="Times New Roman"/>
                      <w:b w:val="0"/>
                      <w:bCs/>
                      <w:spacing w:val="-10"/>
                      <w:kern w:val="2"/>
                      <w:sz w:val="21"/>
                      <w:szCs w:val="21"/>
                      <w:highlight w:val="none"/>
                      <w:lang w:val="en-US" w:eastAsia="zh-CN" w:bidi="ar"/>
                    </w:rPr>
                  </w:pPr>
                  <w:r>
                    <w:rPr>
                      <w:rFonts w:hint="default" w:ascii="Times New Roman" w:hAnsi="Times New Roman" w:eastAsia="宋体" w:cs="Times New Roman"/>
                      <w:b w:val="0"/>
                      <w:bCs/>
                      <w:spacing w:val="-10"/>
                      <w:kern w:val="2"/>
                      <w:sz w:val="21"/>
                      <w:szCs w:val="21"/>
                      <w:highlight w:val="none"/>
                      <w:lang w:val="en-US" w:eastAsia="zh-CN" w:bidi="ar"/>
                    </w:rPr>
                    <w:t>E11</w:t>
                  </w:r>
                  <w:r>
                    <w:rPr>
                      <w:rFonts w:hint="eastAsia" w:cs="Times New Roman"/>
                      <w:b w:val="0"/>
                      <w:bCs/>
                      <w:spacing w:val="-10"/>
                      <w:kern w:val="2"/>
                      <w:sz w:val="21"/>
                      <w:szCs w:val="21"/>
                      <w:highlight w:val="none"/>
                      <w:lang w:val="en-US" w:eastAsia="zh-CN" w:bidi="ar"/>
                    </w:rPr>
                    <w:t>4</w:t>
                  </w:r>
                  <w:r>
                    <w:rPr>
                      <w:rFonts w:hint="default" w:ascii="Times New Roman" w:hAnsi="Times New Roman" w:eastAsia="宋体" w:cs="Times New Roman"/>
                      <w:b w:val="0"/>
                      <w:bCs/>
                      <w:spacing w:val="-10"/>
                      <w:kern w:val="2"/>
                      <w:sz w:val="21"/>
                      <w:szCs w:val="21"/>
                      <w:highlight w:val="none"/>
                      <w:lang w:val="en-US" w:eastAsia="zh-CN" w:bidi="ar"/>
                    </w:rPr>
                    <w:t>°</w:t>
                  </w:r>
                  <w:r>
                    <w:rPr>
                      <w:rFonts w:hint="eastAsia" w:cs="Times New Roman"/>
                      <w:b w:val="0"/>
                      <w:bCs/>
                      <w:spacing w:val="-10"/>
                      <w:kern w:val="2"/>
                      <w:sz w:val="21"/>
                      <w:szCs w:val="21"/>
                      <w:highlight w:val="none"/>
                      <w:lang w:val="en-US" w:eastAsia="zh-CN" w:bidi="ar"/>
                    </w:rPr>
                    <w:t>20</w:t>
                  </w:r>
                  <w:r>
                    <w:rPr>
                      <w:rFonts w:hint="default" w:ascii="Times New Roman" w:hAnsi="Times New Roman" w:eastAsia="宋体" w:cs="Times New Roman"/>
                      <w:b w:val="0"/>
                      <w:bCs/>
                      <w:spacing w:val="-10"/>
                      <w:kern w:val="2"/>
                      <w:sz w:val="21"/>
                      <w:szCs w:val="21"/>
                      <w:highlight w:val="none"/>
                      <w:lang w:val="en-US" w:eastAsia="zh-CN" w:bidi="ar"/>
                    </w:rPr>
                    <w:t>′</w:t>
                  </w:r>
                </w:p>
                <w:p w14:paraId="587F103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b w:val="0"/>
                      <w:bCs/>
                      <w:szCs w:val="21"/>
                      <w:highlight w:val="none"/>
                      <w:lang w:val="en-US"/>
                    </w:rPr>
                  </w:pPr>
                  <w:r>
                    <w:rPr>
                      <w:rFonts w:hint="eastAsia" w:cs="Times New Roman"/>
                      <w:b w:val="0"/>
                      <w:bCs/>
                      <w:spacing w:val="-10"/>
                      <w:kern w:val="2"/>
                      <w:sz w:val="21"/>
                      <w:szCs w:val="21"/>
                      <w:highlight w:val="none"/>
                      <w:lang w:val="en-US" w:eastAsia="zh-CN" w:bidi="ar"/>
                    </w:rPr>
                    <w:t>47.126</w:t>
                  </w:r>
                  <w:r>
                    <w:rPr>
                      <w:rFonts w:hint="default" w:ascii="Times New Roman" w:hAnsi="Times New Roman" w:eastAsia="宋体" w:cs="Times New Roman"/>
                      <w:b w:val="0"/>
                      <w:bCs/>
                      <w:spacing w:val="-10"/>
                      <w:kern w:val="2"/>
                      <w:sz w:val="21"/>
                      <w:szCs w:val="21"/>
                      <w:highlight w:val="none"/>
                      <w:lang w:val="en-US" w:eastAsia="zh-CN" w:bidi="ar"/>
                    </w:rPr>
                    <w:t>″</w:t>
                  </w:r>
                  <w:r>
                    <w:rPr>
                      <w:rFonts w:hint="eastAsia" w:cs="Times New Roman"/>
                      <w:b w:val="0"/>
                      <w:bCs/>
                      <w:spacing w:val="-10"/>
                      <w:kern w:val="2"/>
                      <w:sz w:val="21"/>
                      <w:szCs w:val="21"/>
                      <w:highlight w:val="none"/>
                      <w:lang w:val="en-US" w:eastAsia="zh-CN" w:bidi="ar"/>
                    </w:rPr>
                    <w:t>；</w:t>
                  </w:r>
                </w:p>
                <w:p w14:paraId="281639A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ascii="Times New Roman" w:hAnsi="Times New Roman" w:eastAsia="宋体" w:cs="Times New Roman"/>
                      <w:b w:val="0"/>
                      <w:bCs/>
                      <w:spacing w:val="-10"/>
                      <w:kern w:val="2"/>
                      <w:sz w:val="21"/>
                      <w:szCs w:val="21"/>
                      <w:highlight w:val="none"/>
                      <w:lang w:val="en-US" w:eastAsia="zh-CN" w:bidi="ar"/>
                    </w:rPr>
                  </w:pPr>
                  <w:r>
                    <w:rPr>
                      <w:rFonts w:hint="default" w:ascii="Times New Roman" w:hAnsi="Times New Roman" w:eastAsia="宋体" w:cs="Times New Roman"/>
                      <w:b w:val="0"/>
                      <w:bCs/>
                      <w:spacing w:val="-10"/>
                      <w:kern w:val="2"/>
                      <w:sz w:val="21"/>
                      <w:szCs w:val="21"/>
                      <w:highlight w:val="none"/>
                      <w:lang w:val="en-US" w:eastAsia="zh-CN" w:bidi="ar"/>
                    </w:rPr>
                    <w:t>N3</w:t>
                  </w:r>
                  <w:r>
                    <w:rPr>
                      <w:rFonts w:hint="eastAsia" w:cs="Times New Roman"/>
                      <w:b w:val="0"/>
                      <w:bCs/>
                      <w:spacing w:val="-10"/>
                      <w:kern w:val="2"/>
                      <w:sz w:val="21"/>
                      <w:szCs w:val="21"/>
                      <w:highlight w:val="none"/>
                      <w:lang w:val="en-US" w:eastAsia="zh-CN" w:bidi="ar"/>
                    </w:rPr>
                    <w:t>5</w:t>
                  </w:r>
                  <w:r>
                    <w:rPr>
                      <w:rFonts w:hint="default" w:ascii="Times New Roman" w:hAnsi="Times New Roman" w:eastAsia="宋体" w:cs="Times New Roman"/>
                      <w:b w:val="0"/>
                      <w:bCs/>
                      <w:spacing w:val="-10"/>
                      <w:kern w:val="2"/>
                      <w:sz w:val="21"/>
                      <w:szCs w:val="21"/>
                      <w:highlight w:val="none"/>
                      <w:lang w:val="en-US" w:eastAsia="zh-CN" w:bidi="ar"/>
                    </w:rPr>
                    <w:t>°</w:t>
                  </w:r>
                  <w:r>
                    <w:rPr>
                      <w:rFonts w:hint="eastAsia" w:cs="Times New Roman"/>
                      <w:b w:val="0"/>
                      <w:bCs/>
                      <w:spacing w:val="-10"/>
                      <w:kern w:val="2"/>
                      <w:sz w:val="21"/>
                      <w:szCs w:val="21"/>
                      <w:highlight w:val="none"/>
                      <w:lang w:val="en-US" w:eastAsia="zh-CN" w:bidi="ar"/>
                    </w:rPr>
                    <w:t>53</w:t>
                  </w:r>
                  <w:r>
                    <w:rPr>
                      <w:rFonts w:hint="default" w:ascii="Times New Roman" w:hAnsi="Times New Roman" w:eastAsia="宋体" w:cs="Times New Roman"/>
                      <w:b w:val="0"/>
                      <w:bCs/>
                      <w:spacing w:val="-10"/>
                      <w:kern w:val="2"/>
                      <w:sz w:val="21"/>
                      <w:szCs w:val="21"/>
                      <w:highlight w:val="none"/>
                      <w:lang w:val="en-US" w:eastAsia="zh-CN" w:bidi="ar"/>
                    </w:rPr>
                    <w:t>′</w:t>
                  </w:r>
                </w:p>
                <w:p w14:paraId="5821C2B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b w:val="0"/>
                      <w:bCs/>
                      <w:spacing w:val="-10"/>
                      <w:szCs w:val="21"/>
                      <w:highlight w:val="none"/>
                      <w:lang w:val="en-US"/>
                    </w:rPr>
                  </w:pPr>
                  <w:r>
                    <w:rPr>
                      <w:rFonts w:hint="eastAsia" w:cs="Times New Roman"/>
                      <w:b w:val="0"/>
                      <w:bCs/>
                      <w:spacing w:val="-10"/>
                      <w:kern w:val="2"/>
                      <w:sz w:val="21"/>
                      <w:szCs w:val="21"/>
                      <w:highlight w:val="none"/>
                      <w:lang w:val="en-US" w:eastAsia="zh-CN" w:bidi="ar"/>
                    </w:rPr>
                    <w:t>33.152</w:t>
                  </w:r>
                  <w:r>
                    <w:rPr>
                      <w:rFonts w:hint="default" w:ascii="Times New Roman" w:hAnsi="Times New Roman" w:eastAsia="宋体" w:cs="Times New Roman"/>
                      <w:b w:val="0"/>
                      <w:bCs/>
                      <w:spacing w:val="-10"/>
                      <w:kern w:val="2"/>
                      <w:sz w:val="21"/>
                      <w:szCs w:val="21"/>
                      <w:highlight w:val="none"/>
                      <w:lang w:val="en-US" w:eastAsia="zh-CN" w:bidi="ar"/>
                    </w:rPr>
                    <w:t>″</w:t>
                  </w:r>
                </w:p>
              </w:tc>
              <w:tc>
                <w:tcPr>
                  <w:tcW w:w="604" w:type="pct"/>
                  <w:tcBorders>
                    <w:tl2br w:val="nil"/>
                    <w:tr2bl w:val="nil"/>
                  </w:tcBorders>
                  <w:shd w:val="clear" w:color="auto" w:fill="auto"/>
                  <w:vAlign w:val="center"/>
                </w:tcPr>
                <w:p w14:paraId="07AE275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cs="Times New Roman"/>
                      <w:b w:val="0"/>
                      <w:bCs/>
                      <w:spacing w:val="-10"/>
                      <w:kern w:val="2"/>
                      <w:sz w:val="21"/>
                      <w:szCs w:val="21"/>
                      <w:highlight w:val="none"/>
                      <w:lang w:val="en-US" w:eastAsia="zh-CN" w:bidi="ar"/>
                    </w:rPr>
                  </w:pPr>
                  <w:r>
                    <w:rPr>
                      <w:rFonts w:hint="eastAsia" w:cs="Times New Roman"/>
                      <w:b w:val="0"/>
                      <w:bCs/>
                      <w:spacing w:val="-10"/>
                      <w:kern w:val="2"/>
                      <w:sz w:val="21"/>
                      <w:szCs w:val="21"/>
                      <w:highlight w:val="none"/>
                      <w:lang w:val="en-US" w:eastAsia="zh-CN" w:bidi="ar"/>
                    </w:rPr>
                    <w:t>0.3325t/a</w:t>
                  </w:r>
                </w:p>
              </w:tc>
              <w:tc>
                <w:tcPr>
                  <w:tcW w:w="1184" w:type="pct"/>
                  <w:tcBorders>
                    <w:tl2br w:val="nil"/>
                    <w:tr2bl w:val="nil"/>
                  </w:tcBorders>
                  <w:shd w:val="clear" w:color="auto" w:fill="auto"/>
                  <w:vAlign w:val="center"/>
                </w:tcPr>
                <w:p w14:paraId="26AC70D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rPr>
                      <w:rFonts w:hint="default"/>
                      <w:b w:val="0"/>
                      <w:bCs/>
                      <w:spacing w:val="-10"/>
                      <w:szCs w:val="21"/>
                      <w:highlight w:val="none"/>
                      <w:lang w:val="en-US"/>
                    </w:rPr>
                  </w:pPr>
                  <w:r>
                    <w:rPr>
                      <w:rFonts w:hint="default"/>
                      <w:b w:val="0"/>
                      <w:bCs/>
                      <w:spacing w:val="-10"/>
                      <w:szCs w:val="21"/>
                      <w:highlight w:val="none"/>
                      <w:lang w:val="en-US" w:eastAsia="zh-CN"/>
                    </w:rPr>
                    <w:t>《合成树脂工业污染物排放标准》（GB31572-2015）</w:t>
                  </w:r>
                  <w:r>
                    <w:rPr>
                      <w:rFonts w:hint="eastAsia"/>
                      <w:b w:val="0"/>
                      <w:bCs/>
                      <w:spacing w:val="-10"/>
                      <w:szCs w:val="21"/>
                      <w:highlight w:val="none"/>
                      <w:lang w:val="en-US" w:eastAsia="zh-CN"/>
                    </w:rPr>
                    <w:t>及绩效分级A级要求</w:t>
                  </w:r>
                </w:p>
              </w:tc>
            </w:tr>
          </w:tbl>
          <w:p w14:paraId="24FE6362">
            <w:pPr>
              <w:keepNext w:val="0"/>
              <w:keepLines w:val="0"/>
              <w:pageBreakBefore w:val="0"/>
              <w:widowControl/>
              <w:numPr>
                <w:ilvl w:val="0"/>
                <w:numId w:val="0"/>
              </w:numPr>
              <w:suppressLineNumbers w:val="0"/>
              <w:kinsoku/>
              <w:wordWrap/>
              <w:overflowPunct/>
              <w:topLinePunct w:val="0"/>
              <w:autoSpaceDE/>
              <w:autoSpaceDN/>
              <w:bidi w:val="0"/>
              <w:adjustRightInd w:val="0"/>
              <w:snapToGrid/>
              <w:spacing w:before="0" w:beforeAutospacing="0" w:after="0" w:afterAutospacing="0" w:line="520" w:lineRule="exact"/>
              <w:ind w:left="0" w:right="0"/>
              <w:jc w:val="center"/>
              <w:textAlignment w:val="auto"/>
              <w:rPr>
                <w:rFonts w:hint="eastAsia" w:eastAsia="黑体" w:cs="Times New Roman"/>
                <w:b w:val="0"/>
                <w:bCs w:val="0"/>
                <w:color w:val="000000" w:themeColor="text1"/>
                <w:sz w:val="24"/>
                <w:szCs w:val="24"/>
                <w:highlight w:val="none"/>
                <w:lang w:val="en-US" w:eastAsia="zh-CN"/>
                <w14:textFill>
                  <w14:solidFill>
                    <w14:schemeClr w14:val="tx1"/>
                  </w14:solidFill>
                </w14:textFill>
              </w:rPr>
            </w:pPr>
            <w:r>
              <w:rPr>
                <w:rFonts w:hint="eastAsia" w:eastAsia="黑体" w:cs="Times New Roman"/>
                <w:b w:val="0"/>
                <w:bCs w:val="0"/>
                <w:color w:val="000000" w:themeColor="text1"/>
                <w:sz w:val="24"/>
                <w:szCs w:val="24"/>
                <w:highlight w:val="none"/>
                <w:lang w:val="en-US" w:eastAsia="zh-CN"/>
                <w14:textFill>
                  <w14:solidFill>
                    <w14:schemeClr w14:val="tx1"/>
                  </w14:solidFill>
                </w14:textFill>
              </w:rPr>
              <w:t>表4-5  大气无组织排放信息</w:t>
            </w:r>
          </w:p>
          <w:tbl>
            <w:tblPr>
              <w:tblStyle w:val="25"/>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226"/>
              <w:gridCol w:w="1100"/>
              <w:gridCol w:w="1154"/>
              <w:gridCol w:w="3173"/>
              <w:gridCol w:w="1539"/>
            </w:tblGrid>
            <w:tr w14:paraId="17D3096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20" w:hRule="atLeast"/>
              </w:trPr>
              <w:tc>
                <w:tcPr>
                  <w:tcW w:w="748" w:type="pct"/>
                  <w:vMerge w:val="restart"/>
                  <w:tcBorders>
                    <w:tl2br w:val="nil"/>
                    <w:tr2bl w:val="nil"/>
                  </w:tcBorders>
                  <w:shd w:val="clear" w:color="auto" w:fill="auto"/>
                  <w:vAlign w:val="center"/>
                </w:tcPr>
                <w:p w14:paraId="3EE47083">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360" w:lineRule="exact"/>
                    <w:ind w:left="0" w:right="0"/>
                    <w:jc w:val="center"/>
                    <w:textAlignment w:val="auto"/>
                    <w:rPr>
                      <w:rFonts w:hint="eastAsia" w:ascii="Times New Roman" w:hAnsi="Times New Roman" w:eastAsia="宋体" w:cs="宋体"/>
                      <w:b w:val="0"/>
                      <w:bCs/>
                      <w:kern w:val="2"/>
                      <w:sz w:val="21"/>
                      <w:szCs w:val="24"/>
                      <w:highlight w:val="none"/>
                      <w:lang w:val="en-US" w:eastAsia="zh-CN" w:bidi="ar"/>
                    </w:rPr>
                  </w:pPr>
                  <w:r>
                    <w:rPr>
                      <w:rFonts w:hint="eastAsia" w:ascii="Times New Roman" w:hAnsi="Times New Roman" w:eastAsia="宋体" w:cs="宋体"/>
                      <w:b w:val="0"/>
                      <w:bCs/>
                      <w:kern w:val="2"/>
                      <w:sz w:val="21"/>
                      <w:szCs w:val="24"/>
                      <w:highlight w:val="none"/>
                      <w:lang w:val="en-US" w:eastAsia="zh-CN" w:bidi="ar"/>
                    </w:rPr>
                    <w:t>产生环节</w:t>
                  </w:r>
                </w:p>
              </w:tc>
              <w:tc>
                <w:tcPr>
                  <w:tcW w:w="671" w:type="pct"/>
                  <w:vMerge w:val="restart"/>
                  <w:tcBorders>
                    <w:tl2br w:val="nil"/>
                    <w:tr2bl w:val="nil"/>
                  </w:tcBorders>
                  <w:shd w:val="clear" w:color="auto" w:fill="auto"/>
                  <w:vAlign w:val="center"/>
                </w:tcPr>
                <w:p w14:paraId="1B97B852">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360" w:lineRule="exact"/>
                    <w:ind w:left="0" w:right="0"/>
                    <w:jc w:val="center"/>
                    <w:textAlignment w:val="auto"/>
                    <w:rPr>
                      <w:rFonts w:hint="eastAsia" w:ascii="Times New Roman" w:hAnsi="Times New Roman" w:eastAsia="宋体" w:cs="宋体"/>
                      <w:b w:val="0"/>
                      <w:bCs/>
                      <w:kern w:val="2"/>
                      <w:sz w:val="21"/>
                      <w:szCs w:val="24"/>
                      <w:highlight w:val="none"/>
                      <w:lang w:val="en-US" w:eastAsia="zh-CN" w:bidi="ar"/>
                    </w:rPr>
                  </w:pPr>
                  <w:r>
                    <w:rPr>
                      <w:rFonts w:hint="eastAsia" w:ascii="Times New Roman" w:hAnsi="Times New Roman" w:eastAsia="宋体" w:cs="宋体"/>
                      <w:b w:val="0"/>
                      <w:bCs/>
                      <w:kern w:val="2"/>
                      <w:sz w:val="21"/>
                      <w:szCs w:val="24"/>
                      <w:highlight w:val="none"/>
                      <w:lang w:val="en-US" w:eastAsia="zh-CN" w:bidi="ar"/>
                    </w:rPr>
                    <w:t>污染物种类</w:t>
                  </w:r>
                </w:p>
              </w:tc>
              <w:tc>
                <w:tcPr>
                  <w:tcW w:w="704" w:type="pct"/>
                  <w:vMerge w:val="restart"/>
                  <w:tcBorders>
                    <w:tl2br w:val="nil"/>
                    <w:tr2bl w:val="nil"/>
                  </w:tcBorders>
                  <w:shd w:val="clear" w:color="auto" w:fill="auto"/>
                  <w:vAlign w:val="center"/>
                </w:tcPr>
                <w:p w14:paraId="214109B3">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360" w:lineRule="exact"/>
                    <w:ind w:left="0" w:right="0"/>
                    <w:jc w:val="center"/>
                    <w:textAlignment w:val="auto"/>
                    <w:rPr>
                      <w:rFonts w:hint="eastAsia" w:ascii="Times New Roman" w:hAnsi="Times New Roman" w:eastAsia="宋体" w:cs="宋体"/>
                      <w:b w:val="0"/>
                      <w:bCs/>
                      <w:kern w:val="2"/>
                      <w:sz w:val="21"/>
                      <w:szCs w:val="24"/>
                      <w:highlight w:val="none"/>
                      <w:lang w:val="en-US" w:eastAsia="zh-CN" w:bidi="ar"/>
                    </w:rPr>
                  </w:pPr>
                  <w:r>
                    <w:rPr>
                      <w:rFonts w:hint="eastAsia" w:ascii="Times New Roman" w:hAnsi="Times New Roman" w:eastAsia="宋体" w:cs="宋体"/>
                      <w:b w:val="0"/>
                      <w:bCs/>
                      <w:kern w:val="2"/>
                      <w:sz w:val="21"/>
                      <w:szCs w:val="24"/>
                      <w:highlight w:val="none"/>
                      <w:lang w:val="en-US" w:eastAsia="zh-CN" w:bidi="ar"/>
                    </w:rPr>
                    <w:t>污染物</w:t>
                  </w:r>
                </w:p>
                <w:p w14:paraId="097DD3E8">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360" w:lineRule="exact"/>
                    <w:ind w:left="0" w:right="0"/>
                    <w:jc w:val="center"/>
                    <w:textAlignment w:val="auto"/>
                    <w:rPr>
                      <w:rFonts w:hint="eastAsia" w:ascii="Times New Roman" w:hAnsi="Times New Roman" w:eastAsia="宋体" w:cs="宋体"/>
                      <w:b w:val="0"/>
                      <w:bCs/>
                      <w:kern w:val="2"/>
                      <w:sz w:val="21"/>
                      <w:szCs w:val="24"/>
                      <w:highlight w:val="none"/>
                      <w:lang w:val="en-US" w:eastAsia="zh-CN" w:bidi="ar"/>
                    </w:rPr>
                  </w:pPr>
                  <w:r>
                    <w:rPr>
                      <w:rFonts w:hint="eastAsia" w:ascii="Times New Roman" w:hAnsi="Times New Roman" w:eastAsia="宋体" w:cs="宋体"/>
                      <w:b w:val="0"/>
                      <w:bCs/>
                      <w:kern w:val="2"/>
                      <w:sz w:val="21"/>
                      <w:szCs w:val="24"/>
                      <w:highlight w:val="none"/>
                      <w:lang w:val="en-US" w:eastAsia="zh-CN" w:bidi="ar"/>
                    </w:rPr>
                    <w:t>排放量</w:t>
                  </w:r>
                </w:p>
              </w:tc>
              <w:tc>
                <w:tcPr>
                  <w:tcW w:w="2875" w:type="pct"/>
                  <w:gridSpan w:val="2"/>
                  <w:tcBorders>
                    <w:tl2br w:val="nil"/>
                    <w:tr2bl w:val="nil"/>
                  </w:tcBorders>
                  <w:shd w:val="clear" w:color="auto" w:fill="auto"/>
                  <w:vAlign w:val="center"/>
                </w:tcPr>
                <w:p w14:paraId="7CD5302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spacing w:val="-10"/>
                      <w:szCs w:val="21"/>
                      <w:highlight w:val="none"/>
                      <w:lang w:val="en-US"/>
                    </w:rPr>
                  </w:pPr>
                  <w:r>
                    <w:rPr>
                      <w:rFonts w:hint="eastAsia" w:ascii="Times New Roman" w:hAnsi="Times New Roman" w:eastAsia="宋体" w:cs="宋体"/>
                      <w:b w:val="0"/>
                      <w:bCs/>
                      <w:spacing w:val="-10"/>
                      <w:kern w:val="2"/>
                      <w:sz w:val="21"/>
                      <w:szCs w:val="21"/>
                      <w:highlight w:val="none"/>
                      <w:lang w:val="en-US" w:eastAsia="zh-CN" w:bidi="ar"/>
                    </w:rPr>
                    <w:t>排放标准</w:t>
                  </w:r>
                </w:p>
              </w:tc>
            </w:tr>
            <w:tr w14:paraId="15A592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20" w:hRule="atLeast"/>
              </w:trPr>
              <w:tc>
                <w:tcPr>
                  <w:tcW w:w="748" w:type="pct"/>
                  <w:vMerge w:val="continue"/>
                  <w:tcBorders>
                    <w:tl2br w:val="nil"/>
                    <w:tr2bl w:val="nil"/>
                  </w:tcBorders>
                  <w:shd w:val="clear" w:color="auto" w:fill="auto"/>
                  <w:vAlign w:val="center"/>
                </w:tcPr>
                <w:p w14:paraId="3F440982">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360" w:lineRule="exact"/>
                    <w:ind w:left="0" w:right="0"/>
                    <w:jc w:val="center"/>
                    <w:textAlignment w:val="auto"/>
                    <w:rPr>
                      <w:rFonts w:hint="default" w:ascii="Times New Roman" w:hAnsi="Times New Roman" w:eastAsia="宋体" w:cs="宋体"/>
                      <w:b w:val="0"/>
                      <w:bCs/>
                      <w:kern w:val="2"/>
                      <w:sz w:val="21"/>
                      <w:szCs w:val="24"/>
                      <w:highlight w:val="none"/>
                      <w:lang w:val="en-US" w:eastAsia="zh-CN" w:bidi="ar"/>
                    </w:rPr>
                  </w:pPr>
                </w:p>
              </w:tc>
              <w:tc>
                <w:tcPr>
                  <w:tcW w:w="671" w:type="pct"/>
                  <w:vMerge w:val="continue"/>
                  <w:tcBorders>
                    <w:tl2br w:val="nil"/>
                    <w:tr2bl w:val="nil"/>
                  </w:tcBorders>
                  <w:shd w:val="clear" w:color="auto" w:fill="auto"/>
                  <w:vAlign w:val="center"/>
                </w:tcPr>
                <w:p w14:paraId="37E3583B">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360" w:lineRule="exact"/>
                    <w:ind w:left="0" w:right="0"/>
                    <w:jc w:val="center"/>
                    <w:textAlignment w:val="auto"/>
                    <w:rPr>
                      <w:rFonts w:hint="default" w:ascii="Times New Roman" w:hAnsi="Times New Roman" w:eastAsia="宋体" w:cs="宋体"/>
                      <w:b w:val="0"/>
                      <w:bCs/>
                      <w:kern w:val="2"/>
                      <w:sz w:val="21"/>
                      <w:szCs w:val="24"/>
                      <w:highlight w:val="none"/>
                      <w:lang w:val="en-US" w:eastAsia="zh-CN" w:bidi="ar"/>
                    </w:rPr>
                  </w:pPr>
                </w:p>
              </w:tc>
              <w:tc>
                <w:tcPr>
                  <w:tcW w:w="704" w:type="pct"/>
                  <w:vMerge w:val="continue"/>
                  <w:tcBorders>
                    <w:tl2br w:val="nil"/>
                    <w:tr2bl w:val="nil"/>
                  </w:tcBorders>
                  <w:shd w:val="clear" w:color="auto" w:fill="auto"/>
                  <w:vAlign w:val="center"/>
                </w:tcPr>
                <w:p w14:paraId="382156CE">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360" w:lineRule="exact"/>
                    <w:ind w:left="0" w:right="0"/>
                    <w:jc w:val="center"/>
                    <w:textAlignment w:val="auto"/>
                    <w:rPr>
                      <w:rFonts w:hint="default" w:ascii="Times New Roman" w:hAnsi="Times New Roman" w:eastAsia="宋体" w:cs="宋体"/>
                      <w:b w:val="0"/>
                      <w:bCs/>
                      <w:kern w:val="2"/>
                      <w:sz w:val="21"/>
                      <w:szCs w:val="24"/>
                      <w:highlight w:val="none"/>
                      <w:lang w:val="en-US" w:eastAsia="zh-CN" w:bidi="ar"/>
                    </w:rPr>
                  </w:pPr>
                </w:p>
              </w:tc>
              <w:tc>
                <w:tcPr>
                  <w:tcW w:w="1936" w:type="pct"/>
                  <w:tcBorders>
                    <w:tl2br w:val="nil"/>
                    <w:tr2bl w:val="nil"/>
                  </w:tcBorders>
                  <w:shd w:val="clear" w:color="auto" w:fill="auto"/>
                  <w:vAlign w:val="center"/>
                </w:tcPr>
                <w:p w14:paraId="1ABFB87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spacing w:val="-10"/>
                      <w:szCs w:val="21"/>
                      <w:highlight w:val="none"/>
                      <w:lang w:val="en-US"/>
                    </w:rPr>
                  </w:pPr>
                  <w:r>
                    <w:rPr>
                      <w:rFonts w:hint="eastAsia" w:ascii="Times New Roman" w:hAnsi="Times New Roman" w:eastAsia="宋体" w:cs="宋体"/>
                      <w:b w:val="0"/>
                      <w:bCs/>
                      <w:spacing w:val="-10"/>
                      <w:kern w:val="2"/>
                      <w:sz w:val="21"/>
                      <w:szCs w:val="21"/>
                      <w:highlight w:val="none"/>
                      <w:lang w:val="en-US" w:eastAsia="zh-CN" w:bidi="ar"/>
                    </w:rPr>
                    <w:t>名称</w:t>
                  </w:r>
                </w:p>
              </w:tc>
              <w:tc>
                <w:tcPr>
                  <w:tcW w:w="939" w:type="pct"/>
                  <w:tcBorders>
                    <w:tl2br w:val="nil"/>
                    <w:tr2bl w:val="nil"/>
                  </w:tcBorders>
                  <w:shd w:val="clear" w:color="auto" w:fill="auto"/>
                  <w:vAlign w:val="center"/>
                </w:tcPr>
                <w:p w14:paraId="3CC7E3A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spacing w:val="-10"/>
                      <w:szCs w:val="21"/>
                      <w:highlight w:val="none"/>
                      <w:lang w:val="en-US"/>
                    </w:rPr>
                  </w:pPr>
                  <w:r>
                    <w:rPr>
                      <w:rFonts w:hint="eastAsia" w:ascii="Times New Roman" w:hAnsi="Times New Roman" w:eastAsia="宋体" w:cs="宋体"/>
                      <w:b w:val="0"/>
                      <w:bCs/>
                      <w:spacing w:val="-10"/>
                      <w:kern w:val="2"/>
                      <w:sz w:val="21"/>
                      <w:szCs w:val="21"/>
                      <w:highlight w:val="none"/>
                      <w:lang w:val="en-US" w:eastAsia="zh-CN" w:bidi="ar"/>
                    </w:rPr>
                    <w:t>限值</w:t>
                  </w:r>
                </w:p>
              </w:tc>
            </w:tr>
            <w:tr w14:paraId="7C0A94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20" w:hRule="atLeast"/>
              </w:trPr>
              <w:tc>
                <w:tcPr>
                  <w:tcW w:w="748" w:type="pct"/>
                  <w:tcBorders>
                    <w:tl2br w:val="nil"/>
                    <w:tr2bl w:val="nil"/>
                  </w:tcBorders>
                  <w:shd w:val="clear" w:color="auto" w:fill="auto"/>
                  <w:vAlign w:val="center"/>
                </w:tcPr>
                <w:p w14:paraId="68B51A07">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360" w:lineRule="exact"/>
                    <w:ind w:left="0" w:right="0"/>
                    <w:jc w:val="center"/>
                    <w:textAlignment w:val="auto"/>
                    <w:rPr>
                      <w:rFonts w:hint="default" w:ascii="Times New Roman" w:hAnsi="Times New Roman" w:eastAsia="宋体" w:cs="宋体"/>
                      <w:b w:val="0"/>
                      <w:bCs/>
                      <w:kern w:val="2"/>
                      <w:sz w:val="21"/>
                      <w:szCs w:val="24"/>
                      <w:highlight w:val="none"/>
                      <w:lang w:val="en-US" w:eastAsia="zh-CN" w:bidi="ar"/>
                    </w:rPr>
                  </w:pPr>
                  <w:r>
                    <w:rPr>
                      <w:rFonts w:hint="default" w:ascii="Times New Roman" w:hAnsi="Times New Roman" w:eastAsia="宋体" w:cs="宋体"/>
                      <w:b w:val="0"/>
                      <w:bCs/>
                      <w:kern w:val="2"/>
                      <w:sz w:val="21"/>
                      <w:szCs w:val="24"/>
                      <w:highlight w:val="none"/>
                      <w:lang w:val="en-US" w:eastAsia="zh-CN" w:bidi="ar"/>
                    </w:rPr>
                    <w:t>挤出拉丝、覆膜</w:t>
                  </w:r>
                </w:p>
              </w:tc>
              <w:tc>
                <w:tcPr>
                  <w:tcW w:w="671" w:type="pct"/>
                  <w:tcBorders>
                    <w:tl2br w:val="nil"/>
                    <w:tr2bl w:val="nil"/>
                  </w:tcBorders>
                  <w:shd w:val="clear" w:color="auto" w:fill="auto"/>
                  <w:vAlign w:val="center"/>
                </w:tcPr>
                <w:p w14:paraId="347B250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default" w:ascii="Times New Roman" w:hAnsi="Times New Roman" w:eastAsia="宋体" w:cs="宋体"/>
                      <w:b w:val="0"/>
                      <w:bCs/>
                      <w:kern w:val="2"/>
                      <w:sz w:val="21"/>
                      <w:szCs w:val="24"/>
                      <w:highlight w:val="none"/>
                      <w:lang w:val="en-US" w:eastAsia="zh-CN" w:bidi="ar"/>
                    </w:rPr>
                  </w:pPr>
                  <w:r>
                    <w:rPr>
                      <w:rFonts w:hint="eastAsia"/>
                      <w:b w:val="0"/>
                      <w:bCs/>
                      <w:spacing w:val="-10"/>
                      <w:szCs w:val="21"/>
                      <w:highlight w:val="none"/>
                      <w:lang w:val="en-US" w:eastAsia="zh-CN"/>
                    </w:rPr>
                    <w:t>非甲烷总烃</w:t>
                  </w:r>
                </w:p>
              </w:tc>
              <w:tc>
                <w:tcPr>
                  <w:tcW w:w="704" w:type="pct"/>
                  <w:tcBorders>
                    <w:tl2br w:val="nil"/>
                    <w:tr2bl w:val="nil"/>
                  </w:tcBorders>
                  <w:shd w:val="clear" w:color="auto" w:fill="auto"/>
                  <w:vAlign w:val="center"/>
                </w:tcPr>
                <w:p w14:paraId="7EB52D4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default" w:ascii="Times New Roman" w:hAnsi="Times New Roman" w:eastAsia="宋体" w:cs="宋体"/>
                      <w:b w:val="0"/>
                      <w:bCs/>
                      <w:kern w:val="2"/>
                      <w:sz w:val="21"/>
                      <w:szCs w:val="24"/>
                      <w:highlight w:val="none"/>
                      <w:lang w:val="en-US" w:eastAsia="zh-CN" w:bidi="ar"/>
                    </w:rPr>
                  </w:pPr>
                  <w:r>
                    <w:rPr>
                      <w:rFonts w:hint="eastAsia"/>
                      <w:b w:val="0"/>
                      <w:bCs/>
                      <w:szCs w:val="21"/>
                      <w:highlight w:val="none"/>
                      <w:lang w:val="en-US" w:eastAsia="zh-CN"/>
                    </w:rPr>
                    <w:t>0.175t/a</w:t>
                  </w:r>
                </w:p>
              </w:tc>
              <w:tc>
                <w:tcPr>
                  <w:tcW w:w="1936" w:type="pct"/>
                  <w:tcBorders>
                    <w:tl2br w:val="nil"/>
                    <w:tr2bl w:val="nil"/>
                  </w:tcBorders>
                  <w:shd w:val="clear" w:color="auto" w:fill="auto"/>
                  <w:vAlign w:val="center"/>
                </w:tcPr>
                <w:p w14:paraId="06C19931">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360" w:lineRule="exact"/>
                    <w:ind w:left="0" w:leftChars="0" w:right="0" w:rightChars="0"/>
                    <w:jc w:val="center"/>
                    <w:textAlignment w:val="auto"/>
                    <w:rPr>
                      <w:rFonts w:hint="eastAsia" w:ascii="Times New Roman" w:hAnsi="Times New Roman" w:eastAsia="宋体" w:cs="宋体"/>
                      <w:b w:val="0"/>
                      <w:bCs/>
                      <w:kern w:val="2"/>
                      <w:sz w:val="21"/>
                      <w:szCs w:val="24"/>
                      <w:highlight w:val="none"/>
                      <w:lang w:val="en-US" w:eastAsia="zh-CN" w:bidi="ar"/>
                    </w:rPr>
                  </w:pPr>
                  <w:r>
                    <w:rPr>
                      <w:rFonts w:hint="eastAsia" w:ascii="Times New Roman" w:hAnsi="Times New Roman" w:eastAsia="宋体" w:cs="宋体"/>
                      <w:b w:val="0"/>
                      <w:bCs/>
                      <w:kern w:val="2"/>
                      <w:sz w:val="21"/>
                      <w:szCs w:val="24"/>
                      <w:highlight w:val="none"/>
                      <w:lang w:val="en-US" w:eastAsia="zh-CN" w:bidi="ar"/>
                    </w:rPr>
                    <w:t>《合成树脂工业污染物排放标准》（GB31572-2015）</w:t>
                  </w:r>
                  <w:r>
                    <w:rPr>
                      <w:rFonts w:hint="eastAsia" w:cs="宋体"/>
                      <w:b w:val="0"/>
                      <w:bCs/>
                      <w:kern w:val="2"/>
                      <w:sz w:val="21"/>
                      <w:szCs w:val="24"/>
                      <w:highlight w:val="none"/>
                      <w:lang w:val="en-US" w:eastAsia="zh-CN" w:bidi="ar"/>
                    </w:rPr>
                    <w:t>及豫环攻坚办[2017]162号</w:t>
                  </w:r>
                </w:p>
              </w:tc>
              <w:tc>
                <w:tcPr>
                  <w:tcW w:w="939" w:type="pct"/>
                  <w:tcBorders>
                    <w:tl2br w:val="nil"/>
                    <w:tr2bl w:val="nil"/>
                  </w:tcBorders>
                  <w:shd w:val="clear" w:color="auto" w:fill="auto"/>
                  <w:vAlign w:val="center"/>
                </w:tcPr>
                <w:p w14:paraId="2E71A22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default" w:ascii="Times New Roman" w:hAnsi="Times New Roman" w:eastAsia="宋体" w:cs="Times New Roman"/>
                      <w:b w:val="0"/>
                      <w:bCs/>
                      <w:kern w:val="2"/>
                      <w:sz w:val="21"/>
                      <w:szCs w:val="21"/>
                      <w:highlight w:val="none"/>
                      <w:lang w:val="en-US" w:eastAsia="zh-CN" w:bidi="ar"/>
                    </w:rPr>
                  </w:pPr>
                  <w:r>
                    <w:rPr>
                      <w:rFonts w:hint="eastAsia" w:cs="Times New Roman"/>
                      <w:b w:val="0"/>
                      <w:bCs/>
                      <w:kern w:val="2"/>
                      <w:sz w:val="21"/>
                      <w:szCs w:val="21"/>
                      <w:highlight w:val="none"/>
                      <w:lang w:val="en-US" w:eastAsia="zh-CN" w:bidi="ar"/>
                    </w:rPr>
                    <w:t>2.0</w:t>
                  </w:r>
                  <w:r>
                    <w:rPr>
                      <w:rFonts w:hint="default" w:ascii="Times New Roman" w:hAnsi="Times New Roman" w:eastAsia="宋体" w:cs="Times New Roman"/>
                      <w:b w:val="0"/>
                      <w:bCs/>
                      <w:kern w:val="2"/>
                      <w:sz w:val="21"/>
                      <w:szCs w:val="21"/>
                      <w:highlight w:val="none"/>
                      <w:lang w:val="en-US" w:eastAsia="zh-CN" w:bidi="ar"/>
                    </w:rPr>
                    <w:t>mg/m</w:t>
                  </w:r>
                  <w:r>
                    <w:rPr>
                      <w:rFonts w:hint="default" w:ascii="Times New Roman" w:hAnsi="Times New Roman" w:eastAsia="宋体" w:cs="Times New Roman"/>
                      <w:b w:val="0"/>
                      <w:bCs/>
                      <w:kern w:val="2"/>
                      <w:sz w:val="21"/>
                      <w:szCs w:val="21"/>
                      <w:highlight w:val="none"/>
                      <w:vertAlign w:val="superscript"/>
                      <w:lang w:val="en-US" w:eastAsia="zh-CN" w:bidi="ar"/>
                    </w:rPr>
                    <w:t>3</w:t>
                  </w:r>
                </w:p>
              </w:tc>
            </w:tr>
          </w:tbl>
          <w:p w14:paraId="1BA90315">
            <w:pPr>
              <w:keepNext w:val="0"/>
              <w:keepLines w:val="0"/>
              <w:pageBreakBefore w:val="0"/>
              <w:suppressLineNumbers w:val="0"/>
              <w:tabs>
                <w:tab w:val="left" w:pos="851"/>
                <w:tab w:val="left" w:pos="1134"/>
                <w:tab w:val="left" w:pos="1276"/>
              </w:tabs>
              <w:kinsoku/>
              <w:wordWrap/>
              <w:overflowPunct/>
              <w:topLinePunct w:val="0"/>
              <w:autoSpaceDE/>
              <w:autoSpaceDN/>
              <w:bidi w:val="0"/>
              <w:snapToGrid w:val="0"/>
              <w:spacing w:before="0" w:beforeAutospacing="0" w:after="0" w:afterAutospacing="0" w:line="520" w:lineRule="exact"/>
              <w:ind w:left="0" w:right="0" w:firstLine="480" w:firstLineChars="200"/>
              <w:rPr>
                <w:rFonts w:hint="default" w:ascii="Times New Roman" w:hAnsi="Times New Roman" w:eastAsia="宋体" w:cs="Times New Roman"/>
                <w:color w:val="auto"/>
                <w:sz w:val="24"/>
                <w:highlight w:val="none"/>
                <w:lang w:val="en-US" w:eastAsia="zh-CN"/>
              </w:rPr>
            </w:pPr>
            <w:r>
              <w:rPr>
                <w:rFonts w:hint="eastAsia" w:cs="Times New Roman"/>
                <w:color w:val="auto"/>
                <w:sz w:val="24"/>
                <w:highlight w:val="none"/>
                <w:lang w:val="en-US" w:eastAsia="zh-CN"/>
              </w:rPr>
              <w:t>2.4监测要求</w:t>
            </w:r>
          </w:p>
          <w:p w14:paraId="78A759E6">
            <w:pPr>
              <w:keepNext w:val="0"/>
              <w:keepLines w:val="0"/>
              <w:pageBreakBefore w:val="0"/>
              <w:widowControl/>
              <w:numPr>
                <w:ilvl w:val="0"/>
                <w:numId w:val="0"/>
              </w:numPr>
              <w:suppressLineNumbers w:val="0"/>
              <w:kinsoku/>
              <w:wordWrap/>
              <w:overflowPunct/>
              <w:topLinePunct w:val="0"/>
              <w:autoSpaceDE/>
              <w:autoSpaceDN/>
              <w:bidi w:val="0"/>
              <w:adjustRightInd w:val="0"/>
              <w:snapToGrid/>
              <w:spacing w:before="0" w:beforeAutospacing="0" w:after="0" w:afterAutospacing="0" w:line="520" w:lineRule="exact"/>
              <w:ind w:left="0" w:right="0"/>
              <w:jc w:val="center"/>
              <w:textAlignment w:val="auto"/>
              <w:rPr>
                <w:rFonts w:hint="eastAsia" w:eastAsia="黑体" w:cs="Times New Roman"/>
                <w:b w:val="0"/>
                <w:bCs w:val="0"/>
                <w:color w:val="000000" w:themeColor="text1"/>
                <w:sz w:val="24"/>
                <w:szCs w:val="24"/>
                <w:highlight w:val="none"/>
                <w:lang w:val="en-US" w:eastAsia="zh-CN"/>
                <w14:textFill>
                  <w14:solidFill>
                    <w14:schemeClr w14:val="tx1"/>
                  </w14:solidFill>
                </w14:textFill>
              </w:rPr>
            </w:pPr>
            <w:r>
              <w:rPr>
                <w:rFonts w:hint="eastAsia" w:eastAsia="黑体" w:cs="Times New Roman"/>
                <w:b w:val="0"/>
                <w:bCs w:val="0"/>
                <w:color w:val="000000" w:themeColor="text1"/>
                <w:sz w:val="24"/>
                <w:szCs w:val="24"/>
                <w:highlight w:val="none"/>
                <w:lang w:val="en-US" w:eastAsia="zh-CN"/>
                <w14:textFill>
                  <w14:solidFill>
                    <w14:schemeClr w14:val="tx1"/>
                  </w14:solidFill>
                </w14:textFill>
              </w:rPr>
              <w:t>表</w:t>
            </w:r>
            <w:r>
              <w:rPr>
                <w:rFonts w:hint="default" w:eastAsia="黑体" w:cs="Times New Roman"/>
                <w:b w:val="0"/>
                <w:bCs w:val="0"/>
                <w:color w:val="000000" w:themeColor="text1"/>
                <w:sz w:val="24"/>
                <w:szCs w:val="24"/>
                <w:highlight w:val="none"/>
                <w:lang w:val="en-US" w:eastAsia="zh-CN"/>
                <w14:textFill>
                  <w14:solidFill>
                    <w14:schemeClr w14:val="tx1"/>
                  </w14:solidFill>
                </w14:textFill>
              </w:rPr>
              <w:t>4-</w:t>
            </w:r>
            <w:r>
              <w:rPr>
                <w:rFonts w:hint="eastAsia" w:eastAsia="黑体" w:cs="Times New Roman"/>
                <w:b w:val="0"/>
                <w:bCs w:val="0"/>
                <w:color w:val="000000" w:themeColor="text1"/>
                <w:sz w:val="24"/>
                <w:szCs w:val="24"/>
                <w:highlight w:val="none"/>
                <w:lang w:val="en-US" w:eastAsia="zh-CN"/>
                <w14:textFill>
                  <w14:solidFill>
                    <w14:schemeClr w14:val="tx1"/>
                  </w14:solidFill>
                </w14:textFill>
              </w:rPr>
              <w:t>6</w:t>
            </w:r>
            <w:r>
              <w:rPr>
                <w:rFonts w:hint="default" w:eastAsia="黑体" w:cs="Times New Roman"/>
                <w:b w:val="0"/>
                <w:bCs w:val="0"/>
                <w:color w:val="000000" w:themeColor="text1"/>
                <w:sz w:val="24"/>
                <w:szCs w:val="24"/>
                <w:highlight w:val="none"/>
                <w:lang w:val="en-US" w:eastAsia="zh-CN"/>
                <w14:textFill>
                  <w14:solidFill>
                    <w14:schemeClr w14:val="tx1"/>
                  </w14:solidFill>
                </w14:textFill>
              </w:rPr>
              <w:t xml:space="preserve">  </w:t>
            </w:r>
            <w:r>
              <w:rPr>
                <w:rFonts w:hint="eastAsia" w:eastAsia="黑体" w:cs="Times New Roman"/>
                <w:b w:val="0"/>
                <w:bCs w:val="0"/>
                <w:color w:val="000000" w:themeColor="text1"/>
                <w:sz w:val="24"/>
                <w:szCs w:val="24"/>
                <w:highlight w:val="none"/>
                <w:lang w:val="en-US" w:eastAsia="zh-CN"/>
                <w14:textFill>
                  <w14:solidFill>
                    <w14:schemeClr w14:val="tx1"/>
                  </w14:solidFill>
                </w14:textFill>
              </w:rPr>
              <w:t>大气污染物监测要求</w:t>
            </w:r>
          </w:p>
          <w:tbl>
            <w:tblPr>
              <w:tblStyle w:val="25"/>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2905"/>
              <w:gridCol w:w="2402"/>
              <w:gridCol w:w="1424"/>
              <w:gridCol w:w="1461"/>
            </w:tblGrid>
            <w:tr w14:paraId="778B82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0" w:hRule="atLeast"/>
              </w:trPr>
              <w:tc>
                <w:tcPr>
                  <w:tcW w:w="1773" w:type="pct"/>
                  <w:tcBorders>
                    <w:tl2br w:val="nil"/>
                    <w:tr2bl w:val="nil"/>
                  </w:tcBorders>
                  <w:shd w:val="clear" w:color="auto" w:fill="auto"/>
                  <w:vAlign w:val="center"/>
                </w:tcPr>
                <w:p w14:paraId="1C6D0FAA">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360" w:lineRule="exact"/>
                    <w:ind w:left="0" w:right="0"/>
                    <w:jc w:val="center"/>
                    <w:textAlignment w:val="auto"/>
                    <w:rPr>
                      <w:rFonts w:hint="eastAsia" w:ascii="Times New Roman" w:hAnsi="Times New Roman" w:eastAsia="宋体" w:cs="宋体"/>
                      <w:b w:val="0"/>
                      <w:bCs/>
                      <w:kern w:val="2"/>
                      <w:sz w:val="21"/>
                      <w:szCs w:val="24"/>
                      <w:highlight w:val="none"/>
                      <w:lang w:val="en-US" w:eastAsia="zh-CN" w:bidi="ar"/>
                    </w:rPr>
                  </w:pPr>
                  <w:r>
                    <w:rPr>
                      <w:rFonts w:hint="eastAsia" w:ascii="Times New Roman" w:hAnsi="Times New Roman" w:eastAsia="宋体" w:cs="宋体"/>
                      <w:b w:val="0"/>
                      <w:bCs/>
                      <w:kern w:val="2"/>
                      <w:sz w:val="21"/>
                      <w:szCs w:val="24"/>
                      <w:highlight w:val="none"/>
                      <w:lang w:val="en-US" w:eastAsia="zh-CN" w:bidi="ar"/>
                    </w:rPr>
                    <w:t>点位</w:t>
                  </w:r>
                </w:p>
              </w:tc>
              <w:tc>
                <w:tcPr>
                  <w:tcW w:w="1466" w:type="pct"/>
                  <w:tcBorders>
                    <w:tl2br w:val="nil"/>
                    <w:tr2bl w:val="nil"/>
                  </w:tcBorders>
                  <w:shd w:val="clear" w:color="auto" w:fill="auto"/>
                  <w:vAlign w:val="center"/>
                </w:tcPr>
                <w:p w14:paraId="33AD6DD5">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360" w:lineRule="exact"/>
                    <w:ind w:left="0" w:right="0"/>
                    <w:jc w:val="center"/>
                    <w:textAlignment w:val="auto"/>
                    <w:rPr>
                      <w:rFonts w:hint="eastAsia" w:ascii="Times New Roman" w:hAnsi="Times New Roman" w:eastAsia="宋体" w:cs="宋体"/>
                      <w:b w:val="0"/>
                      <w:bCs/>
                      <w:kern w:val="2"/>
                      <w:sz w:val="21"/>
                      <w:szCs w:val="24"/>
                      <w:highlight w:val="none"/>
                      <w:lang w:val="en-US" w:eastAsia="zh-CN" w:bidi="ar"/>
                    </w:rPr>
                  </w:pPr>
                  <w:r>
                    <w:rPr>
                      <w:rFonts w:hint="eastAsia" w:ascii="Times New Roman" w:hAnsi="Times New Roman" w:eastAsia="宋体" w:cs="宋体"/>
                      <w:b w:val="0"/>
                      <w:bCs/>
                      <w:kern w:val="2"/>
                      <w:sz w:val="21"/>
                      <w:szCs w:val="24"/>
                      <w:highlight w:val="none"/>
                      <w:lang w:val="en-US" w:eastAsia="zh-CN" w:bidi="ar"/>
                    </w:rPr>
                    <w:t>监测因子</w:t>
                  </w:r>
                </w:p>
              </w:tc>
              <w:tc>
                <w:tcPr>
                  <w:tcW w:w="869" w:type="pct"/>
                  <w:tcBorders>
                    <w:tl2br w:val="nil"/>
                    <w:tr2bl w:val="nil"/>
                  </w:tcBorders>
                  <w:shd w:val="clear" w:color="auto" w:fill="auto"/>
                  <w:vAlign w:val="center"/>
                </w:tcPr>
                <w:p w14:paraId="4400412F">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360" w:lineRule="exact"/>
                    <w:ind w:left="0" w:right="0"/>
                    <w:jc w:val="center"/>
                    <w:textAlignment w:val="auto"/>
                    <w:rPr>
                      <w:rFonts w:hint="eastAsia" w:ascii="Times New Roman" w:hAnsi="Times New Roman" w:eastAsia="宋体" w:cs="宋体"/>
                      <w:b w:val="0"/>
                      <w:bCs/>
                      <w:kern w:val="2"/>
                      <w:sz w:val="21"/>
                      <w:szCs w:val="24"/>
                      <w:highlight w:val="none"/>
                      <w:lang w:val="en-US" w:eastAsia="zh-CN" w:bidi="ar"/>
                    </w:rPr>
                  </w:pPr>
                  <w:r>
                    <w:rPr>
                      <w:rFonts w:hint="eastAsia" w:ascii="Times New Roman" w:hAnsi="Times New Roman" w:eastAsia="宋体" w:cs="宋体"/>
                      <w:b w:val="0"/>
                      <w:bCs/>
                      <w:kern w:val="2"/>
                      <w:sz w:val="21"/>
                      <w:szCs w:val="24"/>
                      <w:highlight w:val="none"/>
                      <w:lang w:val="en-US" w:eastAsia="zh-CN" w:bidi="ar"/>
                    </w:rPr>
                    <w:t>监测方式</w:t>
                  </w:r>
                </w:p>
              </w:tc>
              <w:tc>
                <w:tcPr>
                  <w:tcW w:w="891" w:type="pct"/>
                  <w:tcBorders>
                    <w:tl2br w:val="nil"/>
                    <w:tr2bl w:val="nil"/>
                  </w:tcBorders>
                  <w:shd w:val="clear" w:color="auto" w:fill="auto"/>
                  <w:vAlign w:val="center"/>
                </w:tcPr>
                <w:p w14:paraId="6E109E20">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360" w:lineRule="exact"/>
                    <w:ind w:left="0" w:right="0"/>
                    <w:jc w:val="center"/>
                    <w:textAlignment w:val="auto"/>
                    <w:rPr>
                      <w:rFonts w:hint="eastAsia" w:ascii="Times New Roman" w:hAnsi="Times New Roman" w:eastAsia="宋体" w:cs="宋体"/>
                      <w:b w:val="0"/>
                      <w:bCs/>
                      <w:kern w:val="2"/>
                      <w:sz w:val="21"/>
                      <w:szCs w:val="24"/>
                      <w:highlight w:val="none"/>
                      <w:lang w:val="en-US" w:eastAsia="zh-CN" w:bidi="ar"/>
                    </w:rPr>
                  </w:pPr>
                  <w:r>
                    <w:rPr>
                      <w:rFonts w:hint="eastAsia" w:ascii="Times New Roman" w:hAnsi="Times New Roman" w:eastAsia="宋体" w:cs="宋体"/>
                      <w:b w:val="0"/>
                      <w:bCs/>
                      <w:kern w:val="2"/>
                      <w:sz w:val="21"/>
                      <w:szCs w:val="24"/>
                      <w:highlight w:val="none"/>
                      <w:lang w:val="en-US" w:eastAsia="zh-CN" w:bidi="ar"/>
                    </w:rPr>
                    <w:t>监测频次</w:t>
                  </w:r>
                </w:p>
              </w:tc>
            </w:tr>
            <w:tr w14:paraId="1BDBD9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73" w:type="pct"/>
                  <w:tcBorders>
                    <w:tl2br w:val="nil"/>
                    <w:tr2bl w:val="nil"/>
                  </w:tcBorders>
                  <w:shd w:val="clear" w:color="auto" w:fill="auto"/>
                  <w:vAlign w:val="center"/>
                </w:tcPr>
                <w:p w14:paraId="6533778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rPr>
                      <w:rFonts w:hint="eastAsia" w:ascii="Times New Roman" w:hAnsi="Times New Roman" w:eastAsia="宋体" w:cs="宋体"/>
                      <w:b w:val="0"/>
                      <w:bCs/>
                      <w:kern w:val="2"/>
                      <w:sz w:val="21"/>
                      <w:szCs w:val="24"/>
                      <w:highlight w:val="none"/>
                      <w:lang w:val="en-US" w:eastAsia="zh-CN" w:bidi="ar"/>
                    </w:rPr>
                  </w:pPr>
                  <w:r>
                    <w:rPr>
                      <w:rFonts w:hint="eastAsia" w:cs="宋体"/>
                      <w:b w:val="0"/>
                      <w:bCs/>
                      <w:spacing w:val="-10"/>
                      <w:kern w:val="2"/>
                      <w:sz w:val="21"/>
                      <w:szCs w:val="21"/>
                      <w:highlight w:val="none"/>
                      <w:lang w:val="en-US" w:eastAsia="zh-CN" w:bidi="ar"/>
                    </w:rPr>
                    <w:t>有机废气排放口（DA001）</w:t>
                  </w:r>
                </w:p>
              </w:tc>
              <w:tc>
                <w:tcPr>
                  <w:tcW w:w="1466" w:type="pct"/>
                  <w:tcBorders>
                    <w:tl2br w:val="nil"/>
                    <w:tr2bl w:val="nil"/>
                  </w:tcBorders>
                  <w:shd w:val="clear" w:color="auto" w:fill="auto"/>
                  <w:vAlign w:val="center"/>
                </w:tcPr>
                <w:p w14:paraId="792AE3B3">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360" w:lineRule="exact"/>
                    <w:ind w:left="0" w:right="0"/>
                    <w:jc w:val="center"/>
                    <w:textAlignment w:val="auto"/>
                    <w:rPr>
                      <w:rFonts w:hint="default" w:ascii="Times New Roman" w:hAnsi="Times New Roman" w:eastAsia="宋体" w:cs="宋体"/>
                      <w:b w:val="0"/>
                      <w:bCs/>
                      <w:kern w:val="2"/>
                      <w:sz w:val="21"/>
                      <w:szCs w:val="24"/>
                      <w:highlight w:val="none"/>
                      <w:lang w:val="en-US" w:eastAsia="zh-CN" w:bidi="ar"/>
                    </w:rPr>
                  </w:pPr>
                  <w:r>
                    <w:rPr>
                      <w:rFonts w:hint="eastAsia"/>
                      <w:szCs w:val="21"/>
                      <w:lang w:val="en-US" w:eastAsia="zh-CN"/>
                    </w:rPr>
                    <w:t>非甲烷总烃</w:t>
                  </w:r>
                </w:p>
              </w:tc>
              <w:tc>
                <w:tcPr>
                  <w:tcW w:w="869" w:type="pct"/>
                  <w:tcBorders>
                    <w:tl2br w:val="nil"/>
                    <w:tr2bl w:val="nil"/>
                  </w:tcBorders>
                  <w:shd w:val="clear" w:color="auto" w:fill="auto"/>
                  <w:vAlign w:val="center"/>
                </w:tcPr>
                <w:p w14:paraId="47BC6A15">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360" w:lineRule="exact"/>
                    <w:ind w:left="0" w:right="0"/>
                    <w:jc w:val="center"/>
                    <w:textAlignment w:val="auto"/>
                    <w:rPr>
                      <w:rFonts w:hint="eastAsia" w:ascii="Times New Roman" w:hAnsi="Times New Roman" w:eastAsia="宋体" w:cs="宋体"/>
                      <w:b w:val="0"/>
                      <w:bCs/>
                      <w:kern w:val="2"/>
                      <w:sz w:val="21"/>
                      <w:szCs w:val="24"/>
                      <w:highlight w:val="none"/>
                      <w:lang w:val="en-US" w:eastAsia="zh-CN" w:bidi="ar"/>
                    </w:rPr>
                  </w:pPr>
                  <w:r>
                    <w:rPr>
                      <w:rFonts w:hint="eastAsia" w:ascii="Times New Roman" w:hAnsi="Times New Roman" w:eastAsia="宋体" w:cs="宋体"/>
                      <w:b w:val="0"/>
                      <w:bCs/>
                      <w:kern w:val="2"/>
                      <w:sz w:val="21"/>
                      <w:szCs w:val="24"/>
                      <w:highlight w:val="none"/>
                      <w:lang w:val="en-US" w:eastAsia="zh-CN" w:bidi="ar"/>
                    </w:rPr>
                    <w:t>手工</w:t>
                  </w:r>
                </w:p>
              </w:tc>
              <w:tc>
                <w:tcPr>
                  <w:tcW w:w="891" w:type="pct"/>
                  <w:tcBorders>
                    <w:tl2br w:val="nil"/>
                    <w:tr2bl w:val="nil"/>
                  </w:tcBorders>
                  <w:shd w:val="clear" w:color="auto" w:fill="auto"/>
                  <w:vAlign w:val="center"/>
                </w:tcPr>
                <w:p w14:paraId="10785ADE">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360" w:lineRule="exact"/>
                    <w:ind w:left="0" w:right="0"/>
                    <w:jc w:val="center"/>
                    <w:textAlignment w:val="auto"/>
                    <w:rPr>
                      <w:rFonts w:hint="eastAsia" w:ascii="Times New Roman" w:hAnsi="Times New Roman" w:eastAsia="宋体" w:cs="宋体"/>
                      <w:b w:val="0"/>
                      <w:bCs/>
                      <w:kern w:val="2"/>
                      <w:sz w:val="21"/>
                      <w:szCs w:val="24"/>
                      <w:highlight w:val="none"/>
                      <w:lang w:val="en-US" w:eastAsia="zh-CN" w:bidi="ar"/>
                    </w:rPr>
                  </w:pPr>
                  <w:r>
                    <w:rPr>
                      <w:rFonts w:hint="default" w:ascii="Times New Roman" w:hAnsi="Times New Roman" w:eastAsia="宋体" w:cs="宋体"/>
                      <w:b w:val="0"/>
                      <w:bCs/>
                      <w:kern w:val="2"/>
                      <w:sz w:val="21"/>
                      <w:szCs w:val="24"/>
                      <w:highlight w:val="none"/>
                      <w:lang w:val="en-US" w:eastAsia="zh-CN" w:bidi="ar"/>
                    </w:rPr>
                    <w:t>1</w:t>
                  </w:r>
                  <w:r>
                    <w:rPr>
                      <w:rFonts w:hint="eastAsia" w:ascii="Times New Roman" w:hAnsi="Times New Roman" w:eastAsia="宋体" w:cs="宋体"/>
                      <w:b w:val="0"/>
                      <w:bCs/>
                      <w:kern w:val="2"/>
                      <w:sz w:val="21"/>
                      <w:szCs w:val="24"/>
                      <w:highlight w:val="none"/>
                      <w:lang w:val="en-US" w:eastAsia="zh-CN" w:bidi="ar"/>
                    </w:rPr>
                    <w:t>次</w:t>
                  </w:r>
                  <w:r>
                    <w:rPr>
                      <w:rFonts w:hint="default" w:ascii="Times New Roman" w:hAnsi="Times New Roman" w:eastAsia="宋体" w:cs="宋体"/>
                      <w:b w:val="0"/>
                      <w:bCs/>
                      <w:kern w:val="2"/>
                      <w:sz w:val="21"/>
                      <w:szCs w:val="24"/>
                      <w:highlight w:val="none"/>
                      <w:lang w:val="en-US" w:eastAsia="zh-CN" w:bidi="ar"/>
                    </w:rPr>
                    <w:t>/</w:t>
                  </w:r>
                  <w:r>
                    <w:rPr>
                      <w:rFonts w:hint="eastAsia" w:cs="宋体"/>
                      <w:b w:val="0"/>
                      <w:bCs/>
                      <w:kern w:val="2"/>
                      <w:sz w:val="21"/>
                      <w:szCs w:val="24"/>
                      <w:highlight w:val="none"/>
                      <w:lang w:val="en-US" w:eastAsia="zh-CN" w:bidi="ar"/>
                    </w:rPr>
                    <w:t>半</w:t>
                  </w:r>
                  <w:r>
                    <w:rPr>
                      <w:rFonts w:hint="eastAsia" w:ascii="Times New Roman" w:hAnsi="Times New Roman" w:eastAsia="宋体" w:cs="宋体"/>
                      <w:b w:val="0"/>
                      <w:bCs/>
                      <w:kern w:val="2"/>
                      <w:sz w:val="21"/>
                      <w:szCs w:val="24"/>
                      <w:highlight w:val="none"/>
                      <w:lang w:val="en-US" w:eastAsia="zh-CN" w:bidi="ar"/>
                    </w:rPr>
                    <w:t>年</w:t>
                  </w:r>
                </w:p>
              </w:tc>
            </w:tr>
            <w:tr w14:paraId="5D7210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0" w:hRule="atLeast"/>
              </w:trPr>
              <w:tc>
                <w:tcPr>
                  <w:tcW w:w="1773" w:type="pct"/>
                  <w:tcBorders>
                    <w:tl2br w:val="nil"/>
                    <w:tr2bl w:val="nil"/>
                  </w:tcBorders>
                  <w:shd w:val="clear" w:color="auto" w:fill="auto"/>
                  <w:vAlign w:val="center"/>
                </w:tcPr>
                <w:p w14:paraId="6A214774">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360" w:lineRule="exact"/>
                    <w:ind w:left="0" w:right="0"/>
                    <w:jc w:val="center"/>
                    <w:textAlignment w:val="auto"/>
                    <w:rPr>
                      <w:rFonts w:hint="default" w:ascii="Times New Roman" w:hAnsi="Times New Roman" w:eastAsia="宋体" w:cs="宋体"/>
                      <w:b w:val="0"/>
                      <w:bCs/>
                      <w:kern w:val="2"/>
                      <w:sz w:val="21"/>
                      <w:szCs w:val="24"/>
                      <w:highlight w:val="none"/>
                      <w:lang w:val="en-US" w:eastAsia="zh-CN" w:bidi="ar"/>
                    </w:rPr>
                  </w:pPr>
                  <w:r>
                    <w:rPr>
                      <w:rFonts w:hint="eastAsia" w:cs="宋体"/>
                      <w:b w:val="0"/>
                      <w:bCs/>
                      <w:kern w:val="2"/>
                      <w:sz w:val="21"/>
                      <w:szCs w:val="24"/>
                      <w:highlight w:val="none"/>
                      <w:lang w:val="en-US" w:eastAsia="zh-CN" w:bidi="ar"/>
                    </w:rPr>
                    <w:t>厂界无组织</w:t>
                  </w:r>
                </w:p>
              </w:tc>
              <w:tc>
                <w:tcPr>
                  <w:tcW w:w="1466" w:type="pct"/>
                  <w:tcBorders>
                    <w:tl2br w:val="nil"/>
                    <w:tr2bl w:val="nil"/>
                  </w:tcBorders>
                  <w:shd w:val="clear" w:color="auto" w:fill="auto"/>
                  <w:vAlign w:val="center"/>
                </w:tcPr>
                <w:p w14:paraId="55EA572E">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360" w:lineRule="exact"/>
                    <w:ind w:left="0" w:right="0"/>
                    <w:jc w:val="center"/>
                    <w:textAlignment w:val="auto"/>
                    <w:rPr>
                      <w:rFonts w:hint="default" w:ascii="Times New Roman" w:hAnsi="Times New Roman" w:eastAsia="宋体" w:cs="宋体"/>
                      <w:b w:val="0"/>
                      <w:bCs/>
                      <w:kern w:val="2"/>
                      <w:sz w:val="21"/>
                      <w:szCs w:val="24"/>
                      <w:highlight w:val="none"/>
                      <w:lang w:val="en-US" w:eastAsia="zh-CN" w:bidi="ar"/>
                    </w:rPr>
                  </w:pPr>
                  <w:r>
                    <w:rPr>
                      <w:rFonts w:hint="eastAsia"/>
                      <w:szCs w:val="21"/>
                    </w:rPr>
                    <w:t>颗粒物</w:t>
                  </w:r>
                  <w:r>
                    <w:rPr>
                      <w:rFonts w:hint="eastAsia"/>
                      <w:szCs w:val="21"/>
                      <w:lang w:eastAsia="zh-CN"/>
                    </w:rPr>
                    <w:t>、</w:t>
                  </w:r>
                  <w:r>
                    <w:rPr>
                      <w:rFonts w:hint="eastAsia"/>
                      <w:szCs w:val="21"/>
                      <w:lang w:val="en-US" w:eastAsia="zh-CN"/>
                    </w:rPr>
                    <w:t>非甲烷总烃</w:t>
                  </w:r>
                </w:p>
              </w:tc>
              <w:tc>
                <w:tcPr>
                  <w:tcW w:w="869" w:type="pct"/>
                  <w:tcBorders>
                    <w:tl2br w:val="nil"/>
                    <w:tr2bl w:val="nil"/>
                  </w:tcBorders>
                  <w:shd w:val="clear" w:color="auto" w:fill="auto"/>
                  <w:vAlign w:val="center"/>
                </w:tcPr>
                <w:p w14:paraId="1295144A">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360" w:lineRule="exact"/>
                    <w:ind w:left="0" w:leftChars="0" w:right="0" w:rightChars="0"/>
                    <w:jc w:val="center"/>
                    <w:textAlignment w:val="auto"/>
                    <w:rPr>
                      <w:rFonts w:hint="eastAsia" w:ascii="Times New Roman" w:hAnsi="Times New Roman" w:eastAsia="宋体" w:cs="宋体"/>
                      <w:b w:val="0"/>
                      <w:bCs/>
                      <w:kern w:val="2"/>
                      <w:sz w:val="21"/>
                      <w:szCs w:val="24"/>
                      <w:highlight w:val="none"/>
                      <w:lang w:val="en-US" w:eastAsia="zh-CN" w:bidi="ar"/>
                    </w:rPr>
                  </w:pPr>
                  <w:r>
                    <w:rPr>
                      <w:rFonts w:hint="eastAsia" w:ascii="Times New Roman" w:hAnsi="Times New Roman" w:eastAsia="宋体" w:cs="宋体"/>
                      <w:b w:val="0"/>
                      <w:bCs/>
                      <w:kern w:val="2"/>
                      <w:sz w:val="21"/>
                      <w:szCs w:val="24"/>
                      <w:highlight w:val="none"/>
                      <w:lang w:val="en-US" w:eastAsia="zh-CN" w:bidi="ar"/>
                    </w:rPr>
                    <w:t>手工</w:t>
                  </w:r>
                </w:p>
              </w:tc>
              <w:tc>
                <w:tcPr>
                  <w:tcW w:w="891" w:type="pct"/>
                  <w:tcBorders>
                    <w:tl2br w:val="nil"/>
                    <w:tr2bl w:val="nil"/>
                  </w:tcBorders>
                  <w:shd w:val="clear" w:color="auto" w:fill="auto"/>
                  <w:vAlign w:val="center"/>
                </w:tcPr>
                <w:p w14:paraId="34487511">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360" w:lineRule="exact"/>
                    <w:ind w:left="0" w:leftChars="0" w:right="0" w:rightChars="0"/>
                    <w:jc w:val="center"/>
                    <w:textAlignment w:val="auto"/>
                    <w:rPr>
                      <w:rFonts w:hint="default" w:ascii="Times New Roman" w:hAnsi="Times New Roman" w:eastAsia="宋体" w:cs="宋体"/>
                      <w:b w:val="0"/>
                      <w:bCs/>
                      <w:kern w:val="2"/>
                      <w:sz w:val="21"/>
                      <w:szCs w:val="24"/>
                      <w:highlight w:val="none"/>
                      <w:lang w:val="en-US" w:eastAsia="zh-CN" w:bidi="ar"/>
                    </w:rPr>
                  </w:pPr>
                  <w:r>
                    <w:rPr>
                      <w:rFonts w:hint="default" w:ascii="Times New Roman" w:hAnsi="Times New Roman" w:eastAsia="宋体" w:cs="宋体"/>
                      <w:b w:val="0"/>
                      <w:bCs/>
                      <w:kern w:val="2"/>
                      <w:sz w:val="21"/>
                      <w:szCs w:val="24"/>
                      <w:highlight w:val="none"/>
                      <w:lang w:val="en-US" w:eastAsia="zh-CN" w:bidi="ar"/>
                    </w:rPr>
                    <w:t>1</w:t>
                  </w:r>
                  <w:r>
                    <w:rPr>
                      <w:rFonts w:hint="eastAsia" w:ascii="Times New Roman" w:hAnsi="Times New Roman" w:eastAsia="宋体" w:cs="宋体"/>
                      <w:b w:val="0"/>
                      <w:bCs/>
                      <w:kern w:val="2"/>
                      <w:sz w:val="21"/>
                      <w:szCs w:val="24"/>
                      <w:highlight w:val="none"/>
                      <w:lang w:val="en-US" w:eastAsia="zh-CN" w:bidi="ar"/>
                    </w:rPr>
                    <w:t>次</w:t>
                  </w:r>
                  <w:r>
                    <w:rPr>
                      <w:rFonts w:hint="default" w:ascii="Times New Roman" w:hAnsi="Times New Roman" w:eastAsia="宋体" w:cs="宋体"/>
                      <w:b w:val="0"/>
                      <w:bCs/>
                      <w:kern w:val="2"/>
                      <w:sz w:val="21"/>
                      <w:szCs w:val="24"/>
                      <w:highlight w:val="none"/>
                      <w:lang w:val="en-US" w:eastAsia="zh-CN" w:bidi="ar"/>
                    </w:rPr>
                    <w:t>/</w:t>
                  </w:r>
                  <w:r>
                    <w:rPr>
                      <w:rFonts w:hint="eastAsia" w:ascii="Times New Roman" w:hAnsi="Times New Roman" w:eastAsia="宋体" w:cs="宋体"/>
                      <w:b w:val="0"/>
                      <w:bCs/>
                      <w:kern w:val="2"/>
                      <w:sz w:val="21"/>
                      <w:szCs w:val="24"/>
                      <w:highlight w:val="none"/>
                      <w:lang w:val="en-US" w:eastAsia="zh-CN" w:bidi="ar"/>
                    </w:rPr>
                    <w:t>年</w:t>
                  </w:r>
                </w:p>
              </w:tc>
            </w:tr>
            <w:tr w14:paraId="72CD71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73" w:type="pct"/>
                  <w:tcBorders>
                    <w:tl2br w:val="nil"/>
                    <w:tr2bl w:val="nil"/>
                  </w:tcBorders>
                  <w:shd w:val="clear" w:color="auto" w:fill="auto"/>
                  <w:vAlign w:val="center"/>
                </w:tcPr>
                <w:p w14:paraId="36E9D106">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360" w:lineRule="exact"/>
                    <w:ind w:left="0" w:right="0"/>
                    <w:jc w:val="center"/>
                    <w:textAlignment w:val="auto"/>
                    <w:rPr>
                      <w:rFonts w:hint="default" w:cs="宋体"/>
                      <w:b w:val="0"/>
                      <w:bCs/>
                      <w:kern w:val="2"/>
                      <w:sz w:val="21"/>
                      <w:szCs w:val="24"/>
                      <w:highlight w:val="none"/>
                      <w:lang w:val="en-US" w:eastAsia="zh-CN" w:bidi="ar"/>
                    </w:rPr>
                  </w:pPr>
                  <w:r>
                    <w:rPr>
                      <w:rFonts w:hint="eastAsia" w:cs="宋体"/>
                      <w:b w:val="0"/>
                      <w:bCs/>
                      <w:kern w:val="2"/>
                      <w:sz w:val="21"/>
                      <w:szCs w:val="24"/>
                      <w:highlight w:val="none"/>
                      <w:lang w:val="en-US" w:eastAsia="zh-CN" w:bidi="ar"/>
                    </w:rPr>
                    <w:t>厂区内</w:t>
                  </w:r>
                </w:p>
              </w:tc>
              <w:tc>
                <w:tcPr>
                  <w:tcW w:w="1466" w:type="pct"/>
                  <w:tcBorders>
                    <w:tl2br w:val="nil"/>
                    <w:tr2bl w:val="nil"/>
                  </w:tcBorders>
                  <w:shd w:val="clear" w:color="auto" w:fill="auto"/>
                  <w:vAlign w:val="center"/>
                </w:tcPr>
                <w:p w14:paraId="0C1A9603">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360" w:lineRule="exact"/>
                    <w:ind w:left="0" w:right="0"/>
                    <w:jc w:val="center"/>
                    <w:textAlignment w:val="auto"/>
                    <w:rPr>
                      <w:rFonts w:hint="eastAsia"/>
                      <w:szCs w:val="21"/>
                    </w:rPr>
                  </w:pPr>
                  <w:r>
                    <w:rPr>
                      <w:rFonts w:hint="eastAsia"/>
                      <w:szCs w:val="21"/>
                      <w:lang w:val="en-US" w:eastAsia="zh-CN"/>
                    </w:rPr>
                    <w:t>非甲烷总烃</w:t>
                  </w:r>
                </w:p>
              </w:tc>
              <w:tc>
                <w:tcPr>
                  <w:tcW w:w="1424" w:type="dxa"/>
                  <w:tcBorders>
                    <w:tl2br w:val="nil"/>
                    <w:tr2bl w:val="nil"/>
                  </w:tcBorders>
                  <w:shd w:val="clear" w:color="auto" w:fill="auto"/>
                  <w:vAlign w:val="center"/>
                </w:tcPr>
                <w:p w14:paraId="4D61575A">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360" w:lineRule="exact"/>
                    <w:ind w:left="0" w:leftChars="0" w:right="0" w:rightChars="0"/>
                    <w:jc w:val="center"/>
                    <w:textAlignment w:val="auto"/>
                    <w:rPr>
                      <w:rFonts w:hint="eastAsia" w:ascii="Times New Roman" w:hAnsi="Times New Roman" w:eastAsia="宋体" w:cs="宋体"/>
                      <w:b w:val="0"/>
                      <w:bCs/>
                      <w:kern w:val="2"/>
                      <w:sz w:val="21"/>
                      <w:szCs w:val="24"/>
                      <w:highlight w:val="none"/>
                      <w:lang w:val="en-US" w:eastAsia="zh-CN" w:bidi="ar"/>
                    </w:rPr>
                  </w:pPr>
                  <w:r>
                    <w:rPr>
                      <w:rFonts w:hint="eastAsia" w:ascii="Times New Roman" w:hAnsi="Times New Roman" w:eastAsia="宋体" w:cs="宋体"/>
                      <w:b w:val="0"/>
                      <w:bCs/>
                      <w:kern w:val="2"/>
                      <w:sz w:val="21"/>
                      <w:szCs w:val="24"/>
                      <w:highlight w:val="none"/>
                      <w:lang w:val="en-US" w:eastAsia="zh-CN" w:bidi="ar"/>
                    </w:rPr>
                    <w:t>手工</w:t>
                  </w:r>
                </w:p>
              </w:tc>
              <w:tc>
                <w:tcPr>
                  <w:tcW w:w="1461" w:type="dxa"/>
                  <w:tcBorders>
                    <w:tl2br w:val="nil"/>
                    <w:tr2bl w:val="nil"/>
                  </w:tcBorders>
                  <w:shd w:val="clear" w:color="auto" w:fill="auto"/>
                  <w:vAlign w:val="center"/>
                </w:tcPr>
                <w:p w14:paraId="4888BBE2">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360" w:lineRule="exact"/>
                    <w:ind w:left="0" w:leftChars="0" w:right="0" w:rightChars="0"/>
                    <w:jc w:val="center"/>
                    <w:textAlignment w:val="auto"/>
                    <w:rPr>
                      <w:rFonts w:hint="default" w:ascii="Times New Roman" w:hAnsi="Times New Roman" w:eastAsia="宋体" w:cs="宋体"/>
                      <w:b w:val="0"/>
                      <w:bCs/>
                      <w:kern w:val="2"/>
                      <w:sz w:val="21"/>
                      <w:szCs w:val="24"/>
                      <w:highlight w:val="none"/>
                      <w:lang w:val="en-US" w:eastAsia="zh-CN" w:bidi="ar"/>
                    </w:rPr>
                  </w:pPr>
                  <w:r>
                    <w:rPr>
                      <w:rFonts w:hint="default" w:ascii="Times New Roman" w:hAnsi="Times New Roman" w:eastAsia="宋体" w:cs="宋体"/>
                      <w:b w:val="0"/>
                      <w:bCs/>
                      <w:kern w:val="2"/>
                      <w:sz w:val="21"/>
                      <w:szCs w:val="24"/>
                      <w:highlight w:val="none"/>
                      <w:lang w:val="en-US" w:eastAsia="zh-CN" w:bidi="ar"/>
                    </w:rPr>
                    <w:t>1</w:t>
                  </w:r>
                  <w:r>
                    <w:rPr>
                      <w:rFonts w:hint="eastAsia" w:ascii="Times New Roman" w:hAnsi="Times New Roman" w:eastAsia="宋体" w:cs="宋体"/>
                      <w:b w:val="0"/>
                      <w:bCs/>
                      <w:kern w:val="2"/>
                      <w:sz w:val="21"/>
                      <w:szCs w:val="24"/>
                      <w:highlight w:val="none"/>
                      <w:lang w:val="en-US" w:eastAsia="zh-CN" w:bidi="ar"/>
                    </w:rPr>
                    <w:t>次</w:t>
                  </w:r>
                  <w:r>
                    <w:rPr>
                      <w:rFonts w:hint="default" w:ascii="Times New Roman" w:hAnsi="Times New Roman" w:eastAsia="宋体" w:cs="宋体"/>
                      <w:b w:val="0"/>
                      <w:bCs/>
                      <w:kern w:val="2"/>
                      <w:sz w:val="21"/>
                      <w:szCs w:val="24"/>
                      <w:highlight w:val="none"/>
                      <w:lang w:val="en-US" w:eastAsia="zh-CN" w:bidi="ar"/>
                    </w:rPr>
                    <w:t>/</w:t>
                  </w:r>
                  <w:r>
                    <w:rPr>
                      <w:rFonts w:hint="eastAsia" w:ascii="Times New Roman" w:hAnsi="Times New Roman" w:eastAsia="宋体" w:cs="宋体"/>
                      <w:b w:val="0"/>
                      <w:bCs/>
                      <w:kern w:val="2"/>
                      <w:sz w:val="21"/>
                      <w:szCs w:val="24"/>
                      <w:highlight w:val="none"/>
                      <w:lang w:val="en-US" w:eastAsia="zh-CN" w:bidi="ar"/>
                    </w:rPr>
                    <w:t>年</w:t>
                  </w:r>
                </w:p>
              </w:tc>
            </w:tr>
            <w:tr w14:paraId="33715A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000" w:type="pct"/>
                  <w:gridSpan w:val="4"/>
                  <w:tcBorders>
                    <w:tl2br w:val="nil"/>
                    <w:tr2bl w:val="nil"/>
                  </w:tcBorders>
                  <w:shd w:val="clear" w:color="auto" w:fill="auto"/>
                  <w:vAlign w:val="center"/>
                </w:tcPr>
                <w:p w14:paraId="789E7A0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both"/>
                    <w:textAlignment w:val="auto"/>
                    <w:rPr>
                      <w:rFonts w:hint="default"/>
                      <w:b w:val="0"/>
                      <w:bCs/>
                      <w:spacing w:val="-10"/>
                      <w:szCs w:val="21"/>
                      <w:highlight w:val="none"/>
                      <w:lang w:val="en-US"/>
                    </w:rPr>
                  </w:pPr>
                  <w:r>
                    <w:rPr>
                      <w:rFonts w:hint="eastAsia" w:ascii="Times New Roman" w:hAnsi="Times New Roman" w:eastAsia="宋体" w:cs="宋体"/>
                      <w:b w:val="0"/>
                      <w:bCs/>
                      <w:kern w:val="2"/>
                      <w:sz w:val="21"/>
                      <w:szCs w:val="21"/>
                      <w:highlight w:val="none"/>
                      <w:lang w:val="en-US" w:eastAsia="zh-CN" w:bidi="ar"/>
                    </w:rPr>
                    <w:t xml:space="preserve">参照《排污单位自行监测技术指南 </w:t>
                  </w:r>
                  <w:r>
                    <w:rPr>
                      <w:rFonts w:hint="eastAsia" w:cs="宋体"/>
                      <w:b w:val="0"/>
                      <w:bCs/>
                      <w:kern w:val="2"/>
                      <w:sz w:val="21"/>
                      <w:szCs w:val="21"/>
                      <w:highlight w:val="none"/>
                      <w:lang w:val="en-US" w:eastAsia="zh-CN" w:bidi="ar"/>
                    </w:rPr>
                    <w:t>橡胶和塑料制品</w:t>
                  </w:r>
                  <w:r>
                    <w:rPr>
                      <w:rFonts w:hint="eastAsia" w:ascii="Times New Roman" w:hAnsi="Times New Roman" w:eastAsia="宋体" w:cs="宋体"/>
                      <w:b w:val="0"/>
                      <w:bCs/>
                      <w:kern w:val="2"/>
                      <w:sz w:val="21"/>
                      <w:szCs w:val="21"/>
                      <w:highlight w:val="none"/>
                      <w:lang w:val="en-US" w:eastAsia="zh-CN" w:bidi="ar"/>
                    </w:rPr>
                    <w:t>》（HJ</w:t>
                  </w:r>
                  <w:r>
                    <w:rPr>
                      <w:rFonts w:hint="eastAsia" w:cs="宋体"/>
                      <w:b w:val="0"/>
                      <w:bCs/>
                      <w:kern w:val="2"/>
                      <w:sz w:val="21"/>
                      <w:szCs w:val="21"/>
                      <w:highlight w:val="none"/>
                      <w:lang w:val="en-US" w:eastAsia="zh-CN" w:bidi="ar"/>
                    </w:rPr>
                    <w:t>1207</w:t>
                  </w:r>
                  <w:r>
                    <w:rPr>
                      <w:rFonts w:hint="eastAsia" w:ascii="Times New Roman" w:hAnsi="Times New Roman" w:eastAsia="宋体" w:cs="宋体"/>
                      <w:b w:val="0"/>
                      <w:bCs/>
                      <w:kern w:val="2"/>
                      <w:sz w:val="21"/>
                      <w:szCs w:val="21"/>
                      <w:highlight w:val="none"/>
                      <w:lang w:val="en-US" w:eastAsia="zh-CN" w:bidi="ar"/>
                    </w:rPr>
                    <w:t>-20</w:t>
                  </w:r>
                  <w:r>
                    <w:rPr>
                      <w:rFonts w:hint="eastAsia" w:cs="宋体"/>
                      <w:b w:val="0"/>
                      <w:bCs/>
                      <w:kern w:val="2"/>
                      <w:sz w:val="21"/>
                      <w:szCs w:val="21"/>
                      <w:highlight w:val="none"/>
                      <w:lang w:val="en-US" w:eastAsia="zh-CN" w:bidi="ar"/>
                    </w:rPr>
                    <w:t>21</w:t>
                  </w:r>
                  <w:r>
                    <w:rPr>
                      <w:rFonts w:hint="eastAsia" w:ascii="Times New Roman" w:hAnsi="Times New Roman" w:eastAsia="宋体" w:cs="宋体"/>
                      <w:b w:val="0"/>
                      <w:bCs/>
                      <w:kern w:val="2"/>
                      <w:sz w:val="21"/>
                      <w:szCs w:val="21"/>
                      <w:highlight w:val="none"/>
                      <w:lang w:val="en-US" w:eastAsia="zh-CN" w:bidi="ar"/>
                    </w:rPr>
                    <w:t>）开展监测，规范设置采样口及采样平台。</w:t>
                  </w:r>
                </w:p>
              </w:tc>
            </w:tr>
          </w:tbl>
          <w:p w14:paraId="4CB1D2D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textAlignment w:val="auto"/>
              <w:rPr>
                <w:rFonts w:hint="default"/>
                <w:b w:val="0"/>
                <w:bCs/>
                <w:sz w:val="24"/>
                <w:szCs w:val="24"/>
                <w:highlight w:val="none"/>
                <w:lang w:val="en-US"/>
              </w:rPr>
            </w:pPr>
            <w:r>
              <w:rPr>
                <w:rFonts w:hint="default" w:ascii="Times New Roman" w:hAnsi="Times New Roman" w:eastAsia="宋体" w:cs="Times New Roman"/>
                <w:b w:val="0"/>
                <w:bCs/>
                <w:kern w:val="2"/>
                <w:sz w:val="24"/>
                <w:szCs w:val="24"/>
                <w:highlight w:val="none"/>
                <w:lang w:val="en-US" w:eastAsia="zh-CN" w:bidi="ar"/>
              </w:rPr>
              <w:t>2.</w:t>
            </w:r>
            <w:r>
              <w:rPr>
                <w:rFonts w:hint="eastAsia" w:cs="Times New Roman"/>
                <w:b w:val="0"/>
                <w:bCs/>
                <w:kern w:val="2"/>
                <w:sz w:val="24"/>
                <w:szCs w:val="24"/>
                <w:highlight w:val="none"/>
                <w:lang w:val="en-US" w:eastAsia="zh-CN" w:bidi="ar"/>
              </w:rPr>
              <w:t>5</w:t>
            </w:r>
            <w:r>
              <w:rPr>
                <w:rFonts w:hint="eastAsia" w:ascii="Times New Roman" w:hAnsi="Times New Roman" w:eastAsia="宋体" w:cs="宋体"/>
                <w:b w:val="0"/>
                <w:bCs/>
                <w:kern w:val="2"/>
                <w:sz w:val="24"/>
                <w:szCs w:val="24"/>
                <w:highlight w:val="none"/>
                <w:lang w:val="en-US" w:eastAsia="zh-CN" w:bidi="ar"/>
              </w:rPr>
              <w:t>非正常情况污染物排放情况</w:t>
            </w:r>
          </w:p>
          <w:p w14:paraId="16C2509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textAlignment w:val="auto"/>
              <w:rPr>
                <w:rFonts w:hint="default"/>
                <w:b w:val="0"/>
                <w:bCs/>
                <w:sz w:val="24"/>
                <w:szCs w:val="24"/>
                <w:highlight w:val="none"/>
                <w:lang w:val="en-US"/>
              </w:rPr>
            </w:pPr>
            <w:r>
              <w:rPr>
                <w:rFonts w:hint="eastAsia" w:ascii="Times New Roman" w:hAnsi="Times New Roman" w:eastAsia="宋体" w:cs="宋体"/>
                <w:b w:val="0"/>
                <w:bCs/>
                <w:kern w:val="2"/>
                <w:sz w:val="24"/>
                <w:szCs w:val="24"/>
                <w:highlight w:val="none"/>
                <w:lang w:val="en-US" w:eastAsia="zh-CN" w:bidi="ar"/>
              </w:rPr>
              <w:t>非正常情况为生产过程活性炭吸附浓缩+催化燃烧装置故障无法正常运行情况，以无法正常运行情况下核算非正常情况污染物排放情况，见表</w:t>
            </w:r>
            <w:r>
              <w:rPr>
                <w:rFonts w:hint="default" w:ascii="Times New Roman" w:hAnsi="Times New Roman" w:eastAsia="宋体" w:cs="Times New Roman"/>
                <w:b w:val="0"/>
                <w:bCs/>
                <w:kern w:val="2"/>
                <w:sz w:val="24"/>
                <w:szCs w:val="24"/>
                <w:highlight w:val="none"/>
                <w:lang w:val="en-US" w:eastAsia="zh-CN" w:bidi="ar"/>
              </w:rPr>
              <w:t>4-</w:t>
            </w:r>
            <w:r>
              <w:rPr>
                <w:rFonts w:hint="eastAsia" w:cs="Times New Roman"/>
                <w:b w:val="0"/>
                <w:bCs/>
                <w:kern w:val="2"/>
                <w:sz w:val="24"/>
                <w:szCs w:val="24"/>
                <w:highlight w:val="none"/>
                <w:lang w:val="en-US" w:eastAsia="zh-CN" w:bidi="ar"/>
              </w:rPr>
              <w:t>7</w:t>
            </w:r>
            <w:r>
              <w:rPr>
                <w:rFonts w:hint="eastAsia" w:ascii="Times New Roman" w:hAnsi="Times New Roman" w:eastAsia="宋体" w:cs="宋体"/>
                <w:b w:val="0"/>
                <w:bCs/>
                <w:kern w:val="2"/>
                <w:sz w:val="24"/>
                <w:szCs w:val="24"/>
                <w:highlight w:val="none"/>
                <w:lang w:val="en-US" w:eastAsia="zh-CN" w:bidi="ar"/>
              </w:rPr>
              <w:t>。</w:t>
            </w:r>
          </w:p>
          <w:p w14:paraId="05EAFBF1">
            <w:pPr>
              <w:keepNext w:val="0"/>
              <w:keepLines w:val="0"/>
              <w:pageBreakBefore w:val="0"/>
              <w:widowControl/>
              <w:numPr>
                <w:ilvl w:val="0"/>
                <w:numId w:val="0"/>
              </w:numPr>
              <w:suppressLineNumbers w:val="0"/>
              <w:kinsoku/>
              <w:wordWrap/>
              <w:overflowPunct/>
              <w:topLinePunct w:val="0"/>
              <w:autoSpaceDE/>
              <w:autoSpaceDN/>
              <w:bidi w:val="0"/>
              <w:adjustRightInd w:val="0"/>
              <w:snapToGrid/>
              <w:spacing w:before="0" w:beforeAutospacing="0" w:after="0" w:afterAutospacing="0" w:line="520" w:lineRule="exact"/>
              <w:ind w:left="0" w:right="0"/>
              <w:jc w:val="center"/>
              <w:textAlignment w:val="auto"/>
              <w:rPr>
                <w:rFonts w:hint="eastAsia" w:eastAsia="黑体" w:cs="Times New Roman"/>
                <w:b w:val="0"/>
                <w:bCs w:val="0"/>
                <w:color w:val="000000" w:themeColor="text1"/>
                <w:sz w:val="24"/>
                <w:szCs w:val="24"/>
                <w:highlight w:val="none"/>
                <w:lang w:val="en-US" w:eastAsia="zh-CN"/>
                <w14:textFill>
                  <w14:solidFill>
                    <w14:schemeClr w14:val="tx1"/>
                  </w14:solidFill>
                </w14:textFill>
              </w:rPr>
            </w:pPr>
            <w:r>
              <w:rPr>
                <w:rFonts w:hint="eastAsia" w:eastAsia="黑体" w:cs="Times New Roman"/>
                <w:b w:val="0"/>
                <w:bCs w:val="0"/>
                <w:color w:val="000000" w:themeColor="text1"/>
                <w:sz w:val="24"/>
                <w:szCs w:val="24"/>
                <w:highlight w:val="none"/>
                <w:lang w:val="en-US" w:eastAsia="zh-CN"/>
                <w14:textFill>
                  <w14:solidFill>
                    <w14:schemeClr w14:val="tx1"/>
                  </w14:solidFill>
                </w14:textFill>
              </w:rPr>
              <w:t>表</w:t>
            </w:r>
            <w:r>
              <w:rPr>
                <w:rFonts w:hint="default" w:eastAsia="黑体" w:cs="Times New Roman"/>
                <w:b w:val="0"/>
                <w:bCs w:val="0"/>
                <w:color w:val="000000" w:themeColor="text1"/>
                <w:sz w:val="24"/>
                <w:szCs w:val="24"/>
                <w:highlight w:val="none"/>
                <w:lang w:val="en-US" w:eastAsia="zh-CN"/>
                <w14:textFill>
                  <w14:solidFill>
                    <w14:schemeClr w14:val="tx1"/>
                  </w14:solidFill>
                </w14:textFill>
              </w:rPr>
              <w:t>4-</w:t>
            </w:r>
            <w:r>
              <w:rPr>
                <w:rFonts w:hint="eastAsia" w:eastAsia="黑体" w:cs="Times New Roman"/>
                <w:b w:val="0"/>
                <w:bCs w:val="0"/>
                <w:color w:val="000000" w:themeColor="text1"/>
                <w:sz w:val="24"/>
                <w:szCs w:val="24"/>
                <w:highlight w:val="none"/>
                <w:lang w:val="en-US" w:eastAsia="zh-CN"/>
                <w14:textFill>
                  <w14:solidFill>
                    <w14:schemeClr w14:val="tx1"/>
                  </w14:solidFill>
                </w14:textFill>
              </w:rPr>
              <w:t>7</w:t>
            </w:r>
            <w:r>
              <w:rPr>
                <w:rFonts w:hint="default" w:eastAsia="黑体" w:cs="Times New Roman"/>
                <w:b w:val="0"/>
                <w:bCs w:val="0"/>
                <w:color w:val="000000" w:themeColor="text1"/>
                <w:sz w:val="24"/>
                <w:szCs w:val="24"/>
                <w:highlight w:val="none"/>
                <w:lang w:val="en-US" w:eastAsia="zh-CN"/>
                <w14:textFill>
                  <w14:solidFill>
                    <w14:schemeClr w14:val="tx1"/>
                  </w14:solidFill>
                </w14:textFill>
              </w:rPr>
              <w:t xml:space="preserve">  </w:t>
            </w:r>
            <w:r>
              <w:rPr>
                <w:rFonts w:hint="eastAsia" w:eastAsia="黑体" w:cs="Times New Roman"/>
                <w:b w:val="0"/>
                <w:bCs w:val="0"/>
                <w:color w:val="000000" w:themeColor="text1"/>
                <w:sz w:val="24"/>
                <w:szCs w:val="24"/>
                <w:highlight w:val="none"/>
                <w:lang w:val="en-US" w:eastAsia="zh-CN"/>
                <w14:textFill>
                  <w14:solidFill>
                    <w14:schemeClr w14:val="tx1"/>
                  </w14:solidFill>
                </w14:textFill>
              </w:rPr>
              <w:t>非正常排放放情况表</w:t>
            </w:r>
          </w:p>
          <w:tbl>
            <w:tblPr>
              <w:tblStyle w:val="2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070"/>
              <w:gridCol w:w="1218"/>
              <w:gridCol w:w="718"/>
              <w:gridCol w:w="1112"/>
              <w:gridCol w:w="964"/>
              <w:gridCol w:w="738"/>
              <w:gridCol w:w="899"/>
              <w:gridCol w:w="712"/>
              <w:gridCol w:w="761"/>
            </w:tblGrid>
            <w:tr w14:paraId="2E9B73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0" w:hRule="atLeast"/>
                <w:jc w:val="center"/>
              </w:trPr>
              <w:tc>
                <w:tcPr>
                  <w:tcW w:w="653" w:type="pct"/>
                  <w:tcBorders>
                    <w:tl2br w:val="nil"/>
                    <w:tr2bl w:val="nil"/>
                  </w:tcBorders>
                  <w:shd w:val="clear" w:color="auto" w:fill="auto"/>
                  <w:vAlign w:val="center"/>
                </w:tcPr>
                <w:p w14:paraId="219AC4E9">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360" w:lineRule="atLeast"/>
                    <w:ind w:left="0" w:right="0"/>
                    <w:jc w:val="center"/>
                    <w:textAlignment w:val="auto"/>
                    <w:rPr>
                      <w:rFonts w:hint="default"/>
                      <w:b w:val="0"/>
                      <w:bCs/>
                      <w:highlight w:val="none"/>
                      <w:lang w:val="en-US"/>
                    </w:rPr>
                  </w:pPr>
                  <w:r>
                    <w:rPr>
                      <w:rFonts w:hint="eastAsia" w:ascii="Times New Roman" w:hAnsi="Times New Roman" w:eastAsia="宋体" w:cs="宋体"/>
                      <w:b w:val="0"/>
                      <w:bCs/>
                      <w:kern w:val="2"/>
                      <w:sz w:val="21"/>
                      <w:szCs w:val="24"/>
                      <w:highlight w:val="none"/>
                      <w:lang w:val="en-US" w:eastAsia="zh-CN" w:bidi="ar"/>
                    </w:rPr>
                    <w:t>污染源</w:t>
                  </w:r>
                </w:p>
              </w:tc>
              <w:tc>
                <w:tcPr>
                  <w:tcW w:w="743" w:type="pct"/>
                  <w:tcBorders>
                    <w:tl2br w:val="nil"/>
                    <w:tr2bl w:val="nil"/>
                  </w:tcBorders>
                  <w:shd w:val="clear" w:color="auto" w:fill="auto"/>
                  <w:vAlign w:val="center"/>
                </w:tcPr>
                <w:p w14:paraId="75005AE9">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360" w:lineRule="atLeast"/>
                    <w:ind w:left="0" w:right="0"/>
                    <w:jc w:val="center"/>
                    <w:textAlignment w:val="auto"/>
                    <w:rPr>
                      <w:rFonts w:hint="default"/>
                      <w:b w:val="0"/>
                      <w:bCs/>
                      <w:highlight w:val="none"/>
                      <w:lang w:val="en-US"/>
                    </w:rPr>
                  </w:pPr>
                  <w:r>
                    <w:rPr>
                      <w:rFonts w:hint="eastAsia" w:ascii="Times New Roman" w:hAnsi="Times New Roman" w:eastAsia="宋体" w:cs="宋体"/>
                      <w:b w:val="0"/>
                      <w:bCs/>
                      <w:kern w:val="2"/>
                      <w:sz w:val="21"/>
                      <w:szCs w:val="24"/>
                      <w:highlight w:val="none"/>
                      <w:lang w:val="en-US" w:eastAsia="zh-CN" w:bidi="ar"/>
                    </w:rPr>
                    <w:t>非正常排放原因</w:t>
                  </w:r>
                </w:p>
              </w:tc>
              <w:tc>
                <w:tcPr>
                  <w:tcW w:w="438" w:type="pct"/>
                  <w:tcBorders>
                    <w:tl2br w:val="nil"/>
                    <w:tr2bl w:val="nil"/>
                  </w:tcBorders>
                  <w:shd w:val="clear" w:color="auto" w:fill="auto"/>
                  <w:vAlign w:val="center"/>
                </w:tcPr>
                <w:p w14:paraId="5C42DE13">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360" w:lineRule="atLeast"/>
                    <w:ind w:left="0" w:right="0"/>
                    <w:jc w:val="center"/>
                    <w:textAlignment w:val="auto"/>
                    <w:rPr>
                      <w:rFonts w:hint="default"/>
                      <w:b w:val="0"/>
                      <w:bCs/>
                      <w:highlight w:val="none"/>
                      <w:lang w:val="en-US"/>
                    </w:rPr>
                  </w:pPr>
                  <w:r>
                    <w:rPr>
                      <w:rFonts w:hint="eastAsia" w:ascii="Times New Roman" w:hAnsi="Times New Roman" w:eastAsia="宋体" w:cs="宋体"/>
                      <w:b w:val="0"/>
                      <w:bCs/>
                      <w:kern w:val="2"/>
                      <w:sz w:val="21"/>
                      <w:szCs w:val="24"/>
                      <w:highlight w:val="none"/>
                      <w:lang w:val="en-US" w:eastAsia="zh-CN" w:bidi="ar"/>
                    </w:rPr>
                    <w:t>污染物</w:t>
                  </w:r>
                </w:p>
              </w:tc>
              <w:tc>
                <w:tcPr>
                  <w:tcW w:w="678" w:type="pct"/>
                  <w:tcBorders>
                    <w:tl2br w:val="nil"/>
                    <w:tr2bl w:val="nil"/>
                  </w:tcBorders>
                  <w:shd w:val="clear" w:color="auto" w:fill="auto"/>
                  <w:vAlign w:val="center"/>
                </w:tcPr>
                <w:p w14:paraId="52EA4FD5">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360" w:lineRule="atLeast"/>
                    <w:ind w:left="0" w:right="0"/>
                    <w:jc w:val="center"/>
                    <w:textAlignment w:val="auto"/>
                    <w:rPr>
                      <w:rFonts w:hint="default"/>
                      <w:b w:val="0"/>
                      <w:bCs/>
                      <w:highlight w:val="none"/>
                      <w:lang w:val="en-US"/>
                    </w:rPr>
                  </w:pPr>
                  <w:r>
                    <w:rPr>
                      <w:rFonts w:hint="eastAsia" w:ascii="Times New Roman" w:hAnsi="Times New Roman" w:eastAsia="宋体" w:cs="宋体"/>
                      <w:b w:val="0"/>
                      <w:bCs/>
                      <w:kern w:val="2"/>
                      <w:sz w:val="21"/>
                      <w:szCs w:val="24"/>
                      <w:highlight w:val="none"/>
                      <w:lang w:val="en-US" w:eastAsia="zh-CN" w:bidi="ar"/>
                    </w:rPr>
                    <w:t>非正常排放浓度</w:t>
                  </w:r>
                </w:p>
                <w:p w14:paraId="61A19DF9">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360" w:lineRule="atLeast"/>
                    <w:ind w:left="0" w:right="0"/>
                    <w:jc w:val="center"/>
                    <w:textAlignment w:val="auto"/>
                    <w:rPr>
                      <w:rFonts w:hint="default"/>
                      <w:b w:val="0"/>
                      <w:bCs/>
                      <w:highlight w:val="none"/>
                      <w:lang w:val="en-US"/>
                    </w:rPr>
                  </w:pPr>
                  <w:r>
                    <w:rPr>
                      <w:rFonts w:hint="default" w:ascii="Times New Roman" w:hAnsi="Times New Roman" w:eastAsia="宋体" w:cs="Times New Roman"/>
                      <w:b w:val="0"/>
                      <w:bCs/>
                      <w:kern w:val="2"/>
                      <w:sz w:val="21"/>
                      <w:szCs w:val="24"/>
                      <w:highlight w:val="none"/>
                      <w:lang w:val="en-US" w:eastAsia="zh-CN" w:bidi="ar"/>
                    </w:rPr>
                    <w:t>(mg/m</w:t>
                  </w:r>
                  <w:r>
                    <w:rPr>
                      <w:rFonts w:hint="default" w:ascii="Times New Roman" w:hAnsi="Times New Roman" w:eastAsia="宋体" w:cs="Times New Roman"/>
                      <w:b w:val="0"/>
                      <w:bCs/>
                      <w:kern w:val="2"/>
                      <w:sz w:val="21"/>
                      <w:szCs w:val="24"/>
                      <w:highlight w:val="none"/>
                      <w:vertAlign w:val="superscript"/>
                      <w:lang w:val="en-US" w:eastAsia="zh-CN" w:bidi="ar"/>
                    </w:rPr>
                    <w:t>3</w:t>
                  </w:r>
                  <w:r>
                    <w:rPr>
                      <w:rFonts w:hint="default" w:ascii="Times New Roman" w:hAnsi="Times New Roman" w:eastAsia="宋体" w:cs="Times New Roman"/>
                      <w:b w:val="0"/>
                      <w:bCs/>
                      <w:kern w:val="2"/>
                      <w:sz w:val="21"/>
                      <w:szCs w:val="24"/>
                      <w:highlight w:val="none"/>
                      <w:lang w:val="en-US" w:eastAsia="zh-CN" w:bidi="ar"/>
                    </w:rPr>
                    <w:t>)</w:t>
                  </w:r>
                </w:p>
              </w:tc>
              <w:tc>
                <w:tcPr>
                  <w:tcW w:w="588" w:type="pct"/>
                  <w:tcBorders>
                    <w:tl2br w:val="nil"/>
                    <w:tr2bl w:val="nil"/>
                  </w:tcBorders>
                  <w:shd w:val="clear" w:color="auto" w:fill="auto"/>
                  <w:vAlign w:val="center"/>
                </w:tcPr>
                <w:p w14:paraId="30EF29BE">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360" w:lineRule="atLeast"/>
                    <w:ind w:left="0" w:right="0"/>
                    <w:jc w:val="center"/>
                    <w:textAlignment w:val="auto"/>
                    <w:rPr>
                      <w:rFonts w:hint="default"/>
                      <w:b w:val="0"/>
                      <w:bCs/>
                      <w:highlight w:val="none"/>
                      <w:lang w:val="en-US"/>
                    </w:rPr>
                  </w:pPr>
                  <w:r>
                    <w:rPr>
                      <w:rFonts w:hint="eastAsia" w:ascii="Times New Roman" w:hAnsi="Times New Roman" w:eastAsia="宋体" w:cs="宋体"/>
                      <w:b w:val="0"/>
                      <w:bCs/>
                      <w:kern w:val="2"/>
                      <w:sz w:val="21"/>
                      <w:szCs w:val="24"/>
                      <w:highlight w:val="none"/>
                      <w:lang w:val="en-US" w:eastAsia="zh-CN" w:bidi="ar"/>
                    </w:rPr>
                    <w:t>非正常排放速率</w:t>
                  </w:r>
                  <w:r>
                    <w:rPr>
                      <w:rFonts w:hint="default" w:ascii="Times New Roman" w:hAnsi="Times New Roman" w:eastAsia="宋体" w:cs="Times New Roman"/>
                      <w:b w:val="0"/>
                      <w:bCs/>
                      <w:kern w:val="2"/>
                      <w:sz w:val="21"/>
                      <w:szCs w:val="24"/>
                      <w:highlight w:val="none"/>
                      <w:lang w:val="en-US" w:eastAsia="zh-CN" w:bidi="ar"/>
                    </w:rPr>
                    <w:t>(kg/h)</w:t>
                  </w:r>
                </w:p>
              </w:tc>
              <w:tc>
                <w:tcPr>
                  <w:tcW w:w="450" w:type="pct"/>
                  <w:tcBorders>
                    <w:tl2br w:val="nil"/>
                    <w:tr2bl w:val="nil"/>
                  </w:tcBorders>
                  <w:shd w:val="clear" w:color="auto" w:fill="auto"/>
                  <w:vAlign w:val="center"/>
                </w:tcPr>
                <w:p w14:paraId="29B58AAB">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360" w:lineRule="atLeast"/>
                    <w:ind w:left="0" w:right="0"/>
                    <w:jc w:val="center"/>
                    <w:textAlignment w:val="auto"/>
                    <w:rPr>
                      <w:rFonts w:hint="default"/>
                      <w:b w:val="0"/>
                      <w:bCs/>
                      <w:highlight w:val="none"/>
                      <w:lang w:val="en-US"/>
                    </w:rPr>
                  </w:pPr>
                  <w:r>
                    <w:rPr>
                      <w:rFonts w:hint="eastAsia" w:ascii="Times New Roman" w:hAnsi="Times New Roman" w:eastAsia="宋体" w:cs="宋体"/>
                      <w:b w:val="0"/>
                      <w:bCs/>
                      <w:kern w:val="2"/>
                      <w:sz w:val="21"/>
                      <w:szCs w:val="24"/>
                      <w:highlight w:val="none"/>
                      <w:lang w:val="en-US" w:eastAsia="zh-CN" w:bidi="ar"/>
                    </w:rPr>
                    <w:t>单次持续时间</w:t>
                  </w:r>
                  <w:r>
                    <w:rPr>
                      <w:rFonts w:hint="default" w:ascii="Times New Roman" w:hAnsi="Times New Roman" w:eastAsia="宋体" w:cs="Times New Roman"/>
                      <w:b w:val="0"/>
                      <w:bCs/>
                      <w:kern w:val="2"/>
                      <w:sz w:val="21"/>
                      <w:szCs w:val="24"/>
                      <w:highlight w:val="none"/>
                      <w:lang w:val="en-US" w:eastAsia="zh-CN" w:bidi="ar"/>
                    </w:rPr>
                    <w:t>/h</w:t>
                  </w:r>
                </w:p>
              </w:tc>
              <w:tc>
                <w:tcPr>
                  <w:tcW w:w="548" w:type="pct"/>
                  <w:tcBorders>
                    <w:tl2br w:val="nil"/>
                    <w:tr2bl w:val="nil"/>
                  </w:tcBorders>
                  <w:shd w:val="clear" w:color="auto" w:fill="auto"/>
                  <w:vAlign w:val="center"/>
                </w:tcPr>
                <w:p w14:paraId="16042016">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360" w:lineRule="atLeast"/>
                    <w:ind w:left="0" w:right="0"/>
                    <w:jc w:val="center"/>
                    <w:textAlignment w:val="auto"/>
                    <w:rPr>
                      <w:rFonts w:hint="default"/>
                      <w:b w:val="0"/>
                      <w:bCs/>
                      <w:highlight w:val="none"/>
                      <w:lang w:val="en-US"/>
                    </w:rPr>
                  </w:pPr>
                  <w:r>
                    <w:rPr>
                      <w:rFonts w:hint="eastAsia" w:ascii="Times New Roman" w:hAnsi="Times New Roman" w:eastAsia="宋体" w:cs="宋体"/>
                      <w:b w:val="0"/>
                      <w:bCs/>
                      <w:kern w:val="2"/>
                      <w:sz w:val="21"/>
                      <w:szCs w:val="24"/>
                      <w:highlight w:val="none"/>
                      <w:lang w:val="en-US" w:eastAsia="zh-CN" w:bidi="ar"/>
                    </w:rPr>
                    <w:t>排放量</w:t>
                  </w:r>
                  <w:r>
                    <w:rPr>
                      <w:rFonts w:hint="default" w:ascii="Times New Roman" w:hAnsi="Times New Roman" w:eastAsia="宋体" w:cs="Times New Roman"/>
                      <w:b w:val="0"/>
                      <w:bCs/>
                      <w:kern w:val="2"/>
                      <w:sz w:val="21"/>
                      <w:szCs w:val="24"/>
                      <w:highlight w:val="none"/>
                      <w:lang w:val="en-US" w:eastAsia="zh-CN" w:bidi="ar"/>
                    </w:rPr>
                    <w:t>(kg)</w:t>
                  </w:r>
                </w:p>
              </w:tc>
              <w:tc>
                <w:tcPr>
                  <w:tcW w:w="434" w:type="pct"/>
                  <w:tcBorders>
                    <w:tl2br w:val="nil"/>
                    <w:tr2bl w:val="nil"/>
                  </w:tcBorders>
                  <w:shd w:val="clear" w:color="auto" w:fill="auto"/>
                  <w:vAlign w:val="center"/>
                </w:tcPr>
                <w:p w14:paraId="580F10CC">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360" w:lineRule="atLeast"/>
                    <w:ind w:left="0" w:right="0"/>
                    <w:jc w:val="center"/>
                    <w:textAlignment w:val="auto"/>
                    <w:rPr>
                      <w:rFonts w:hint="default"/>
                      <w:b w:val="0"/>
                      <w:bCs/>
                      <w:highlight w:val="none"/>
                      <w:lang w:val="en-US"/>
                    </w:rPr>
                  </w:pPr>
                  <w:r>
                    <w:rPr>
                      <w:rFonts w:hint="eastAsia" w:ascii="Times New Roman" w:hAnsi="Times New Roman" w:eastAsia="宋体" w:cs="宋体"/>
                      <w:b w:val="0"/>
                      <w:bCs/>
                      <w:kern w:val="2"/>
                      <w:sz w:val="21"/>
                      <w:szCs w:val="24"/>
                      <w:highlight w:val="none"/>
                      <w:lang w:val="en-US" w:eastAsia="zh-CN" w:bidi="ar"/>
                    </w:rPr>
                    <w:t>年发生频次</w:t>
                  </w:r>
                </w:p>
              </w:tc>
              <w:tc>
                <w:tcPr>
                  <w:tcW w:w="464" w:type="pct"/>
                  <w:tcBorders>
                    <w:tl2br w:val="nil"/>
                    <w:tr2bl w:val="nil"/>
                  </w:tcBorders>
                  <w:shd w:val="clear" w:color="auto" w:fill="auto"/>
                  <w:vAlign w:val="center"/>
                </w:tcPr>
                <w:p w14:paraId="2A25E086">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360" w:lineRule="atLeast"/>
                    <w:ind w:left="0" w:right="0"/>
                    <w:jc w:val="center"/>
                    <w:textAlignment w:val="auto"/>
                    <w:rPr>
                      <w:rFonts w:hint="default"/>
                      <w:b w:val="0"/>
                      <w:bCs/>
                      <w:highlight w:val="none"/>
                      <w:lang w:val="en-US"/>
                    </w:rPr>
                  </w:pPr>
                  <w:r>
                    <w:rPr>
                      <w:rFonts w:hint="eastAsia" w:ascii="Times New Roman" w:hAnsi="Times New Roman" w:eastAsia="宋体" w:cs="宋体"/>
                      <w:b w:val="0"/>
                      <w:bCs/>
                      <w:kern w:val="2"/>
                      <w:sz w:val="21"/>
                      <w:szCs w:val="24"/>
                      <w:highlight w:val="none"/>
                      <w:lang w:val="en-US" w:eastAsia="zh-CN" w:bidi="ar"/>
                    </w:rPr>
                    <w:t>应对措施</w:t>
                  </w:r>
                </w:p>
              </w:tc>
            </w:tr>
            <w:tr w14:paraId="1E971E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53" w:type="pct"/>
                  <w:tcBorders>
                    <w:tl2br w:val="nil"/>
                    <w:tr2bl w:val="nil"/>
                  </w:tcBorders>
                  <w:shd w:val="clear" w:color="auto" w:fill="auto"/>
                  <w:vAlign w:val="center"/>
                </w:tcPr>
                <w:p w14:paraId="679A46E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tLeast"/>
                    <w:ind w:left="0" w:right="0"/>
                    <w:jc w:val="center"/>
                    <w:textAlignment w:val="auto"/>
                    <w:rPr>
                      <w:rFonts w:hint="default"/>
                      <w:b w:val="0"/>
                      <w:bCs/>
                      <w:highlight w:val="none"/>
                      <w:lang w:val="en-US"/>
                    </w:rPr>
                  </w:pPr>
                  <w:r>
                    <w:rPr>
                      <w:rFonts w:hint="eastAsia"/>
                      <w:b w:val="0"/>
                      <w:bCs/>
                      <w:spacing w:val="-10"/>
                      <w:sz w:val="21"/>
                      <w:szCs w:val="21"/>
                      <w:highlight w:val="none"/>
                      <w:lang w:val="en-US" w:eastAsia="zh-CN"/>
                    </w:rPr>
                    <w:t>挤出拉丝、覆膜</w:t>
                  </w:r>
                </w:p>
              </w:tc>
              <w:tc>
                <w:tcPr>
                  <w:tcW w:w="743" w:type="pct"/>
                  <w:tcBorders>
                    <w:tl2br w:val="nil"/>
                    <w:tr2bl w:val="nil"/>
                  </w:tcBorders>
                  <w:shd w:val="clear" w:color="auto" w:fill="auto"/>
                  <w:vAlign w:val="center"/>
                </w:tcPr>
                <w:p w14:paraId="6B67BA59">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360" w:lineRule="atLeast"/>
                    <w:ind w:left="0" w:right="0"/>
                    <w:jc w:val="center"/>
                    <w:textAlignment w:val="auto"/>
                    <w:rPr>
                      <w:rFonts w:hint="default"/>
                      <w:b w:val="0"/>
                      <w:bCs/>
                      <w:highlight w:val="none"/>
                    </w:rPr>
                  </w:pPr>
                  <w:r>
                    <w:rPr>
                      <w:rFonts w:hint="eastAsia" w:ascii="Times New Roman" w:hAnsi="Times New Roman" w:eastAsia="宋体" w:cs="宋体"/>
                      <w:b w:val="0"/>
                      <w:bCs/>
                      <w:kern w:val="2"/>
                      <w:sz w:val="21"/>
                      <w:szCs w:val="24"/>
                      <w:highlight w:val="none"/>
                      <w:lang w:val="en-US" w:eastAsia="zh-CN" w:bidi="ar"/>
                    </w:rPr>
                    <w:t>活性炭吸附浓缩+催化燃烧装置故障</w:t>
                  </w:r>
                </w:p>
              </w:tc>
              <w:tc>
                <w:tcPr>
                  <w:tcW w:w="438" w:type="pct"/>
                  <w:tcBorders>
                    <w:tl2br w:val="nil"/>
                    <w:tr2bl w:val="nil"/>
                  </w:tcBorders>
                  <w:shd w:val="clear" w:color="auto" w:fill="auto"/>
                  <w:vAlign w:val="center"/>
                </w:tcPr>
                <w:p w14:paraId="254F2C7F">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360" w:lineRule="atLeast"/>
                    <w:ind w:left="0" w:right="0"/>
                    <w:jc w:val="center"/>
                    <w:textAlignment w:val="auto"/>
                    <w:rPr>
                      <w:rFonts w:hint="default" w:eastAsia="宋体"/>
                      <w:b w:val="0"/>
                      <w:bCs/>
                      <w:highlight w:val="none"/>
                      <w:lang w:val="en-US" w:eastAsia="zh-CN"/>
                    </w:rPr>
                  </w:pPr>
                  <w:r>
                    <w:rPr>
                      <w:rFonts w:hint="eastAsia"/>
                      <w:b w:val="0"/>
                      <w:bCs/>
                      <w:highlight w:val="none"/>
                      <w:lang w:val="en-US" w:eastAsia="zh-CN"/>
                    </w:rPr>
                    <w:t>非甲烷总烃</w:t>
                  </w:r>
                </w:p>
              </w:tc>
              <w:tc>
                <w:tcPr>
                  <w:tcW w:w="678" w:type="pct"/>
                  <w:tcBorders>
                    <w:tl2br w:val="nil"/>
                    <w:tr2bl w:val="nil"/>
                  </w:tcBorders>
                  <w:shd w:val="clear" w:color="auto" w:fill="auto"/>
                  <w:vAlign w:val="center"/>
                </w:tcPr>
                <w:p w14:paraId="43E0D831">
                  <w:pPr>
                    <w:keepNext w:val="0"/>
                    <w:keepLines w:val="0"/>
                    <w:pageBreakBefore w:val="0"/>
                    <w:widowControl/>
                    <w:suppressLineNumbers w:val="0"/>
                    <w:kinsoku/>
                    <w:wordWrap/>
                    <w:overflowPunct/>
                    <w:topLinePunct w:val="0"/>
                    <w:autoSpaceDE/>
                    <w:autoSpaceDN/>
                    <w:bidi w:val="0"/>
                    <w:spacing w:before="0" w:beforeAutospacing="0" w:after="0" w:afterAutospacing="0" w:line="360" w:lineRule="atLeast"/>
                    <w:ind w:left="0" w:right="0"/>
                    <w:jc w:val="center"/>
                    <w:textAlignment w:val="auto"/>
                    <w:rPr>
                      <w:rFonts w:hint="default" w:eastAsia="宋体"/>
                      <w:b w:val="0"/>
                      <w:bCs/>
                      <w:kern w:val="0"/>
                      <w:szCs w:val="21"/>
                      <w:highlight w:val="none"/>
                      <w:lang w:val="en-US" w:eastAsia="zh-CN"/>
                    </w:rPr>
                  </w:pPr>
                  <w:r>
                    <w:rPr>
                      <w:rFonts w:hint="eastAsia"/>
                      <w:b w:val="0"/>
                      <w:bCs/>
                      <w:kern w:val="0"/>
                      <w:szCs w:val="21"/>
                      <w:highlight w:val="none"/>
                      <w:lang w:val="en-US" w:eastAsia="zh-CN"/>
                    </w:rPr>
                    <w:t>47.5</w:t>
                  </w:r>
                </w:p>
              </w:tc>
              <w:tc>
                <w:tcPr>
                  <w:tcW w:w="588" w:type="pct"/>
                  <w:tcBorders>
                    <w:tl2br w:val="nil"/>
                    <w:tr2bl w:val="nil"/>
                  </w:tcBorders>
                  <w:shd w:val="clear" w:color="auto" w:fill="auto"/>
                  <w:vAlign w:val="center"/>
                </w:tcPr>
                <w:p w14:paraId="00C613AC">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360" w:lineRule="atLeast"/>
                    <w:ind w:left="0" w:right="0"/>
                    <w:jc w:val="center"/>
                    <w:textAlignment w:val="auto"/>
                    <w:rPr>
                      <w:rFonts w:hint="default" w:eastAsia="宋体"/>
                      <w:b w:val="0"/>
                      <w:bCs/>
                      <w:highlight w:val="none"/>
                      <w:lang w:val="en-US" w:eastAsia="zh-CN"/>
                    </w:rPr>
                  </w:pPr>
                  <w:r>
                    <w:rPr>
                      <w:rFonts w:hint="eastAsia"/>
                      <w:b w:val="0"/>
                      <w:bCs/>
                      <w:highlight w:val="none"/>
                      <w:lang w:val="en-US" w:eastAsia="zh-CN"/>
                    </w:rPr>
                    <w:t>0.665</w:t>
                  </w:r>
                </w:p>
              </w:tc>
              <w:tc>
                <w:tcPr>
                  <w:tcW w:w="450" w:type="pct"/>
                  <w:tcBorders>
                    <w:tl2br w:val="nil"/>
                    <w:tr2bl w:val="nil"/>
                  </w:tcBorders>
                  <w:shd w:val="clear" w:color="auto" w:fill="auto"/>
                  <w:vAlign w:val="center"/>
                </w:tcPr>
                <w:p w14:paraId="585532F2">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360" w:lineRule="atLeast"/>
                    <w:ind w:left="0" w:right="0"/>
                    <w:jc w:val="center"/>
                    <w:textAlignment w:val="auto"/>
                    <w:rPr>
                      <w:rFonts w:hint="default"/>
                      <w:b w:val="0"/>
                      <w:bCs/>
                      <w:highlight w:val="none"/>
                    </w:rPr>
                  </w:pPr>
                  <w:r>
                    <w:rPr>
                      <w:rFonts w:hint="eastAsia" w:ascii="Times New Roman" w:hAnsi="Times New Roman" w:eastAsia="宋体" w:cs="Times New Roman"/>
                      <w:b w:val="0"/>
                      <w:bCs/>
                      <w:kern w:val="2"/>
                      <w:sz w:val="21"/>
                      <w:szCs w:val="24"/>
                      <w:highlight w:val="none"/>
                      <w:lang w:val="en-US" w:eastAsia="zh-CN" w:bidi="ar"/>
                    </w:rPr>
                    <w:t>1</w:t>
                  </w:r>
                </w:p>
              </w:tc>
              <w:tc>
                <w:tcPr>
                  <w:tcW w:w="548" w:type="pct"/>
                  <w:tcBorders>
                    <w:tl2br w:val="nil"/>
                    <w:tr2bl w:val="nil"/>
                  </w:tcBorders>
                  <w:shd w:val="clear" w:color="auto" w:fill="auto"/>
                  <w:vAlign w:val="center"/>
                </w:tcPr>
                <w:p w14:paraId="4EAA7854">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360" w:lineRule="atLeast"/>
                    <w:ind w:left="0" w:right="0"/>
                    <w:jc w:val="center"/>
                    <w:textAlignment w:val="auto"/>
                    <w:rPr>
                      <w:rFonts w:hint="default" w:eastAsia="宋体"/>
                      <w:b w:val="0"/>
                      <w:bCs/>
                      <w:highlight w:val="none"/>
                      <w:lang w:val="en-US" w:eastAsia="zh-CN"/>
                    </w:rPr>
                  </w:pPr>
                  <w:r>
                    <w:rPr>
                      <w:rFonts w:hint="eastAsia"/>
                      <w:b w:val="0"/>
                      <w:bCs/>
                      <w:highlight w:val="none"/>
                      <w:lang w:val="en-US" w:eastAsia="zh-CN"/>
                    </w:rPr>
                    <w:t>0.665</w:t>
                  </w:r>
                </w:p>
              </w:tc>
              <w:tc>
                <w:tcPr>
                  <w:tcW w:w="434" w:type="pct"/>
                  <w:tcBorders>
                    <w:tl2br w:val="nil"/>
                    <w:tr2bl w:val="nil"/>
                  </w:tcBorders>
                  <w:shd w:val="clear" w:color="auto" w:fill="auto"/>
                  <w:vAlign w:val="center"/>
                </w:tcPr>
                <w:p w14:paraId="18E2DC23">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360" w:lineRule="atLeast"/>
                    <w:ind w:left="0" w:right="0"/>
                    <w:jc w:val="center"/>
                    <w:textAlignment w:val="auto"/>
                    <w:rPr>
                      <w:rFonts w:hint="default"/>
                      <w:b w:val="0"/>
                      <w:bCs/>
                      <w:highlight w:val="none"/>
                    </w:rPr>
                  </w:pPr>
                  <w:r>
                    <w:rPr>
                      <w:rFonts w:hint="default" w:ascii="Times New Roman" w:hAnsi="Times New Roman" w:eastAsia="宋体" w:cs="Times New Roman"/>
                      <w:b w:val="0"/>
                      <w:bCs/>
                      <w:kern w:val="2"/>
                      <w:sz w:val="21"/>
                      <w:szCs w:val="24"/>
                      <w:highlight w:val="none"/>
                      <w:lang w:val="en-US" w:eastAsia="zh-CN" w:bidi="ar"/>
                    </w:rPr>
                    <w:t>1</w:t>
                  </w:r>
                  <w:r>
                    <w:rPr>
                      <w:rFonts w:hint="eastAsia" w:ascii="Times New Roman" w:hAnsi="Times New Roman" w:eastAsia="宋体" w:cs="宋体"/>
                      <w:b w:val="0"/>
                      <w:bCs/>
                      <w:kern w:val="2"/>
                      <w:sz w:val="21"/>
                      <w:szCs w:val="24"/>
                      <w:highlight w:val="none"/>
                      <w:lang w:val="en-US" w:eastAsia="zh-CN" w:bidi="ar"/>
                    </w:rPr>
                    <w:t>次</w:t>
                  </w:r>
                  <w:r>
                    <w:rPr>
                      <w:rFonts w:hint="default" w:ascii="Times New Roman" w:hAnsi="Times New Roman" w:eastAsia="宋体" w:cs="Times New Roman"/>
                      <w:b w:val="0"/>
                      <w:bCs/>
                      <w:kern w:val="2"/>
                      <w:sz w:val="21"/>
                      <w:szCs w:val="24"/>
                      <w:highlight w:val="none"/>
                      <w:lang w:val="en-US" w:eastAsia="zh-CN" w:bidi="ar"/>
                    </w:rPr>
                    <w:t>/</w:t>
                  </w:r>
                  <w:r>
                    <w:rPr>
                      <w:rFonts w:hint="eastAsia" w:ascii="Times New Roman" w:hAnsi="Times New Roman" w:eastAsia="宋体" w:cs="宋体"/>
                      <w:b w:val="0"/>
                      <w:bCs/>
                      <w:kern w:val="2"/>
                      <w:sz w:val="21"/>
                      <w:szCs w:val="24"/>
                      <w:highlight w:val="none"/>
                      <w:lang w:val="en-US" w:eastAsia="zh-CN" w:bidi="ar"/>
                    </w:rPr>
                    <w:t>年</w:t>
                  </w:r>
                </w:p>
              </w:tc>
              <w:tc>
                <w:tcPr>
                  <w:tcW w:w="464" w:type="pct"/>
                  <w:tcBorders>
                    <w:tl2br w:val="nil"/>
                    <w:tr2bl w:val="nil"/>
                  </w:tcBorders>
                  <w:shd w:val="clear" w:color="auto" w:fill="auto"/>
                  <w:vAlign w:val="center"/>
                </w:tcPr>
                <w:p w14:paraId="5EFCE4B5">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360" w:lineRule="atLeast"/>
                    <w:ind w:left="0" w:right="0"/>
                    <w:jc w:val="center"/>
                    <w:textAlignment w:val="auto"/>
                    <w:rPr>
                      <w:rFonts w:hint="default"/>
                      <w:b w:val="0"/>
                      <w:bCs/>
                      <w:highlight w:val="none"/>
                    </w:rPr>
                  </w:pPr>
                  <w:r>
                    <w:rPr>
                      <w:rFonts w:hint="eastAsia" w:ascii="Times New Roman" w:hAnsi="Times New Roman" w:eastAsia="宋体" w:cs="宋体"/>
                      <w:b w:val="0"/>
                      <w:bCs/>
                      <w:kern w:val="2"/>
                      <w:sz w:val="21"/>
                      <w:szCs w:val="24"/>
                      <w:highlight w:val="none"/>
                      <w:lang w:val="en-US" w:eastAsia="zh-CN" w:bidi="ar"/>
                    </w:rPr>
                    <w:t>停产，及时检修</w:t>
                  </w:r>
                </w:p>
              </w:tc>
            </w:tr>
          </w:tbl>
          <w:p w14:paraId="22D14313">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20" w:lineRule="exact"/>
              <w:ind w:left="0" w:right="0" w:firstLine="0" w:firstLineChars="0"/>
              <w:jc w:val="left"/>
              <w:textAlignment w:val="auto"/>
              <w:rPr>
                <w:rFonts w:hint="default"/>
                <w:b/>
                <w:bCs/>
                <w:color w:val="000000" w:themeColor="text1"/>
                <w:sz w:val="24"/>
                <w:szCs w:val="24"/>
                <w:lang w:val="en-US" w:eastAsia="zh-CN"/>
                <w14:textFill>
                  <w14:solidFill>
                    <w14:schemeClr w14:val="tx1"/>
                  </w14:solidFill>
                </w14:textFill>
              </w:rPr>
            </w:pPr>
            <w:r>
              <w:rPr>
                <w:rFonts w:hint="eastAsia"/>
                <w:b/>
                <w:bCs/>
                <w:color w:val="000000" w:themeColor="text1"/>
                <w:sz w:val="24"/>
                <w:szCs w:val="24"/>
                <w:lang w:val="en-US" w:eastAsia="zh-CN"/>
                <w14:textFill>
                  <w14:solidFill>
                    <w14:schemeClr w14:val="tx1"/>
                  </w14:solidFill>
                </w14:textFill>
              </w:rPr>
              <w:t>三</w:t>
            </w:r>
            <w:r>
              <w:rPr>
                <w:rFonts w:hint="default"/>
                <w:b/>
                <w:bCs/>
                <w:color w:val="000000" w:themeColor="text1"/>
                <w:sz w:val="24"/>
                <w:szCs w:val="24"/>
                <w:lang w:val="en-US" w:eastAsia="zh-CN"/>
                <w14:textFill>
                  <w14:solidFill>
                    <w14:schemeClr w14:val="tx1"/>
                  </w14:solidFill>
                </w14:textFill>
              </w:rPr>
              <w:t>、噪声</w:t>
            </w:r>
          </w:p>
          <w:p w14:paraId="015369FE">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520" w:lineRule="exact"/>
              <w:ind w:left="0" w:right="0" w:firstLine="480" w:firstLineChars="200"/>
              <w:jc w:val="left"/>
              <w:textAlignment w:val="auto"/>
              <w:rPr>
                <w:rFonts w:hint="default"/>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w:t>
            </w:r>
            <w:r>
              <w:rPr>
                <w:rFonts w:hint="default"/>
                <w:color w:val="000000" w:themeColor="text1"/>
                <w:sz w:val="24"/>
                <w:szCs w:val="24"/>
                <w:lang w:val="en-US" w:eastAsia="zh-CN"/>
                <w14:textFill>
                  <w14:solidFill>
                    <w14:schemeClr w14:val="tx1"/>
                  </w14:solidFill>
                </w14:textFill>
              </w:rPr>
              <w:t>噪声源强及排放强度</w:t>
            </w:r>
          </w:p>
          <w:p w14:paraId="4A7B4889">
            <w:pPr>
              <w:keepNext w:val="0"/>
              <w:keepLines w:val="0"/>
              <w:pageBreakBefore w:val="0"/>
              <w:suppressLineNumbers w:val="0"/>
              <w:kinsoku/>
              <w:wordWrap/>
              <w:overflowPunct/>
              <w:topLinePunct w:val="0"/>
              <w:autoSpaceDE/>
              <w:autoSpaceDN/>
              <w:bidi w:val="0"/>
              <w:adjustRightInd w:val="0"/>
              <w:snapToGrid/>
              <w:spacing w:before="0" w:beforeAutospacing="0" w:after="0" w:afterAutospacing="0" w:line="520" w:lineRule="exact"/>
              <w:ind w:left="0" w:leftChars="0" w:right="0" w:firstLine="480" w:firstLineChars="200"/>
              <w:textAlignment w:val="auto"/>
              <w:rPr>
                <w:rFonts w:hint="eastAsia"/>
                <w:color w:val="auto"/>
                <w:sz w:val="24"/>
                <w:lang w:val="en-US"/>
              </w:rPr>
            </w:pPr>
            <w:r>
              <w:rPr>
                <w:rFonts w:hint="default"/>
                <w:color w:val="000000" w:themeColor="text1"/>
                <w:sz w:val="24"/>
                <w:szCs w:val="24"/>
                <w14:textFill>
                  <w14:solidFill>
                    <w14:schemeClr w14:val="tx1"/>
                  </w14:solidFill>
                </w14:textFill>
              </w:rPr>
              <w:t>本</w:t>
            </w:r>
            <w:r>
              <w:rPr>
                <w:rFonts w:hint="eastAsia"/>
                <w:color w:val="000000" w:themeColor="text1"/>
                <w:sz w:val="24"/>
                <w:szCs w:val="24"/>
                <w:lang w:val="en-US" w:eastAsia="zh-CN"/>
                <w14:textFill>
                  <w14:solidFill>
                    <w14:schemeClr w14:val="tx1"/>
                  </w14:solidFill>
                </w14:textFill>
              </w:rPr>
              <w:t>项目</w:t>
            </w:r>
            <w:r>
              <w:rPr>
                <w:rFonts w:hint="default"/>
                <w:color w:val="000000" w:themeColor="text1"/>
                <w:sz w:val="24"/>
                <w:szCs w:val="24"/>
                <w14:textFill>
                  <w14:solidFill>
                    <w14:schemeClr w14:val="tx1"/>
                  </w14:solidFill>
                </w14:textFill>
              </w:rPr>
              <w:t>噪声主要</w:t>
            </w:r>
            <w:r>
              <w:rPr>
                <w:rFonts w:hint="eastAsia"/>
                <w:color w:val="000000" w:themeColor="text1"/>
                <w:sz w:val="24"/>
                <w:szCs w:val="24"/>
                <w:lang w:val="en-US" w:eastAsia="zh-CN"/>
                <w14:textFill>
                  <w14:solidFill>
                    <w14:schemeClr w14:val="tx1"/>
                  </w14:solidFill>
                </w14:textFill>
              </w:rPr>
              <w:t>为</w:t>
            </w:r>
            <w:r>
              <w:rPr>
                <w:rFonts w:hint="eastAsia"/>
                <w:color w:val="auto"/>
                <w:sz w:val="24"/>
              </w:rPr>
              <w:t>生产设备及废气污染治理设施风机等</w:t>
            </w:r>
            <w:r>
              <w:rPr>
                <w:rFonts w:hint="eastAsia"/>
                <w:color w:val="auto"/>
                <w:sz w:val="24"/>
                <w:lang w:val="en-US" w:eastAsia="zh-CN"/>
              </w:rPr>
              <w:t>运行噪声</w:t>
            </w:r>
            <w:r>
              <w:rPr>
                <w:rFonts w:hint="eastAsia"/>
                <w:color w:val="auto"/>
                <w:sz w:val="24"/>
              </w:rPr>
              <w:t>，源强在</w:t>
            </w:r>
            <w:r>
              <w:rPr>
                <w:rFonts w:hint="eastAsia"/>
                <w:color w:val="auto"/>
                <w:sz w:val="24"/>
                <w:lang w:val="en-US" w:eastAsia="zh-CN"/>
              </w:rPr>
              <w:t>65～85</w:t>
            </w:r>
            <w:r>
              <w:rPr>
                <w:rFonts w:hint="default"/>
                <w:color w:val="auto"/>
                <w:sz w:val="24"/>
              </w:rPr>
              <w:t>dB(A)</w:t>
            </w:r>
            <w:r>
              <w:rPr>
                <w:rFonts w:hint="eastAsia"/>
                <w:color w:val="auto"/>
                <w:sz w:val="24"/>
              </w:rPr>
              <w:t>。</w:t>
            </w:r>
            <w:r>
              <w:rPr>
                <w:rFonts w:hint="eastAsia"/>
                <w:color w:val="auto"/>
                <w:sz w:val="24"/>
                <w:lang w:val="en-US" w:eastAsia="zh-CN"/>
              </w:rPr>
              <w:t>企业选用低噪声设备，合理布置噪声源位置，设备全部安装在车间内，设置基础减振措施，环保治理设施风机安装消声器，采用基础减振、厂房隔声等降噪措施。项目设备噪声值见表4-8。</w:t>
            </w:r>
          </w:p>
          <w:p w14:paraId="0AEC59D7">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520" w:lineRule="exact"/>
              <w:ind w:left="0" w:right="0"/>
              <w:jc w:val="center"/>
              <w:textAlignment w:val="auto"/>
              <w:rPr>
                <w:rFonts w:hint="default" w:eastAsia="黑体" w:cs="Times New Roman"/>
                <w:b w:val="0"/>
                <w:bCs w:val="0"/>
                <w:color w:val="000000" w:themeColor="text1"/>
                <w:sz w:val="24"/>
                <w:szCs w:val="24"/>
                <w:highlight w:val="none"/>
                <w:lang w:val="en-US" w:eastAsia="zh-CN"/>
                <w14:textFill>
                  <w14:solidFill>
                    <w14:schemeClr w14:val="tx1"/>
                  </w14:solidFill>
                </w14:textFill>
              </w:rPr>
            </w:pPr>
            <w:r>
              <w:rPr>
                <w:rFonts w:hint="default" w:eastAsia="黑体" w:cs="Times New Roman"/>
                <w:b w:val="0"/>
                <w:bCs w:val="0"/>
                <w:color w:val="000000" w:themeColor="text1"/>
                <w:sz w:val="24"/>
                <w:szCs w:val="24"/>
                <w:highlight w:val="none"/>
                <w:lang w:val="en-US" w:eastAsia="zh-CN"/>
                <w14:textFill>
                  <w14:solidFill>
                    <w14:schemeClr w14:val="tx1"/>
                  </w14:solidFill>
                </w14:textFill>
              </w:rPr>
              <w:t>表</w:t>
            </w:r>
            <w:r>
              <w:rPr>
                <w:rFonts w:hint="eastAsia" w:eastAsia="黑体" w:cs="Times New Roman"/>
                <w:b w:val="0"/>
                <w:bCs w:val="0"/>
                <w:color w:val="000000" w:themeColor="text1"/>
                <w:sz w:val="24"/>
                <w:szCs w:val="24"/>
                <w:highlight w:val="none"/>
                <w:lang w:val="en-US" w:eastAsia="zh-CN"/>
                <w14:textFill>
                  <w14:solidFill>
                    <w14:schemeClr w14:val="tx1"/>
                  </w14:solidFill>
                </w14:textFill>
              </w:rPr>
              <w:t>4-8  主要噪声设备</w:t>
            </w:r>
            <w:r>
              <w:rPr>
                <w:rFonts w:hint="default" w:eastAsia="黑体" w:cs="Times New Roman"/>
                <w:b w:val="0"/>
                <w:bCs w:val="0"/>
                <w:color w:val="000000" w:themeColor="text1"/>
                <w:sz w:val="24"/>
                <w:szCs w:val="24"/>
                <w:highlight w:val="none"/>
                <w:lang w:val="en-US" w:eastAsia="zh-CN"/>
                <w14:textFill>
                  <w14:solidFill>
                    <w14:schemeClr w14:val="tx1"/>
                  </w14:solidFill>
                </w14:textFill>
              </w:rPr>
              <w:t>一览表dB(A)</w:t>
            </w:r>
          </w:p>
          <w:tbl>
            <w:tblPr>
              <w:tblStyle w:val="25"/>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58"/>
              <w:gridCol w:w="1118"/>
              <w:gridCol w:w="1724"/>
              <w:gridCol w:w="1136"/>
              <w:gridCol w:w="870"/>
              <w:gridCol w:w="1106"/>
              <w:gridCol w:w="1477"/>
            </w:tblGrid>
            <w:tr w14:paraId="39D0E1A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63" w:type="pct"/>
                  <w:tcBorders>
                    <w:tl2br w:val="nil"/>
                    <w:tr2bl w:val="nil"/>
                  </w:tcBorders>
                  <w:noWrap w:val="0"/>
                  <w:vAlign w:val="center"/>
                </w:tcPr>
                <w:p w14:paraId="30AFB6D3">
                  <w:pPr>
                    <w:keepNext w:val="0"/>
                    <w:keepLines w:val="0"/>
                    <w:pageBreakBefore w:val="0"/>
                    <w:suppressLineNumbers w:val="0"/>
                    <w:kinsoku/>
                    <w:wordWrap/>
                    <w:overflowPunct/>
                    <w:topLinePunct w:val="0"/>
                    <w:bidi w:val="0"/>
                    <w:adjustRightInd w:val="0"/>
                    <w:snapToGrid w:val="0"/>
                    <w:spacing w:before="0" w:beforeAutospacing="0" w:after="0" w:afterAutospacing="0" w:line="360" w:lineRule="exact"/>
                    <w:ind w:left="0" w:right="0"/>
                    <w:jc w:val="center"/>
                    <w:textAlignment w:val="auto"/>
                    <w:rPr>
                      <w:rFonts w:hint="default"/>
                      <w:b w:val="0"/>
                      <w:bCs/>
                      <w:color w:val="auto"/>
                      <w:szCs w:val="21"/>
                    </w:rPr>
                  </w:pPr>
                  <w:r>
                    <w:rPr>
                      <w:rFonts w:hint="eastAsia"/>
                      <w:b w:val="0"/>
                      <w:bCs/>
                      <w:color w:val="auto"/>
                    </w:rPr>
                    <w:t>类别</w:t>
                  </w:r>
                </w:p>
              </w:tc>
              <w:tc>
                <w:tcPr>
                  <w:tcW w:w="682" w:type="pct"/>
                  <w:tcBorders>
                    <w:tl2br w:val="nil"/>
                    <w:tr2bl w:val="nil"/>
                  </w:tcBorders>
                  <w:noWrap w:val="0"/>
                  <w:vAlign w:val="center"/>
                </w:tcPr>
                <w:p w14:paraId="269C4F0F">
                  <w:pPr>
                    <w:keepNext w:val="0"/>
                    <w:keepLines w:val="0"/>
                    <w:pageBreakBefore w:val="0"/>
                    <w:suppressLineNumbers w:val="0"/>
                    <w:kinsoku/>
                    <w:wordWrap/>
                    <w:overflowPunct/>
                    <w:topLinePunct w:val="0"/>
                    <w:bidi w:val="0"/>
                    <w:adjustRightInd w:val="0"/>
                    <w:snapToGrid w:val="0"/>
                    <w:spacing w:before="0" w:beforeAutospacing="0" w:after="0" w:afterAutospacing="0" w:line="360" w:lineRule="exact"/>
                    <w:ind w:left="0" w:right="0"/>
                    <w:jc w:val="center"/>
                    <w:textAlignment w:val="auto"/>
                    <w:rPr>
                      <w:rFonts w:hint="eastAsia" w:eastAsia="宋体"/>
                      <w:b w:val="0"/>
                      <w:bCs/>
                      <w:color w:val="auto"/>
                      <w:lang w:val="en-US" w:eastAsia="zh-CN"/>
                    </w:rPr>
                  </w:pPr>
                  <w:r>
                    <w:rPr>
                      <w:rFonts w:hint="eastAsia"/>
                      <w:b w:val="0"/>
                      <w:bCs/>
                      <w:color w:val="auto"/>
                      <w:lang w:val="en-US" w:eastAsia="zh-CN"/>
                    </w:rPr>
                    <w:t>类别</w:t>
                  </w:r>
                </w:p>
              </w:tc>
              <w:tc>
                <w:tcPr>
                  <w:tcW w:w="1052" w:type="pct"/>
                  <w:tcBorders>
                    <w:tl2br w:val="nil"/>
                    <w:tr2bl w:val="nil"/>
                  </w:tcBorders>
                  <w:noWrap w:val="0"/>
                  <w:vAlign w:val="center"/>
                </w:tcPr>
                <w:p w14:paraId="2D935D88">
                  <w:pPr>
                    <w:keepNext w:val="0"/>
                    <w:keepLines w:val="0"/>
                    <w:pageBreakBefore w:val="0"/>
                    <w:suppressLineNumbers w:val="0"/>
                    <w:kinsoku/>
                    <w:wordWrap/>
                    <w:overflowPunct/>
                    <w:topLinePunct w:val="0"/>
                    <w:bidi w:val="0"/>
                    <w:adjustRightInd w:val="0"/>
                    <w:snapToGrid w:val="0"/>
                    <w:spacing w:before="0" w:beforeAutospacing="0" w:after="0" w:afterAutospacing="0" w:line="360" w:lineRule="exact"/>
                    <w:ind w:left="0" w:right="0"/>
                    <w:jc w:val="center"/>
                    <w:textAlignment w:val="auto"/>
                    <w:rPr>
                      <w:rFonts w:hint="default"/>
                      <w:b w:val="0"/>
                      <w:bCs/>
                      <w:color w:val="auto"/>
                      <w:szCs w:val="21"/>
                    </w:rPr>
                  </w:pPr>
                  <w:r>
                    <w:rPr>
                      <w:rFonts w:hint="eastAsia"/>
                      <w:b w:val="0"/>
                      <w:bCs/>
                      <w:color w:val="auto"/>
                    </w:rPr>
                    <w:t>噪声设备</w:t>
                  </w:r>
                </w:p>
              </w:tc>
              <w:tc>
                <w:tcPr>
                  <w:tcW w:w="693" w:type="pct"/>
                  <w:tcBorders>
                    <w:tl2br w:val="nil"/>
                    <w:tr2bl w:val="nil"/>
                  </w:tcBorders>
                  <w:noWrap w:val="0"/>
                  <w:vAlign w:val="center"/>
                </w:tcPr>
                <w:p w14:paraId="75660F56">
                  <w:pPr>
                    <w:keepNext w:val="0"/>
                    <w:keepLines w:val="0"/>
                    <w:pageBreakBefore w:val="0"/>
                    <w:suppressLineNumbers w:val="0"/>
                    <w:kinsoku/>
                    <w:wordWrap/>
                    <w:overflowPunct/>
                    <w:topLinePunct w:val="0"/>
                    <w:bidi w:val="0"/>
                    <w:adjustRightInd w:val="0"/>
                    <w:snapToGrid w:val="0"/>
                    <w:spacing w:before="0" w:beforeAutospacing="0" w:after="0" w:afterAutospacing="0" w:line="360" w:lineRule="exact"/>
                    <w:ind w:left="0" w:right="0"/>
                    <w:jc w:val="center"/>
                    <w:textAlignment w:val="auto"/>
                    <w:rPr>
                      <w:rFonts w:hint="default"/>
                      <w:b w:val="0"/>
                      <w:bCs/>
                      <w:color w:val="auto"/>
                      <w:szCs w:val="21"/>
                    </w:rPr>
                  </w:pPr>
                  <w:r>
                    <w:rPr>
                      <w:rFonts w:hint="eastAsia"/>
                      <w:b w:val="0"/>
                      <w:bCs/>
                      <w:color w:val="auto"/>
                    </w:rPr>
                    <w:t>产生强度</w:t>
                  </w:r>
                </w:p>
              </w:tc>
              <w:tc>
                <w:tcPr>
                  <w:tcW w:w="531" w:type="pct"/>
                  <w:tcBorders>
                    <w:tl2br w:val="nil"/>
                    <w:tr2bl w:val="nil"/>
                  </w:tcBorders>
                  <w:noWrap w:val="0"/>
                  <w:vAlign w:val="center"/>
                </w:tcPr>
                <w:p w14:paraId="5ECAA729">
                  <w:pPr>
                    <w:keepNext w:val="0"/>
                    <w:keepLines w:val="0"/>
                    <w:pageBreakBefore w:val="0"/>
                    <w:suppressLineNumbers w:val="0"/>
                    <w:kinsoku/>
                    <w:wordWrap/>
                    <w:overflowPunct/>
                    <w:topLinePunct w:val="0"/>
                    <w:bidi w:val="0"/>
                    <w:adjustRightInd w:val="0"/>
                    <w:snapToGrid w:val="0"/>
                    <w:spacing w:before="0" w:beforeAutospacing="0" w:after="0" w:afterAutospacing="0" w:line="360" w:lineRule="exact"/>
                    <w:ind w:left="0" w:right="0"/>
                    <w:jc w:val="center"/>
                    <w:textAlignment w:val="auto"/>
                    <w:rPr>
                      <w:rFonts w:hint="default"/>
                      <w:b w:val="0"/>
                      <w:bCs/>
                      <w:color w:val="auto"/>
                      <w:szCs w:val="21"/>
                    </w:rPr>
                  </w:pPr>
                  <w:r>
                    <w:rPr>
                      <w:rFonts w:hint="eastAsia"/>
                      <w:b w:val="0"/>
                      <w:bCs/>
                      <w:color w:val="auto"/>
                    </w:rPr>
                    <w:t>数量</w:t>
                  </w:r>
                </w:p>
              </w:tc>
              <w:tc>
                <w:tcPr>
                  <w:tcW w:w="675" w:type="pct"/>
                  <w:tcBorders>
                    <w:tl2br w:val="nil"/>
                    <w:tr2bl w:val="nil"/>
                  </w:tcBorders>
                  <w:noWrap w:val="0"/>
                  <w:vAlign w:val="center"/>
                </w:tcPr>
                <w:p w14:paraId="77F105D2">
                  <w:pPr>
                    <w:keepNext w:val="0"/>
                    <w:keepLines w:val="0"/>
                    <w:pageBreakBefore w:val="0"/>
                    <w:suppressLineNumbers w:val="0"/>
                    <w:kinsoku/>
                    <w:wordWrap/>
                    <w:overflowPunct/>
                    <w:topLinePunct w:val="0"/>
                    <w:bidi w:val="0"/>
                    <w:adjustRightInd w:val="0"/>
                    <w:snapToGrid w:val="0"/>
                    <w:spacing w:before="0" w:beforeAutospacing="0" w:after="0" w:afterAutospacing="0" w:line="360" w:lineRule="exact"/>
                    <w:ind w:left="0" w:right="0"/>
                    <w:jc w:val="center"/>
                    <w:textAlignment w:val="auto"/>
                    <w:rPr>
                      <w:rFonts w:hint="eastAsia"/>
                      <w:b w:val="0"/>
                      <w:bCs/>
                      <w:color w:val="auto"/>
                    </w:rPr>
                  </w:pPr>
                  <w:r>
                    <w:rPr>
                      <w:rFonts w:hint="eastAsia"/>
                      <w:b w:val="0"/>
                      <w:bCs/>
                      <w:color w:val="auto"/>
                    </w:rPr>
                    <w:t>持续时间</w:t>
                  </w:r>
                </w:p>
              </w:tc>
              <w:tc>
                <w:tcPr>
                  <w:tcW w:w="901" w:type="pct"/>
                  <w:tcBorders>
                    <w:tl2br w:val="nil"/>
                    <w:tr2bl w:val="nil"/>
                  </w:tcBorders>
                  <w:noWrap w:val="0"/>
                  <w:vAlign w:val="center"/>
                </w:tcPr>
                <w:p w14:paraId="5AE9E9C4">
                  <w:pPr>
                    <w:keepNext w:val="0"/>
                    <w:keepLines w:val="0"/>
                    <w:pageBreakBefore w:val="0"/>
                    <w:suppressLineNumbers w:val="0"/>
                    <w:kinsoku/>
                    <w:wordWrap/>
                    <w:overflowPunct/>
                    <w:topLinePunct w:val="0"/>
                    <w:bidi w:val="0"/>
                    <w:adjustRightInd w:val="0"/>
                    <w:snapToGrid w:val="0"/>
                    <w:spacing w:before="0" w:beforeAutospacing="0" w:after="0" w:afterAutospacing="0" w:line="360" w:lineRule="exact"/>
                    <w:ind w:left="0" w:right="0"/>
                    <w:jc w:val="center"/>
                    <w:textAlignment w:val="auto"/>
                    <w:rPr>
                      <w:rFonts w:hint="default" w:eastAsia="宋体"/>
                      <w:b w:val="0"/>
                      <w:bCs/>
                      <w:color w:val="auto"/>
                      <w:lang w:val="en-US" w:eastAsia="zh-CN"/>
                    </w:rPr>
                  </w:pPr>
                  <w:r>
                    <w:rPr>
                      <w:rFonts w:hint="eastAsia"/>
                      <w:b w:val="0"/>
                      <w:bCs/>
                      <w:color w:val="auto"/>
                      <w:lang w:val="en-US" w:eastAsia="zh-CN"/>
                    </w:rPr>
                    <w:t>降噪措施</w:t>
                  </w:r>
                </w:p>
              </w:tc>
            </w:tr>
            <w:tr w14:paraId="78413A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63" w:type="pct"/>
                  <w:tcBorders>
                    <w:tl2br w:val="nil"/>
                    <w:tr2bl w:val="nil"/>
                  </w:tcBorders>
                  <w:noWrap w:val="0"/>
                  <w:vAlign w:val="center"/>
                </w:tcPr>
                <w:p w14:paraId="10B6A57E">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eastAsia"/>
                      <w:color w:val="auto"/>
                      <w:kern w:val="0"/>
                      <w:szCs w:val="21"/>
                    </w:rPr>
                  </w:pPr>
                  <w:r>
                    <w:rPr>
                      <w:rFonts w:hint="eastAsia"/>
                      <w:color w:val="auto"/>
                      <w:kern w:val="0"/>
                      <w:szCs w:val="21"/>
                    </w:rPr>
                    <w:t>1</w:t>
                  </w:r>
                </w:p>
              </w:tc>
              <w:tc>
                <w:tcPr>
                  <w:tcW w:w="682" w:type="pct"/>
                  <w:vMerge w:val="restart"/>
                  <w:tcBorders>
                    <w:tl2br w:val="nil"/>
                    <w:tr2bl w:val="nil"/>
                  </w:tcBorders>
                  <w:noWrap w:val="0"/>
                  <w:vAlign w:val="center"/>
                </w:tcPr>
                <w:p w14:paraId="37AE417D">
                  <w:pPr>
                    <w:keepNext w:val="0"/>
                    <w:keepLines w:val="0"/>
                    <w:pageBreakBefore w:val="0"/>
                    <w:suppressLineNumbers w:val="0"/>
                    <w:kinsoku/>
                    <w:wordWrap/>
                    <w:overflowPunct/>
                    <w:topLinePunct w:val="0"/>
                    <w:bidi w:val="0"/>
                    <w:adjustRightInd w:val="0"/>
                    <w:snapToGrid w:val="0"/>
                    <w:spacing w:before="0" w:beforeAutospacing="0" w:after="0" w:afterAutospacing="0" w:line="360" w:lineRule="exact"/>
                    <w:ind w:left="0" w:right="0"/>
                    <w:jc w:val="center"/>
                    <w:textAlignment w:val="auto"/>
                    <w:rPr>
                      <w:rFonts w:hint="default" w:eastAsia="宋体"/>
                      <w:color w:val="auto"/>
                      <w:szCs w:val="21"/>
                      <w:lang w:val="en-US" w:eastAsia="zh-CN"/>
                    </w:rPr>
                  </w:pPr>
                  <w:r>
                    <w:rPr>
                      <w:rFonts w:hint="eastAsia"/>
                      <w:color w:val="auto"/>
                      <w:szCs w:val="21"/>
                      <w:lang w:val="en-US" w:eastAsia="zh-CN"/>
                    </w:rPr>
                    <w:t>生产</w:t>
                  </w:r>
                  <w:r>
                    <w:rPr>
                      <w:rFonts w:hint="eastAsia"/>
                      <w:color w:val="auto"/>
                      <w:szCs w:val="21"/>
                    </w:rPr>
                    <w:t>车间</w:t>
                  </w:r>
                  <w:r>
                    <w:rPr>
                      <w:rFonts w:hint="eastAsia"/>
                      <w:color w:val="auto"/>
                      <w:szCs w:val="21"/>
                      <w:lang w:val="en-US" w:eastAsia="zh-CN"/>
                    </w:rPr>
                    <w:t>设备噪声</w:t>
                  </w:r>
                </w:p>
              </w:tc>
              <w:tc>
                <w:tcPr>
                  <w:tcW w:w="1052" w:type="pct"/>
                  <w:tcBorders>
                    <w:tl2br w:val="nil"/>
                    <w:tr2bl w:val="nil"/>
                  </w:tcBorders>
                  <w:noWrap w:val="0"/>
                  <w:vAlign w:val="center"/>
                </w:tcPr>
                <w:p w14:paraId="1A1FFCEB">
                  <w:pPr>
                    <w:keepNext w:val="0"/>
                    <w:keepLines w:val="0"/>
                    <w:pageBreakBefore w:val="0"/>
                    <w:suppressLineNumbers w:val="0"/>
                    <w:kinsoku/>
                    <w:wordWrap/>
                    <w:overflowPunct/>
                    <w:topLinePunct w:val="0"/>
                    <w:bidi w:val="0"/>
                    <w:snapToGrid w:val="0"/>
                    <w:spacing w:before="0" w:beforeAutospacing="0" w:after="0" w:afterAutospacing="0" w:line="360" w:lineRule="exact"/>
                    <w:ind w:left="0" w:right="0"/>
                    <w:jc w:val="center"/>
                    <w:textAlignment w:val="auto"/>
                    <w:rPr>
                      <w:rFonts w:hint="eastAsia" w:eastAsia="宋体"/>
                      <w:color w:val="auto"/>
                      <w:szCs w:val="21"/>
                      <w:lang w:eastAsia="zh-CN"/>
                    </w:rPr>
                  </w:pPr>
                  <w:r>
                    <w:rPr>
                      <w:rFonts w:hint="eastAsia" w:eastAsia="宋体"/>
                      <w:color w:val="auto"/>
                      <w:szCs w:val="21"/>
                      <w:lang w:val="en-US" w:eastAsia="zh-CN"/>
                    </w:rPr>
                    <w:t>热风循环干燥机</w:t>
                  </w:r>
                </w:p>
              </w:tc>
              <w:tc>
                <w:tcPr>
                  <w:tcW w:w="693" w:type="pct"/>
                  <w:tcBorders>
                    <w:tl2br w:val="nil"/>
                    <w:tr2bl w:val="nil"/>
                  </w:tcBorders>
                  <w:noWrap w:val="0"/>
                  <w:vAlign w:val="center"/>
                </w:tcPr>
                <w:p w14:paraId="542C0670">
                  <w:pPr>
                    <w:pStyle w:val="88"/>
                    <w:keepNext w:val="0"/>
                    <w:keepLines w:val="0"/>
                    <w:pageBreakBefore w:val="0"/>
                    <w:suppressLineNumbers w:val="0"/>
                    <w:kinsoku/>
                    <w:wordWrap/>
                    <w:overflowPunct/>
                    <w:topLinePunct w:val="0"/>
                    <w:bidi w:val="0"/>
                    <w:spacing w:before="0" w:beforeAutospacing="0" w:after="0" w:afterAutospacing="0" w:line="360" w:lineRule="exact"/>
                    <w:ind w:right="0"/>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75</w:t>
                  </w:r>
                </w:p>
              </w:tc>
              <w:tc>
                <w:tcPr>
                  <w:tcW w:w="531" w:type="pct"/>
                  <w:tcBorders>
                    <w:tl2br w:val="nil"/>
                    <w:tr2bl w:val="nil"/>
                  </w:tcBorders>
                  <w:noWrap w:val="0"/>
                  <w:vAlign w:val="center"/>
                </w:tcPr>
                <w:p w14:paraId="7B5EC28E">
                  <w:pPr>
                    <w:keepNext w:val="0"/>
                    <w:keepLines w:val="0"/>
                    <w:pageBreakBefore w:val="0"/>
                    <w:suppressLineNumbers w:val="0"/>
                    <w:kinsoku/>
                    <w:wordWrap/>
                    <w:overflowPunct/>
                    <w:topLinePunct w:val="0"/>
                    <w:bidi w:val="0"/>
                    <w:snapToGrid w:val="0"/>
                    <w:spacing w:before="0" w:beforeAutospacing="0" w:after="0" w:afterAutospacing="0" w:line="360" w:lineRule="exact"/>
                    <w:ind w:left="0" w:right="0"/>
                    <w:jc w:val="center"/>
                    <w:textAlignment w:val="auto"/>
                    <w:rPr>
                      <w:rFonts w:hint="eastAsia"/>
                      <w:color w:val="auto"/>
                      <w:szCs w:val="21"/>
                    </w:rPr>
                  </w:pPr>
                  <w:r>
                    <w:rPr>
                      <w:rFonts w:hint="eastAsia"/>
                      <w:color w:val="auto"/>
                      <w:szCs w:val="21"/>
                      <w:lang w:val="en-US" w:eastAsia="zh-CN"/>
                    </w:rPr>
                    <w:t>2台</w:t>
                  </w:r>
                </w:p>
              </w:tc>
              <w:tc>
                <w:tcPr>
                  <w:tcW w:w="675" w:type="pct"/>
                  <w:tcBorders>
                    <w:tl2br w:val="nil"/>
                    <w:tr2bl w:val="nil"/>
                  </w:tcBorders>
                  <w:noWrap w:val="0"/>
                  <w:vAlign w:val="center"/>
                </w:tcPr>
                <w:p w14:paraId="0E7F0A4D">
                  <w:pPr>
                    <w:keepNext w:val="0"/>
                    <w:keepLines w:val="0"/>
                    <w:pageBreakBefore w:val="0"/>
                    <w:suppressLineNumbers w:val="0"/>
                    <w:kinsoku/>
                    <w:wordWrap/>
                    <w:overflowPunct/>
                    <w:topLinePunct w:val="0"/>
                    <w:bidi w:val="0"/>
                    <w:adjustRightInd w:val="0"/>
                    <w:snapToGrid w:val="0"/>
                    <w:spacing w:before="0" w:beforeAutospacing="0" w:after="0" w:afterAutospacing="0" w:line="360" w:lineRule="exact"/>
                    <w:ind w:left="0" w:right="0"/>
                    <w:jc w:val="center"/>
                    <w:textAlignment w:val="auto"/>
                    <w:rPr>
                      <w:rFonts w:hint="default" w:eastAsia="宋体"/>
                      <w:color w:val="auto"/>
                      <w:lang w:val="en-US" w:eastAsia="zh-CN"/>
                    </w:rPr>
                  </w:pPr>
                  <w:r>
                    <w:rPr>
                      <w:rFonts w:hint="eastAsia"/>
                      <w:color w:val="auto"/>
                      <w:lang w:val="en-US" w:eastAsia="zh-CN"/>
                    </w:rPr>
                    <w:t>5000</w:t>
                  </w:r>
                  <w:r>
                    <w:rPr>
                      <w:rFonts w:hint="eastAsia"/>
                      <w:b w:val="0"/>
                      <w:bCs/>
                      <w:color w:val="auto"/>
                    </w:rPr>
                    <w:t>h/a</w:t>
                  </w:r>
                </w:p>
              </w:tc>
              <w:tc>
                <w:tcPr>
                  <w:tcW w:w="901" w:type="pct"/>
                  <w:vMerge w:val="restart"/>
                  <w:tcBorders>
                    <w:tl2br w:val="nil"/>
                    <w:tr2bl w:val="nil"/>
                  </w:tcBorders>
                  <w:noWrap w:val="0"/>
                  <w:vAlign w:val="center"/>
                </w:tcPr>
                <w:p w14:paraId="3322DADC">
                  <w:pPr>
                    <w:keepNext w:val="0"/>
                    <w:keepLines w:val="0"/>
                    <w:pageBreakBefore w:val="0"/>
                    <w:suppressLineNumbers w:val="0"/>
                    <w:kinsoku/>
                    <w:wordWrap/>
                    <w:overflowPunct/>
                    <w:topLinePunct w:val="0"/>
                    <w:bidi w:val="0"/>
                    <w:adjustRightInd w:val="0"/>
                    <w:snapToGrid w:val="0"/>
                    <w:spacing w:before="0" w:beforeAutospacing="0" w:after="0" w:afterAutospacing="0" w:line="360" w:lineRule="exact"/>
                    <w:ind w:left="0" w:right="0"/>
                    <w:jc w:val="center"/>
                    <w:textAlignment w:val="auto"/>
                    <w:rPr>
                      <w:rFonts w:hint="eastAsia" w:ascii="Times New Roman" w:hAnsi="Times New Roman" w:eastAsia="宋体" w:cs="Times New Roman"/>
                      <w:color w:val="auto"/>
                      <w:kern w:val="2"/>
                      <w:sz w:val="21"/>
                      <w:szCs w:val="20"/>
                      <w:lang w:val="en-US" w:eastAsia="zh-CN" w:bidi="ar"/>
                    </w:rPr>
                  </w:pPr>
                  <w:r>
                    <w:rPr>
                      <w:rFonts w:hint="default" w:ascii="Times New Roman" w:hAnsi="Times New Roman" w:eastAsia="宋体" w:cs="Times New Roman"/>
                      <w:snapToGrid w:val="0"/>
                      <w:color w:val="auto"/>
                      <w:kern w:val="0"/>
                      <w:sz w:val="21"/>
                      <w:szCs w:val="21"/>
                      <w:lang w:val="en-US" w:eastAsia="zh-CN"/>
                    </w:rPr>
                    <w:t>基础减振、厂房隔声</w:t>
                  </w:r>
                </w:p>
              </w:tc>
            </w:tr>
            <w:tr w14:paraId="7EEE6E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63" w:type="pct"/>
                  <w:tcBorders>
                    <w:tl2br w:val="nil"/>
                    <w:tr2bl w:val="nil"/>
                  </w:tcBorders>
                  <w:noWrap w:val="0"/>
                  <w:vAlign w:val="center"/>
                </w:tcPr>
                <w:p w14:paraId="5DAEC3D3">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eastAsia" w:ascii="Times New Roman" w:hAnsi="Times New Roman" w:eastAsia="宋体" w:cs="Times New Roman"/>
                      <w:color w:val="auto"/>
                      <w:kern w:val="0"/>
                      <w:sz w:val="21"/>
                      <w:szCs w:val="21"/>
                      <w:lang w:val="en-US" w:eastAsia="zh-CN" w:bidi="ar-SA"/>
                    </w:rPr>
                  </w:pPr>
                  <w:r>
                    <w:rPr>
                      <w:rFonts w:hint="eastAsia"/>
                      <w:color w:val="auto"/>
                      <w:kern w:val="0"/>
                      <w:szCs w:val="21"/>
                    </w:rPr>
                    <w:t>2</w:t>
                  </w:r>
                </w:p>
              </w:tc>
              <w:tc>
                <w:tcPr>
                  <w:tcW w:w="682" w:type="pct"/>
                  <w:vMerge w:val="continue"/>
                  <w:tcBorders>
                    <w:tl2br w:val="nil"/>
                    <w:tr2bl w:val="nil"/>
                  </w:tcBorders>
                  <w:noWrap w:val="0"/>
                  <w:vAlign w:val="center"/>
                </w:tcPr>
                <w:p w14:paraId="24C20E62">
                  <w:pPr>
                    <w:keepNext w:val="0"/>
                    <w:keepLines w:val="0"/>
                    <w:pageBreakBefore w:val="0"/>
                    <w:suppressLineNumbers w:val="0"/>
                    <w:kinsoku/>
                    <w:wordWrap/>
                    <w:overflowPunct/>
                    <w:topLinePunct w:val="0"/>
                    <w:bidi w:val="0"/>
                    <w:adjustRightInd w:val="0"/>
                    <w:snapToGrid w:val="0"/>
                    <w:spacing w:before="0" w:beforeAutospacing="0" w:after="0" w:afterAutospacing="0" w:line="360" w:lineRule="exact"/>
                    <w:ind w:left="0" w:right="0"/>
                    <w:jc w:val="center"/>
                    <w:textAlignment w:val="auto"/>
                    <w:rPr>
                      <w:rFonts w:hint="eastAsia"/>
                      <w:color w:val="auto"/>
                      <w:szCs w:val="21"/>
                      <w:lang w:val="en-US" w:eastAsia="zh-CN"/>
                    </w:rPr>
                  </w:pPr>
                </w:p>
              </w:tc>
              <w:tc>
                <w:tcPr>
                  <w:tcW w:w="1052" w:type="pct"/>
                  <w:tcBorders>
                    <w:tl2br w:val="nil"/>
                    <w:tr2bl w:val="nil"/>
                  </w:tcBorders>
                  <w:noWrap w:val="0"/>
                  <w:vAlign w:val="center"/>
                </w:tcPr>
                <w:p w14:paraId="3A68D21B">
                  <w:pPr>
                    <w:keepNext w:val="0"/>
                    <w:keepLines w:val="0"/>
                    <w:pageBreakBefore w:val="0"/>
                    <w:suppressLineNumbers w:val="0"/>
                    <w:kinsoku/>
                    <w:wordWrap/>
                    <w:overflowPunct/>
                    <w:topLinePunct w:val="0"/>
                    <w:bidi w:val="0"/>
                    <w:snapToGrid w:val="0"/>
                    <w:spacing w:before="0" w:beforeAutospacing="0" w:after="0" w:afterAutospacing="0" w:line="360" w:lineRule="exact"/>
                    <w:ind w:left="0" w:right="0"/>
                    <w:jc w:val="center"/>
                    <w:textAlignment w:val="auto"/>
                    <w:rPr>
                      <w:rFonts w:hint="eastAsia" w:eastAsia="宋体"/>
                      <w:color w:val="auto"/>
                      <w:szCs w:val="21"/>
                      <w:lang w:val="en-US" w:eastAsia="zh-CN"/>
                    </w:rPr>
                  </w:pPr>
                  <w:r>
                    <w:rPr>
                      <w:rFonts w:hint="eastAsia"/>
                      <w:color w:val="auto"/>
                      <w:szCs w:val="21"/>
                      <w:lang w:val="en-US" w:eastAsia="zh-CN"/>
                    </w:rPr>
                    <w:t>挤出</w:t>
                  </w:r>
                  <w:r>
                    <w:rPr>
                      <w:rFonts w:hint="eastAsia" w:eastAsia="宋体"/>
                      <w:color w:val="auto"/>
                      <w:szCs w:val="21"/>
                      <w:lang w:val="en-US" w:eastAsia="zh-CN"/>
                    </w:rPr>
                    <w:t>机</w:t>
                  </w:r>
                </w:p>
              </w:tc>
              <w:tc>
                <w:tcPr>
                  <w:tcW w:w="693" w:type="pct"/>
                  <w:tcBorders>
                    <w:tl2br w:val="nil"/>
                    <w:tr2bl w:val="nil"/>
                  </w:tcBorders>
                  <w:noWrap w:val="0"/>
                  <w:vAlign w:val="center"/>
                </w:tcPr>
                <w:p w14:paraId="3002A580">
                  <w:pPr>
                    <w:pStyle w:val="88"/>
                    <w:keepNext w:val="0"/>
                    <w:keepLines w:val="0"/>
                    <w:pageBreakBefore w:val="0"/>
                    <w:suppressLineNumbers w:val="0"/>
                    <w:kinsoku/>
                    <w:wordWrap/>
                    <w:overflowPunct/>
                    <w:topLinePunct w:val="0"/>
                    <w:bidi w:val="0"/>
                    <w:spacing w:before="0" w:beforeAutospacing="0" w:after="0" w:afterAutospacing="0" w:line="360" w:lineRule="exact"/>
                    <w:ind w:right="0"/>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80</w:t>
                  </w:r>
                </w:p>
              </w:tc>
              <w:tc>
                <w:tcPr>
                  <w:tcW w:w="531" w:type="pct"/>
                  <w:tcBorders>
                    <w:tl2br w:val="nil"/>
                    <w:tr2bl w:val="nil"/>
                  </w:tcBorders>
                  <w:noWrap w:val="0"/>
                  <w:vAlign w:val="center"/>
                </w:tcPr>
                <w:p w14:paraId="6970BA19">
                  <w:pPr>
                    <w:keepNext w:val="0"/>
                    <w:keepLines w:val="0"/>
                    <w:pageBreakBefore w:val="0"/>
                    <w:suppressLineNumbers w:val="0"/>
                    <w:kinsoku/>
                    <w:wordWrap/>
                    <w:overflowPunct/>
                    <w:topLinePunct w:val="0"/>
                    <w:bidi w:val="0"/>
                    <w:snapToGrid w:val="0"/>
                    <w:spacing w:before="0" w:beforeAutospacing="0" w:after="0" w:afterAutospacing="0" w:line="360" w:lineRule="exact"/>
                    <w:ind w:left="0" w:right="0"/>
                    <w:jc w:val="center"/>
                    <w:textAlignment w:val="auto"/>
                    <w:rPr>
                      <w:rFonts w:hint="default" w:eastAsia="宋体"/>
                      <w:color w:val="auto"/>
                      <w:szCs w:val="21"/>
                      <w:lang w:val="en-US" w:eastAsia="zh-CN"/>
                    </w:rPr>
                  </w:pPr>
                  <w:r>
                    <w:rPr>
                      <w:rFonts w:hint="eastAsia"/>
                      <w:color w:val="auto"/>
                      <w:szCs w:val="21"/>
                      <w:lang w:val="en-US" w:eastAsia="zh-CN"/>
                    </w:rPr>
                    <w:t>2台</w:t>
                  </w:r>
                </w:p>
              </w:tc>
              <w:tc>
                <w:tcPr>
                  <w:tcW w:w="675" w:type="pct"/>
                  <w:tcBorders>
                    <w:tl2br w:val="nil"/>
                    <w:tr2bl w:val="nil"/>
                  </w:tcBorders>
                  <w:noWrap w:val="0"/>
                  <w:vAlign w:val="center"/>
                </w:tcPr>
                <w:p w14:paraId="07BD8F19">
                  <w:pPr>
                    <w:keepNext w:val="0"/>
                    <w:keepLines w:val="0"/>
                    <w:pageBreakBefore w:val="0"/>
                    <w:suppressLineNumbers w:val="0"/>
                    <w:kinsoku/>
                    <w:wordWrap/>
                    <w:overflowPunct/>
                    <w:topLinePunct w:val="0"/>
                    <w:bidi w:val="0"/>
                    <w:adjustRightInd w:val="0"/>
                    <w:snapToGrid w:val="0"/>
                    <w:spacing w:before="0" w:beforeAutospacing="0" w:after="0" w:afterAutospacing="0" w:line="360" w:lineRule="exact"/>
                    <w:ind w:left="0" w:right="0"/>
                    <w:jc w:val="center"/>
                    <w:textAlignment w:val="auto"/>
                    <w:rPr>
                      <w:rFonts w:hint="default"/>
                      <w:color w:val="auto"/>
                      <w:lang w:val="en-US" w:eastAsia="zh-CN"/>
                    </w:rPr>
                  </w:pPr>
                  <w:r>
                    <w:rPr>
                      <w:rFonts w:hint="eastAsia"/>
                      <w:b w:val="0"/>
                      <w:bCs/>
                      <w:color w:val="auto"/>
                      <w:lang w:val="en-US" w:eastAsia="zh-CN"/>
                    </w:rPr>
                    <w:t>5000</w:t>
                  </w:r>
                  <w:r>
                    <w:rPr>
                      <w:rFonts w:hint="eastAsia"/>
                      <w:b w:val="0"/>
                      <w:bCs/>
                      <w:color w:val="auto"/>
                    </w:rPr>
                    <w:t>h/a</w:t>
                  </w:r>
                </w:p>
              </w:tc>
              <w:tc>
                <w:tcPr>
                  <w:tcW w:w="901" w:type="pct"/>
                  <w:vMerge w:val="continue"/>
                  <w:tcBorders>
                    <w:tl2br w:val="nil"/>
                    <w:tr2bl w:val="nil"/>
                  </w:tcBorders>
                  <w:noWrap w:val="0"/>
                  <w:vAlign w:val="center"/>
                </w:tcPr>
                <w:p w14:paraId="52AAB616">
                  <w:pPr>
                    <w:keepNext w:val="0"/>
                    <w:keepLines w:val="0"/>
                    <w:pageBreakBefore w:val="0"/>
                    <w:suppressLineNumbers w:val="0"/>
                    <w:kinsoku/>
                    <w:wordWrap/>
                    <w:overflowPunct/>
                    <w:topLinePunct w:val="0"/>
                    <w:bidi w:val="0"/>
                    <w:adjustRightInd w:val="0"/>
                    <w:snapToGrid w:val="0"/>
                    <w:spacing w:before="0" w:beforeAutospacing="0" w:after="0" w:afterAutospacing="0" w:line="360" w:lineRule="exact"/>
                    <w:ind w:left="0" w:right="0"/>
                    <w:jc w:val="center"/>
                    <w:textAlignment w:val="auto"/>
                    <w:rPr>
                      <w:rFonts w:hint="eastAsia" w:ascii="Times New Roman" w:hAnsi="Times New Roman" w:eastAsia="宋体" w:cs="Times New Roman"/>
                      <w:color w:val="auto"/>
                      <w:kern w:val="2"/>
                      <w:sz w:val="21"/>
                      <w:szCs w:val="20"/>
                      <w:lang w:val="en-US" w:eastAsia="zh-CN" w:bidi="ar"/>
                    </w:rPr>
                  </w:pPr>
                </w:p>
              </w:tc>
            </w:tr>
            <w:tr w14:paraId="46F94F4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63" w:type="pct"/>
                  <w:tcBorders>
                    <w:tl2br w:val="nil"/>
                    <w:tr2bl w:val="nil"/>
                  </w:tcBorders>
                  <w:noWrap w:val="0"/>
                  <w:vAlign w:val="center"/>
                </w:tcPr>
                <w:p w14:paraId="4B66AA12">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eastAsia" w:ascii="Times New Roman" w:hAnsi="Times New Roman" w:eastAsia="宋体" w:cs="Times New Roman"/>
                      <w:color w:val="auto"/>
                      <w:kern w:val="0"/>
                      <w:sz w:val="21"/>
                      <w:szCs w:val="21"/>
                      <w:lang w:val="en-US" w:eastAsia="zh-CN" w:bidi="ar-SA"/>
                    </w:rPr>
                  </w:pPr>
                  <w:r>
                    <w:rPr>
                      <w:rFonts w:hint="eastAsia"/>
                      <w:color w:val="auto"/>
                      <w:kern w:val="0"/>
                      <w:szCs w:val="21"/>
                    </w:rPr>
                    <w:t>3</w:t>
                  </w:r>
                </w:p>
              </w:tc>
              <w:tc>
                <w:tcPr>
                  <w:tcW w:w="682" w:type="pct"/>
                  <w:vMerge w:val="continue"/>
                  <w:tcBorders>
                    <w:tl2br w:val="nil"/>
                    <w:tr2bl w:val="nil"/>
                  </w:tcBorders>
                  <w:noWrap w:val="0"/>
                  <w:vAlign w:val="center"/>
                </w:tcPr>
                <w:p w14:paraId="32ABEF49">
                  <w:pPr>
                    <w:keepNext w:val="0"/>
                    <w:keepLines w:val="0"/>
                    <w:pageBreakBefore w:val="0"/>
                    <w:suppressLineNumbers w:val="0"/>
                    <w:kinsoku/>
                    <w:wordWrap/>
                    <w:overflowPunct/>
                    <w:topLinePunct w:val="0"/>
                    <w:bidi w:val="0"/>
                    <w:snapToGrid w:val="0"/>
                    <w:spacing w:before="0" w:beforeAutospacing="0" w:after="0" w:afterAutospacing="0" w:line="360" w:lineRule="exact"/>
                    <w:ind w:left="0" w:right="0"/>
                    <w:jc w:val="center"/>
                    <w:textAlignment w:val="auto"/>
                    <w:rPr>
                      <w:rFonts w:hint="eastAsia"/>
                      <w:color w:val="auto"/>
                      <w:szCs w:val="21"/>
                    </w:rPr>
                  </w:pPr>
                </w:p>
              </w:tc>
              <w:tc>
                <w:tcPr>
                  <w:tcW w:w="1052" w:type="pct"/>
                  <w:tcBorders>
                    <w:tl2br w:val="nil"/>
                    <w:tr2bl w:val="nil"/>
                  </w:tcBorders>
                  <w:noWrap w:val="0"/>
                  <w:vAlign w:val="center"/>
                </w:tcPr>
                <w:p w14:paraId="737BA389">
                  <w:pPr>
                    <w:keepNext w:val="0"/>
                    <w:keepLines w:val="0"/>
                    <w:pageBreakBefore w:val="0"/>
                    <w:suppressLineNumbers w:val="0"/>
                    <w:kinsoku/>
                    <w:wordWrap/>
                    <w:overflowPunct/>
                    <w:topLinePunct w:val="0"/>
                    <w:bidi w:val="0"/>
                    <w:snapToGrid w:val="0"/>
                    <w:spacing w:before="0" w:beforeAutospacing="0" w:after="0" w:afterAutospacing="0" w:line="360" w:lineRule="exact"/>
                    <w:ind w:left="0" w:right="0"/>
                    <w:jc w:val="center"/>
                    <w:textAlignment w:val="auto"/>
                    <w:rPr>
                      <w:rFonts w:hint="default" w:eastAsia="宋体"/>
                      <w:color w:val="auto"/>
                      <w:szCs w:val="21"/>
                      <w:lang w:val="en-US" w:eastAsia="zh-CN"/>
                    </w:rPr>
                  </w:pPr>
                  <w:r>
                    <w:rPr>
                      <w:rFonts w:hint="eastAsia"/>
                      <w:color w:val="auto"/>
                      <w:szCs w:val="21"/>
                      <w:lang w:val="en-US" w:eastAsia="zh-CN"/>
                    </w:rPr>
                    <w:t>平织机</w:t>
                  </w:r>
                </w:p>
              </w:tc>
              <w:tc>
                <w:tcPr>
                  <w:tcW w:w="693" w:type="pct"/>
                  <w:tcBorders>
                    <w:tl2br w:val="nil"/>
                    <w:tr2bl w:val="nil"/>
                  </w:tcBorders>
                  <w:noWrap w:val="0"/>
                  <w:vAlign w:val="center"/>
                </w:tcPr>
                <w:p w14:paraId="59C2E5F8">
                  <w:pPr>
                    <w:pStyle w:val="88"/>
                    <w:keepNext w:val="0"/>
                    <w:keepLines w:val="0"/>
                    <w:pageBreakBefore w:val="0"/>
                    <w:suppressLineNumbers w:val="0"/>
                    <w:kinsoku/>
                    <w:wordWrap/>
                    <w:overflowPunct/>
                    <w:topLinePunct w:val="0"/>
                    <w:bidi w:val="0"/>
                    <w:spacing w:before="0" w:beforeAutospacing="0" w:after="0" w:afterAutospacing="0" w:line="360" w:lineRule="exact"/>
                    <w:ind w:right="0"/>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65</w:t>
                  </w:r>
                </w:p>
              </w:tc>
              <w:tc>
                <w:tcPr>
                  <w:tcW w:w="531" w:type="pct"/>
                  <w:tcBorders>
                    <w:tl2br w:val="nil"/>
                    <w:tr2bl w:val="nil"/>
                  </w:tcBorders>
                  <w:noWrap w:val="0"/>
                  <w:vAlign w:val="center"/>
                </w:tcPr>
                <w:p w14:paraId="44E5D809">
                  <w:pPr>
                    <w:keepNext w:val="0"/>
                    <w:keepLines w:val="0"/>
                    <w:pageBreakBefore w:val="0"/>
                    <w:suppressLineNumbers w:val="0"/>
                    <w:kinsoku/>
                    <w:wordWrap/>
                    <w:overflowPunct/>
                    <w:topLinePunct w:val="0"/>
                    <w:bidi w:val="0"/>
                    <w:snapToGrid w:val="0"/>
                    <w:spacing w:before="0" w:beforeAutospacing="0" w:after="0" w:afterAutospacing="0" w:line="360" w:lineRule="exact"/>
                    <w:ind w:left="0" w:right="0"/>
                    <w:jc w:val="center"/>
                    <w:textAlignment w:val="auto"/>
                    <w:rPr>
                      <w:rFonts w:hint="default"/>
                      <w:color w:val="auto"/>
                      <w:szCs w:val="21"/>
                      <w:lang w:val="en-US"/>
                    </w:rPr>
                  </w:pPr>
                  <w:r>
                    <w:rPr>
                      <w:rFonts w:hint="eastAsia"/>
                      <w:color w:val="auto"/>
                      <w:szCs w:val="21"/>
                      <w:lang w:val="en-US" w:eastAsia="zh-CN"/>
                    </w:rPr>
                    <w:t>60台</w:t>
                  </w:r>
                </w:p>
              </w:tc>
              <w:tc>
                <w:tcPr>
                  <w:tcW w:w="675" w:type="pct"/>
                  <w:tcBorders>
                    <w:tl2br w:val="nil"/>
                    <w:tr2bl w:val="nil"/>
                  </w:tcBorders>
                  <w:noWrap w:val="0"/>
                  <w:vAlign w:val="center"/>
                </w:tcPr>
                <w:p w14:paraId="36B8299E">
                  <w:pPr>
                    <w:keepNext w:val="0"/>
                    <w:keepLines w:val="0"/>
                    <w:pageBreakBefore w:val="0"/>
                    <w:suppressLineNumbers w:val="0"/>
                    <w:kinsoku/>
                    <w:wordWrap/>
                    <w:overflowPunct/>
                    <w:topLinePunct w:val="0"/>
                    <w:bidi w:val="0"/>
                    <w:adjustRightInd w:val="0"/>
                    <w:snapToGrid w:val="0"/>
                    <w:spacing w:before="0" w:beforeAutospacing="0" w:after="0" w:afterAutospacing="0" w:line="360" w:lineRule="exact"/>
                    <w:ind w:left="0" w:right="0"/>
                    <w:jc w:val="center"/>
                    <w:textAlignment w:val="auto"/>
                    <w:rPr>
                      <w:rFonts w:hint="default" w:eastAsia="宋体"/>
                      <w:color w:val="auto"/>
                      <w:lang w:val="en-US" w:eastAsia="zh-CN"/>
                    </w:rPr>
                  </w:pPr>
                  <w:r>
                    <w:rPr>
                      <w:rFonts w:hint="eastAsia"/>
                      <w:b w:val="0"/>
                      <w:bCs/>
                      <w:color w:val="auto"/>
                      <w:lang w:val="en-US" w:eastAsia="zh-CN"/>
                    </w:rPr>
                    <w:t>5000</w:t>
                  </w:r>
                  <w:r>
                    <w:rPr>
                      <w:rFonts w:hint="eastAsia"/>
                      <w:b w:val="0"/>
                      <w:bCs/>
                      <w:color w:val="auto"/>
                    </w:rPr>
                    <w:t>h/a</w:t>
                  </w:r>
                </w:p>
              </w:tc>
              <w:tc>
                <w:tcPr>
                  <w:tcW w:w="901" w:type="pct"/>
                  <w:vMerge w:val="continue"/>
                  <w:tcBorders>
                    <w:tl2br w:val="nil"/>
                    <w:tr2bl w:val="nil"/>
                  </w:tcBorders>
                  <w:noWrap w:val="0"/>
                  <w:vAlign w:val="center"/>
                </w:tcPr>
                <w:p w14:paraId="7662C466">
                  <w:pPr>
                    <w:keepNext w:val="0"/>
                    <w:keepLines w:val="0"/>
                    <w:pageBreakBefore w:val="0"/>
                    <w:suppressLineNumbers w:val="0"/>
                    <w:kinsoku/>
                    <w:wordWrap/>
                    <w:overflowPunct/>
                    <w:topLinePunct w:val="0"/>
                    <w:bidi w:val="0"/>
                    <w:adjustRightInd w:val="0"/>
                    <w:snapToGrid w:val="0"/>
                    <w:spacing w:before="0" w:beforeAutospacing="0" w:after="0" w:afterAutospacing="0" w:line="360" w:lineRule="exact"/>
                    <w:ind w:left="0" w:right="0"/>
                    <w:jc w:val="center"/>
                    <w:textAlignment w:val="auto"/>
                    <w:rPr>
                      <w:rFonts w:hint="default"/>
                      <w:color w:val="auto"/>
                    </w:rPr>
                  </w:pPr>
                </w:p>
              </w:tc>
            </w:tr>
            <w:tr w14:paraId="634B6C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63" w:type="pct"/>
                  <w:tcBorders>
                    <w:tl2br w:val="nil"/>
                    <w:tr2bl w:val="nil"/>
                  </w:tcBorders>
                  <w:noWrap w:val="0"/>
                  <w:vAlign w:val="center"/>
                </w:tcPr>
                <w:p w14:paraId="0D514800">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right="0"/>
                    <w:jc w:val="center"/>
                    <w:textAlignment w:val="auto"/>
                    <w:rPr>
                      <w:rFonts w:hint="eastAsia" w:ascii="Times New Roman" w:hAnsi="Times New Roman" w:eastAsia="宋体" w:cs="Times New Roman"/>
                      <w:color w:val="auto"/>
                      <w:kern w:val="0"/>
                      <w:sz w:val="21"/>
                      <w:szCs w:val="21"/>
                      <w:lang w:val="en-US" w:eastAsia="zh-CN" w:bidi="ar-SA"/>
                    </w:rPr>
                  </w:pPr>
                  <w:r>
                    <w:rPr>
                      <w:rFonts w:hint="eastAsia"/>
                      <w:color w:val="auto"/>
                      <w:kern w:val="0"/>
                      <w:szCs w:val="21"/>
                    </w:rPr>
                    <w:t>4</w:t>
                  </w:r>
                </w:p>
              </w:tc>
              <w:tc>
                <w:tcPr>
                  <w:tcW w:w="682" w:type="pct"/>
                  <w:vMerge w:val="continue"/>
                  <w:tcBorders>
                    <w:tl2br w:val="nil"/>
                    <w:tr2bl w:val="nil"/>
                  </w:tcBorders>
                  <w:noWrap w:val="0"/>
                  <w:vAlign w:val="center"/>
                </w:tcPr>
                <w:p w14:paraId="13EB8CAE">
                  <w:pPr>
                    <w:keepNext w:val="0"/>
                    <w:keepLines w:val="0"/>
                    <w:pageBreakBefore w:val="0"/>
                    <w:suppressLineNumbers w:val="0"/>
                    <w:kinsoku/>
                    <w:wordWrap/>
                    <w:overflowPunct/>
                    <w:topLinePunct w:val="0"/>
                    <w:bidi w:val="0"/>
                    <w:snapToGrid w:val="0"/>
                    <w:spacing w:before="0" w:beforeAutospacing="0" w:after="0" w:afterAutospacing="0" w:line="360" w:lineRule="exact"/>
                    <w:ind w:left="0" w:right="0"/>
                    <w:jc w:val="center"/>
                    <w:textAlignment w:val="auto"/>
                    <w:rPr>
                      <w:rFonts w:hint="eastAsia"/>
                      <w:color w:val="auto"/>
                      <w:szCs w:val="21"/>
                    </w:rPr>
                  </w:pPr>
                </w:p>
              </w:tc>
              <w:tc>
                <w:tcPr>
                  <w:tcW w:w="1052" w:type="pct"/>
                  <w:tcBorders>
                    <w:tl2br w:val="nil"/>
                    <w:tr2bl w:val="nil"/>
                  </w:tcBorders>
                  <w:noWrap w:val="0"/>
                  <w:vAlign w:val="center"/>
                </w:tcPr>
                <w:p w14:paraId="264CBEE1">
                  <w:pPr>
                    <w:keepNext w:val="0"/>
                    <w:keepLines w:val="0"/>
                    <w:pageBreakBefore w:val="0"/>
                    <w:suppressLineNumbers w:val="0"/>
                    <w:kinsoku/>
                    <w:wordWrap/>
                    <w:overflowPunct/>
                    <w:topLinePunct w:val="0"/>
                    <w:bidi w:val="0"/>
                    <w:snapToGrid w:val="0"/>
                    <w:spacing w:before="0" w:beforeAutospacing="0" w:after="0" w:afterAutospacing="0" w:line="360" w:lineRule="exact"/>
                    <w:ind w:left="0" w:right="0"/>
                    <w:jc w:val="center"/>
                    <w:textAlignment w:val="auto"/>
                    <w:rPr>
                      <w:rFonts w:hint="eastAsia"/>
                      <w:color w:val="auto"/>
                      <w:szCs w:val="21"/>
                    </w:rPr>
                  </w:pPr>
                  <w:r>
                    <w:rPr>
                      <w:rFonts w:hint="eastAsia" w:cs="Times New Roman"/>
                      <w:color w:val="000000" w:themeColor="text1"/>
                      <w:sz w:val="21"/>
                      <w:szCs w:val="21"/>
                      <w:highlight w:val="none"/>
                      <w:lang w:val="en-US" w:eastAsia="zh-CN"/>
                      <w14:textFill>
                        <w14:solidFill>
                          <w14:schemeClr w14:val="tx1"/>
                        </w14:solidFill>
                      </w14:textFill>
                    </w:rPr>
                    <w:t>覆膜机</w:t>
                  </w:r>
                </w:p>
              </w:tc>
              <w:tc>
                <w:tcPr>
                  <w:tcW w:w="693" w:type="pct"/>
                  <w:tcBorders>
                    <w:tl2br w:val="nil"/>
                    <w:tr2bl w:val="nil"/>
                  </w:tcBorders>
                  <w:noWrap w:val="0"/>
                  <w:vAlign w:val="center"/>
                </w:tcPr>
                <w:p w14:paraId="0F5B142C">
                  <w:pPr>
                    <w:pStyle w:val="88"/>
                    <w:keepNext w:val="0"/>
                    <w:keepLines w:val="0"/>
                    <w:pageBreakBefore w:val="0"/>
                    <w:suppressLineNumbers w:val="0"/>
                    <w:kinsoku/>
                    <w:wordWrap/>
                    <w:overflowPunct/>
                    <w:topLinePunct w:val="0"/>
                    <w:bidi w:val="0"/>
                    <w:spacing w:before="0" w:beforeAutospacing="0" w:after="0" w:afterAutospacing="0" w:line="360" w:lineRule="exact"/>
                    <w:ind w:right="0"/>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70</w:t>
                  </w:r>
                </w:p>
              </w:tc>
              <w:tc>
                <w:tcPr>
                  <w:tcW w:w="531" w:type="pct"/>
                  <w:tcBorders>
                    <w:tl2br w:val="nil"/>
                    <w:tr2bl w:val="nil"/>
                  </w:tcBorders>
                  <w:noWrap w:val="0"/>
                  <w:vAlign w:val="center"/>
                </w:tcPr>
                <w:p w14:paraId="5758082C">
                  <w:pPr>
                    <w:keepNext w:val="0"/>
                    <w:keepLines w:val="0"/>
                    <w:pageBreakBefore w:val="0"/>
                    <w:suppressLineNumbers w:val="0"/>
                    <w:kinsoku/>
                    <w:wordWrap/>
                    <w:overflowPunct/>
                    <w:topLinePunct w:val="0"/>
                    <w:bidi w:val="0"/>
                    <w:snapToGrid w:val="0"/>
                    <w:spacing w:before="0" w:beforeAutospacing="0" w:after="0" w:afterAutospacing="0" w:line="360" w:lineRule="exact"/>
                    <w:ind w:left="0" w:right="0"/>
                    <w:jc w:val="center"/>
                    <w:textAlignment w:val="auto"/>
                    <w:rPr>
                      <w:rFonts w:hint="eastAsia"/>
                      <w:color w:val="auto"/>
                      <w:szCs w:val="21"/>
                    </w:rPr>
                  </w:pPr>
                  <w:r>
                    <w:rPr>
                      <w:rFonts w:hint="eastAsia"/>
                      <w:color w:val="auto"/>
                      <w:szCs w:val="21"/>
                      <w:lang w:val="en-US" w:eastAsia="zh-CN"/>
                    </w:rPr>
                    <w:t>2</w:t>
                  </w:r>
                  <w:r>
                    <w:rPr>
                      <w:rFonts w:hint="eastAsia"/>
                      <w:color w:val="auto"/>
                      <w:szCs w:val="21"/>
                    </w:rPr>
                    <w:t>台</w:t>
                  </w:r>
                </w:p>
              </w:tc>
              <w:tc>
                <w:tcPr>
                  <w:tcW w:w="675" w:type="pct"/>
                  <w:tcBorders>
                    <w:tl2br w:val="nil"/>
                    <w:tr2bl w:val="nil"/>
                  </w:tcBorders>
                  <w:noWrap w:val="0"/>
                  <w:vAlign w:val="center"/>
                </w:tcPr>
                <w:p w14:paraId="4E213C3E">
                  <w:pPr>
                    <w:keepNext w:val="0"/>
                    <w:keepLines w:val="0"/>
                    <w:pageBreakBefore w:val="0"/>
                    <w:suppressLineNumbers w:val="0"/>
                    <w:kinsoku/>
                    <w:wordWrap/>
                    <w:overflowPunct/>
                    <w:topLinePunct w:val="0"/>
                    <w:bidi w:val="0"/>
                    <w:adjustRightInd w:val="0"/>
                    <w:snapToGrid w:val="0"/>
                    <w:spacing w:before="0" w:beforeAutospacing="0" w:after="0" w:afterAutospacing="0" w:line="360" w:lineRule="exact"/>
                    <w:ind w:left="0" w:right="0"/>
                    <w:jc w:val="center"/>
                    <w:textAlignment w:val="auto"/>
                    <w:rPr>
                      <w:rFonts w:hint="default" w:eastAsia="宋体"/>
                      <w:color w:val="auto"/>
                      <w:lang w:val="en-US" w:eastAsia="zh-CN"/>
                    </w:rPr>
                  </w:pPr>
                  <w:r>
                    <w:rPr>
                      <w:rFonts w:hint="eastAsia"/>
                      <w:b w:val="0"/>
                      <w:bCs/>
                      <w:color w:val="auto"/>
                      <w:lang w:val="en-US" w:eastAsia="zh-CN"/>
                    </w:rPr>
                    <w:t>5000</w:t>
                  </w:r>
                  <w:r>
                    <w:rPr>
                      <w:rFonts w:hint="eastAsia"/>
                      <w:b w:val="0"/>
                      <w:bCs/>
                      <w:color w:val="auto"/>
                    </w:rPr>
                    <w:t>h/a</w:t>
                  </w:r>
                </w:p>
              </w:tc>
              <w:tc>
                <w:tcPr>
                  <w:tcW w:w="901" w:type="pct"/>
                  <w:vMerge w:val="continue"/>
                  <w:tcBorders>
                    <w:tl2br w:val="nil"/>
                    <w:tr2bl w:val="nil"/>
                  </w:tcBorders>
                  <w:noWrap w:val="0"/>
                  <w:vAlign w:val="center"/>
                </w:tcPr>
                <w:p w14:paraId="72512B38">
                  <w:pPr>
                    <w:keepNext w:val="0"/>
                    <w:keepLines w:val="0"/>
                    <w:pageBreakBefore w:val="0"/>
                    <w:suppressLineNumbers w:val="0"/>
                    <w:kinsoku/>
                    <w:wordWrap/>
                    <w:overflowPunct/>
                    <w:topLinePunct w:val="0"/>
                    <w:bidi w:val="0"/>
                    <w:adjustRightInd w:val="0"/>
                    <w:snapToGrid w:val="0"/>
                    <w:spacing w:before="0" w:beforeAutospacing="0" w:after="0" w:afterAutospacing="0" w:line="360" w:lineRule="exact"/>
                    <w:ind w:left="0" w:right="0"/>
                    <w:jc w:val="center"/>
                    <w:textAlignment w:val="auto"/>
                    <w:rPr>
                      <w:rFonts w:hint="default"/>
                      <w:color w:val="auto"/>
                    </w:rPr>
                  </w:pPr>
                </w:p>
              </w:tc>
            </w:tr>
            <w:tr w14:paraId="0E1F15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63" w:type="pct"/>
                  <w:tcBorders>
                    <w:tl2br w:val="nil"/>
                    <w:tr2bl w:val="nil"/>
                  </w:tcBorders>
                  <w:shd w:val="clear" w:color="auto" w:fill="auto"/>
                  <w:noWrap w:val="0"/>
                  <w:vAlign w:val="center"/>
                </w:tcPr>
                <w:p w14:paraId="64FB35D3">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360" w:lineRule="exact"/>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eastAsia"/>
                      <w:color w:val="auto"/>
                      <w:kern w:val="0"/>
                      <w:szCs w:val="21"/>
                    </w:rPr>
                    <w:t>5</w:t>
                  </w:r>
                </w:p>
              </w:tc>
              <w:tc>
                <w:tcPr>
                  <w:tcW w:w="682" w:type="pct"/>
                  <w:vMerge w:val="continue"/>
                  <w:tcBorders>
                    <w:tl2br w:val="nil"/>
                    <w:tr2bl w:val="nil"/>
                  </w:tcBorders>
                  <w:noWrap w:val="0"/>
                  <w:vAlign w:val="center"/>
                </w:tcPr>
                <w:p w14:paraId="7F98E688">
                  <w:pPr>
                    <w:keepNext w:val="0"/>
                    <w:keepLines w:val="0"/>
                    <w:pageBreakBefore w:val="0"/>
                    <w:suppressLineNumbers w:val="0"/>
                    <w:kinsoku/>
                    <w:wordWrap/>
                    <w:overflowPunct/>
                    <w:topLinePunct w:val="0"/>
                    <w:bidi w:val="0"/>
                    <w:snapToGrid w:val="0"/>
                    <w:spacing w:before="0" w:beforeAutospacing="0" w:after="0" w:afterAutospacing="0" w:line="360" w:lineRule="exact"/>
                    <w:ind w:left="0" w:right="0"/>
                    <w:jc w:val="center"/>
                    <w:textAlignment w:val="auto"/>
                    <w:rPr>
                      <w:rFonts w:hint="eastAsia"/>
                      <w:color w:val="auto"/>
                      <w:szCs w:val="21"/>
                    </w:rPr>
                  </w:pPr>
                </w:p>
              </w:tc>
              <w:tc>
                <w:tcPr>
                  <w:tcW w:w="1052" w:type="pct"/>
                  <w:tcBorders>
                    <w:tl2br w:val="nil"/>
                    <w:tr2bl w:val="nil"/>
                  </w:tcBorders>
                  <w:noWrap w:val="0"/>
                  <w:vAlign w:val="center"/>
                </w:tcPr>
                <w:p w14:paraId="5B349D74">
                  <w:pPr>
                    <w:keepNext w:val="0"/>
                    <w:keepLines w:val="0"/>
                    <w:pageBreakBefore w:val="0"/>
                    <w:suppressLineNumbers w:val="0"/>
                    <w:kinsoku/>
                    <w:wordWrap/>
                    <w:overflowPunct/>
                    <w:topLinePunct w:val="0"/>
                    <w:bidi w:val="0"/>
                    <w:snapToGrid w:val="0"/>
                    <w:spacing w:before="0" w:beforeAutospacing="0" w:after="0" w:afterAutospacing="0" w:line="360" w:lineRule="exact"/>
                    <w:ind w:left="0" w:right="0"/>
                    <w:jc w:val="center"/>
                    <w:textAlignment w:val="auto"/>
                    <w:rPr>
                      <w:rFonts w:hint="default"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环保设施风机</w:t>
                  </w:r>
                </w:p>
              </w:tc>
              <w:tc>
                <w:tcPr>
                  <w:tcW w:w="693" w:type="pct"/>
                  <w:tcBorders>
                    <w:tl2br w:val="nil"/>
                    <w:tr2bl w:val="nil"/>
                  </w:tcBorders>
                  <w:noWrap w:val="0"/>
                  <w:vAlign w:val="center"/>
                </w:tcPr>
                <w:p w14:paraId="1D75154B">
                  <w:pPr>
                    <w:pStyle w:val="88"/>
                    <w:keepNext w:val="0"/>
                    <w:keepLines w:val="0"/>
                    <w:pageBreakBefore w:val="0"/>
                    <w:suppressLineNumbers w:val="0"/>
                    <w:kinsoku/>
                    <w:wordWrap/>
                    <w:overflowPunct/>
                    <w:topLinePunct w:val="0"/>
                    <w:bidi w:val="0"/>
                    <w:spacing w:before="0" w:beforeAutospacing="0" w:after="0" w:afterAutospacing="0" w:line="360" w:lineRule="exact"/>
                    <w:ind w:right="0"/>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85</w:t>
                  </w:r>
                </w:p>
              </w:tc>
              <w:tc>
                <w:tcPr>
                  <w:tcW w:w="531" w:type="pct"/>
                  <w:tcBorders>
                    <w:tl2br w:val="nil"/>
                    <w:tr2bl w:val="nil"/>
                  </w:tcBorders>
                  <w:noWrap w:val="0"/>
                  <w:vAlign w:val="center"/>
                </w:tcPr>
                <w:p w14:paraId="692B2A80">
                  <w:pPr>
                    <w:keepNext w:val="0"/>
                    <w:keepLines w:val="0"/>
                    <w:pageBreakBefore w:val="0"/>
                    <w:suppressLineNumbers w:val="0"/>
                    <w:kinsoku/>
                    <w:wordWrap/>
                    <w:overflowPunct/>
                    <w:topLinePunct w:val="0"/>
                    <w:bidi w:val="0"/>
                    <w:snapToGrid w:val="0"/>
                    <w:spacing w:before="0" w:beforeAutospacing="0" w:after="0" w:afterAutospacing="0" w:line="360" w:lineRule="exact"/>
                    <w:ind w:left="0" w:right="0"/>
                    <w:jc w:val="center"/>
                    <w:textAlignment w:val="auto"/>
                    <w:rPr>
                      <w:rFonts w:hint="default"/>
                      <w:color w:val="auto"/>
                      <w:szCs w:val="21"/>
                      <w:lang w:val="en-US" w:eastAsia="zh-CN"/>
                    </w:rPr>
                  </w:pPr>
                  <w:r>
                    <w:rPr>
                      <w:rFonts w:hint="eastAsia"/>
                      <w:color w:val="auto"/>
                      <w:szCs w:val="21"/>
                      <w:lang w:val="en-US" w:eastAsia="zh-CN"/>
                    </w:rPr>
                    <w:t>1台</w:t>
                  </w:r>
                </w:p>
              </w:tc>
              <w:tc>
                <w:tcPr>
                  <w:tcW w:w="675" w:type="pct"/>
                  <w:tcBorders>
                    <w:tl2br w:val="nil"/>
                    <w:tr2bl w:val="nil"/>
                  </w:tcBorders>
                  <w:noWrap w:val="0"/>
                  <w:vAlign w:val="center"/>
                </w:tcPr>
                <w:p w14:paraId="0C0D30CD">
                  <w:pPr>
                    <w:keepNext w:val="0"/>
                    <w:keepLines w:val="0"/>
                    <w:pageBreakBefore w:val="0"/>
                    <w:suppressLineNumbers w:val="0"/>
                    <w:kinsoku/>
                    <w:wordWrap/>
                    <w:overflowPunct/>
                    <w:topLinePunct w:val="0"/>
                    <w:bidi w:val="0"/>
                    <w:adjustRightInd w:val="0"/>
                    <w:snapToGrid w:val="0"/>
                    <w:spacing w:before="0" w:beforeAutospacing="0" w:after="0" w:afterAutospacing="0" w:line="360" w:lineRule="exact"/>
                    <w:ind w:left="0" w:right="0"/>
                    <w:jc w:val="center"/>
                    <w:textAlignment w:val="auto"/>
                    <w:rPr>
                      <w:rFonts w:hint="default"/>
                      <w:color w:val="auto"/>
                      <w:lang w:val="en-US" w:eastAsia="zh-CN"/>
                    </w:rPr>
                  </w:pPr>
                  <w:r>
                    <w:rPr>
                      <w:rFonts w:hint="eastAsia"/>
                      <w:color w:val="auto"/>
                      <w:lang w:val="en-US" w:eastAsia="zh-CN"/>
                    </w:rPr>
                    <w:t>5000h/a</w:t>
                  </w:r>
                </w:p>
              </w:tc>
              <w:tc>
                <w:tcPr>
                  <w:tcW w:w="901" w:type="pct"/>
                  <w:vMerge w:val="continue"/>
                  <w:tcBorders>
                    <w:tl2br w:val="nil"/>
                    <w:tr2bl w:val="nil"/>
                  </w:tcBorders>
                  <w:noWrap w:val="0"/>
                  <w:vAlign w:val="center"/>
                </w:tcPr>
                <w:p w14:paraId="7F2874A2">
                  <w:pPr>
                    <w:keepNext w:val="0"/>
                    <w:keepLines w:val="0"/>
                    <w:pageBreakBefore w:val="0"/>
                    <w:suppressLineNumbers w:val="0"/>
                    <w:kinsoku/>
                    <w:wordWrap/>
                    <w:overflowPunct/>
                    <w:topLinePunct w:val="0"/>
                    <w:bidi w:val="0"/>
                    <w:adjustRightInd w:val="0"/>
                    <w:snapToGrid w:val="0"/>
                    <w:spacing w:before="0" w:beforeAutospacing="0" w:after="0" w:afterAutospacing="0" w:line="360" w:lineRule="exact"/>
                    <w:ind w:left="0" w:right="0"/>
                    <w:jc w:val="center"/>
                    <w:textAlignment w:val="auto"/>
                    <w:rPr>
                      <w:rFonts w:hint="default"/>
                      <w:color w:val="auto"/>
                    </w:rPr>
                  </w:pPr>
                </w:p>
              </w:tc>
            </w:tr>
          </w:tbl>
          <w:p w14:paraId="6E7D98AD">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520" w:lineRule="exact"/>
              <w:ind w:left="0" w:right="0" w:firstLine="480" w:firstLineChars="200"/>
              <w:jc w:val="left"/>
              <w:textAlignment w:val="auto"/>
              <w:rPr>
                <w:rFonts w:hint="default"/>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2、</w:t>
            </w:r>
            <w:r>
              <w:rPr>
                <w:rFonts w:hint="default"/>
                <w:color w:val="000000" w:themeColor="text1"/>
                <w:sz w:val="24"/>
                <w:szCs w:val="24"/>
                <w:lang w:val="en-US" w:eastAsia="zh-CN"/>
                <w14:textFill>
                  <w14:solidFill>
                    <w14:schemeClr w14:val="tx1"/>
                  </w14:solidFill>
                </w14:textFill>
              </w:rPr>
              <w:t>噪声达标分析</w:t>
            </w:r>
          </w:p>
          <w:p w14:paraId="504CF872">
            <w:pPr>
              <w:keepNext w:val="0"/>
              <w:keepLines w:val="0"/>
              <w:pageBreakBefore w:val="0"/>
              <w:suppressLineNumbers w:val="0"/>
              <w:kinsoku/>
              <w:wordWrap/>
              <w:overflowPunct/>
              <w:topLinePunct w:val="0"/>
              <w:autoSpaceDE w:val="0"/>
              <w:autoSpaceDN w:val="0"/>
              <w:bidi w:val="0"/>
              <w:adjustRightInd w:val="0"/>
              <w:snapToGrid/>
              <w:spacing w:before="0" w:beforeAutospacing="0" w:after="0" w:afterAutospacing="0" w:line="520" w:lineRule="exact"/>
              <w:ind w:left="0" w:leftChars="0" w:right="0" w:firstLine="480" w:firstLineChars="200"/>
              <w:textAlignment w:val="auto"/>
              <w:rPr>
                <w:rFonts w:hint="default"/>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考虑平织机数量多，布置分散，但噪声源强较小，经基础减振后更小，趋于接近或低于区域背景噪声值，可忽略其对厂界的噪声贡献值。</w:t>
            </w:r>
          </w:p>
          <w:p w14:paraId="254626B5">
            <w:pPr>
              <w:keepNext w:val="0"/>
              <w:keepLines w:val="0"/>
              <w:pageBreakBefore w:val="0"/>
              <w:suppressLineNumbers w:val="0"/>
              <w:kinsoku/>
              <w:wordWrap/>
              <w:overflowPunct/>
              <w:topLinePunct w:val="0"/>
              <w:autoSpaceDE w:val="0"/>
              <w:autoSpaceDN w:val="0"/>
              <w:bidi w:val="0"/>
              <w:adjustRightInd w:val="0"/>
              <w:snapToGrid/>
              <w:spacing w:before="0" w:beforeAutospacing="0" w:after="0" w:afterAutospacing="0" w:line="520" w:lineRule="exact"/>
              <w:ind w:left="0" w:leftChars="0" w:right="0" w:firstLine="480" w:firstLineChars="200"/>
              <w:textAlignment w:val="auto"/>
              <w:rPr>
                <w:rFonts w:hint="default"/>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本项目生产设备均位于车间内，</w:t>
            </w:r>
            <w:r>
              <w:rPr>
                <w:rFonts w:hint="default"/>
                <w:color w:val="000000" w:themeColor="text1"/>
                <w:sz w:val="24"/>
                <w:szCs w:val="24"/>
                <w:lang w:val="en-US" w:eastAsia="zh-CN"/>
                <w14:textFill>
                  <w14:solidFill>
                    <w14:schemeClr w14:val="tx1"/>
                  </w14:solidFill>
                </w14:textFill>
              </w:rPr>
              <w:t>根据《环境影响评价技术导则 声环境》（HJ 2.4-2021）的要求，本次评价预测模式为：</w:t>
            </w:r>
          </w:p>
          <w:p w14:paraId="263D14A4">
            <w:pPr>
              <w:keepNext w:val="0"/>
              <w:keepLines w:val="0"/>
              <w:pageBreakBefore w:val="0"/>
              <w:suppressLineNumbers w:val="0"/>
              <w:kinsoku/>
              <w:wordWrap/>
              <w:overflowPunct/>
              <w:topLinePunct w:val="0"/>
              <w:autoSpaceDE w:val="0"/>
              <w:autoSpaceDN w:val="0"/>
              <w:bidi w:val="0"/>
              <w:adjustRightInd w:val="0"/>
              <w:snapToGrid/>
              <w:spacing w:before="0" w:beforeAutospacing="0" w:after="0" w:afterAutospacing="0" w:line="520" w:lineRule="exact"/>
              <w:ind w:left="0" w:leftChars="0" w:right="0" w:firstLine="480" w:firstLineChars="200"/>
              <w:textAlignment w:val="auto"/>
              <w:rPr>
                <w:rFonts w:hint="default"/>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①</w:t>
            </w:r>
            <w:r>
              <w:rPr>
                <w:rFonts w:hint="default"/>
                <w:color w:val="000000" w:themeColor="text1"/>
                <w:sz w:val="24"/>
                <w:szCs w:val="24"/>
                <w:lang w:val="en-US" w:eastAsia="zh-CN"/>
                <w14:textFill>
                  <w14:solidFill>
                    <w14:schemeClr w14:val="tx1"/>
                  </w14:solidFill>
                </w14:textFill>
              </w:rPr>
              <w:t>使用室内声源预测模型，计算出某个室内声源靠近围护结构处的声压级；</w:t>
            </w:r>
          </w:p>
          <w:p w14:paraId="4F6852F7">
            <w:pPr>
              <w:keepNext w:val="0"/>
              <w:keepLines w:val="0"/>
              <w:pageBreakBefore w:val="0"/>
              <w:suppressLineNumbers w:val="0"/>
              <w:kinsoku/>
              <w:wordWrap/>
              <w:overflowPunct/>
              <w:topLinePunct w:val="0"/>
              <w:autoSpaceDE w:val="0"/>
              <w:autoSpaceDN w:val="0"/>
              <w:bidi w:val="0"/>
              <w:adjustRightInd w:val="0"/>
              <w:snapToGrid/>
              <w:spacing w:before="0" w:beforeAutospacing="0" w:after="0" w:afterAutospacing="0" w:line="520" w:lineRule="exact"/>
              <w:ind w:left="0" w:leftChars="0" w:right="0" w:firstLine="480" w:firstLineChars="200"/>
              <w:textAlignment w:val="auto"/>
              <w:rPr>
                <w:rFonts w:hint="default"/>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②</w:t>
            </w:r>
            <w:r>
              <w:rPr>
                <w:rFonts w:hint="default"/>
                <w:color w:val="000000" w:themeColor="text1"/>
                <w:sz w:val="24"/>
                <w:szCs w:val="24"/>
                <w:lang w:val="en-US" w:eastAsia="zh-CN"/>
                <w14:textFill>
                  <w14:solidFill>
                    <w14:schemeClr w14:val="tx1"/>
                  </w14:solidFill>
                </w14:textFill>
              </w:rPr>
              <w:t>使用插入损失计算模型，计算出室内声源在围护结构外贡献的声压级；</w:t>
            </w:r>
          </w:p>
          <w:p w14:paraId="16B3C732">
            <w:pPr>
              <w:keepNext w:val="0"/>
              <w:keepLines w:val="0"/>
              <w:pageBreakBefore w:val="0"/>
              <w:suppressLineNumbers w:val="0"/>
              <w:kinsoku/>
              <w:wordWrap/>
              <w:overflowPunct/>
              <w:topLinePunct w:val="0"/>
              <w:autoSpaceDE w:val="0"/>
              <w:autoSpaceDN w:val="0"/>
              <w:bidi w:val="0"/>
              <w:adjustRightInd w:val="0"/>
              <w:snapToGrid/>
              <w:spacing w:before="0" w:beforeAutospacing="0" w:after="0" w:afterAutospacing="0" w:line="520" w:lineRule="exact"/>
              <w:ind w:left="0" w:leftChars="0" w:right="0" w:firstLine="480" w:firstLineChars="200"/>
              <w:textAlignment w:val="auto"/>
              <w:rPr>
                <w:rFonts w:hint="default"/>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③</w:t>
            </w:r>
            <w:r>
              <w:rPr>
                <w:rFonts w:hint="default"/>
                <w:color w:val="000000" w:themeColor="text1"/>
                <w:sz w:val="24"/>
                <w:szCs w:val="24"/>
                <w:lang w:val="en-US" w:eastAsia="zh-CN"/>
                <w14:textFill>
                  <w14:solidFill>
                    <w14:schemeClr w14:val="tx1"/>
                  </w14:solidFill>
                </w14:textFill>
              </w:rPr>
              <w:t>使用室外扩散模型，计算对预测点位贡献值。</w:t>
            </w:r>
          </w:p>
          <w:p w14:paraId="088C57EA">
            <w:pPr>
              <w:keepNext w:val="0"/>
              <w:keepLines w:val="0"/>
              <w:pageBreakBefore w:val="0"/>
              <w:suppressLineNumbers w:val="0"/>
              <w:kinsoku/>
              <w:wordWrap/>
              <w:overflowPunct/>
              <w:topLinePunct w:val="0"/>
              <w:autoSpaceDE w:val="0"/>
              <w:autoSpaceDN w:val="0"/>
              <w:bidi w:val="0"/>
              <w:adjustRightInd w:val="0"/>
              <w:snapToGrid/>
              <w:spacing w:before="0" w:beforeAutospacing="0" w:after="0" w:afterAutospacing="0" w:line="520" w:lineRule="exact"/>
              <w:ind w:left="0" w:leftChars="0" w:right="0" w:firstLine="480" w:firstLineChars="200"/>
              <w:textAlignment w:val="auto"/>
              <w:rPr>
                <w:rFonts w:hint="default"/>
                <w:color w:val="000000" w:themeColor="text1"/>
                <w:sz w:val="24"/>
                <w:szCs w:val="24"/>
                <w:lang w:val="en-US" w:eastAsia="zh-CN"/>
                <w14:textFill>
                  <w14:solidFill>
                    <w14:schemeClr w14:val="tx1"/>
                  </w14:solidFill>
                </w14:textFill>
              </w:rPr>
            </w:pPr>
            <w:r>
              <w:rPr>
                <w:rFonts w:hint="default"/>
                <w:color w:val="000000" w:themeColor="text1"/>
                <w:sz w:val="24"/>
                <w:szCs w:val="24"/>
                <w:lang w:val="en-US" w:eastAsia="zh-CN"/>
                <w14:textFill>
                  <w14:solidFill>
                    <w14:schemeClr w14:val="tx1"/>
                  </w14:solidFill>
                </w14:textFill>
              </w:rPr>
              <w:t>预测并给出厂界噪声最大值及位置。</w:t>
            </w:r>
          </w:p>
          <w:p w14:paraId="3D7362AE">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520" w:lineRule="exact"/>
              <w:ind w:left="0" w:right="0"/>
              <w:jc w:val="center"/>
              <w:textAlignment w:val="auto"/>
              <w:rPr>
                <w:rFonts w:hint="default" w:eastAsia="黑体" w:cs="Times New Roman"/>
                <w:b w:val="0"/>
                <w:bCs w:val="0"/>
                <w:color w:val="000000" w:themeColor="text1"/>
                <w:sz w:val="24"/>
                <w:szCs w:val="24"/>
                <w:highlight w:val="none"/>
                <w:lang w:val="en-US" w:eastAsia="zh-CN"/>
                <w14:textFill>
                  <w14:solidFill>
                    <w14:schemeClr w14:val="tx1"/>
                  </w14:solidFill>
                </w14:textFill>
              </w:rPr>
            </w:pPr>
            <w:r>
              <w:rPr>
                <w:rFonts w:hint="default" w:eastAsia="黑体" w:cs="Times New Roman"/>
                <w:b w:val="0"/>
                <w:bCs w:val="0"/>
                <w:color w:val="000000" w:themeColor="text1"/>
                <w:sz w:val="24"/>
                <w:szCs w:val="24"/>
                <w:highlight w:val="none"/>
                <w:lang w:val="en-US" w:eastAsia="zh-CN"/>
                <w14:textFill>
                  <w14:solidFill>
                    <w14:schemeClr w14:val="tx1"/>
                  </w14:solidFill>
                </w14:textFill>
              </w:rPr>
              <w:t>表</w:t>
            </w:r>
            <w:r>
              <w:rPr>
                <w:rFonts w:hint="eastAsia" w:eastAsia="黑体" w:cs="Times New Roman"/>
                <w:b w:val="0"/>
                <w:bCs w:val="0"/>
                <w:color w:val="000000" w:themeColor="text1"/>
                <w:sz w:val="24"/>
                <w:szCs w:val="24"/>
                <w:highlight w:val="none"/>
                <w:lang w:val="en-US" w:eastAsia="zh-CN"/>
                <w14:textFill>
                  <w14:solidFill>
                    <w14:schemeClr w14:val="tx1"/>
                  </w14:solidFill>
                </w14:textFill>
              </w:rPr>
              <w:t>4-9</w:t>
            </w:r>
            <w:r>
              <w:rPr>
                <w:rFonts w:hint="default" w:eastAsia="黑体" w:cs="Times New Roman"/>
                <w:b w:val="0"/>
                <w:bCs w:val="0"/>
                <w:color w:val="000000" w:themeColor="text1"/>
                <w:sz w:val="24"/>
                <w:szCs w:val="24"/>
                <w:highlight w:val="none"/>
                <w:lang w:val="en-US" w:eastAsia="zh-CN"/>
                <w14:textFill>
                  <w14:solidFill>
                    <w14:schemeClr w14:val="tx1"/>
                  </w14:solidFill>
                </w14:textFill>
              </w:rPr>
              <w:t xml:space="preserve"> </w:t>
            </w:r>
            <w:r>
              <w:rPr>
                <w:rFonts w:hint="eastAsia" w:eastAsia="黑体" w:cs="Times New Roman"/>
                <w:b w:val="0"/>
                <w:bCs w:val="0"/>
                <w:color w:val="000000" w:themeColor="text1"/>
                <w:sz w:val="24"/>
                <w:szCs w:val="24"/>
                <w:highlight w:val="none"/>
                <w:lang w:val="en-US" w:eastAsia="zh-CN"/>
                <w14:textFill>
                  <w14:solidFill>
                    <w14:schemeClr w14:val="tx1"/>
                  </w14:solidFill>
                </w14:textFill>
              </w:rPr>
              <w:t xml:space="preserve"> 工业企业噪声源强调查清单（室内声源）</w:t>
            </w:r>
          </w:p>
          <w:tbl>
            <w:tblPr>
              <w:tblStyle w:val="25"/>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414"/>
              <w:gridCol w:w="470"/>
              <w:gridCol w:w="486"/>
              <w:gridCol w:w="594"/>
              <w:gridCol w:w="404"/>
              <w:gridCol w:w="404"/>
              <w:gridCol w:w="247"/>
              <w:gridCol w:w="415"/>
              <w:gridCol w:w="325"/>
              <w:gridCol w:w="325"/>
              <w:gridCol w:w="325"/>
              <w:gridCol w:w="338"/>
              <w:gridCol w:w="338"/>
              <w:gridCol w:w="338"/>
              <w:gridCol w:w="338"/>
              <w:gridCol w:w="856"/>
              <w:gridCol w:w="339"/>
              <w:gridCol w:w="339"/>
              <w:gridCol w:w="339"/>
              <w:gridCol w:w="339"/>
              <w:gridCol w:w="219"/>
            </w:tblGrid>
            <w:tr w14:paraId="029CB6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9" w:hRule="atLeast"/>
              </w:trPr>
              <w:tc>
                <w:tcPr>
                  <w:tcW w:w="0" w:type="auto"/>
                  <w:vMerge w:val="restart"/>
                  <w:tcBorders>
                    <w:tl2br w:val="nil"/>
                    <w:tr2bl w:val="nil"/>
                  </w:tcBorders>
                  <w:shd w:val="clear" w:color="auto" w:fill="auto"/>
                  <w:vAlign w:val="center"/>
                </w:tcPr>
                <w:p w14:paraId="624496B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eastAsiaTheme="minorEastAsia"/>
                      <w:b w:val="0"/>
                      <w:bCs/>
                      <w:color w:val="auto"/>
                      <w:sz w:val="18"/>
                      <w:szCs w:val="18"/>
                    </w:rPr>
                  </w:pPr>
                  <w:bookmarkStart w:id="34" w:name="PT_6"/>
                  <w:r>
                    <w:rPr>
                      <w:rFonts w:hint="default" w:ascii="Times New Roman" w:hAnsi="Times New Roman" w:cs="Times New Roman" w:eastAsiaTheme="minorEastAsia"/>
                      <w:b w:val="0"/>
                      <w:bCs/>
                      <w:color w:val="auto"/>
                      <w:sz w:val="18"/>
                      <w:szCs w:val="18"/>
                    </w:rPr>
                    <w:t>序号</w:t>
                  </w:r>
                </w:p>
              </w:tc>
              <w:tc>
                <w:tcPr>
                  <w:tcW w:w="0" w:type="auto"/>
                  <w:vMerge w:val="restart"/>
                  <w:tcBorders>
                    <w:tl2br w:val="nil"/>
                    <w:tr2bl w:val="nil"/>
                  </w:tcBorders>
                  <w:shd w:val="clear" w:color="auto" w:fill="auto"/>
                  <w:vAlign w:val="center"/>
                </w:tcPr>
                <w:p w14:paraId="61F6D6F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eastAsiaTheme="minorEastAsia"/>
                      <w:b w:val="0"/>
                      <w:bCs/>
                      <w:color w:val="auto"/>
                      <w:sz w:val="18"/>
                      <w:szCs w:val="18"/>
                    </w:rPr>
                  </w:pPr>
                  <w:r>
                    <w:rPr>
                      <w:rFonts w:hint="default" w:ascii="Times New Roman" w:hAnsi="Times New Roman" w:cs="Times New Roman" w:eastAsiaTheme="minorEastAsia"/>
                      <w:b w:val="0"/>
                      <w:bCs/>
                      <w:color w:val="auto"/>
                      <w:sz w:val="18"/>
                      <w:szCs w:val="18"/>
                    </w:rPr>
                    <w:t>建筑物名称</w:t>
                  </w:r>
                </w:p>
              </w:tc>
              <w:tc>
                <w:tcPr>
                  <w:tcW w:w="0" w:type="auto"/>
                  <w:vMerge w:val="restart"/>
                  <w:tcBorders>
                    <w:tl2br w:val="nil"/>
                    <w:tr2bl w:val="nil"/>
                  </w:tcBorders>
                  <w:shd w:val="clear" w:color="auto" w:fill="auto"/>
                  <w:vAlign w:val="center"/>
                </w:tcPr>
                <w:p w14:paraId="1BA261B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eastAsiaTheme="minorEastAsia"/>
                      <w:b w:val="0"/>
                      <w:bCs/>
                      <w:color w:val="auto"/>
                      <w:sz w:val="18"/>
                      <w:szCs w:val="18"/>
                    </w:rPr>
                  </w:pPr>
                  <w:r>
                    <w:rPr>
                      <w:rFonts w:hint="default" w:ascii="Times New Roman" w:hAnsi="Times New Roman" w:cs="Times New Roman" w:eastAsiaTheme="minorEastAsia"/>
                      <w:b w:val="0"/>
                      <w:bCs/>
                      <w:color w:val="auto"/>
                      <w:sz w:val="18"/>
                      <w:szCs w:val="18"/>
                    </w:rPr>
                    <w:t>声源名称</w:t>
                  </w:r>
                </w:p>
              </w:tc>
              <w:tc>
                <w:tcPr>
                  <w:tcW w:w="0" w:type="auto"/>
                  <w:tcBorders>
                    <w:tl2br w:val="nil"/>
                    <w:tr2bl w:val="nil"/>
                  </w:tcBorders>
                  <w:shd w:val="clear" w:color="auto" w:fill="auto"/>
                  <w:vAlign w:val="center"/>
                </w:tcPr>
                <w:p w14:paraId="0DD5FC2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b w:val="0"/>
                      <w:bCs/>
                      <w:color w:val="auto"/>
                      <w:sz w:val="18"/>
                      <w:szCs w:val="18"/>
                      <w:lang w:val="en-US" w:eastAsia="zh-CN"/>
                    </w:rPr>
                  </w:pPr>
                  <w:r>
                    <w:rPr>
                      <w:rFonts w:hint="default" w:ascii="Times New Roman" w:hAnsi="Times New Roman" w:cs="Times New Roman"/>
                      <w:b w:val="0"/>
                      <w:bCs/>
                      <w:color w:val="auto"/>
                      <w:sz w:val="18"/>
                      <w:szCs w:val="18"/>
                      <w:lang w:val="en-US" w:eastAsia="zh-CN"/>
                    </w:rPr>
                    <w:t>源强</w:t>
                  </w:r>
                </w:p>
              </w:tc>
              <w:tc>
                <w:tcPr>
                  <w:tcW w:w="0" w:type="auto"/>
                  <w:gridSpan w:val="3"/>
                  <w:tcBorders>
                    <w:tl2br w:val="nil"/>
                    <w:tr2bl w:val="nil"/>
                  </w:tcBorders>
                  <w:shd w:val="clear" w:color="auto" w:fill="auto"/>
                  <w:vAlign w:val="center"/>
                </w:tcPr>
                <w:p w14:paraId="7E5654D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b w:val="0"/>
                      <w:bCs/>
                      <w:color w:val="auto"/>
                      <w:sz w:val="18"/>
                      <w:szCs w:val="18"/>
                      <w:lang w:val="en-US"/>
                    </w:rPr>
                  </w:pPr>
                  <w:r>
                    <w:rPr>
                      <w:rFonts w:hint="default" w:ascii="Times New Roman" w:hAnsi="Times New Roman" w:cs="Times New Roman"/>
                      <w:b w:val="0"/>
                      <w:bCs/>
                      <w:color w:val="auto"/>
                      <w:sz w:val="18"/>
                      <w:szCs w:val="18"/>
                      <w:lang w:val="en-US"/>
                    </w:rPr>
                    <w:t>空间相对位置/m</w:t>
                  </w:r>
                </w:p>
              </w:tc>
              <w:tc>
                <w:tcPr>
                  <w:tcW w:w="0" w:type="auto"/>
                  <w:gridSpan w:val="4"/>
                  <w:tcBorders>
                    <w:tl2br w:val="nil"/>
                    <w:tr2bl w:val="nil"/>
                  </w:tcBorders>
                  <w:shd w:val="clear" w:color="auto" w:fill="auto"/>
                  <w:vAlign w:val="center"/>
                </w:tcPr>
                <w:p w14:paraId="01A48EE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b w:val="0"/>
                      <w:bCs/>
                      <w:color w:val="auto"/>
                      <w:sz w:val="18"/>
                      <w:szCs w:val="18"/>
                      <w:lang w:val="en-US"/>
                    </w:rPr>
                  </w:pPr>
                  <w:r>
                    <w:rPr>
                      <w:rFonts w:hint="default" w:ascii="Times New Roman" w:hAnsi="Times New Roman" w:cs="Times New Roman"/>
                      <w:b w:val="0"/>
                      <w:bCs/>
                      <w:color w:val="auto"/>
                      <w:sz w:val="18"/>
                      <w:szCs w:val="18"/>
                      <w:lang w:val="en-US"/>
                    </w:rPr>
                    <w:t>距室内边</w:t>
                  </w:r>
                </w:p>
                <w:p w14:paraId="32BFC10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b w:val="0"/>
                      <w:bCs/>
                      <w:color w:val="auto"/>
                      <w:sz w:val="18"/>
                      <w:szCs w:val="18"/>
                      <w:lang w:val="en-US"/>
                    </w:rPr>
                  </w:pPr>
                  <w:r>
                    <w:rPr>
                      <w:rFonts w:hint="default" w:ascii="Times New Roman" w:hAnsi="Times New Roman" w:cs="Times New Roman"/>
                      <w:b w:val="0"/>
                      <w:bCs/>
                      <w:color w:val="auto"/>
                      <w:sz w:val="18"/>
                      <w:szCs w:val="18"/>
                      <w:lang w:val="en-US"/>
                    </w:rPr>
                    <w:t>界距离/m</w:t>
                  </w:r>
                </w:p>
              </w:tc>
              <w:tc>
                <w:tcPr>
                  <w:tcW w:w="0" w:type="auto"/>
                  <w:gridSpan w:val="4"/>
                  <w:tcBorders>
                    <w:tl2br w:val="nil"/>
                    <w:tr2bl w:val="nil"/>
                  </w:tcBorders>
                  <w:shd w:val="clear" w:color="auto" w:fill="auto"/>
                  <w:vAlign w:val="center"/>
                </w:tcPr>
                <w:p w14:paraId="76490E4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b w:val="0"/>
                      <w:bCs/>
                      <w:color w:val="auto"/>
                      <w:sz w:val="18"/>
                      <w:szCs w:val="18"/>
                      <w:lang w:val="en-US"/>
                    </w:rPr>
                  </w:pPr>
                  <w:r>
                    <w:rPr>
                      <w:rFonts w:hint="default" w:ascii="Times New Roman" w:hAnsi="Times New Roman" w:cs="Times New Roman"/>
                      <w:b w:val="0"/>
                      <w:bCs/>
                      <w:color w:val="auto"/>
                      <w:sz w:val="18"/>
                      <w:szCs w:val="18"/>
                      <w:lang w:val="en-US"/>
                    </w:rPr>
                    <w:t>室内边界声级/dB(A)</w:t>
                  </w:r>
                </w:p>
              </w:tc>
              <w:tc>
                <w:tcPr>
                  <w:tcW w:w="0" w:type="auto"/>
                  <w:vMerge w:val="restart"/>
                  <w:tcBorders>
                    <w:tl2br w:val="nil"/>
                    <w:tr2bl w:val="nil"/>
                  </w:tcBorders>
                  <w:shd w:val="clear" w:color="auto" w:fill="auto"/>
                  <w:vAlign w:val="center"/>
                </w:tcPr>
                <w:p w14:paraId="521EC78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b w:val="0"/>
                      <w:bCs/>
                      <w:color w:val="auto"/>
                      <w:sz w:val="18"/>
                      <w:szCs w:val="18"/>
                      <w:lang w:val="en-US"/>
                    </w:rPr>
                  </w:pPr>
                  <w:r>
                    <w:rPr>
                      <w:rFonts w:hint="default" w:ascii="Times New Roman" w:hAnsi="Times New Roman" w:cs="Times New Roman"/>
                      <w:b w:val="0"/>
                      <w:bCs/>
                      <w:color w:val="auto"/>
                      <w:sz w:val="18"/>
                      <w:szCs w:val="18"/>
                      <w:lang w:val="en-US"/>
                    </w:rPr>
                    <w:t>建筑物插入损失/dB(A)</w:t>
                  </w:r>
                  <w:bookmarkStart w:id="35" w:name="PT_10"/>
                  <w:bookmarkEnd w:id="35"/>
                </w:p>
              </w:tc>
              <w:tc>
                <w:tcPr>
                  <w:tcW w:w="0" w:type="auto"/>
                  <w:gridSpan w:val="5"/>
                  <w:tcBorders>
                    <w:tl2br w:val="nil"/>
                    <w:tr2bl w:val="nil"/>
                  </w:tcBorders>
                  <w:shd w:val="clear" w:color="auto" w:fill="auto"/>
                  <w:vAlign w:val="center"/>
                </w:tcPr>
                <w:p w14:paraId="0885595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b w:val="0"/>
                      <w:bCs/>
                      <w:color w:val="auto"/>
                      <w:sz w:val="18"/>
                      <w:szCs w:val="18"/>
                      <w:lang w:val="en-US"/>
                    </w:rPr>
                  </w:pPr>
                  <w:r>
                    <w:rPr>
                      <w:rFonts w:hint="default" w:ascii="Times New Roman" w:hAnsi="Times New Roman" w:cs="Times New Roman"/>
                      <w:b w:val="0"/>
                      <w:bCs/>
                      <w:color w:val="auto"/>
                      <w:sz w:val="18"/>
                      <w:szCs w:val="18"/>
                      <w:lang w:val="en-US"/>
                    </w:rPr>
                    <w:t>建筑物外噪声声压级/dB(A)</w:t>
                  </w:r>
                </w:p>
              </w:tc>
            </w:tr>
            <w:tr w14:paraId="6F5DEF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9" w:hRule="atLeast"/>
              </w:trPr>
              <w:tc>
                <w:tcPr>
                  <w:tcW w:w="0" w:type="auto"/>
                  <w:vMerge w:val="continue"/>
                  <w:tcBorders>
                    <w:tl2br w:val="nil"/>
                    <w:tr2bl w:val="nil"/>
                  </w:tcBorders>
                  <w:shd w:val="clear" w:color="auto" w:fill="auto"/>
                  <w:tcMar>
                    <w:top w:w="0" w:type="dxa"/>
                    <w:left w:w="0" w:type="dxa"/>
                    <w:bottom w:w="0" w:type="dxa"/>
                    <w:right w:w="0" w:type="dxa"/>
                  </w:tcMar>
                  <w:vAlign w:val="center"/>
                </w:tcPr>
                <w:p w14:paraId="1358E70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eastAsiaTheme="minorEastAsia"/>
                      <w:b w:val="0"/>
                      <w:bCs/>
                      <w:color w:val="auto"/>
                      <w:sz w:val="18"/>
                      <w:szCs w:val="18"/>
                      <w:lang w:val="en-US" w:eastAsia="zh-CN"/>
                    </w:rPr>
                  </w:pPr>
                </w:p>
              </w:tc>
              <w:tc>
                <w:tcPr>
                  <w:tcW w:w="0" w:type="auto"/>
                  <w:vMerge w:val="continue"/>
                  <w:tcBorders>
                    <w:tl2br w:val="nil"/>
                    <w:tr2bl w:val="nil"/>
                  </w:tcBorders>
                  <w:shd w:val="clear" w:color="auto" w:fill="auto"/>
                  <w:tcMar>
                    <w:top w:w="0" w:type="dxa"/>
                    <w:left w:w="0" w:type="dxa"/>
                    <w:bottom w:w="0" w:type="dxa"/>
                    <w:right w:w="0" w:type="dxa"/>
                  </w:tcMar>
                  <w:vAlign w:val="center"/>
                </w:tcPr>
                <w:p w14:paraId="0C33A7A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eastAsiaTheme="minorEastAsia"/>
                      <w:b w:val="0"/>
                      <w:bCs/>
                      <w:color w:val="auto"/>
                      <w:sz w:val="18"/>
                      <w:szCs w:val="18"/>
                    </w:rPr>
                  </w:pPr>
                </w:p>
              </w:tc>
              <w:tc>
                <w:tcPr>
                  <w:tcW w:w="0" w:type="auto"/>
                  <w:vMerge w:val="continue"/>
                  <w:tcBorders>
                    <w:tl2br w:val="nil"/>
                    <w:tr2bl w:val="nil"/>
                  </w:tcBorders>
                  <w:shd w:val="clear" w:color="auto" w:fill="auto"/>
                  <w:tcMar>
                    <w:top w:w="0" w:type="dxa"/>
                    <w:left w:w="0" w:type="dxa"/>
                    <w:bottom w:w="0" w:type="dxa"/>
                    <w:right w:w="0" w:type="dxa"/>
                  </w:tcMar>
                  <w:vAlign w:val="center"/>
                </w:tcPr>
                <w:p w14:paraId="75052B5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eastAsiaTheme="minorEastAsia"/>
                      <w:b w:val="0"/>
                      <w:bCs/>
                      <w:color w:val="auto"/>
                      <w:sz w:val="18"/>
                      <w:szCs w:val="18"/>
                    </w:rPr>
                  </w:pPr>
                </w:p>
              </w:tc>
              <w:tc>
                <w:tcPr>
                  <w:tcW w:w="0" w:type="auto"/>
                  <w:tcBorders>
                    <w:tl2br w:val="nil"/>
                    <w:tr2bl w:val="nil"/>
                  </w:tcBorders>
                  <w:shd w:val="clear" w:color="auto" w:fill="auto"/>
                  <w:tcMar>
                    <w:top w:w="0" w:type="dxa"/>
                    <w:left w:w="0" w:type="dxa"/>
                    <w:bottom w:w="0" w:type="dxa"/>
                    <w:right w:w="0" w:type="dxa"/>
                  </w:tcMar>
                  <w:vAlign w:val="center"/>
                </w:tcPr>
                <w:p w14:paraId="74DF251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eastAsiaTheme="minorEastAsia"/>
                      <w:b w:val="0"/>
                      <w:bCs/>
                      <w:color w:val="auto"/>
                      <w:sz w:val="18"/>
                      <w:szCs w:val="18"/>
                    </w:rPr>
                  </w:pPr>
                  <w:r>
                    <w:rPr>
                      <w:rFonts w:hint="default" w:ascii="Times New Roman" w:hAnsi="Times New Roman" w:cs="Times New Roman" w:eastAsiaTheme="minorEastAsia"/>
                      <w:b w:val="0"/>
                      <w:bCs/>
                      <w:color w:val="auto"/>
                      <w:sz w:val="18"/>
                      <w:szCs w:val="18"/>
                    </w:rPr>
                    <w:t>声功率级/dB(A)</w:t>
                  </w:r>
                </w:p>
              </w:tc>
              <w:tc>
                <w:tcPr>
                  <w:tcW w:w="0" w:type="auto"/>
                  <w:tcBorders>
                    <w:tl2br w:val="nil"/>
                    <w:tr2bl w:val="nil"/>
                  </w:tcBorders>
                  <w:shd w:val="clear" w:color="auto" w:fill="auto"/>
                  <w:tcMar>
                    <w:top w:w="0" w:type="dxa"/>
                    <w:left w:w="0" w:type="dxa"/>
                    <w:bottom w:w="0" w:type="dxa"/>
                    <w:right w:w="0" w:type="dxa"/>
                  </w:tcMar>
                  <w:vAlign w:val="center"/>
                </w:tcPr>
                <w:p w14:paraId="6C100E6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eastAsiaTheme="minorEastAsia"/>
                      <w:b w:val="0"/>
                      <w:bCs/>
                      <w:color w:val="auto"/>
                      <w:sz w:val="18"/>
                      <w:szCs w:val="18"/>
                    </w:rPr>
                  </w:pPr>
                  <w:r>
                    <w:rPr>
                      <w:rFonts w:hint="default" w:ascii="Times New Roman" w:hAnsi="Times New Roman" w:cs="Times New Roman" w:eastAsiaTheme="minorEastAsia"/>
                      <w:b w:val="0"/>
                      <w:bCs/>
                      <w:color w:val="auto"/>
                      <w:sz w:val="18"/>
                      <w:szCs w:val="18"/>
                    </w:rPr>
                    <w:t>X</w:t>
                  </w:r>
                </w:p>
              </w:tc>
              <w:tc>
                <w:tcPr>
                  <w:tcW w:w="0" w:type="auto"/>
                  <w:tcBorders>
                    <w:tl2br w:val="nil"/>
                    <w:tr2bl w:val="nil"/>
                  </w:tcBorders>
                  <w:shd w:val="clear" w:color="auto" w:fill="auto"/>
                  <w:tcMar>
                    <w:top w:w="0" w:type="dxa"/>
                    <w:left w:w="0" w:type="dxa"/>
                    <w:bottom w:w="0" w:type="dxa"/>
                    <w:right w:w="0" w:type="dxa"/>
                  </w:tcMar>
                  <w:vAlign w:val="center"/>
                </w:tcPr>
                <w:p w14:paraId="3DA22A7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eastAsiaTheme="minorEastAsia"/>
                      <w:b w:val="0"/>
                      <w:bCs/>
                      <w:color w:val="auto"/>
                      <w:sz w:val="18"/>
                      <w:szCs w:val="18"/>
                    </w:rPr>
                  </w:pPr>
                  <w:r>
                    <w:rPr>
                      <w:rFonts w:hint="default" w:ascii="Times New Roman" w:hAnsi="Times New Roman" w:cs="Times New Roman" w:eastAsiaTheme="minorEastAsia"/>
                      <w:b w:val="0"/>
                      <w:bCs/>
                      <w:color w:val="auto"/>
                      <w:sz w:val="18"/>
                      <w:szCs w:val="18"/>
                    </w:rPr>
                    <w:t>Y</w:t>
                  </w:r>
                </w:p>
              </w:tc>
              <w:tc>
                <w:tcPr>
                  <w:tcW w:w="0" w:type="auto"/>
                  <w:tcBorders>
                    <w:tl2br w:val="nil"/>
                    <w:tr2bl w:val="nil"/>
                  </w:tcBorders>
                  <w:shd w:val="clear" w:color="auto" w:fill="auto"/>
                  <w:tcMar>
                    <w:top w:w="0" w:type="dxa"/>
                    <w:left w:w="0" w:type="dxa"/>
                    <w:bottom w:w="0" w:type="dxa"/>
                    <w:right w:w="0" w:type="dxa"/>
                  </w:tcMar>
                  <w:vAlign w:val="center"/>
                </w:tcPr>
                <w:p w14:paraId="6D422D2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eastAsiaTheme="minorEastAsia"/>
                      <w:b w:val="0"/>
                      <w:bCs/>
                      <w:color w:val="auto"/>
                      <w:sz w:val="18"/>
                      <w:szCs w:val="18"/>
                    </w:rPr>
                  </w:pPr>
                  <w:r>
                    <w:rPr>
                      <w:rFonts w:hint="default" w:ascii="Times New Roman" w:hAnsi="Times New Roman" w:cs="Times New Roman" w:eastAsiaTheme="minorEastAsia"/>
                      <w:b w:val="0"/>
                      <w:bCs/>
                      <w:color w:val="auto"/>
                      <w:sz w:val="18"/>
                      <w:szCs w:val="18"/>
                    </w:rPr>
                    <w:t>Z</w:t>
                  </w:r>
                </w:p>
              </w:tc>
              <w:tc>
                <w:tcPr>
                  <w:tcW w:w="0" w:type="auto"/>
                  <w:tcBorders>
                    <w:tl2br w:val="nil"/>
                    <w:tr2bl w:val="nil"/>
                  </w:tcBorders>
                  <w:shd w:val="clear" w:color="auto" w:fill="auto"/>
                  <w:tcMar>
                    <w:top w:w="0" w:type="dxa"/>
                    <w:left w:w="0" w:type="dxa"/>
                    <w:bottom w:w="0" w:type="dxa"/>
                    <w:right w:w="0" w:type="dxa"/>
                  </w:tcMar>
                  <w:vAlign w:val="center"/>
                </w:tcPr>
                <w:p w14:paraId="0FD1A20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eastAsiaTheme="minorEastAsia"/>
                      <w:b w:val="0"/>
                      <w:bCs/>
                      <w:color w:val="auto"/>
                      <w:sz w:val="18"/>
                      <w:szCs w:val="18"/>
                    </w:rPr>
                  </w:pPr>
                  <w:r>
                    <w:rPr>
                      <w:rFonts w:hint="default" w:ascii="Times New Roman" w:hAnsi="Times New Roman" w:cs="Times New Roman" w:eastAsiaTheme="minorEastAsia"/>
                      <w:b w:val="0"/>
                      <w:bCs/>
                      <w:color w:val="auto"/>
                      <w:sz w:val="18"/>
                      <w:szCs w:val="18"/>
                      <w:lang w:val="en-US" w:eastAsia="zh-CN"/>
                    </w:rPr>
                    <w:t>东</w:t>
                  </w:r>
                </w:p>
              </w:tc>
              <w:tc>
                <w:tcPr>
                  <w:tcW w:w="0" w:type="auto"/>
                  <w:tcBorders>
                    <w:tl2br w:val="nil"/>
                    <w:tr2bl w:val="nil"/>
                  </w:tcBorders>
                  <w:shd w:val="clear" w:color="auto" w:fill="auto"/>
                  <w:tcMar>
                    <w:top w:w="0" w:type="dxa"/>
                    <w:left w:w="0" w:type="dxa"/>
                    <w:bottom w:w="0" w:type="dxa"/>
                    <w:right w:w="0" w:type="dxa"/>
                  </w:tcMar>
                  <w:vAlign w:val="center"/>
                </w:tcPr>
                <w:p w14:paraId="2B42FE3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eastAsiaTheme="minorEastAsia"/>
                      <w:b w:val="0"/>
                      <w:bCs/>
                      <w:color w:val="auto"/>
                      <w:sz w:val="18"/>
                      <w:szCs w:val="18"/>
                    </w:rPr>
                  </w:pPr>
                  <w:r>
                    <w:rPr>
                      <w:rFonts w:hint="default" w:ascii="Times New Roman" w:hAnsi="Times New Roman" w:cs="Times New Roman" w:eastAsiaTheme="minorEastAsia"/>
                      <w:b w:val="0"/>
                      <w:bCs/>
                      <w:color w:val="auto"/>
                      <w:sz w:val="18"/>
                      <w:szCs w:val="18"/>
                      <w:lang w:val="en-US" w:eastAsia="zh-CN"/>
                    </w:rPr>
                    <w:t>南</w:t>
                  </w:r>
                </w:p>
              </w:tc>
              <w:tc>
                <w:tcPr>
                  <w:tcW w:w="0" w:type="auto"/>
                  <w:tcBorders>
                    <w:tl2br w:val="nil"/>
                    <w:tr2bl w:val="nil"/>
                  </w:tcBorders>
                  <w:shd w:val="clear" w:color="auto" w:fill="auto"/>
                  <w:tcMar>
                    <w:top w:w="0" w:type="dxa"/>
                    <w:left w:w="0" w:type="dxa"/>
                    <w:bottom w:w="0" w:type="dxa"/>
                    <w:right w:w="0" w:type="dxa"/>
                  </w:tcMar>
                  <w:vAlign w:val="center"/>
                </w:tcPr>
                <w:p w14:paraId="718F737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eastAsiaTheme="minorEastAsia"/>
                      <w:b w:val="0"/>
                      <w:bCs/>
                      <w:color w:val="auto"/>
                      <w:sz w:val="18"/>
                      <w:szCs w:val="18"/>
                    </w:rPr>
                  </w:pPr>
                  <w:r>
                    <w:rPr>
                      <w:rFonts w:hint="default" w:ascii="Times New Roman" w:hAnsi="Times New Roman" w:cs="Times New Roman" w:eastAsiaTheme="minorEastAsia"/>
                      <w:b w:val="0"/>
                      <w:bCs/>
                      <w:color w:val="auto"/>
                      <w:sz w:val="18"/>
                      <w:szCs w:val="18"/>
                      <w:lang w:val="en-US" w:eastAsia="zh-CN"/>
                    </w:rPr>
                    <w:t>西</w:t>
                  </w:r>
                </w:p>
              </w:tc>
              <w:tc>
                <w:tcPr>
                  <w:tcW w:w="0" w:type="auto"/>
                  <w:tcBorders>
                    <w:tl2br w:val="nil"/>
                    <w:tr2bl w:val="nil"/>
                  </w:tcBorders>
                  <w:shd w:val="clear" w:color="auto" w:fill="auto"/>
                  <w:tcMar>
                    <w:top w:w="0" w:type="dxa"/>
                    <w:left w:w="0" w:type="dxa"/>
                    <w:bottom w:w="0" w:type="dxa"/>
                    <w:right w:w="0" w:type="dxa"/>
                  </w:tcMar>
                  <w:vAlign w:val="center"/>
                </w:tcPr>
                <w:p w14:paraId="0BC96D2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eastAsiaTheme="minorEastAsia"/>
                      <w:b w:val="0"/>
                      <w:bCs/>
                      <w:color w:val="auto"/>
                      <w:sz w:val="18"/>
                      <w:szCs w:val="18"/>
                    </w:rPr>
                  </w:pPr>
                  <w:r>
                    <w:rPr>
                      <w:rFonts w:hint="default" w:ascii="Times New Roman" w:hAnsi="Times New Roman" w:cs="Times New Roman" w:eastAsiaTheme="minorEastAsia"/>
                      <w:b w:val="0"/>
                      <w:bCs/>
                      <w:color w:val="auto"/>
                      <w:sz w:val="18"/>
                      <w:szCs w:val="18"/>
                      <w:lang w:val="en-US" w:eastAsia="zh-CN"/>
                    </w:rPr>
                    <w:t>北</w:t>
                  </w:r>
                </w:p>
              </w:tc>
              <w:tc>
                <w:tcPr>
                  <w:tcW w:w="0" w:type="auto"/>
                  <w:tcBorders>
                    <w:tl2br w:val="nil"/>
                    <w:tr2bl w:val="nil"/>
                  </w:tcBorders>
                  <w:shd w:val="clear" w:color="auto" w:fill="auto"/>
                  <w:tcMar>
                    <w:top w:w="0" w:type="dxa"/>
                    <w:left w:w="0" w:type="dxa"/>
                    <w:bottom w:w="0" w:type="dxa"/>
                    <w:right w:w="0" w:type="dxa"/>
                  </w:tcMar>
                  <w:vAlign w:val="center"/>
                </w:tcPr>
                <w:p w14:paraId="6E7A3DB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eastAsiaTheme="minorEastAsia"/>
                      <w:b w:val="0"/>
                      <w:bCs/>
                      <w:color w:val="auto"/>
                      <w:sz w:val="18"/>
                      <w:szCs w:val="18"/>
                    </w:rPr>
                  </w:pPr>
                  <w:r>
                    <w:rPr>
                      <w:rFonts w:hint="default" w:ascii="Times New Roman" w:hAnsi="Times New Roman" w:cs="Times New Roman" w:eastAsiaTheme="minorEastAsia"/>
                      <w:b w:val="0"/>
                      <w:bCs/>
                      <w:color w:val="auto"/>
                      <w:sz w:val="18"/>
                      <w:szCs w:val="18"/>
                      <w:lang w:val="en-US" w:eastAsia="zh-CN"/>
                    </w:rPr>
                    <w:t>东</w:t>
                  </w:r>
                </w:p>
              </w:tc>
              <w:tc>
                <w:tcPr>
                  <w:tcW w:w="0" w:type="auto"/>
                  <w:tcBorders>
                    <w:tl2br w:val="nil"/>
                    <w:tr2bl w:val="nil"/>
                  </w:tcBorders>
                  <w:shd w:val="clear" w:color="auto" w:fill="auto"/>
                  <w:tcMar>
                    <w:top w:w="0" w:type="dxa"/>
                    <w:left w:w="0" w:type="dxa"/>
                    <w:bottom w:w="0" w:type="dxa"/>
                    <w:right w:w="0" w:type="dxa"/>
                  </w:tcMar>
                  <w:vAlign w:val="center"/>
                </w:tcPr>
                <w:p w14:paraId="1429840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eastAsiaTheme="minorEastAsia"/>
                      <w:b w:val="0"/>
                      <w:bCs/>
                      <w:color w:val="auto"/>
                      <w:sz w:val="18"/>
                      <w:szCs w:val="18"/>
                    </w:rPr>
                  </w:pPr>
                  <w:r>
                    <w:rPr>
                      <w:rFonts w:hint="default" w:ascii="Times New Roman" w:hAnsi="Times New Roman" w:cs="Times New Roman" w:eastAsiaTheme="minorEastAsia"/>
                      <w:b w:val="0"/>
                      <w:bCs/>
                      <w:color w:val="auto"/>
                      <w:sz w:val="18"/>
                      <w:szCs w:val="18"/>
                      <w:lang w:val="en-US" w:eastAsia="zh-CN"/>
                    </w:rPr>
                    <w:t>南</w:t>
                  </w:r>
                </w:p>
              </w:tc>
              <w:tc>
                <w:tcPr>
                  <w:tcW w:w="0" w:type="auto"/>
                  <w:tcBorders>
                    <w:tl2br w:val="nil"/>
                    <w:tr2bl w:val="nil"/>
                  </w:tcBorders>
                  <w:shd w:val="clear" w:color="auto" w:fill="auto"/>
                  <w:tcMar>
                    <w:top w:w="0" w:type="dxa"/>
                    <w:left w:w="0" w:type="dxa"/>
                    <w:bottom w:w="0" w:type="dxa"/>
                    <w:right w:w="0" w:type="dxa"/>
                  </w:tcMar>
                  <w:vAlign w:val="center"/>
                </w:tcPr>
                <w:p w14:paraId="7A35379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eastAsiaTheme="minorEastAsia"/>
                      <w:b w:val="0"/>
                      <w:bCs/>
                      <w:color w:val="auto"/>
                      <w:sz w:val="18"/>
                      <w:szCs w:val="18"/>
                    </w:rPr>
                  </w:pPr>
                  <w:r>
                    <w:rPr>
                      <w:rFonts w:hint="default" w:ascii="Times New Roman" w:hAnsi="Times New Roman" w:cs="Times New Roman" w:eastAsiaTheme="minorEastAsia"/>
                      <w:b w:val="0"/>
                      <w:bCs/>
                      <w:color w:val="auto"/>
                      <w:sz w:val="18"/>
                      <w:szCs w:val="18"/>
                      <w:lang w:val="en-US" w:eastAsia="zh-CN"/>
                    </w:rPr>
                    <w:t>西</w:t>
                  </w:r>
                </w:p>
              </w:tc>
              <w:tc>
                <w:tcPr>
                  <w:tcW w:w="0" w:type="auto"/>
                  <w:tcBorders>
                    <w:tl2br w:val="nil"/>
                    <w:tr2bl w:val="nil"/>
                  </w:tcBorders>
                  <w:shd w:val="clear" w:color="auto" w:fill="auto"/>
                  <w:tcMar>
                    <w:top w:w="0" w:type="dxa"/>
                    <w:left w:w="0" w:type="dxa"/>
                    <w:bottom w:w="0" w:type="dxa"/>
                    <w:right w:w="0" w:type="dxa"/>
                  </w:tcMar>
                  <w:vAlign w:val="center"/>
                </w:tcPr>
                <w:p w14:paraId="59D34B4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eastAsiaTheme="minorEastAsia"/>
                      <w:b w:val="0"/>
                      <w:bCs/>
                      <w:color w:val="auto"/>
                      <w:sz w:val="18"/>
                      <w:szCs w:val="18"/>
                    </w:rPr>
                  </w:pPr>
                  <w:r>
                    <w:rPr>
                      <w:rFonts w:hint="default" w:ascii="Times New Roman" w:hAnsi="Times New Roman" w:cs="Times New Roman" w:eastAsiaTheme="minorEastAsia"/>
                      <w:b w:val="0"/>
                      <w:bCs/>
                      <w:color w:val="auto"/>
                      <w:sz w:val="18"/>
                      <w:szCs w:val="18"/>
                      <w:lang w:val="en-US" w:eastAsia="zh-CN"/>
                    </w:rPr>
                    <w:t>北</w:t>
                  </w:r>
                </w:p>
              </w:tc>
              <w:tc>
                <w:tcPr>
                  <w:tcW w:w="0" w:type="auto"/>
                  <w:vMerge w:val="continue"/>
                  <w:tcBorders>
                    <w:tl2br w:val="nil"/>
                    <w:tr2bl w:val="nil"/>
                  </w:tcBorders>
                  <w:shd w:val="clear" w:color="auto" w:fill="auto"/>
                  <w:tcMar>
                    <w:top w:w="0" w:type="dxa"/>
                    <w:left w:w="0" w:type="dxa"/>
                    <w:bottom w:w="0" w:type="dxa"/>
                    <w:right w:w="0" w:type="dxa"/>
                  </w:tcMar>
                  <w:vAlign w:val="center"/>
                </w:tcPr>
                <w:p w14:paraId="4D59166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eastAsiaTheme="minorEastAsia"/>
                      <w:b w:val="0"/>
                      <w:bCs/>
                      <w:color w:val="auto"/>
                      <w:sz w:val="18"/>
                      <w:szCs w:val="18"/>
                    </w:rPr>
                  </w:pPr>
                </w:p>
              </w:tc>
              <w:tc>
                <w:tcPr>
                  <w:tcW w:w="0" w:type="auto"/>
                  <w:tcBorders>
                    <w:tl2br w:val="nil"/>
                    <w:tr2bl w:val="nil"/>
                  </w:tcBorders>
                  <w:shd w:val="clear" w:color="auto" w:fill="auto"/>
                  <w:tcMar>
                    <w:top w:w="0" w:type="dxa"/>
                    <w:left w:w="0" w:type="dxa"/>
                    <w:bottom w:w="0" w:type="dxa"/>
                    <w:right w:w="0" w:type="dxa"/>
                  </w:tcMar>
                  <w:vAlign w:val="center"/>
                </w:tcPr>
                <w:p w14:paraId="3C6306A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eastAsiaTheme="minorEastAsia"/>
                      <w:b w:val="0"/>
                      <w:bCs/>
                      <w:color w:val="auto"/>
                      <w:sz w:val="18"/>
                      <w:szCs w:val="18"/>
                    </w:rPr>
                  </w:pPr>
                  <w:r>
                    <w:rPr>
                      <w:rFonts w:hint="default" w:ascii="Times New Roman" w:hAnsi="Times New Roman" w:cs="Times New Roman" w:eastAsiaTheme="minorEastAsia"/>
                      <w:b w:val="0"/>
                      <w:bCs/>
                      <w:color w:val="auto"/>
                      <w:sz w:val="18"/>
                      <w:szCs w:val="18"/>
                      <w:lang w:val="en-US" w:eastAsia="zh-CN"/>
                    </w:rPr>
                    <w:t>东</w:t>
                  </w:r>
                </w:p>
              </w:tc>
              <w:tc>
                <w:tcPr>
                  <w:tcW w:w="0" w:type="auto"/>
                  <w:tcBorders>
                    <w:tl2br w:val="nil"/>
                    <w:tr2bl w:val="nil"/>
                  </w:tcBorders>
                  <w:shd w:val="clear" w:color="auto" w:fill="auto"/>
                  <w:tcMar>
                    <w:top w:w="0" w:type="dxa"/>
                    <w:left w:w="0" w:type="dxa"/>
                    <w:bottom w:w="0" w:type="dxa"/>
                    <w:right w:w="0" w:type="dxa"/>
                  </w:tcMar>
                  <w:vAlign w:val="center"/>
                </w:tcPr>
                <w:p w14:paraId="3791443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eastAsiaTheme="minorEastAsia"/>
                      <w:b w:val="0"/>
                      <w:bCs/>
                      <w:color w:val="auto"/>
                      <w:sz w:val="18"/>
                      <w:szCs w:val="18"/>
                    </w:rPr>
                  </w:pPr>
                  <w:r>
                    <w:rPr>
                      <w:rFonts w:hint="default" w:ascii="Times New Roman" w:hAnsi="Times New Roman" w:cs="Times New Roman" w:eastAsiaTheme="minorEastAsia"/>
                      <w:b w:val="0"/>
                      <w:bCs/>
                      <w:color w:val="auto"/>
                      <w:sz w:val="18"/>
                      <w:szCs w:val="18"/>
                      <w:lang w:val="en-US" w:eastAsia="zh-CN"/>
                    </w:rPr>
                    <w:t>南</w:t>
                  </w:r>
                </w:p>
              </w:tc>
              <w:tc>
                <w:tcPr>
                  <w:tcW w:w="0" w:type="auto"/>
                  <w:tcBorders>
                    <w:tl2br w:val="nil"/>
                    <w:tr2bl w:val="nil"/>
                  </w:tcBorders>
                  <w:shd w:val="clear" w:color="auto" w:fill="auto"/>
                  <w:tcMar>
                    <w:top w:w="0" w:type="dxa"/>
                    <w:left w:w="0" w:type="dxa"/>
                    <w:bottom w:w="0" w:type="dxa"/>
                    <w:right w:w="0" w:type="dxa"/>
                  </w:tcMar>
                  <w:vAlign w:val="center"/>
                </w:tcPr>
                <w:p w14:paraId="299EDF2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eastAsiaTheme="minorEastAsia"/>
                      <w:b w:val="0"/>
                      <w:bCs/>
                      <w:color w:val="auto"/>
                      <w:sz w:val="18"/>
                      <w:szCs w:val="18"/>
                    </w:rPr>
                  </w:pPr>
                  <w:r>
                    <w:rPr>
                      <w:rFonts w:hint="default" w:ascii="Times New Roman" w:hAnsi="Times New Roman" w:cs="Times New Roman" w:eastAsiaTheme="minorEastAsia"/>
                      <w:b w:val="0"/>
                      <w:bCs/>
                      <w:color w:val="auto"/>
                      <w:sz w:val="18"/>
                      <w:szCs w:val="18"/>
                      <w:lang w:val="en-US" w:eastAsia="zh-CN"/>
                    </w:rPr>
                    <w:t>西</w:t>
                  </w:r>
                </w:p>
              </w:tc>
              <w:tc>
                <w:tcPr>
                  <w:tcW w:w="0" w:type="auto"/>
                  <w:tcBorders>
                    <w:tl2br w:val="nil"/>
                    <w:tr2bl w:val="nil"/>
                  </w:tcBorders>
                  <w:shd w:val="clear" w:color="auto" w:fill="auto"/>
                  <w:tcMar>
                    <w:top w:w="0" w:type="dxa"/>
                    <w:left w:w="0" w:type="dxa"/>
                    <w:bottom w:w="0" w:type="dxa"/>
                    <w:right w:w="0" w:type="dxa"/>
                  </w:tcMar>
                  <w:vAlign w:val="center"/>
                </w:tcPr>
                <w:p w14:paraId="1055717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eastAsiaTheme="minorEastAsia"/>
                      <w:b w:val="0"/>
                      <w:bCs/>
                      <w:color w:val="auto"/>
                      <w:sz w:val="18"/>
                      <w:szCs w:val="18"/>
                    </w:rPr>
                  </w:pPr>
                  <w:r>
                    <w:rPr>
                      <w:rFonts w:hint="default" w:ascii="Times New Roman" w:hAnsi="Times New Roman" w:cs="Times New Roman" w:eastAsiaTheme="minorEastAsia"/>
                      <w:b w:val="0"/>
                      <w:bCs/>
                      <w:color w:val="auto"/>
                      <w:sz w:val="18"/>
                      <w:szCs w:val="18"/>
                      <w:lang w:val="en-US" w:eastAsia="zh-CN"/>
                    </w:rPr>
                    <w:t>北</w:t>
                  </w:r>
                </w:p>
              </w:tc>
              <w:tc>
                <w:tcPr>
                  <w:tcW w:w="0" w:type="auto"/>
                  <w:tcBorders>
                    <w:tl2br w:val="nil"/>
                    <w:tr2bl w:val="nil"/>
                  </w:tcBorders>
                  <w:shd w:val="clear" w:color="auto" w:fill="auto"/>
                  <w:tcMar>
                    <w:top w:w="0" w:type="dxa"/>
                    <w:left w:w="0" w:type="dxa"/>
                    <w:bottom w:w="0" w:type="dxa"/>
                    <w:right w:w="0" w:type="dxa"/>
                  </w:tcMar>
                  <w:vAlign w:val="center"/>
                </w:tcPr>
                <w:p w14:paraId="2C468A1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eastAsiaTheme="minorEastAsia"/>
                      <w:b w:val="0"/>
                      <w:bCs/>
                      <w:color w:val="auto"/>
                      <w:sz w:val="18"/>
                      <w:szCs w:val="18"/>
                    </w:rPr>
                  </w:pPr>
                  <w:r>
                    <w:rPr>
                      <w:rFonts w:hint="default" w:ascii="Times New Roman" w:hAnsi="Times New Roman" w:cs="Times New Roman" w:eastAsiaTheme="minorEastAsia"/>
                      <w:b w:val="0"/>
                      <w:bCs/>
                      <w:color w:val="auto"/>
                      <w:sz w:val="18"/>
                      <w:szCs w:val="18"/>
                    </w:rPr>
                    <w:t>距离</w:t>
                  </w:r>
                </w:p>
              </w:tc>
            </w:tr>
            <w:tr w14:paraId="632C28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9" w:hRule="atLeast"/>
              </w:trPr>
              <w:tc>
                <w:tcPr>
                  <w:tcW w:w="0" w:type="auto"/>
                  <w:tcBorders>
                    <w:tl2br w:val="nil"/>
                    <w:tr2bl w:val="nil"/>
                  </w:tcBorders>
                  <w:shd w:val="clear" w:color="auto" w:fill="auto"/>
                  <w:tcMar>
                    <w:top w:w="0" w:type="dxa"/>
                    <w:left w:w="0" w:type="dxa"/>
                    <w:bottom w:w="0" w:type="dxa"/>
                    <w:right w:w="0" w:type="dxa"/>
                  </w:tcMar>
                  <w:vAlign w:val="center"/>
                </w:tcPr>
                <w:p w14:paraId="4AE4AD3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b w:val="0"/>
                      <w:bCs/>
                      <w:color w:val="auto"/>
                      <w:sz w:val="18"/>
                      <w:szCs w:val="18"/>
                    </w:rPr>
                  </w:pPr>
                  <w:r>
                    <w:rPr>
                      <w:rFonts w:hint="default" w:ascii="Times New Roman" w:hAnsi="Times New Roman" w:eastAsia="Arial" w:cs="Times New Roman"/>
                      <w:b w:val="0"/>
                      <w:bCs/>
                      <w:color w:val="auto"/>
                      <w:sz w:val="18"/>
                      <w:szCs w:val="18"/>
                    </w:rPr>
                    <w:t>1</w:t>
                  </w:r>
                </w:p>
              </w:tc>
              <w:tc>
                <w:tcPr>
                  <w:tcW w:w="0" w:type="auto"/>
                  <w:vMerge w:val="restart"/>
                  <w:tcBorders>
                    <w:tl2br w:val="nil"/>
                    <w:tr2bl w:val="nil"/>
                  </w:tcBorders>
                  <w:shd w:val="clear" w:color="auto" w:fill="auto"/>
                  <w:tcMar>
                    <w:top w:w="0" w:type="dxa"/>
                    <w:left w:w="0" w:type="dxa"/>
                    <w:bottom w:w="0" w:type="dxa"/>
                    <w:right w:w="0" w:type="dxa"/>
                  </w:tcMar>
                  <w:vAlign w:val="center"/>
                </w:tcPr>
                <w:p w14:paraId="0AE84DC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val="0"/>
                      <w:bCs/>
                      <w:color w:val="auto"/>
                      <w:sz w:val="18"/>
                      <w:szCs w:val="18"/>
                      <w:lang w:val="en-US" w:eastAsia="zh-CN"/>
                    </w:rPr>
                  </w:pPr>
                  <w:r>
                    <w:rPr>
                      <w:rFonts w:hint="default" w:ascii="Times New Roman" w:hAnsi="Times New Roman" w:cs="Times New Roman"/>
                      <w:b w:val="0"/>
                      <w:bCs/>
                      <w:color w:val="auto"/>
                      <w:sz w:val="18"/>
                      <w:szCs w:val="18"/>
                      <w:lang w:val="en-US" w:eastAsia="zh-CN"/>
                    </w:rPr>
                    <w:t>生产车间</w:t>
                  </w:r>
                </w:p>
              </w:tc>
              <w:tc>
                <w:tcPr>
                  <w:tcW w:w="0" w:type="auto"/>
                  <w:tcBorders>
                    <w:tl2br w:val="nil"/>
                    <w:tr2bl w:val="nil"/>
                  </w:tcBorders>
                  <w:shd w:val="clear" w:color="auto" w:fill="auto"/>
                  <w:tcMar>
                    <w:top w:w="0" w:type="dxa"/>
                    <w:left w:w="0" w:type="dxa"/>
                    <w:bottom w:w="0" w:type="dxa"/>
                    <w:right w:w="0" w:type="dxa"/>
                  </w:tcMar>
                  <w:vAlign w:val="center"/>
                </w:tcPr>
                <w:p w14:paraId="2CC47D38">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b w:val="0"/>
                      <w:bCs/>
                      <w:color w:val="auto"/>
                      <w:sz w:val="18"/>
                      <w:szCs w:val="18"/>
                    </w:rPr>
                  </w:pPr>
                  <w:r>
                    <w:rPr>
                      <w:rFonts w:hint="default" w:ascii="Times New Roman" w:hAnsi="Times New Roman" w:eastAsia="宋体" w:cs="Times New Roman"/>
                      <w:color w:val="auto"/>
                      <w:sz w:val="18"/>
                      <w:szCs w:val="18"/>
                      <w:lang w:val="en-US" w:eastAsia="zh-CN"/>
                    </w:rPr>
                    <w:t>热风循环干燥机</w:t>
                  </w:r>
                </w:p>
              </w:tc>
              <w:tc>
                <w:tcPr>
                  <w:tcW w:w="0" w:type="auto"/>
                  <w:tcBorders>
                    <w:tl2br w:val="nil"/>
                    <w:tr2bl w:val="nil"/>
                  </w:tcBorders>
                  <w:shd w:val="clear" w:color="auto" w:fill="FFFFFF"/>
                  <w:tcMar>
                    <w:top w:w="0" w:type="dxa"/>
                    <w:left w:w="0" w:type="dxa"/>
                    <w:bottom w:w="0" w:type="dxa"/>
                    <w:right w:w="0" w:type="dxa"/>
                  </w:tcMar>
                  <w:vAlign w:val="center"/>
                </w:tcPr>
                <w:p w14:paraId="23D8E879">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Arial" w:cs="Times New Roman"/>
                      <w:sz w:val="18"/>
                      <w:szCs w:val="18"/>
                    </w:rPr>
                    <w:t>75</w:t>
                  </w:r>
                </w:p>
              </w:tc>
              <w:tc>
                <w:tcPr>
                  <w:tcW w:w="0" w:type="auto"/>
                  <w:tcBorders>
                    <w:tl2br w:val="nil"/>
                    <w:tr2bl w:val="nil"/>
                  </w:tcBorders>
                  <w:shd w:val="clear" w:color="auto" w:fill="auto"/>
                  <w:tcMar>
                    <w:top w:w="0" w:type="dxa"/>
                    <w:left w:w="0" w:type="dxa"/>
                    <w:bottom w:w="0" w:type="dxa"/>
                    <w:right w:w="0" w:type="dxa"/>
                  </w:tcMar>
                  <w:vAlign w:val="center"/>
                </w:tcPr>
                <w:p w14:paraId="3A995B0D">
                  <w:pPr>
                    <w:keepNext w:val="0"/>
                    <w:keepLines w:val="0"/>
                    <w:suppressLineNumbers w:val="0"/>
                    <w:spacing w:before="0" w:beforeAutospacing="0" w:after="0" w:afterAutospacing="0"/>
                    <w:ind w:left="0" w:right="0"/>
                    <w:jc w:val="center"/>
                    <w:rPr>
                      <w:rFonts w:hint="default" w:ascii="Times New Roman" w:hAnsi="Times New Roman" w:cs="Times New Roman"/>
                      <w:b w:val="0"/>
                      <w:bCs/>
                      <w:color w:val="auto"/>
                      <w:sz w:val="18"/>
                      <w:szCs w:val="18"/>
                    </w:rPr>
                  </w:pPr>
                  <w:r>
                    <w:rPr>
                      <w:rFonts w:hint="default" w:ascii="Times New Roman" w:hAnsi="Times New Roman" w:eastAsia="Arial" w:cs="Times New Roman"/>
                      <w:sz w:val="18"/>
                      <w:szCs w:val="18"/>
                    </w:rPr>
                    <w:t>-59.5</w:t>
                  </w:r>
                </w:p>
              </w:tc>
              <w:tc>
                <w:tcPr>
                  <w:tcW w:w="0" w:type="auto"/>
                  <w:tcBorders>
                    <w:tl2br w:val="nil"/>
                    <w:tr2bl w:val="nil"/>
                  </w:tcBorders>
                  <w:shd w:val="clear" w:color="auto" w:fill="auto"/>
                  <w:tcMar>
                    <w:top w:w="0" w:type="dxa"/>
                    <w:left w:w="0" w:type="dxa"/>
                    <w:bottom w:w="0" w:type="dxa"/>
                    <w:right w:w="0" w:type="dxa"/>
                  </w:tcMar>
                  <w:vAlign w:val="center"/>
                </w:tcPr>
                <w:p w14:paraId="6454DA56">
                  <w:pPr>
                    <w:keepNext w:val="0"/>
                    <w:keepLines w:val="0"/>
                    <w:suppressLineNumbers w:val="0"/>
                    <w:spacing w:before="0" w:beforeAutospacing="0" w:after="0" w:afterAutospacing="0"/>
                    <w:ind w:left="0" w:right="0"/>
                    <w:jc w:val="center"/>
                    <w:rPr>
                      <w:rFonts w:hint="default" w:ascii="Times New Roman" w:hAnsi="Times New Roman" w:cs="Times New Roman"/>
                      <w:b w:val="0"/>
                      <w:bCs/>
                      <w:color w:val="auto"/>
                      <w:sz w:val="18"/>
                      <w:szCs w:val="18"/>
                    </w:rPr>
                  </w:pPr>
                  <w:r>
                    <w:rPr>
                      <w:rFonts w:hint="default" w:ascii="Times New Roman" w:hAnsi="Times New Roman" w:eastAsia="Arial" w:cs="Times New Roman"/>
                      <w:sz w:val="18"/>
                      <w:szCs w:val="18"/>
                    </w:rPr>
                    <w:t>9.4</w:t>
                  </w:r>
                </w:p>
              </w:tc>
              <w:tc>
                <w:tcPr>
                  <w:tcW w:w="0" w:type="auto"/>
                  <w:tcBorders>
                    <w:tl2br w:val="nil"/>
                    <w:tr2bl w:val="nil"/>
                  </w:tcBorders>
                  <w:shd w:val="clear" w:color="auto" w:fill="auto"/>
                  <w:tcMar>
                    <w:top w:w="0" w:type="dxa"/>
                    <w:left w:w="0" w:type="dxa"/>
                    <w:bottom w:w="0" w:type="dxa"/>
                    <w:right w:w="0" w:type="dxa"/>
                  </w:tcMar>
                  <w:vAlign w:val="center"/>
                </w:tcPr>
                <w:p w14:paraId="20AF7C8C">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color w:val="auto"/>
                      <w:sz w:val="18"/>
                      <w:szCs w:val="18"/>
                      <w:lang w:val="en-US" w:eastAsia="zh-CN"/>
                    </w:rPr>
                  </w:pPr>
                  <w:r>
                    <w:rPr>
                      <w:rFonts w:hint="default" w:ascii="Times New Roman" w:hAnsi="Times New Roman" w:eastAsia="Arial" w:cs="Times New Roman"/>
                      <w:sz w:val="18"/>
                      <w:szCs w:val="18"/>
                    </w:rPr>
                    <w:t>1.2</w:t>
                  </w:r>
                </w:p>
              </w:tc>
              <w:tc>
                <w:tcPr>
                  <w:tcW w:w="0" w:type="auto"/>
                  <w:tcBorders>
                    <w:tl2br w:val="nil"/>
                    <w:tr2bl w:val="nil"/>
                  </w:tcBorders>
                  <w:shd w:val="clear" w:color="auto" w:fill="auto"/>
                  <w:tcMar>
                    <w:top w:w="0" w:type="dxa"/>
                    <w:left w:w="0" w:type="dxa"/>
                    <w:bottom w:w="0" w:type="dxa"/>
                    <w:right w:w="0" w:type="dxa"/>
                  </w:tcMar>
                  <w:vAlign w:val="center"/>
                </w:tcPr>
                <w:p w14:paraId="0693E11B">
                  <w:pPr>
                    <w:keepNext w:val="0"/>
                    <w:keepLines w:val="0"/>
                    <w:suppressLineNumbers w:val="0"/>
                    <w:spacing w:before="0" w:beforeAutospacing="0" w:after="0" w:afterAutospacing="0"/>
                    <w:ind w:left="0" w:right="0"/>
                    <w:jc w:val="center"/>
                    <w:rPr>
                      <w:rFonts w:hint="default" w:ascii="Times New Roman" w:hAnsi="Times New Roman" w:cs="Times New Roman"/>
                      <w:b w:val="0"/>
                      <w:bCs/>
                      <w:color w:val="auto"/>
                      <w:sz w:val="18"/>
                      <w:szCs w:val="18"/>
                    </w:rPr>
                  </w:pPr>
                  <w:r>
                    <w:rPr>
                      <w:rFonts w:hint="default" w:ascii="Times New Roman" w:hAnsi="Times New Roman" w:eastAsia="Arial" w:cs="Times New Roman"/>
                      <w:sz w:val="18"/>
                      <w:szCs w:val="18"/>
                    </w:rPr>
                    <w:t>131.1</w:t>
                  </w:r>
                </w:p>
              </w:tc>
              <w:tc>
                <w:tcPr>
                  <w:tcW w:w="0" w:type="auto"/>
                  <w:tcBorders>
                    <w:tl2br w:val="nil"/>
                    <w:tr2bl w:val="nil"/>
                  </w:tcBorders>
                  <w:shd w:val="clear" w:color="auto" w:fill="auto"/>
                  <w:tcMar>
                    <w:top w:w="0" w:type="dxa"/>
                    <w:left w:w="0" w:type="dxa"/>
                    <w:bottom w:w="0" w:type="dxa"/>
                    <w:right w:w="0" w:type="dxa"/>
                  </w:tcMar>
                  <w:vAlign w:val="center"/>
                </w:tcPr>
                <w:p w14:paraId="1F7BC519">
                  <w:pPr>
                    <w:keepNext w:val="0"/>
                    <w:keepLines w:val="0"/>
                    <w:suppressLineNumbers w:val="0"/>
                    <w:spacing w:before="0" w:beforeAutospacing="0" w:after="0" w:afterAutospacing="0"/>
                    <w:ind w:left="0" w:right="0"/>
                    <w:jc w:val="center"/>
                    <w:rPr>
                      <w:rFonts w:hint="default" w:ascii="Times New Roman" w:hAnsi="Times New Roman" w:cs="Times New Roman"/>
                      <w:b w:val="0"/>
                      <w:bCs/>
                      <w:color w:val="auto"/>
                      <w:sz w:val="18"/>
                      <w:szCs w:val="18"/>
                    </w:rPr>
                  </w:pPr>
                  <w:r>
                    <w:rPr>
                      <w:rFonts w:hint="default" w:ascii="Times New Roman" w:hAnsi="Times New Roman" w:eastAsia="Arial" w:cs="Times New Roman"/>
                      <w:sz w:val="18"/>
                      <w:szCs w:val="18"/>
                    </w:rPr>
                    <w:t>30.4</w:t>
                  </w:r>
                </w:p>
              </w:tc>
              <w:tc>
                <w:tcPr>
                  <w:tcW w:w="0" w:type="auto"/>
                  <w:tcBorders>
                    <w:tl2br w:val="nil"/>
                    <w:tr2bl w:val="nil"/>
                  </w:tcBorders>
                  <w:shd w:val="clear" w:color="auto" w:fill="auto"/>
                  <w:tcMar>
                    <w:top w:w="0" w:type="dxa"/>
                    <w:left w:w="0" w:type="dxa"/>
                    <w:bottom w:w="0" w:type="dxa"/>
                    <w:right w:w="0" w:type="dxa"/>
                  </w:tcMar>
                  <w:vAlign w:val="center"/>
                </w:tcPr>
                <w:p w14:paraId="5DF1A62F">
                  <w:pPr>
                    <w:keepNext w:val="0"/>
                    <w:keepLines w:val="0"/>
                    <w:suppressLineNumbers w:val="0"/>
                    <w:spacing w:before="0" w:beforeAutospacing="0" w:after="0" w:afterAutospacing="0"/>
                    <w:ind w:left="0" w:right="0"/>
                    <w:jc w:val="center"/>
                    <w:rPr>
                      <w:rFonts w:hint="default" w:ascii="Times New Roman" w:hAnsi="Times New Roman" w:cs="Times New Roman"/>
                      <w:b w:val="0"/>
                      <w:bCs/>
                      <w:color w:val="auto"/>
                      <w:sz w:val="18"/>
                      <w:szCs w:val="18"/>
                    </w:rPr>
                  </w:pPr>
                  <w:r>
                    <w:rPr>
                      <w:rFonts w:hint="default" w:ascii="Times New Roman" w:hAnsi="Times New Roman" w:eastAsia="Arial" w:cs="Times New Roman"/>
                      <w:sz w:val="18"/>
                      <w:szCs w:val="18"/>
                    </w:rPr>
                    <w:t>11.1</w:t>
                  </w:r>
                </w:p>
              </w:tc>
              <w:tc>
                <w:tcPr>
                  <w:tcW w:w="0" w:type="auto"/>
                  <w:tcBorders>
                    <w:tl2br w:val="nil"/>
                    <w:tr2bl w:val="nil"/>
                  </w:tcBorders>
                  <w:shd w:val="clear" w:color="auto" w:fill="auto"/>
                  <w:tcMar>
                    <w:top w:w="0" w:type="dxa"/>
                    <w:left w:w="0" w:type="dxa"/>
                    <w:bottom w:w="0" w:type="dxa"/>
                    <w:right w:w="0" w:type="dxa"/>
                  </w:tcMar>
                  <w:vAlign w:val="center"/>
                </w:tcPr>
                <w:p w14:paraId="6381FC81">
                  <w:pPr>
                    <w:keepNext w:val="0"/>
                    <w:keepLines w:val="0"/>
                    <w:suppressLineNumbers w:val="0"/>
                    <w:spacing w:before="0" w:beforeAutospacing="0" w:after="0" w:afterAutospacing="0"/>
                    <w:ind w:left="0" w:right="0"/>
                    <w:jc w:val="center"/>
                    <w:rPr>
                      <w:rFonts w:hint="default" w:ascii="Times New Roman" w:hAnsi="Times New Roman" w:cs="Times New Roman"/>
                      <w:b w:val="0"/>
                      <w:bCs/>
                      <w:color w:val="auto"/>
                      <w:sz w:val="18"/>
                      <w:szCs w:val="18"/>
                    </w:rPr>
                  </w:pPr>
                  <w:r>
                    <w:rPr>
                      <w:rFonts w:hint="default" w:ascii="Times New Roman" w:hAnsi="Times New Roman" w:eastAsia="Arial" w:cs="Times New Roman"/>
                      <w:sz w:val="18"/>
                      <w:szCs w:val="18"/>
                    </w:rPr>
                    <w:t>10.7</w:t>
                  </w:r>
                </w:p>
              </w:tc>
              <w:tc>
                <w:tcPr>
                  <w:tcW w:w="0" w:type="auto"/>
                  <w:tcBorders>
                    <w:tl2br w:val="nil"/>
                    <w:tr2bl w:val="nil"/>
                  </w:tcBorders>
                  <w:shd w:val="clear" w:color="auto" w:fill="auto"/>
                  <w:tcMar>
                    <w:top w:w="0" w:type="dxa"/>
                    <w:left w:w="0" w:type="dxa"/>
                    <w:bottom w:w="0" w:type="dxa"/>
                    <w:right w:w="0" w:type="dxa"/>
                  </w:tcMar>
                  <w:vAlign w:val="center"/>
                </w:tcPr>
                <w:p w14:paraId="5D2D25BE">
                  <w:pPr>
                    <w:keepNext w:val="0"/>
                    <w:keepLines w:val="0"/>
                    <w:suppressLineNumbers w:val="0"/>
                    <w:spacing w:before="0" w:beforeAutospacing="0" w:after="0" w:afterAutospacing="0"/>
                    <w:ind w:left="0" w:right="0"/>
                    <w:jc w:val="center"/>
                    <w:rPr>
                      <w:rFonts w:hint="default" w:ascii="Times New Roman" w:hAnsi="Times New Roman" w:eastAsia="Arial" w:cs="Times New Roman"/>
                      <w:sz w:val="18"/>
                      <w:szCs w:val="18"/>
                    </w:rPr>
                  </w:pPr>
                  <w:r>
                    <w:rPr>
                      <w:rFonts w:hint="default" w:ascii="Times New Roman" w:hAnsi="Times New Roman" w:eastAsia="Arial" w:cs="Times New Roman"/>
                      <w:sz w:val="18"/>
                      <w:szCs w:val="18"/>
                    </w:rPr>
                    <w:t>56.5</w:t>
                  </w:r>
                </w:p>
              </w:tc>
              <w:tc>
                <w:tcPr>
                  <w:tcW w:w="0" w:type="auto"/>
                  <w:tcBorders>
                    <w:tl2br w:val="nil"/>
                    <w:tr2bl w:val="nil"/>
                  </w:tcBorders>
                  <w:shd w:val="clear" w:color="auto" w:fill="auto"/>
                  <w:tcMar>
                    <w:top w:w="0" w:type="dxa"/>
                    <w:left w:w="0" w:type="dxa"/>
                    <w:bottom w:w="0" w:type="dxa"/>
                    <w:right w:w="0" w:type="dxa"/>
                  </w:tcMar>
                  <w:vAlign w:val="center"/>
                </w:tcPr>
                <w:p w14:paraId="59A1CCB7">
                  <w:pPr>
                    <w:keepNext w:val="0"/>
                    <w:keepLines w:val="0"/>
                    <w:suppressLineNumbers w:val="0"/>
                    <w:spacing w:before="0" w:beforeAutospacing="0" w:after="0" w:afterAutospacing="0"/>
                    <w:ind w:left="0" w:right="0"/>
                    <w:jc w:val="center"/>
                    <w:rPr>
                      <w:rFonts w:hint="default" w:ascii="Times New Roman" w:hAnsi="Times New Roman" w:eastAsia="Arial" w:cs="Times New Roman"/>
                      <w:sz w:val="18"/>
                      <w:szCs w:val="18"/>
                    </w:rPr>
                  </w:pPr>
                  <w:r>
                    <w:rPr>
                      <w:rFonts w:hint="default" w:ascii="Times New Roman" w:hAnsi="Times New Roman" w:eastAsia="Arial" w:cs="Times New Roman"/>
                      <w:sz w:val="18"/>
                      <w:szCs w:val="18"/>
                    </w:rPr>
                    <w:t>56.6</w:t>
                  </w:r>
                </w:p>
              </w:tc>
              <w:tc>
                <w:tcPr>
                  <w:tcW w:w="0" w:type="auto"/>
                  <w:tcBorders>
                    <w:tl2br w:val="nil"/>
                    <w:tr2bl w:val="nil"/>
                  </w:tcBorders>
                  <w:shd w:val="clear" w:color="auto" w:fill="auto"/>
                  <w:tcMar>
                    <w:top w:w="0" w:type="dxa"/>
                    <w:left w:w="0" w:type="dxa"/>
                    <w:bottom w:w="0" w:type="dxa"/>
                    <w:right w:w="0" w:type="dxa"/>
                  </w:tcMar>
                  <w:vAlign w:val="center"/>
                </w:tcPr>
                <w:p w14:paraId="75A8B1E8">
                  <w:pPr>
                    <w:keepNext w:val="0"/>
                    <w:keepLines w:val="0"/>
                    <w:suppressLineNumbers w:val="0"/>
                    <w:spacing w:before="0" w:beforeAutospacing="0" w:after="0" w:afterAutospacing="0"/>
                    <w:ind w:left="0" w:right="0"/>
                    <w:jc w:val="center"/>
                    <w:rPr>
                      <w:rFonts w:hint="default" w:ascii="Times New Roman" w:hAnsi="Times New Roman" w:eastAsia="Arial" w:cs="Times New Roman"/>
                      <w:sz w:val="18"/>
                      <w:szCs w:val="18"/>
                    </w:rPr>
                  </w:pPr>
                  <w:r>
                    <w:rPr>
                      <w:rFonts w:hint="default" w:ascii="Times New Roman" w:hAnsi="Times New Roman" w:eastAsia="Arial" w:cs="Times New Roman"/>
                      <w:sz w:val="18"/>
                      <w:szCs w:val="18"/>
                    </w:rPr>
                    <w:t>56.7</w:t>
                  </w:r>
                </w:p>
              </w:tc>
              <w:tc>
                <w:tcPr>
                  <w:tcW w:w="0" w:type="auto"/>
                  <w:tcBorders>
                    <w:tl2br w:val="nil"/>
                    <w:tr2bl w:val="nil"/>
                  </w:tcBorders>
                  <w:shd w:val="clear" w:color="auto" w:fill="auto"/>
                  <w:tcMar>
                    <w:top w:w="0" w:type="dxa"/>
                    <w:left w:w="0" w:type="dxa"/>
                    <w:bottom w:w="0" w:type="dxa"/>
                    <w:right w:w="0" w:type="dxa"/>
                  </w:tcMar>
                  <w:vAlign w:val="center"/>
                </w:tcPr>
                <w:p w14:paraId="053DA7F7">
                  <w:pPr>
                    <w:keepNext w:val="0"/>
                    <w:keepLines w:val="0"/>
                    <w:suppressLineNumbers w:val="0"/>
                    <w:spacing w:before="0" w:beforeAutospacing="0" w:after="0" w:afterAutospacing="0"/>
                    <w:ind w:left="0" w:right="0"/>
                    <w:jc w:val="center"/>
                    <w:rPr>
                      <w:rFonts w:hint="default" w:ascii="Times New Roman" w:hAnsi="Times New Roman" w:eastAsia="Arial" w:cs="Times New Roman"/>
                      <w:sz w:val="18"/>
                      <w:szCs w:val="18"/>
                    </w:rPr>
                  </w:pPr>
                  <w:r>
                    <w:rPr>
                      <w:rFonts w:hint="default" w:ascii="Times New Roman" w:hAnsi="Times New Roman" w:eastAsia="Arial" w:cs="Times New Roman"/>
                      <w:sz w:val="18"/>
                      <w:szCs w:val="18"/>
                    </w:rPr>
                    <w:t>56.7</w:t>
                  </w:r>
                </w:p>
              </w:tc>
              <w:tc>
                <w:tcPr>
                  <w:tcW w:w="0" w:type="auto"/>
                  <w:tcBorders>
                    <w:tl2br w:val="nil"/>
                    <w:tr2bl w:val="nil"/>
                  </w:tcBorders>
                  <w:shd w:val="clear" w:color="auto" w:fill="auto"/>
                  <w:tcMar>
                    <w:top w:w="0" w:type="dxa"/>
                    <w:left w:w="0" w:type="dxa"/>
                    <w:bottom w:w="0" w:type="dxa"/>
                    <w:right w:w="0" w:type="dxa"/>
                  </w:tcMar>
                  <w:vAlign w:val="center"/>
                </w:tcPr>
                <w:p w14:paraId="12CC66F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b w:val="0"/>
                      <w:bCs/>
                      <w:color w:val="auto"/>
                      <w:sz w:val="18"/>
                      <w:szCs w:val="18"/>
                    </w:rPr>
                  </w:pPr>
                  <w:r>
                    <w:rPr>
                      <w:rFonts w:hint="default" w:ascii="Times New Roman" w:hAnsi="Times New Roman" w:eastAsia="Arial" w:cs="Times New Roman"/>
                      <w:b w:val="0"/>
                      <w:bCs/>
                      <w:color w:val="auto"/>
                      <w:sz w:val="18"/>
                      <w:szCs w:val="18"/>
                    </w:rPr>
                    <w:t>26.0</w:t>
                  </w:r>
                </w:p>
              </w:tc>
              <w:tc>
                <w:tcPr>
                  <w:tcW w:w="0" w:type="auto"/>
                  <w:tcBorders>
                    <w:tl2br w:val="nil"/>
                    <w:tr2bl w:val="nil"/>
                  </w:tcBorders>
                  <w:shd w:val="clear" w:color="auto" w:fill="auto"/>
                  <w:tcMar>
                    <w:top w:w="0" w:type="dxa"/>
                    <w:left w:w="0" w:type="dxa"/>
                    <w:bottom w:w="0" w:type="dxa"/>
                    <w:right w:w="0" w:type="dxa"/>
                  </w:tcMar>
                  <w:vAlign w:val="center"/>
                </w:tcPr>
                <w:p w14:paraId="44852346">
                  <w:pPr>
                    <w:keepNext w:val="0"/>
                    <w:keepLines w:val="0"/>
                    <w:suppressLineNumbers w:val="0"/>
                    <w:spacing w:before="0" w:beforeAutospacing="0" w:after="0" w:afterAutospacing="0"/>
                    <w:ind w:left="0" w:right="0"/>
                    <w:jc w:val="center"/>
                    <w:rPr>
                      <w:rFonts w:hint="default" w:ascii="Times New Roman" w:hAnsi="Times New Roman" w:eastAsia="Arial" w:cs="Times New Roman"/>
                      <w:sz w:val="18"/>
                      <w:szCs w:val="18"/>
                    </w:rPr>
                  </w:pPr>
                  <w:r>
                    <w:rPr>
                      <w:rFonts w:hint="default" w:ascii="Times New Roman" w:hAnsi="Times New Roman" w:eastAsia="Arial" w:cs="Times New Roman"/>
                      <w:sz w:val="18"/>
                      <w:szCs w:val="18"/>
                    </w:rPr>
                    <w:t>30.5</w:t>
                  </w:r>
                </w:p>
              </w:tc>
              <w:tc>
                <w:tcPr>
                  <w:tcW w:w="0" w:type="auto"/>
                  <w:tcBorders>
                    <w:tl2br w:val="nil"/>
                    <w:tr2bl w:val="nil"/>
                  </w:tcBorders>
                  <w:shd w:val="clear" w:color="auto" w:fill="auto"/>
                  <w:tcMar>
                    <w:top w:w="0" w:type="dxa"/>
                    <w:left w:w="0" w:type="dxa"/>
                    <w:bottom w:w="0" w:type="dxa"/>
                    <w:right w:w="0" w:type="dxa"/>
                  </w:tcMar>
                  <w:vAlign w:val="center"/>
                </w:tcPr>
                <w:p w14:paraId="131B7FEE">
                  <w:pPr>
                    <w:keepNext w:val="0"/>
                    <w:keepLines w:val="0"/>
                    <w:suppressLineNumbers w:val="0"/>
                    <w:spacing w:before="0" w:beforeAutospacing="0" w:after="0" w:afterAutospacing="0"/>
                    <w:ind w:left="0" w:right="0"/>
                    <w:jc w:val="center"/>
                    <w:rPr>
                      <w:rFonts w:hint="default" w:ascii="Times New Roman" w:hAnsi="Times New Roman" w:eastAsia="Arial" w:cs="Times New Roman"/>
                      <w:sz w:val="18"/>
                      <w:szCs w:val="18"/>
                    </w:rPr>
                  </w:pPr>
                  <w:r>
                    <w:rPr>
                      <w:rFonts w:hint="default" w:ascii="Times New Roman" w:hAnsi="Times New Roman" w:eastAsia="Arial" w:cs="Times New Roman"/>
                      <w:sz w:val="18"/>
                      <w:szCs w:val="18"/>
                    </w:rPr>
                    <w:t>30.6</w:t>
                  </w:r>
                </w:p>
              </w:tc>
              <w:tc>
                <w:tcPr>
                  <w:tcW w:w="0" w:type="auto"/>
                  <w:tcBorders>
                    <w:tl2br w:val="nil"/>
                    <w:tr2bl w:val="nil"/>
                  </w:tcBorders>
                  <w:shd w:val="clear" w:color="auto" w:fill="auto"/>
                  <w:tcMar>
                    <w:top w:w="0" w:type="dxa"/>
                    <w:left w:w="0" w:type="dxa"/>
                    <w:bottom w:w="0" w:type="dxa"/>
                    <w:right w:w="0" w:type="dxa"/>
                  </w:tcMar>
                  <w:vAlign w:val="center"/>
                </w:tcPr>
                <w:p w14:paraId="2C1EAD09">
                  <w:pPr>
                    <w:keepNext w:val="0"/>
                    <w:keepLines w:val="0"/>
                    <w:suppressLineNumbers w:val="0"/>
                    <w:spacing w:before="0" w:beforeAutospacing="0" w:after="0" w:afterAutospacing="0"/>
                    <w:ind w:left="0" w:right="0"/>
                    <w:jc w:val="center"/>
                    <w:rPr>
                      <w:rFonts w:hint="default" w:ascii="Times New Roman" w:hAnsi="Times New Roman" w:eastAsia="Arial" w:cs="Times New Roman"/>
                      <w:sz w:val="18"/>
                      <w:szCs w:val="18"/>
                    </w:rPr>
                  </w:pPr>
                  <w:r>
                    <w:rPr>
                      <w:rFonts w:hint="default" w:ascii="Times New Roman" w:hAnsi="Times New Roman" w:eastAsia="Arial" w:cs="Times New Roman"/>
                      <w:sz w:val="18"/>
                      <w:szCs w:val="18"/>
                    </w:rPr>
                    <w:t>30.7</w:t>
                  </w:r>
                </w:p>
              </w:tc>
              <w:tc>
                <w:tcPr>
                  <w:tcW w:w="0" w:type="auto"/>
                  <w:tcBorders>
                    <w:tl2br w:val="nil"/>
                    <w:tr2bl w:val="nil"/>
                  </w:tcBorders>
                  <w:shd w:val="clear" w:color="auto" w:fill="auto"/>
                  <w:tcMar>
                    <w:top w:w="0" w:type="dxa"/>
                    <w:left w:w="0" w:type="dxa"/>
                    <w:bottom w:w="0" w:type="dxa"/>
                    <w:right w:w="0" w:type="dxa"/>
                  </w:tcMar>
                  <w:vAlign w:val="center"/>
                </w:tcPr>
                <w:p w14:paraId="4682ED44">
                  <w:pPr>
                    <w:keepNext w:val="0"/>
                    <w:keepLines w:val="0"/>
                    <w:suppressLineNumbers w:val="0"/>
                    <w:spacing w:before="0" w:beforeAutospacing="0" w:after="0" w:afterAutospacing="0"/>
                    <w:ind w:left="0" w:right="0"/>
                    <w:jc w:val="center"/>
                    <w:rPr>
                      <w:rFonts w:hint="default" w:ascii="Times New Roman" w:hAnsi="Times New Roman" w:eastAsia="Arial" w:cs="Times New Roman"/>
                      <w:sz w:val="18"/>
                      <w:szCs w:val="18"/>
                    </w:rPr>
                  </w:pPr>
                  <w:r>
                    <w:rPr>
                      <w:rFonts w:hint="default" w:ascii="Times New Roman" w:hAnsi="Times New Roman" w:eastAsia="Arial" w:cs="Times New Roman"/>
                      <w:sz w:val="18"/>
                      <w:szCs w:val="18"/>
                    </w:rPr>
                    <w:t>30.7</w:t>
                  </w:r>
                </w:p>
              </w:tc>
              <w:tc>
                <w:tcPr>
                  <w:tcW w:w="0" w:type="auto"/>
                  <w:tcBorders>
                    <w:tl2br w:val="nil"/>
                    <w:tr2bl w:val="nil"/>
                  </w:tcBorders>
                  <w:shd w:val="clear" w:color="auto" w:fill="auto"/>
                  <w:tcMar>
                    <w:top w:w="0" w:type="dxa"/>
                    <w:left w:w="0" w:type="dxa"/>
                    <w:bottom w:w="0" w:type="dxa"/>
                    <w:right w:w="0" w:type="dxa"/>
                  </w:tcMar>
                  <w:vAlign w:val="center"/>
                </w:tcPr>
                <w:p w14:paraId="1AE7B0D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b w:val="0"/>
                      <w:bCs/>
                      <w:color w:val="auto"/>
                      <w:sz w:val="18"/>
                      <w:szCs w:val="18"/>
                    </w:rPr>
                  </w:pPr>
                  <w:r>
                    <w:rPr>
                      <w:rFonts w:hint="default" w:ascii="Times New Roman" w:hAnsi="Times New Roman" w:eastAsia="Arial" w:cs="Times New Roman"/>
                      <w:b w:val="0"/>
                      <w:bCs/>
                      <w:color w:val="auto"/>
                      <w:sz w:val="18"/>
                      <w:szCs w:val="18"/>
                    </w:rPr>
                    <w:t>1</w:t>
                  </w:r>
                </w:p>
              </w:tc>
            </w:tr>
            <w:tr w14:paraId="6DB5CC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9" w:hRule="atLeast"/>
              </w:trPr>
              <w:tc>
                <w:tcPr>
                  <w:tcW w:w="0" w:type="auto"/>
                  <w:tcBorders>
                    <w:tl2br w:val="nil"/>
                    <w:tr2bl w:val="nil"/>
                  </w:tcBorders>
                  <w:shd w:val="clear" w:color="auto" w:fill="auto"/>
                  <w:tcMar>
                    <w:top w:w="0" w:type="dxa"/>
                    <w:left w:w="0" w:type="dxa"/>
                    <w:bottom w:w="0" w:type="dxa"/>
                    <w:right w:w="0" w:type="dxa"/>
                  </w:tcMar>
                  <w:vAlign w:val="center"/>
                </w:tcPr>
                <w:p w14:paraId="1762D77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b w:val="0"/>
                      <w:bCs/>
                      <w:color w:val="auto"/>
                      <w:sz w:val="18"/>
                      <w:szCs w:val="18"/>
                    </w:rPr>
                  </w:pPr>
                  <w:r>
                    <w:rPr>
                      <w:rFonts w:hint="default" w:ascii="Times New Roman" w:hAnsi="Times New Roman" w:eastAsia="Arial" w:cs="Times New Roman"/>
                      <w:b w:val="0"/>
                      <w:bCs/>
                      <w:color w:val="auto"/>
                      <w:sz w:val="18"/>
                      <w:szCs w:val="18"/>
                    </w:rPr>
                    <w:t>2</w:t>
                  </w:r>
                </w:p>
              </w:tc>
              <w:tc>
                <w:tcPr>
                  <w:tcW w:w="0" w:type="auto"/>
                  <w:vMerge w:val="continue"/>
                  <w:tcBorders>
                    <w:tl2br w:val="nil"/>
                    <w:tr2bl w:val="nil"/>
                  </w:tcBorders>
                  <w:shd w:val="clear" w:color="auto" w:fill="auto"/>
                  <w:tcMar>
                    <w:top w:w="0" w:type="dxa"/>
                    <w:left w:w="0" w:type="dxa"/>
                    <w:bottom w:w="0" w:type="dxa"/>
                    <w:right w:w="0" w:type="dxa"/>
                  </w:tcMar>
                  <w:vAlign w:val="center"/>
                </w:tcPr>
                <w:p w14:paraId="56C7601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b w:val="0"/>
                      <w:bCs/>
                      <w:color w:val="auto"/>
                      <w:sz w:val="18"/>
                      <w:szCs w:val="18"/>
                    </w:rPr>
                  </w:pPr>
                </w:p>
              </w:tc>
              <w:tc>
                <w:tcPr>
                  <w:tcW w:w="0" w:type="auto"/>
                  <w:tcBorders>
                    <w:tl2br w:val="nil"/>
                    <w:tr2bl w:val="nil"/>
                  </w:tcBorders>
                  <w:shd w:val="clear" w:color="auto" w:fill="auto"/>
                  <w:tcMar>
                    <w:top w:w="0" w:type="dxa"/>
                    <w:left w:w="0" w:type="dxa"/>
                    <w:bottom w:w="0" w:type="dxa"/>
                    <w:right w:w="0" w:type="dxa"/>
                  </w:tcMar>
                  <w:vAlign w:val="center"/>
                </w:tcPr>
                <w:p w14:paraId="561239F1">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b w:val="0"/>
                      <w:bCs/>
                      <w:color w:val="auto"/>
                      <w:sz w:val="18"/>
                      <w:szCs w:val="18"/>
                    </w:rPr>
                  </w:pPr>
                  <w:r>
                    <w:rPr>
                      <w:rFonts w:hint="default" w:ascii="Times New Roman" w:hAnsi="Times New Roman" w:eastAsia="宋体" w:cs="Times New Roman"/>
                      <w:color w:val="auto"/>
                      <w:sz w:val="18"/>
                      <w:szCs w:val="18"/>
                      <w:lang w:val="en-US" w:eastAsia="zh-CN"/>
                    </w:rPr>
                    <w:t>热风循环干燥机</w:t>
                  </w:r>
                </w:p>
              </w:tc>
              <w:tc>
                <w:tcPr>
                  <w:tcW w:w="0" w:type="auto"/>
                  <w:tcBorders>
                    <w:tl2br w:val="nil"/>
                    <w:tr2bl w:val="nil"/>
                  </w:tcBorders>
                  <w:shd w:val="clear" w:color="auto" w:fill="FFFFFF"/>
                  <w:tcMar>
                    <w:top w:w="0" w:type="dxa"/>
                    <w:left w:w="0" w:type="dxa"/>
                    <w:bottom w:w="0" w:type="dxa"/>
                    <w:right w:w="0" w:type="dxa"/>
                  </w:tcMar>
                  <w:vAlign w:val="center"/>
                </w:tcPr>
                <w:p w14:paraId="243C2F18">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Arial" w:cs="Times New Roman"/>
                      <w:sz w:val="18"/>
                      <w:szCs w:val="18"/>
                    </w:rPr>
                    <w:t>75</w:t>
                  </w:r>
                </w:p>
              </w:tc>
              <w:tc>
                <w:tcPr>
                  <w:tcW w:w="0" w:type="auto"/>
                  <w:tcBorders>
                    <w:tl2br w:val="nil"/>
                    <w:tr2bl w:val="nil"/>
                  </w:tcBorders>
                  <w:shd w:val="clear" w:color="auto" w:fill="auto"/>
                  <w:tcMar>
                    <w:top w:w="0" w:type="dxa"/>
                    <w:left w:w="0" w:type="dxa"/>
                    <w:bottom w:w="0" w:type="dxa"/>
                    <w:right w:w="0" w:type="dxa"/>
                  </w:tcMar>
                  <w:vAlign w:val="center"/>
                </w:tcPr>
                <w:p w14:paraId="2DF57A9A">
                  <w:pPr>
                    <w:keepNext w:val="0"/>
                    <w:keepLines w:val="0"/>
                    <w:suppressLineNumbers w:val="0"/>
                    <w:spacing w:before="0" w:beforeAutospacing="0" w:after="0" w:afterAutospacing="0"/>
                    <w:ind w:left="0" w:right="0"/>
                    <w:jc w:val="center"/>
                    <w:rPr>
                      <w:rFonts w:hint="default" w:ascii="Times New Roman" w:hAnsi="Times New Roman" w:cs="Times New Roman"/>
                      <w:b w:val="0"/>
                      <w:bCs/>
                      <w:color w:val="auto"/>
                      <w:sz w:val="18"/>
                      <w:szCs w:val="18"/>
                    </w:rPr>
                  </w:pPr>
                  <w:r>
                    <w:rPr>
                      <w:rFonts w:hint="default" w:ascii="Times New Roman" w:hAnsi="Times New Roman" w:eastAsia="Arial" w:cs="Times New Roman"/>
                      <w:sz w:val="18"/>
                      <w:szCs w:val="18"/>
                    </w:rPr>
                    <w:t>-59.5</w:t>
                  </w:r>
                </w:p>
              </w:tc>
              <w:tc>
                <w:tcPr>
                  <w:tcW w:w="0" w:type="auto"/>
                  <w:tcBorders>
                    <w:tl2br w:val="nil"/>
                    <w:tr2bl w:val="nil"/>
                  </w:tcBorders>
                  <w:shd w:val="clear" w:color="auto" w:fill="auto"/>
                  <w:tcMar>
                    <w:top w:w="0" w:type="dxa"/>
                    <w:left w:w="0" w:type="dxa"/>
                    <w:bottom w:w="0" w:type="dxa"/>
                    <w:right w:w="0" w:type="dxa"/>
                  </w:tcMar>
                  <w:vAlign w:val="center"/>
                </w:tcPr>
                <w:p w14:paraId="3BA41AEF">
                  <w:pPr>
                    <w:keepNext w:val="0"/>
                    <w:keepLines w:val="0"/>
                    <w:suppressLineNumbers w:val="0"/>
                    <w:spacing w:before="0" w:beforeAutospacing="0" w:after="0" w:afterAutospacing="0"/>
                    <w:ind w:left="0" w:right="0"/>
                    <w:jc w:val="center"/>
                    <w:rPr>
                      <w:rFonts w:hint="default" w:ascii="Times New Roman" w:hAnsi="Times New Roman" w:cs="Times New Roman"/>
                      <w:b w:val="0"/>
                      <w:bCs/>
                      <w:color w:val="auto"/>
                      <w:sz w:val="18"/>
                      <w:szCs w:val="18"/>
                    </w:rPr>
                  </w:pPr>
                  <w:r>
                    <w:rPr>
                      <w:rFonts w:hint="default" w:ascii="Times New Roman" w:hAnsi="Times New Roman" w:eastAsia="Arial" w:cs="Times New Roman"/>
                      <w:sz w:val="18"/>
                      <w:szCs w:val="18"/>
                    </w:rPr>
                    <w:t>-10.4</w:t>
                  </w:r>
                </w:p>
              </w:tc>
              <w:tc>
                <w:tcPr>
                  <w:tcW w:w="0" w:type="auto"/>
                  <w:tcBorders>
                    <w:tl2br w:val="nil"/>
                    <w:tr2bl w:val="nil"/>
                  </w:tcBorders>
                  <w:shd w:val="clear" w:color="auto" w:fill="auto"/>
                  <w:tcMar>
                    <w:top w:w="0" w:type="dxa"/>
                    <w:left w:w="0" w:type="dxa"/>
                    <w:bottom w:w="0" w:type="dxa"/>
                    <w:right w:w="0" w:type="dxa"/>
                  </w:tcMar>
                  <w:vAlign w:val="center"/>
                </w:tcPr>
                <w:p w14:paraId="330F509B">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color w:val="auto"/>
                      <w:sz w:val="18"/>
                      <w:szCs w:val="18"/>
                      <w:lang w:val="en-US" w:eastAsia="zh-CN"/>
                    </w:rPr>
                  </w:pPr>
                  <w:r>
                    <w:rPr>
                      <w:rFonts w:hint="default" w:ascii="Times New Roman" w:hAnsi="Times New Roman" w:eastAsia="Arial" w:cs="Times New Roman"/>
                      <w:sz w:val="18"/>
                      <w:szCs w:val="18"/>
                    </w:rPr>
                    <w:t>1.2</w:t>
                  </w:r>
                </w:p>
              </w:tc>
              <w:tc>
                <w:tcPr>
                  <w:tcW w:w="0" w:type="auto"/>
                  <w:tcBorders>
                    <w:tl2br w:val="nil"/>
                    <w:tr2bl w:val="nil"/>
                  </w:tcBorders>
                  <w:shd w:val="clear" w:color="auto" w:fill="auto"/>
                  <w:tcMar>
                    <w:top w:w="0" w:type="dxa"/>
                    <w:left w:w="0" w:type="dxa"/>
                    <w:bottom w:w="0" w:type="dxa"/>
                    <w:right w:w="0" w:type="dxa"/>
                  </w:tcMar>
                  <w:vAlign w:val="center"/>
                </w:tcPr>
                <w:p w14:paraId="52A56590">
                  <w:pPr>
                    <w:keepNext w:val="0"/>
                    <w:keepLines w:val="0"/>
                    <w:suppressLineNumbers w:val="0"/>
                    <w:spacing w:before="0" w:beforeAutospacing="0" w:after="0" w:afterAutospacing="0"/>
                    <w:ind w:left="0" w:right="0"/>
                    <w:jc w:val="center"/>
                    <w:rPr>
                      <w:rFonts w:hint="default" w:ascii="Times New Roman" w:hAnsi="Times New Roman" w:cs="Times New Roman"/>
                      <w:b w:val="0"/>
                      <w:bCs/>
                      <w:color w:val="auto"/>
                      <w:sz w:val="18"/>
                      <w:szCs w:val="18"/>
                    </w:rPr>
                  </w:pPr>
                  <w:r>
                    <w:rPr>
                      <w:rFonts w:hint="default" w:ascii="Times New Roman" w:hAnsi="Times New Roman" w:eastAsia="Arial" w:cs="Times New Roman"/>
                      <w:sz w:val="18"/>
                      <w:szCs w:val="18"/>
                    </w:rPr>
                    <w:t>131.1</w:t>
                  </w:r>
                </w:p>
              </w:tc>
              <w:tc>
                <w:tcPr>
                  <w:tcW w:w="0" w:type="auto"/>
                  <w:tcBorders>
                    <w:tl2br w:val="nil"/>
                    <w:tr2bl w:val="nil"/>
                  </w:tcBorders>
                  <w:shd w:val="clear" w:color="auto" w:fill="auto"/>
                  <w:tcMar>
                    <w:top w:w="0" w:type="dxa"/>
                    <w:left w:w="0" w:type="dxa"/>
                    <w:bottom w:w="0" w:type="dxa"/>
                    <w:right w:w="0" w:type="dxa"/>
                  </w:tcMar>
                  <w:vAlign w:val="center"/>
                </w:tcPr>
                <w:p w14:paraId="30F78D20">
                  <w:pPr>
                    <w:keepNext w:val="0"/>
                    <w:keepLines w:val="0"/>
                    <w:suppressLineNumbers w:val="0"/>
                    <w:spacing w:before="0" w:beforeAutospacing="0" w:after="0" w:afterAutospacing="0"/>
                    <w:ind w:left="0" w:right="0"/>
                    <w:jc w:val="center"/>
                    <w:rPr>
                      <w:rFonts w:hint="default" w:ascii="Times New Roman" w:hAnsi="Times New Roman" w:cs="Times New Roman"/>
                      <w:b w:val="0"/>
                      <w:bCs/>
                      <w:color w:val="auto"/>
                      <w:sz w:val="18"/>
                      <w:szCs w:val="18"/>
                    </w:rPr>
                  </w:pPr>
                  <w:r>
                    <w:rPr>
                      <w:rFonts w:hint="default" w:ascii="Times New Roman" w:hAnsi="Times New Roman" w:eastAsia="Arial" w:cs="Times New Roman"/>
                      <w:sz w:val="18"/>
                      <w:szCs w:val="18"/>
                    </w:rPr>
                    <w:t>10.6</w:t>
                  </w:r>
                </w:p>
              </w:tc>
              <w:tc>
                <w:tcPr>
                  <w:tcW w:w="0" w:type="auto"/>
                  <w:tcBorders>
                    <w:tl2br w:val="nil"/>
                    <w:tr2bl w:val="nil"/>
                  </w:tcBorders>
                  <w:shd w:val="clear" w:color="auto" w:fill="auto"/>
                  <w:tcMar>
                    <w:top w:w="0" w:type="dxa"/>
                    <w:left w:w="0" w:type="dxa"/>
                    <w:bottom w:w="0" w:type="dxa"/>
                    <w:right w:w="0" w:type="dxa"/>
                  </w:tcMar>
                  <w:vAlign w:val="center"/>
                </w:tcPr>
                <w:p w14:paraId="76C8B6DB">
                  <w:pPr>
                    <w:keepNext w:val="0"/>
                    <w:keepLines w:val="0"/>
                    <w:suppressLineNumbers w:val="0"/>
                    <w:spacing w:before="0" w:beforeAutospacing="0" w:after="0" w:afterAutospacing="0"/>
                    <w:ind w:left="0" w:right="0"/>
                    <w:jc w:val="center"/>
                    <w:rPr>
                      <w:rFonts w:hint="default" w:ascii="Times New Roman" w:hAnsi="Times New Roman" w:cs="Times New Roman"/>
                      <w:b w:val="0"/>
                      <w:bCs/>
                      <w:color w:val="auto"/>
                      <w:sz w:val="18"/>
                      <w:szCs w:val="18"/>
                    </w:rPr>
                  </w:pPr>
                  <w:r>
                    <w:rPr>
                      <w:rFonts w:hint="default" w:ascii="Times New Roman" w:hAnsi="Times New Roman" w:eastAsia="Arial" w:cs="Times New Roman"/>
                      <w:sz w:val="18"/>
                      <w:szCs w:val="18"/>
                    </w:rPr>
                    <w:t>11.1</w:t>
                  </w:r>
                </w:p>
              </w:tc>
              <w:tc>
                <w:tcPr>
                  <w:tcW w:w="0" w:type="auto"/>
                  <w:tcBorders>
                    <w:tl2br w:val="nil"/>
                    <w:tr2bl w:val="nil"/>
                  </w:tcBorders>
                  <w:shd w:val="clear" w:color="auto" w:fill="auto"/>
                  <w:tcMar>
                    <w:top w:w="0" w:type="dxa"/>
                    <w:left w:w="0" w:type="dxa"/>
                    <w:bottom w:w="0" w:type="dxa"/>
                    <w:right w:w="0" w:type="dxa"/>
                  </w:tcMar>
                  <w:vAlign w:val="center"/>
                </w:tcPr>
                <w:p w14:paraId="186D7339">
                  <w:pPr>
                    <w:keepNext w:val="0"/>
                    <w:keepLines w:val="0"/>
                    <w:suppressLineNumbers w:val="0"/>
                    <w:spacing w:before="0" w:beforeAutospacing="0" w:after="0" w:afterAutospacing="0"/>
                    <w:ind w:left="0" w:right="0"/>
                    <w:jc w:val="center"/>
                    <w:rPr>
                      <w:rFonts w:hint="default" w:ascii="Times New Roman" w:hAnsi="Times New Roman" w:cs="Times New Roman"/>
                      <w:b w:val="0"/>
                      <w:bCs/>
                      <w:color w:val="auto"/>
                      <w:sz w:val="18"/>
                      <w:szCs w:val="18"/>
                    </w:rPr>
                  </w:pPr>
                  <w:r>
                    <w:rPr>
                      <w:rFonts w:hint="default" w:ascii="Times New Roman" w:hAnsi="Times New Roman" w:eastAsia="Arial" w:cs="Times New Roman"/>
                      <w:sz w:val="18"/>
                      <w:szCs w:val="18"/>
                    </w:rPr>
                    <w:t>30.5</w:t>
                  </w:r>
                </w:p>
              </w:tc>
              <w:tc>
                <w:tcPr>
                  <w:tcW w:w="0" w:type="auto"/>
                  <w:tcBorders>
                    <w:tl2br w:val="nil"/>
                    <w:tr2bl w:val="nil"/>
                  </w:tcBorders>
                  <w:shd w:val="clear" w:color="auto" w:fill="auto"/>
                  <w:tcMar>
                    <w:top w:w="0" w:type="dxa"/>
                    <w:left w:w="0" w:type="dxa"/>
                    <w:bottom w:w="0" w:type="dxa"/>
                    <w:right w:w="0" w:type="dxa"/>
                  </w:tcMar>
                  <w:vAlign w:val="center"/>
                </w:tcPr>
                <w:p w14:paraId="6C45F0F8">
                  <w:pPr>
                    <w:keepNext w:val="0"/>
                    <w:keepLines w:val="0"/>
                    <w:suppressLineNumbers w:val="0"/>
                    <w:spacing w:before="0" w:beforeAutospacing="0" w:after="0" w:afterAutospacing="0"/>
                    <w:ind w:left="0" w:right="0"/>
                    <w:jc w:val="center"/>
                    <w:rPr>
                      <w:rFonts w:hint="default" w:ascii="Times New Roman" w:hAnsi="Times New Roman" w:eastAsia="Arial" w:cs="Times New Roman"/>
                      <w:sz w:val="18"/>
                      <w:szCs w:val="18"/>
                    </w:rPr>
                  </w:pPr>
                  <w:r>
                    <w:rPr>
                      <w:rFonts w:hint="default" w:ascii="Times New Roman" w:hAnsi="Times New Roman" w:eastAsia="Arial" w:cs="Times New Roman"/>
                      <w:sz w:val="18"/>
                      <w:szCs w:val="18"/>
                    </w:rPr>
                    <w:t>56.5</w:t>
                  </w:r>
                </w:p>
              </w:tc>
              <w:tc>
                <w:tcPr>
                  <w:tcW w:w="0" w:type="auto"/>
                  <w:tcBorders>
                    <w:tl2br w:val="nil"/>
                    <w:tr2bl w:val="nil"/>
                  </w:tcBorders>
                  <w:shd w:val="clear" w:color="auto" w:fill="auto"/>
                  <w:tcMar>
                    <w:top w:w="0" w:type="dxa"/>
                    <w:left w:w="0" w:type="dxa"/>
                    <w:bottom w:w="0" w:type="dxa"/>
                    <w:right w:w="0" w:type="dxa"/>
                  </w:tcMar>
                  <w:vAlign w:val="center"/>
                </w:tcPr>
                <w:p w14:paraId="1E5E56D2">
                  <w:pPr>
                    <w:keepNext w:val="0"/>
                    <w:keepLines w:val="0"/>
                    <w:suppressLineNumbers w:val="0"/>
                    <w:spacing w:before="0" w:beforeAutospacing="0" w:after="0" w:afterAutospacing="0"/>
                    <w:ind w:left="0" w:right="0"/>
                    <w:jc w:val="center"/>
                    <w:rPr>
                      <w:rFonts w:hint="default" w:ascii="Times New Roman" w:hAnsi="Times New Roman" w:eastAsia="Arial" w:cs="Times New Roman"/>
                      <w:sz w:val="18"/>
                      <w:szCs w:val="18"/>
                    </w:rPr>
                  </w:pPr>
                  <w:r>
                    <w:rPr>
                      <w:rFonts w:hint="default" w:ascii="Times New Roman" w:hAnsi="Times New Roman" w:eastAsia="Arial" w:cs="Times New Roman"/>
                      <w:sz w:val="18"/>
                      <w:szCs w:val="18"/>
                    </w:rPr>
                    <w:t>56.7</w:t>
                  </w:r>
                </w:p>
              </w:tc>
              <w:tc>
                <w:tcPr>
                  <w:tcW w:w="0" w:type="auto"/>
                  <w:tcBorders>
                    <w:tl2br w:val="nil"/>
                    <w:tr2bl w:val="nil"/>
                  </w:tcBorders>
                  <w:shd w:val="clear" w:color="auto" w:fill="auto"/>
                  <w:tcMar>
                    <w:top w:w="0" w:type="dxa"/>
                    <w:left w:w="0" w:type="dxa"/>
                    <w:bottom w:w="0" w:type="dxa"/>
                    <w:right w:w="0" w:type="dxa"/>
                  </w:tcMar>
                  <w:vAlign w:val="center"/>
                </w:tcPr>
                <w:p w14:paraId="6C446A05">
                  <w:pPr>
                    <w:keepNext w:val="0"/>
                    <w:keepLines w:val="0"/>
                    <w:suppressLineNumbers w:val="0"/>
                    <w:spacing w:before="0" w:beforeAutospacing="0" w:after="0" w:afterAutospacing="0"/>
                    <w:ind w:left="0" w:right="0"/>
                    <w:jc w:val="center"/>
                    <w:rPr>
                      <w:rFonts w:hint="default" w:ascii="Times New Roman" w:hAnsi="Times New Roman" w:eastAsia="Arial" w:cs="Times New Roman"/>
                      <w:sz w:val="18"/>
                      <w:szCs w:val="18"/>
                    </w:rPr>
                  </w:pPr>
                  <w:r>
                    <w:rPr>
                      <w:rFonts w:hint="default" w:ascii="Times New Roman" w:hAnsi="Times New Roman" w:eastAsia="Arial" w:cs="Times New Roman"/>
                      <w:sz w:val="18"/>
                      <w:szCs w:val="18"/>
                    </w:rPr>
                    <w:t>56.7</w:t>
                  </w:r>
                </w:p>
              </w:tc>
              <w:tc>
                <w:tcPr>
                  <w:tcW w:w="0" w:type="auto"/>
                  <w:tcBorders>
                    <w:tl2br w:val="nil"/>
                    <w:tr2bl w:val="nil"/>
                  </w:tcBorders>
                  <w:shd w:val="clear" w:color="auto" w:fill="auto"/>
                  <w:tcMar>
                    <w:top w:w="0" w:type="dxa"/>
                    <w:left w:w="0" w:type="dxa"/>
                    <w:bottom w:w="0" w:type="dxa"/>
                    <w:right w:w="0" w:type="dxa"/>
                  </w:tcMar>
                  <w:vAlign w:val="center"/>
                </w:tcPr>
                <w:p w14:paraId="6812A65D">
                  <w:pPr>
                    <w:keepNext w:val="0"/>
                    <w:keepLines w:val="0"/>
                    <w:suppressLineNumbers w:val="0"/>
                    <w:spacing w:before="0" w:beforeAutospacing="0" w:after="0" w:afterAutospacing="0"/>
                    <w:ind w:left="0" w:right="0"/>
                    <w:jc w:val="center"/>
                    <w:rPr>
                      <w:rFonts w:hint="default" w:ascii="Times New Roman" w:hAnsi="Times New Roman" w:eastAsia="Arial" w:cs="Times New Roman"/>
                      <w:sz w:val="18"/>
                      <w:szCs w:val="18"/>
                    </w:rPr>
                  </w:pPr>
                  <w:r>
                    <w:rPr>
                      <w:rFonts w:hint="default" w:ascii="Times New Roman" w:hAnsi="Times New Roman" w:eastAsia="Arial" w:cs="Times New Roman"/>
                      <w:sz w:val="18"/>
                      <w:szCs w:val="18"/>
                    </w:rPr>
                    <w:t>56.6</w:t>
                  </w:r>
                </w:p>
              </w:tc>
              <w:tc>
                <w:tcPr>
                  <w:tcW w:w="0" w:type="auto"/>
                  <w:tcBorders>
                    <w:tl2br w:val="nil"/>
                    <w:tr2bl w:val="nil"/>
                  </w:tcBorders>
                  <w:shd w:val="clear" w:color="auto" w:fill="auto"/>
                  <w:tcMar>
                    <w:top w:w="0" w:type="dxa"/>
                    <w:left w:w="0" w:type="dxa"/>
                    <w:bottom w:w="0" w:type="dxa"/>
                    <w:right w:w="0" w:type="dxa"/>
                  </w:tcMar>
                  <w:vAlign w:val="center"/>
                </w:tcPr>
                <w:p w14:paraId="2C8D793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b w:val="0"/>
                      <w:bCs/>
                      <w:color w:val="auto"/>
                      <w:sz w:val="18"/>
                      <w:szCs w:val="18"/>
                    </w:rPr>
                  </w:pPr>
                  <w:r>
                    <w:rPr>
                      <w:rFonts w:hint="default" w:ascii="Times New Roman" w:hAnsi="Times New Roman" w:eastAsia="Arial" w:cs="Times New Roman"/>
                      <w:b w:val="0"/>
                      <w:bCs/>
                      <w:color w:val="auto"/>
                      <w:sz w:val="18"/>
                      <w:szCs w:val="18"/>
                    </w:rPr>
                    <w:t>26.0</w:t>
                  </w:r>
                </w:p>
              </w:tc>
              <w:tc>
                <w:tcPr>
                  <w:tcW w:w="0" w:type="auto"/>
                  <w:tcBorders>
                    <w:tl2br w:val="nil"/>
                    <w:tr2bl w:val="nil"/>
                  </w:tcBorders>
                  <w:shd w:val="clear" w:color="auto" w:fill="auto"/>
                  <w:tcMar>
                    <w:top w:w="0" w:type="dxa"/>
                    <w:left w:w="0" w:type="dxa"/>
                    <w:bottom w:w="0" w:type="dxa"/>
                    <w:right w:w="0" w:type="dxa"/>
                  </w:tcMar>
                  <w:vAlign w:val="center"/>
                </w:tcPr>
                <w:p w14:paraId="0E6E89F3">
                  <w:pPr>
                    <w:keepNext w:val="0"/>
                    <w:keepLines w:val="0"/>
                    <w:suppressLineNumbers w:val="0"/>
                    <w:spacing w:before="0" w:beforeAutospacing="0" w:after="0" w:afterAutospacing="0"/>
                    <w:ind w:left="0" w:right="0"/>
                    <w:jc w:val="center"/>
                    <w:rPr>
                      <w:rFonts w:hint="default" w:ascii="Times New Roman" w:hAnsi="Times New Roman" w:eastAsia="Arial" w:cs="Times New Roman"/>
                      <w:sz w:val="18"/>
                      <w:szCs w:val="18"/>
                    </w:rPr>
                  </w:pPr>
                  <w:r>
                    <w:rPr>
                      <w:rFonts w:hint="default" w:ascii="Times New Roman" w:hAnsi="Times New Roman" w:eastAsia="Arial" w:cs="Times New Roman"/>
                      <w:sz w:val="18"/>
                      <w:szCs w:val="18"/>
                    </w:rPr>
                    <w:t>30.5</w:t>
                  </w:r>
                </w:p>
              </w:tc>
              <w:tc>
                <w:tcPr>
                  <w:tcW w:w="0" w:type="auto"/>
                  <w:tcBorders>
                    <w:tl2br w:val="nil"/>
                    <w:tr2bl w:val="nil"/>
                  </w:tcBorders>
                  <w:shd w:val="clear" w:color="auto" w:fill="auto"/>
                  <w:tcMar>
                    <w:top w:w="0" w:type="dxa"/>
                    <w:left w:w="0" w:type="dxa"/>
                    <w:bottom w:w="0" w:type="dxa"/>
                    <w:right w:w="0" w:type="dxa"/>
                  </w:tcMar>
                  <w:vAlign w:val="center"/>
                </w:tcPr>
                <w:p w14:paraId="75717C8B">
                  <w:pPr>
                    <w:keepNext w:val="0"/>
                    <w:keepLines w:val="0"/>
                    <w:suppressLineNumbers w:val="0"/>
                    <w:spacing w:before="0" w:beforeAutospacing="0" w:after="0" w:afterAutospacing="0"/>
                    <w:ind w:left="0" w:right="0"/>
                    <w:jc w:val="center"/>
                    <w:rPr>
                      <w:rFonts w:hint="default" w:ascii="Times New Roman" w:hAnsi="Times New Roman" w:eastAsia="Arial" w:cs="Times New Roman"/>
                      <w:sz w:val="18"/>
                      <w:szCs w:val="18"/>
                    </w:rPr>
                  </w:pPr>
                  <w:r>
                    <w:rPr>
                      <w:rFonts w:hint="default" w:ascii="Times New Roman" w:hAnsi="Times New Roman" w:eastAsia="Arial" w:cs="Times New Roman"/>
                      <w:sz w:val="18"/>
                      <w:szCs w:val="18"/>
                    </w:rPr>
                    <w:t>30.7</w:t>
                  </w:r>
                </w:p>
              </w:tc>
              <w:tc>
                <w:tcPr>
                  <w:tcW w:w="0" w:type="auto"/>
                  <w:tcBorders>
                    <w:tl2br w:val="nil"/>
                    <w:tr2bl w:val="nil"/>
                  </w:tcBorders>
                  <w:shd w:val="clear" w:color="auto" w:fill="auto"/>
                  <w:tcMar>
                    <w:top w:w="0" w:type="dxa"/>
                    <w:left w:w="0" w:type="dxa"/>
                    <w:bottom w:w="0" w:type="dxa"/>
                    <w:right w:w="0" w:type="dxa"/>
                  </w:tcMar>
                  <w:vAlign w:val="center"/>
                </w:tcPr>
                <w:p w14:paraId="35B80AB2">
                  <w:pPr>
                    <w:keepNext w:val="0"/>
                    <w:keepLines w:val="0"/>
                    <w:suppressLineNumbers w:val="0"/>
                    <w:spacing w:before="0" w:beforeAutospacing="0" w:after="0" w:afterAutospacing="0"/>
                    <w:ind w:left="0" w:right="0"/>
                    <w:jc w:val="center"/>
                    <w:rPr>
                      <w:rFonts w:hint="default" w:ascii="Times New Roman" w:hAnsi="Times New Roman" w:eastAsia="Arial" w:cs="Times New Roman"/>
                      <w:sz w:val="18"/>
                      <w:szCs w:val="18"/>
                    </w:rPr>
                  </w:pPr>
                  <w:r>
                    <w:rPr>
                      <w:rFonts w:hint="default" w:ascii="Times New Roman" w:hAnsi="Times New Roman" w:eastAsia="Arial" w:cs="Times New Roman"/>
                      <w:sz w:val="18"/>
                      <w:szCs w:val="18"/>
                    </w:rPr>
                    <w:t>30.7</w:t>
                  </w:r>
                </w:p>
              </w:tc>
              <w:tc>
                <w:tcPr>
                  <w:tcW w:w="0" w:type="auto"/>
                  <w:tcBorders>
                    <w:tl2br w:val="nil"/>
                    <w:tr2bl w:val="nil"/>
                  </w:tcBorders>
                  <w:shd w:val="clear" w:color="auto" w:fill="auto"/>
                  <w:tcMar>
                    <w:top w:w="0" w:type="dxa"/>
                    <w:left w:w="0" w:type="dxa"/>
                    <w:bottom w:w="0" w:type="dxa"/>
                    <w:right w:w="0" w:type="dxa"/>
                  </w:tcMar>
                  <w:vAlign w:val="center"/>
                </w:tcPr>
                <w:p w14:paraId="646CF4B5">
                  <w:pPr>
                    <w:keepNext w:val="0"/>
                    <w:keepLines w:val="0"/>
                    <w:suppressLineNumbers w:val="0"/>
                    <w:spacing w:before="0" w:beforeAutospacing="0" w:after="0" w:afterAutospacing="0"/>
                    <w:ind w:left="0" w:right="0"/>
                    <w:jc w:val="center"/>
                    <w:rPr>
                      <w:rFonts w:hint="default" w:ascii="Times New Roman" w:hAnsi="Times New Roman" w:eastAsia="Arial" w:cs="Times New Roman"/>
                      <w:sz w:val="18"/>
                      <w:szCs w:val="18"/>
                    </w:rPr>
                  </w:pPr>
                  <w:r>
                    <w:rPr>
                      <w:rFonts w:hint="default" w:ascii="Times New Roman" w:hAnsi="Times New Roman" w:eastAsia="Arial" w:cs="Times New Roman"/>
                      <w:sz w:val="18"/>
                      <w:szCs w:val="18"/>
                    </w:rPr>
                    <w:t>30.6</w:t>
                  </w:r>
                </w:p>
              </w:tc>
              <w:tc>
                <w:tcPr>
                  <w:tcW w:w="0" w:type="auto"/>
                  <w:tcBorders>
                    <w:tl2br w:val="nil"/>
                    <w:tr2bl w:val="nil"/>
                  </w:tcBorders>
                  <w:shd w:val="clear" w:color="auto" w:fill="auto"/>
                  <w:tcMar>
                    <w:top w:w="0" w:type="dxa"/>
                    <w:left w:w="0" w:type="dxa"/>
                    <w:bottom w:w="0" w:type="dxa"/>
                    <w:right w:w="0" w:type="dxa"/>
                  </w:tcMar>
                  <w:vAlign w:val="center"/>
                </w:tcPr>
                <w:p w14:paraId="4FDC905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b w:val="0"/>
                      <w:bCs/>
                      <w:color w:val="auto"/>
                      <w:sz w:val="18"/>
                      <w:szCs w:val="18"/>
                    </w:rPr>
                  </w:pPr>
                  <w:r>
                    <w:rPr>
                      <w:rFonts w:hint="default" w:ascii="Times New Roman" w:hAnsi="Times New Roman" w:eastAsia="Arial" w:cs="Times New Roman"/>
                      <w:b w:val="0"/>
                      <w:bCs/>
                      <w:color w:val="auto"/>
                      <w:sz w:val="18"/>
                      <w:szCs w:val="18"/>
                    </w:rPr>
                    <w:t>1</w:t>
                  </w:r>
                </w:p>
              </w:tc>
            </w:tr>
            <w:tr w14:paraId="5F047F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9" w:hRule="atLeast"/>
              </w:trPr>
              <w:tc>
                <w:tcPr>
                  <w:tcW w:w="0" w:type="auto"/>
                  <w:tcBorders>
                    <w:tl2br w:val="nil"/>
                    <w:tr2bl w:val="nil"/>
                  </w:tcBorders>
                  <w:shd w:val="clear" w:color="auto" w:fill="auto"/>
                  <w:tcMar>
                    <w:top w:w="0" w:type="dxa"/>
                    <w:left w:w="0" w:type="dxa"/>
                    <w:bottom w:w="0" w:type="dxa"/>
                    <w:right w:w="0" w:type="dxa"/>
                  </w:tcMar>
                  <w:vAlign w:val="center"/>
                </w:tcPr>
                <w:p w14:paraId="4FC8028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b w:val="0"/>
                      <w:bCs/>
                      <w:color w:val="auto"/>
                      <w:sz w:val="18"/>
                      <w:szCs w:val="18"/>
                    </w:rPr>
                  </w:pPr>
                  <w:r>
                    <w:rPr>
                      <w:rFonts w:hint="default" w:ascii="Times New Roman" w:hAnsi="Times New Roman" w:eastAsia="Arial" w:cs="Times New Roman"/>
                      <w:b w:val="0"/>
                      <w:bCs/>
                      <w:color w:val="auto"/>
                      <w:sz w:val="18"/>
                      <w:szCs w:val="18"/>
                    </w:rPr>
                    <w:t>3</w:t>
                  </w:r>
                </w:p>
              </w:tc>
              <w:tc>
                <w:tcPr>
                  <w:tcW w:w="0" w:type="auto"/>
                  <w:vMerge w:val="continue"/>
                  <w:tcBorders>
                    <w:tl2br w:val="nil"/>
                    <w:tr2bl w:val="nil"/>
                  </w:tcBorders>
                  <w:shd w:val="clear" w:color="auto" w:fill="auto"/>
                  <w:tcMar>
                    <w:top w:w="0" w:type="dxa"/>
                    <w:left w:w="0" w:type="dxa"/>
                    <w:bottom w:w="0" w:type="dxa"/>
                    <w:right w:w="0" w:type="dxa"/>
                  </w:tcMar>
                  <w:vAlign w:val="center"/>
                </w:tcPr>
                <w:p w14:paraId="529AC40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b w:val="0"/>
                      <w:bCs/>
                      <w:color w:val="auto"/>
                      <w:sz w:val="18"/>
                      <w:szCs w:val="18"/>
                    </w:rPr>
                  </w:pPr>
                </w:p>
              </w:tc>
              <w:tc>
                <w:tcPr>
                  <w:tcW w:w="0" w:type="auto"/>
                  <w:tcBorders>
                    <w:tl2br w:val="nil"/>
                    <w:tr2bl w:val="nil"/>
                  </w:tcBorders>
                  <w:shd w:val="clear" w:color="auto" w:fill="auto"/>
                  <w:tcMar>
                    <w:top w:w="0" w:type="dxa"/>
                    <w:left w:w="0" w:type="dxa"/>
                    <w:bottom w:w="0" w:type="dxa"/>
                    <w:right w:w="0" w:type="dxa"/>
                  </w:tcMar>
                  <w:vAlign w:val="center"/>
                </w:tcPr>
                <w:p w14:paraId="6E9062DE">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b w:val="0"/>
                      <w:bCs/>
                      <w:color w:val="auto"/>
                      <w:sz w:val="18"/>
                      <w:szCs w:val="18"/>
                      <w:lang w:val="en-US" w:eastAsia="zh-CN"/>
                    </w:rPr>
                  </w:pPr>
                  <w:r>
                    <w:rPr>
                      <w:rFonts w:hint="default" w:ascii="Times New Roman" w:hAnsi="Times New Roman" w:cs="Times New Roman"/>
                      <w:b w:val="0"/>
                      <w:bCs/>
                      <w:color w:val="auto"/>
                      <w:sz w:val="18"/>
                      <w:szCs w:val="18"/>
                      <w:lang w:val="en-US" w:eastAsia="zh-CN"/>
                    </w:rPr>
                    <w:t>挤出机</w:t>
                  </w:r>
                </w:p>
              </w:tc>
              <w:tc>
                <w:tcPr>
                  <w:tcW w:w="0" w:type="auto"/>
                  <w:tcBorders>
                    <w:tl2br w:val="nil"/>
                    <w:tr2bl w:val="nil"/>
                  </w:tcBorders>
                  <w:shd w:val="clear" w:color="auto" w:fill="FFFFFF"/>
                  <w:tcMar>
                    <w:top w:w="0" w:type="dxa"/>
                    <w:left w:w="0" w:type="dxa"/>
                    <w:bottom w:w="0" w:type="dxa"/>
                    <w:right w:w="0" w:type="dxa"/>
                  </w:tcMar>
                  <w:vAlign w:val="center"/>
                </w:tcPr>
                <w:p w14:paraId="417691EE">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Arial" w:cs="Times New Roman"/>
                      <w:sz w:val="18"/>
                      <w:szCs w:val="18"/>
                    </w:rPr>
                    <w:t>80</w:t>
                  </w:r>
                </w:p>
              </w:tc>
              <w:tc>
                <w:tcPr>
                  <w:tcW w:w="0" w:type="auto"/>
                  <w:tcBorders>
                    <w:tl2br w:val="nil"/>
                    <w:tr2bl w:val="nil"/>
                  </w:tcBorders>
                  <w:shd w:val="clear" w:color="auto" w:fill="auto"/>
                  <w:tcMar>
                    <w:top w:w="0" w:type="dxa"/>
                    <w:left w:w="0" w:type="dxa"/>
                    <w:bottom w:w="0" w:type="dxa"/>
                    <w:right w:w="0" w:type="dxa"/>
                  </w:tcMar>
                  <w:vAlign w:val="center"/>
                </w:tcPr>
                <w:p w14:paraId="284F706D">
                  <w:pPr>
                    <w:keepNext w:val="0"/>
                    <w:keepLines w:val="0"/>
                    <w:suppressLineNumbers w:val="0"/>
                    <w:spacing w:before="0" w:beforeAutospacing="0" w:after="0" w:afterAutospacing="0"/>
                    <w:ind w:left="0" w:right="0"/>
                    <w:jc w:val="center"/>
                    <w:rPr>
                      <w:rFonts w:hint="default" w:ascii="Times New Roman" w:hAnsi="Times New Roman" w:cs="Times New Roman"/>
                      <w:b w:val="0"/>
                      <w:bCs/>
                      <w:color w:val="auto"/>
                      <w:sz w:val="18"/>
                      <w:szCs w:val="18"/>
                    </w:rPr>
                  </w:pPr>
                  <w:r>
                    <w:rPr>
                      <w:rFonts w:hint="default" w:ascii="Times New Roman" w:hAnsi="Times New Roman" w:eastAsia="Arial" w:cs="Times New Roman"/>
                      <w:sz w:val="18"/>
                      <w:szCs w:val="18"/>
                    </w:rPr>
                    <w:t>-48.4</w:t>
                  </w:r>
                </w:p>
              </w:tc>
              <w:tc>
                <w:tcPr>
                  <w:tcW w:w="0" w:type="auto"/>
                  <w:tcBorders>
                    <w:tl2br w:val="nil"/>
                    <w:tr2bl w:val="nil"/>
                  </w:tcBorders>
                  <w:shd w:val="clear" w:color="auto" w:fill="auto"/>
                  <w:tcMar>
                    <w:top w:w="0" w:type="dxa"/>
                    <w:left w:w="0" w:type="dxa"/>
                    <w:bottom w:w="0" w:type="dxa"/>
                    <w:right w:w="0" w:type="dxa"/>
                  </w:tcMar>
                  <w:vAlign w:val="center"/>
                </w:tcPr>
                <w:p w14:paraId="70AC7656">
                  <w:pPr>
                    <w:keepNext w:val="0"/>
                    <w:keepLines w:val="0"/>
                    <w:suppressLineNumbers w:val="0"/>
                    <w:spacing w:before="0" w:beforeAutospacing="0" w:after="0" w:afterAutospacing="0"/>
                    <w:ind w:left="0" w:right="0"/>
                    <w:jc w:val="center"/>
                    <w:rPr>
                      <w:rFonts w:hint="default" w:ascii="Times New Roman" w:hAnsi="Times New Roman" w:cs="Times New Roman"/>
                      <w:b w:val="0"/>
                      <w:bCs/>
                      <w:color w:val="auto"/>
                      <w:sz w:val="18"/>
                      <w:szCs w:val="18"/>
                    </w:rPr>
                  </w:pPr>
                  <w:r>
                    <w:rPr>
                      <w:rFonts w:hint="default" w:ascii="Times New Roman" w:hAnsi="Times New Roman" w:eastAsia="Arial" w:cs="Times New Roman"/>
                      <w:sz w:val="18"/>
                      <w:szCs w:val="18"/>
                    </w:rPr>
                    <w:t>9.4</w:t>
                  </w:r>
                </w:p>
              </w:tc>
              <w:tc>
                <w:tcPr>
                  <w:tcW w:w="0" w:type="auto"/>
                  <w:tcBorders>
                    <w:tl2br w:val="nil"/>
                    <w:tr2bl w:val="nil"/>
                  </w:tcBorders>
                  <w:shd w:val="clear" w:color="auto" w:fill="auto"/>
                  <w:tcMar>
                    <w:top w:w="0" w:type="dxa"/>
                    <w:left w:w="0" w:type="dxa"/>
                    <w:bottom w:w="0" w:type="dxa"/>
                    <w:right w:w="0" w:type="dxa"/>
                  </w:tcMar>
                  <w:vAlign w:val="center"/>
                </w:tcPr>
                <w:p w14:paraId="53C598FC">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color w:val="auto"/>
                      <w:sz w:val="18"/>
                      <w:szCs w:val="18"/>
                      <w:lang w:val="en-US" w:eastAsia="zh-CN"/>
                    </w:rPr>
                  </w:pPr>
                  <w:r>
                    <w:rPr>
                      <w:rFonts w:hint="default" w:ascii="Times New Roman" w:hAnsi="Times New Roman" w:eastAsia="Arial" w:cs="Times New Roman"/>
                      <w:sz w:val="18"/>
                      <w:szCs w:val="18"/>
                    </w:rPr>
                    <w:t>1.2</w:t>
                  </w:r>
                </w:p>
              </w:tc>
              <w:tc>
                <w:tcPr>
                  <w:tcW w:w="0" w:type="auto"/>
                  <w:tcBorders>
                    <w:tl2br w:val="nil"/>
                    <w:tr2bl w:val="nil"/>
                  </w:tcBorders>
                  <w:shd w:val="clear" w:color="auto" w:fill="auto"/>
                  <w:tcMar>
                    <w:top w:w="0" w:type="dxa"/>
                    <w:left w:w="0" w:type="dxa"/>
                    <w:bottom w:w="0" w:type="dxa"/>
                    <w:right w:w="0" w:type="dxa"/>
                  </w:tcMar>
                  <w:vAlign w:val="center"/>
                </w:tcPr>
                <w:p w14:paraId="0DE29345">
                  <w:pPr>
                    <w:keepNext w:val="0"/>
                    <w:keepLines w:val="0"/>
                    <w:suppressLineNumbers w:val="0"/>
                    <w:spacing w:before="0" w:beforeAutospacing="0" w:after="0" w:afterAutospacing="0"/>
                    <w:ind w:left="0" w:right="0"/>
                    <w:jc w:val="center"/>
                    <w:rPr>
                      <w:rFonts w:hint="default" w:ascii="Times New Roman" w:hAnsi="Times New Roman" w:cs="Times New Roman"/>
                      <w:b w:val="0"/>
                      <w:bCs/>
                      <w:color w:val="auto"/>
                      <w:sz w:val="18"/>
                      <w:szCs w:val="18"/>
                    </w:rPr>
                  </w:pPr>
                  <w:r>
                    <w:rPr>
                      <w:rFonts w:hint="default" w:ascii="Times New Roman" w:hAnsi="Times New Roman" w:eastAsia="Arial" w:cs="Times New Roman"/>
                      <w:sz w:val="18"/>
                      <w:szCs w:val="18"/>
                    </w:rPr>
                    <w:t>120.0</w:t>
                  </w:r>
                </w:p>
              </w:tc>
              <w:tc>
                <w:tcPr>
                  <w:tcW w:w="0" w:type="auto"/>
                  <w:tcBorders>
                    <w:tl2br w:val="nil"/>
                    <w:tr2bl w:val="nil"/>
                  </w:tcBorders>
                  <w:shd w:val="clear" w:color="auto" w:fill="auto"/>
                  <w:tcMar>
                    <w:top w:w="0" w:type="dxa"/>
                    <w:left w:w="0" w:type="dxa"/>
                    <w:bottom w:w="0" w:type="dxa"/>
                    <w:right w:w="0" w:type="dxa"/>
                  </w:tcMar>
                  <w:vAlign w:val="center"/>
                </w:tcPr>
                <w:p w14:paraId="463B2EE5">
                  <w:pPr>
                    <w:keepNext w:val="0"/>
                    <w:keepLines w:val="0"/>
                    <w:suppressLineNumbers w:val="0"/>
                    <w:spacing w:before="0" w:beforeAutospacing="0" w:after="0" w:afterAutospacing="0"/>
                    <w:ind w:left="0" w:right="0"/>
                    <w:jc w:val="center"/>
                    <w:rPr>
                      <w:rFonts w:hint="default" w:ascii="Times New Roman" w:hAnsi="Times New Roman" w:cs="Times New Roman"/>
                      <w:b w:val="0"/>
                      <w:bCs/>
                      <w:color w:val="auto"/>
                      <w:sz w:val="18"/>
                      <w:szCs w:val="18"/>
                    </w:rPr>
                  </w:pPr>
                  <w:r>
                    <w:rPr>
                      <w:rFonts w:hint="default" w:ascii="Times New Roman" w:hAnsi="Times New Roman" w:eastAsia="Arial" w:cs="Times New Roman"/>
                      <w:sz w:val="18"/>
                      <w:szCs w:val="18"/>
                    </w:rPr>
                    <w:t>30.4</w:t>
                  </w:r>
                </w:p>
              </w:tc>
              <w:tc>
                <w:tcPr>
                  <w:tcW w:w="0" w:type="auto"/>
                  <w:tcBorders>
                    <w:tl2br w:val="nil"/>
                    <w:tr2bl w:val="nil"/>
                  </w:tcBorders>
                  <w:shd w:val="clear" w:color="auto" w:fill="auto"/>
                  <w:tcMar>
                    <w:top w:w="0" w:type="dxa"/>
                    <w:left w:w="0" w:type="dxa"/>
                    <w:bottom w:w="0" w:type="dxa"/>
                    <w:right w:w="0" w:type="dxa"/>
                  </w:tcMar>
                  <w:vAlign w:val="center"/>
                </w:tcPr>
                <w:p w14:paraId="3C68F938">
                  <w:pPr>
                    <w:keepNext w:val="0"/>
                    <w:keepLines w:val="0"/>
                    <w:suppressLineNumbers w:val="0"/>
                    <w:spacing w:before="0" w:beforeAutospacing="0" w:after="0" w:afterAutospacing="0"/>
                    <w:ind w:left="0" w:right="0"/>
                    <w:jc w:val="center"/>
                    <w:rPr>
                      <w:rFonts w:hint="default" w:ascii="Times New Roman" w:hAnsi="Times New Roman" w:cs="Times New Roman"/>
                      <w:b w:val="0"/>
                      <w:bCs/>
                      <w:color w:val="auto"/>
                      <w:sz w:val="18"/>
                      <w:szCs w:val="18"/>
                    </w:rPr>
                  </w:pPr>
                  <w:r>
                    <w:rPr>
                      <w:rFonts w:hint="default" w:ascii="Times New Roman" w:hAnsi="Times New Roman" w:eastAsia="Arial" w:cs="Times New Roman"/>
                      <w:sz w:val="18"/>
                      <w:szCs w:val="18"/>
                    </w:rPr>
                    <w:t>22.2</w:t>
                  </w:r>
                </w:p>
              </w:tc>
              <w:tc>
                <w:tcPr>
                  <w:tcW w:w="0" w:type="auto"/>
                  <w:tcBorders>
                    <w:tl2br w:val="nil"/>
                    <w:tr2bl w:val="nil"/>
                  </w:tcBorders>
                  <w:shd w:val="clear" w:color="auto" w:fill="auto"/>
                  <w:tcMar>
                    <w:top w:w="0" w:type="dxa"/>
                    <w:left w:w="0" w:type="dxa"/>
                    <w:bottom w:w="0" w:type="dxa"/>
                    <w:right w:w="0" w:type="dxa"/>
                  </w:tcMar>
                  <w:vAlign w:val="center"/>
                </w:tcPr>
                <w:p w14:paraId="65EC4D8E">
                  <w:pPr>
                    <w:keepNext w:val="0"/>
                    <w:keepLines w:val="0"/>
                    <w:suppressLineNumbers w:val="0"/>
                    <w:spacing w:before="0" w:beforeAutospacing="0" w:after="0" w:afterAutospacing="0"/>
                    <w:ind w:left="0" w:right="0"/>
                    <w:jc w:val="center"/>
                    <w:rPr>
                      <w:rFonts w:hint="default" w:ascii="Times New Roman" w:hAnsi="Times New Roman" w:cs="Times New Roman"/>
                      <w:b w:val="0"/>
                      <w:bCs/>
                      <w:color w:val="auto"/>
                      <w:sz w:val="18"/>
                      <w:szCs w:val="18"/>
                    </w:rPr>
                  </w:pPr>
                  <w:r>
                    <w:rPr>
                      <w:rFonts w:hint="default" w:ascii="Times New Roman" w:hAnsi="Times New Roman" w:eastAsia="Arial" w:cs="Times New Roman"/>
                      <w:sz w:val="18"/>
                      <w:szCs w:val="18"/>
                    </w:rPr>
                    <w:t>10.7</w:t>
                  </w:r>
                </w:p>
              </w:tc>
              <w:tc>
                <w:tcPr>
                  <w:tcW w:w="0" w:type="auto"/>
                  <w:tcBorders>
                    <w:tl2br w:val="nil"/>
                    <w:tr2bl w:val="nil"/>
                  </w:tcBorders>
                  <w:shd w:val="clear" w:color="auto" w:fill="auto"/>
                  <w:tcMar>
                    <w:top w:w="0" w:type="dxa"/>
                    <w:left w:w="0" w:type="dxa"/>
                    <w:bottom w:w="0" w:type="dxa"/>
                    <w:right w:w="0" w:type="dxa"/>
                  </w:tcMar>
                  <w:vAlign w:val="center"/>
                </w:tcPr>
                <w:p w14:paraId="5E381972">
                  <w:pPr>
                    <w:keepNext w:val="0"/>
                    <w:keepLines w:val="0"/>
                    <w:suppressLineNumbers w:val="0"/>
                    <w:spacing w:before="0" w:beforeAutospacing="0" w:after="0" w:afterAutospacing="0"/>
                    <w:ind w:left="0" w:right="0"/>
                    <w:jc w:val="center"/>
                    <w:rPr>
                      <w:rFonts w:hint="default" w:ascii="Times New Roman" w:hAnsi="Times New Roman" w:eastAsia="Arial" w:cs="Times New Roman"/>
                      <w:sz w:val="18"/>
                      <w:szCs w:val="18"/>
                    </w:rPr>
                  </w:pPr>
                  <w:r>
                    <w:rPr>
                      <w:rFonts w:hint="default" w:ascii="Times New Roman" w:hAnsi="Times New Roman" w:eastAsia="Arial" w:cs="Times New Roman"/>
                      <w:sz w:val="18"/>
                      <w:szCs w:val="18"/>
                    </w:rPr>
                    <w:t>61.5</w:t>
                  </w:r>
                </w:p>
              </w:tc>
              <w:tc>
                <w:tcPr>
                  <w:tcW w:w="0" w:type="auto"/>
                  <w:tcBorders>
                    <w:tl2br w:val="nil"/>
                    <w:tr2bl w:val="nil"/>
                  </w:tcBorders>
                  <w:shd w:val="clear" w:color="auto" w:fill="auto"/>
                  <w:tcMar>
                    <w:top w:w="0" w:type="dxa"/>
                    <w:left w:w="0" w:type="dxa"/>
                    <w:bottom w:w="0" w:type="dxa"/>
                    <w:right w:w="0" w:type="dxa"/>
                  </w:tcMar>
                  <w:vAlign w:val="center"/>
                </w:tcPr>
                <w:p w14:paraId="18EC20EF">
                  <w:pPr>
                    <w:keepNext w:val="0"/>
                    <w:keepLines w:val="0"/>
                    <w:suppressLineNumbers w:val="0"/>
                    <w:spacing w:before="0" w:beforeAutospacing="0" w:after="0" w:afterAutospacing="0"/>
                    <w:ind w:left="0" w:right="0"/>
                    <w:jc w:val="center"/>
                    <w:rPr>
                      <w:rFonts w:hint="default" w:ascii="Times New Roman" w:hAnsi="Times New Roman" w:eastAsia="Arial" w:cs="Times New Roman"/>
                      <w:sz w:val="18"/>
                      <w:szCs w:val="18"/>
                    </w:rPr>
                  </w:pPr>
                  <w:r>
                    <w:rPr>
                      <w:rFonts w:hint="default" w:ascii="Times New Roman" w:hAnsi="Times New Roman" w:eastAsia="Arial" w:cs="Times New Roman"/>
                      <w:sz w:val="18"/>
                      <w:szCs w:val="18"/>
                    </w:rPr>
                    <w:t>61.6</w:t>
                  </w:r>
                </w:p>
              </w:tc>
              <w:tc>
                <w:tcPr>
                  <w:tcW w:w="0" w:type="auto"/>
                  <w:tcBorders>
                    <w:tl2br w:val="nil"/>
                    <w:tr2bl w:val="nil"/>
                  </w:tcBorders>
                  <w:shd w:val="clear" w:color="auto" w:fill="auto"/>
                  <w:tcMar>
                    <w:top w:w="0" w:type="dxa"/>
                    <w:left w:w="0" w:type="dxa"/>
                    <w:bottom w:w="0" w:type="dxa"/>
                    <w:right w:w="0" w:type="dxa"/>
                  </w:tcMar>
                  <w:vAlign w:val="center"/>
                </w:tcPr>
                <w:p w14:paraId="6A3D0E18">
                  <w:pPr>
                    <w:keepNext w:val="0"/>
                    <w:keepLines w:val="0"/>
                    <w:suppressLineNumbers w:val="0"/>
                    <w:spacing w:before="0" w:beforeAutospacing="0" w:after="0" w:afterAutospacing="0"/>
                    <w:ind w:left="0" w:right="0"/>
                    <w:jc w:val="center"/>
                    <w:rPr>
                      <w:rFonts w:hint="default" w:ascii="Times New Roman" w:hAnsi="Times New Roman" w:eastAsia="Arial" w:cs="Times New Roman"/>
                      <w:sz w:val="18"/>
                      <w:szCs w:val="18"/>
                    </w:rPr>
                  </w:pPr>
                  <w:r>
                    <w:rPr>
                      <w:rFonts w:hint="default" w:ascii="Times New Roman" w:hAnsi="Times New Roman" w:eastAsia="Arial" w:cs="Times New Roman"/>
                      <w:sz w:val="18"/>
                      <w:szCs w:val="18"/>
                    </w:rPr>
                    <w:t>61.6</w:t>
                  </w:r>
                </w:p>
              </w:tc>
              <w:tc>
                <w:tcPr>
                  <w:tcW w:w="0" w:type="auto"/>
                  <w:tcBorders>
                    <w:tl2br w:val="nil"/>
                    <w:tr2bl w:val="nil"/>
                  </w:tcBorders>
                  <w:shd w:val="clear" w:color="auto" w:fill="auto"/>
                  <w:tcMar>
                    <w:top w:w="0" w:type="dxa"/>
                    <w:left w:w="0" w:type="dxa"/>
                    <w:bottom w:w="0" w:type="dxa"/>
                    <w:right w:w="0" w:type="dxa"/>
                  </w:tcMar>
                  <w:vAlign w:val="center"/>
                </w:tcPr>
                <w:p w14:paraId="4754A188">
                  <w:pPr>
                    <w:keepNext w:val="0"/>
                    <w:keepLines w:val="0"/>
                    <w:suppressLineNumbers w:val="0"/>
                    <w:spacing w:before="0" w:beforeAutospacing="0" w:after="0" w:afterAutospacing="0"/>
                    <w:ind w:left="0" w:right="0"/>
                    <w:jc w:val="center"/>
                    <w:rPr>
                      <w:rFonts w:hint="default" w:ascii="Times New Roman" w:hAnsi="Times New Roman" w:eastAsia="Arial" w:cs="Times New Roman"/>
                      <w:sz w:val="18"/>
                      <w:szCs w:val="18"/>
                    </w:rPr>
                  </w:pPr>
                  <w:r>
                    <w:rPr>
                      <w:rFonts w:hint="default" w:ascii="Times New Roman" w:hAnsi="Times New Roman" w:eastAsia="Arial" w:cs="Times New Roman"/>
                      <w:sz w:val="18"/>
                      <w:szCs w:val="18"/>
                    </w:rPr>
                    <w:t>61.7</w:t>
                  </w:r>
                </w:p>
              </w:tc>
              <w:tc>
                <w:tcPr>
                  <w:tcW w:w="0" w:type="auto"/>
                  <w:tcBorders>
                    <w:tl2br w:val="nil"/>
                    <w:tr2bl w:val="nil"/>
                  </w:tcBorders>
                  <w:shd w:val="clear" w:color="auto" w:fill="auto"/>
                  <w:tcMar>
                    <w:top w:w="0" w:type="dxa"/>
                    <w:left w:w="0" w:type="dxa"/>
                    <w:bottom w:w="0" w:type="dxa"/>
                    <w:right w:w="0" w:type="dxa"/>
                  </w:tcMar>
                  <w:vAlign w:val="center"/>
                </w:tcPr>
                <w:p w14:paraId="413A577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b w:val="0"/>
                      <w:bCs/>
                      <w:color w:val="auto"/>
                      <w:sz w:val="18"/>
                      <w:szCs w:val="18"/>
                    </w:rPr>
                  </w:pPr>
                  <w:r>
                    <w:rPr>
                      <w:rFonts w:hint="default" w:ascii="Times New Roman" w:hAnsi="Times New Roman" w:eastAsia="Arial" w:cs="Times New Roman"/>
                      <w:b w:val="0"/>
                      <w:bCs/>
                      <w:color w:val="auto"/>
                      <w:sz w:val="18"/>
                      <w:szCs w:val="18"/>
                    </w:rPr>
                    <w:t>26.0</w:t>
                  </w:r>
                </w:p>
              </w:tc>
              <w:tc>
                <w:tcPr>
                  <w:tcW w:w="0" w:type="auto"/>
                  <w:tcBorders>
                    <w:tl2br w:val="nil"/>
                    <w:tr2bl w:val="nil"/>
                  </w:tcBorders>
                  <w:shd w:val="clear" w:color="auto" w:fill="auto"/>
                  <w:tcMar>
                    <w:top w:w="0" w:type="dxa"/>
                    <w:left w:w="0" w:type="dxa"/>
                    <w:bottom w:w="0" w:type="dxa"/>
                    <w:right w:w="0" w:type="dxa"/>
                  </w:tcMar>
                  <w:vAlign w:val="center"/>
                </w:tcPr>
                <w:p w14:paraId="17C08732">
                  <w:pPr>
                    <w:keepNext w:val="0"/>
                    <w:keepLines w:val="0"/>
                    <w:suppressLineNumbers w:val="0"/>
                    <w:spacing w:before="0" w:beforeAutospacing="0" w:after="0" w:afterAutospacing="0"/>
                    <w:ind w:left="0" w:right="0"/>
                    <w:jc w:val="center"/>
                    <w:rPr>
                      <w:rFonts w:hint="default" w:ascii="Times New Roman" w:hAnsi="Times New Roman" w:eastAsia="Arial" w:cs="Times New Roman"/>
                      <w:sz w:val="18"/>
                      <w:szCs w:val="18"/>
                    </w:rPr>
                  </w:pPr>
                  <w:r>
                    <w:rPr>
                      <w:rFonts w:hint="default" w:ascii="Times New Roman" w:hAnsi="Times New Roman" w:eastAsia="Arial" w:cs="Times New Roman"/>
                      <w:sz w:val="18"/>
                      <w:szCs w:val="18"/>
                    </w:rPr>
                    <w:t>35.5</w:t>
                  </w:r>
                </w:p>
              </w:tc>
              <w:tc>
                <w:tcPr>
                  <w:tcW w:w="0" w:type="auto"/>
                  <w:tcBorders>
                    <w:tl2br w:val="nil"/>
                    <w:tr2bl w:val="nil"/>
                  </w:tcBorders>
                  <w:shd w:val="clear" w:color="auto" w:fill="auto"/>
                  <w:tcMar>
                    <w:top w:w="0" w:type="dxa"/>
                    <w:left w:w="0" w:type="dxa"/>
                    <w:bottom w:w="0" w:type="dxa"/>
                    <w:right w:w="0" w:type="dxa"/>
                  </w:tcMar>
                  <w:vAlign w:val="center"/>
                </w:tcPr>
                <w:p w14:paraId="589E97D1">
                  <w:pPr>
                    <w:keepNext w:val="0"/>
                    <w:keepLines w:val="0"/>
                    <w:suppressLineNumbers w:val="0"/>
                    <w:spacing w:before="0" w:beforeAutospacing="0" w:after="0" w:afterAutospacing="0"/>
                    <w:ind w:left="0" w:right="0"/>
                    <w:jc w:val="center"/>
                    <w:rPr>
                      <w:rFonts w:hint="default" w:ascii="Times New Roman" w:hAnsi="Times New Roman" w:eastAsia="Arial" w:cs="Times New Roman"/>
                      <w:sz w:val="18"/>
                      <w:szCs w:val="18"/>
                    </w:rPr>
                  </w:pPr>
                  <w:r>
                    <w:rPr>
                      <w:rFonts w:hint="default" w:ascii="Times New Roman" w:hAnsi="Times New Roman" w:eastAsia="Arial" w:cs="Times New Roman"/>
                      <w:sz w:val="18"/>
                      <w:szCs w:val="18"/>
                    </w:rPr>
                    <w:t>35.6</w:t>
                  </w:r>
                </w:p>
              </w:tc>
              <w:tc>
                <w:tcPr>
                  <w:tcW w:w="0" w:type="auto"/>
                  <w:tcBorders>
                    <w:tl2br w:val="nil"/>
                    <w:tr2bl w:val="nil"/>
                  </w:tcBorders>
                  <w:shd w:val="clear" w:color="auto" w:fill="auto"/>
                  <w:tcMar>
                    <w:top w:w="0" w:type="dxa"/>
                    <w:left w:w="0" w:type="dxa"/>
                    <w:bottom w:w="0" w:type="dxa"/>
                    <w:right w:w="0" w:type="dxa"/>
                  </w:tcMar>
                  <w:vAlign w:val="center"/>
                </w:tcPr>
                <w:p w14:paraId="25C5DC28">
                  <w:pPr>
                    <w:keepNext w:val="0"/>
                    <w:keepLines w:val="0"/>
                    <w:suppressLineNumbers w:val="0"/>
                    <w:spacing w:before="0" w:beforeAutospacing="0" w:after="0" w:afterAutospacing="0"/>
                    <w:ind w:left="0" w:right="0"/>
                    <w:jc w:val="center"/>
                    <w:rPr>
                      <w:rFonts w:hint="default" w:ascii="Times New Roman" w:hAnsi="Times New Roman" w:eastAsia="Arial" w:cs="Times New Roman"/>
                      <w:sz w:val="18"/>
                      <w:szCs w:val="18"/>
                    </w:rPr>
                  </w:pPr>
                  <w:r>
                    <w:rPr>
                      <w:rFonts w:hint="default" w:ascii="Times New Roman" w:hAnsi="Times New Roman" w:eastAsia="Arial" w:cs="Times New Roman"/>
                      <w:sz w:val="18"/>
                      <w:szCs w:val="18"/>
                    </w:rPr>
                    <w:t>35.6</w:t>
                  </w:r>
                </w:p>
              </w:tc>
              <w:tc>
                <w:tcPr>
                  <w:tcW w:w="0" w:type="auto"/>
                  <w:tcBorders>
                    <w:tl2br w:val="nil"/>
                    <w:tr2bl w:val="nil"/>
                  </w:tcBorders>
                  <w:shd w:val="clear" w:color="auto" w:fill="auto"/>
                  <w:tcMar>
                    <w:top w:w="0" w:type="dxa"/>
                    <w:left w:w="0" w:type="dxa"/>
                    <w:bottom w:w="0" w:type="dxa"/>
                    <w:right w:w="0" w:type="dxa"/>
                  </w:tcMar>
                  <w:vAlign w:val="center"/>
                </w:tcPr>
                <w:p w14:paraId="2B49877E">
                  <w:pPr>
                    <w:keepNext w:val="0"/>
                    <w:keepLines w:val="0"/>
                    <w:suppressLineNumbers w:val="0"/>
                    <w:spacing w:before="0" w:beforeAutospacing="0" w:after="0" w:afterAutospacing="0"/>
                    <w:ind w:left="0" w:right="0"/>
                    <w:jc w:val="center"/>
                    <w:rPr>
                      <w:rFonts w:hint="default" w:ascii="Times New Roman" w:hAnsi="Times New Roman" w:eastAsia="Arial" w:cs="Times New Roman"/>
                      <w:sz w:val="18"/>
                      <w:szCs w:val="18"/>
                    </w:rPr>
                  </w:pPr>
                  <w:r>
                    <w:rPr>
                      <w:rFonts w:hint="default" w:ascii="Times New Roman" w:hAnsi="Times New Roman" w:eastAsia="Arial" w:cs="Times New Roman"/>
                      <w:sz w:val="18"/>
                      <w:szCs w:val="18"/>
                    </w:rPr>
                    <w:t>35.7</w:t>
                  </w:r>
                </w:p>
              </w:tc>
              <w:tc>
                <w:tcPr>
                  <w:tcW w:w="0" w:type="auto"/>
                  <w:tcBorders>
                    <w:tl2br w:val="nil"/>
                    <w:tr2bl w:val="nil"/>
                  </w:tcBorders>
                  <w:shd w:val="clear" w:color="auto" w:fill="auto"/>
                  <w:tcMar>
                    <w:top w:w="0" w:type="dxa"/>
                    <w:left w:w="0" w:type="dxa"/>
                    <w:bottom w:w="0" w:type="dxa"/>
                    <w:right w:w="0" w:type="dxa"/>
                  </w:tcMar>
                  <w:vAlign w:val="center"/>
                </w:tcPr>
                <w:p w14:paraId="0C2C231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b w:val="0"/>
                      <w:bCs/>
                      <w:color w:val="auto"/>
                      <w:sz w:val="18"/>
                      <w:szCs w:val="18"/>
                    </w:rPr>
                  </w:pPr>
                  <w:r>
                    <w:rPr>
                      <w:rFonts w:hint="default" w:ascii="Times New Roman" w:hAnsi="Times New Roman" w:eastAsia="Arial" w:cs="Times New Roman"/>
                      <w:b w:val="0"/>
                      <w:bCs/>
                      <w:color w:val="auto"/>
                      <w:sz w:val="18"/>
                      <w:szCs w:val="18"/>
                    </w:rPr>
                    <w:t>1</w:t>
                  </w:r>
                </w:p>
              </w:tc>
            </w:tr>
            <w:tr w14:paraId="43B1CE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79" w:hRule="atLeast"/>
              </w:trPr>
              <w:tc>
                <w:tcPr>
                  <w:tcW w:w="0" w:type="auto"/>
                  <w:tcBorders>
                    <w:tl2br w:val="nil"/>
                    <w:tr2bl w:val="nil"/>
                  </w:tcBorders>
                  <w:shd w:val="clear" w:color="auto" w:fill="auto"/>
                  <w:tcMar>
                    <w:top w:w="0" w:type="dxa"/>
                    <w:left w:w="0" w:type="dxa"/>
                    <w:bottom w:w="0" w:type="dxa"/>
                    <w:right w:w="0" w:type="dxa"/>
                  </w:tcMar>
                  <w:vAlign w:val="center"/>
                </w:tcPr>
                <w:p w14:paraId="75F9783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b w:val="0"/>
                      <w:bCs/>
                      <w:color w:val="auto"/>
                      <w:sz w:val="18"/>
                      <w:szCs w:val="18"/>
                    </w:rPr>
                  </w:pPr>
                  <w:r>
                    <w:rPr>
                      <w:rFonts w:hint="default" w:ascii="Times New Roman" w:hAnsi="Times New Roman" w:eastAsia="Arial" w:cs="Times New Roman"/>
                      <w:b w:val="0"/>
                      <w:bCs/>
                      <w:color w:val="auto"/>
                      <w:sz w:val="18"/>
                      <w:szCs w:val="18"/>
                    </w:rPr>
                    <w:t>4</w:t>
                  </w:r>
                </w:p>
              </w:tc>
              <w:tc>
                <w:tcPr>
                  <w:tcW w:w="0" w:type="auto"/>
                  <w:vMerge w:val="continue"/>
                  <w:tcBorders>
                    <w:tl2br w:val="nil"/>
                    <w:tr2bl w:val="nil"/>
                  </w:tcBorders>
                  <w:shd w:val="clear" w:color="auto" w:fill="auto"/>
                  <w:tcMar>
                    <w:top w:w="0" w:type="dxa"/>
                    <w:left w:w="0" w:type="dxa"/>
                    <w:bottom w:w="0" w:type="dxa"/>
                    <w:right w:w="0" w:type="dxa"/>
                  </w:tcMar>
                  <w:vAlign w:val="center"/>
                </w:tcPr>
                <w:p w14:paraId="521B588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b w:val="0"/>
                      <w:bCs/>
                      <w:color w:val="auto"/>
                      <w:sz w:val="18"/>
                      <w:szCs w:val="18"/>
                    </w:rPr>
                  </w:pPr>
                </w:p>
              </w:tc>
              <w:tc>
                <w:tcPr>
                  <w:tcW w:w="0" w:type="auto"/>
                  <w:tcBorders>
                    <w:tl2br w:val="nil"/>
                    <w:tr2bl w:val="nil"/>
                  </w:tcBorders>
                  <w:shd w:val="clear" w:color="auto" w:fill="auto"/>
                  <w:tcMar>
                    <w:top w:w="0" w:type="dxa"/>
                    <w:left w:w="0" w:type="dxa"/>
                    <w:bottom w:w="0" w:type="dxa"/>
                    <w:right w:w="0" w:type="dxa"/>
                  </w:tcMar>
                  <w:vAlign w:val="center"/>
                </w:tcPr>
                <w:p w14:paraId="5FCBA646">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b w:val="0"/>
                      <w:bCs/>
                      <w:color w:val="auto"/>
                      <w:sz w:val="18"/>
                      <w:szCs w:val="18"/>
                      <w:lang w:val="en-US" w:eastAsia="zh-CN"/>
                    </w:rPr>
                  </w:pPr>
                  <w:r>
                    <w:rPr>
                      <w:rFonts w:hint="default" w:ascii="Times New Roman" w:hAnsi="Times New Roman" w:cs="Times New Roman"/>
                      <w:b w:val="0"/>
                      <w:bCs/>
                      <w:color w:val="auto"/>
                      <w:sz w:val="18"/>
                      <w:szCs w:val="18"/>
                      <w:lang w:val="en-US" w:eastAsia="zh-CN"/>
                    </w:rPr>
                    <w:t>挤出机</w:t>
                  </w:r>
                </w:p>
              </w:tc>
              <w:tc>
                <w:tcPr>
                  <w:tcW w:w="0" w:type="auto"/>
                  <w:tcBorders>
                    <w:tl2br w:val="nil"/>
                    <w:tr2bl w:val="nil"/>
                  </w:tcBorders>
                  <w:shd w:val="clear" w:color="auto" w:fill="FFFFFF"/>
                  <w:tcMar>
                    <w:top w:w="0" w:type="dxa"/>
                    <w:left w:w="0" w:type="dxa"/>
                    <w:bottom w:w="0" w:type="dxa"/>
                    <w:right w:w="0" w:type="dxa"/>
                  </w:tcMar>
                  <w:vAlign w:val="center"/>
                </w:tcPr>
                <w:p w14:paraId="16AF76D8">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Arial" w:cs="Times New Roman"/>
                      <w:sz w:val="18"/>
                      <w:szCs w:val="18"/>
                    </w:rPr>
                    <w:t>80</w:t>
                  </w:r>
                </w:p>
              </w:tc>
              <w:tc>
                <w:tcPr>
                  <w:tcW w:w="0" w:type="auto"/>
                  <w:tcBorders>
                    <w:tl2br w:val="nil"/>
                    <w:tr2bl w:val="nil"/>
                  </w:tcBorders>
                  <w:shd w:val="clear" w:color="auto" w:fill="auto"/>
                  <w:tcMar>
                    <w:top w:w="0" w:type="dxa"/>
                    <w:left w:w="0" w:type="dxa"/>
                    <w:bottom w:w="0" w:type="dxa"/>
                    <w:right w:w="0" w:type="dxa"/>
                  </w:tcMar>
                  <w:vAlign w:val="center"/>
                </w:tcPr>
                <w:p w14:paraId="77815FA0">
                  <w:pPr>
                    <w:keepNext w:val="0"/>
                    <w:keepLines w:val="0"/>
                    <w:suppressLineNumbers w:val="0"/>
                    <w:spacing w:before="0" w:beforeAutospacing="0" w:after="0" w:afterAutospacing="0"/>
                    <w:ind w:left="0" w:right="0"/>
                    <w:jc w:val="center"/>
                    <w:rPr>
                      <w:rFonts w:hint="default" w:ascii="Times New Roman" w:hAnsi="Times New Roman" w:cs="Times New Roman"/>
                      <w:b w:val="0"/>
                      <w:bCs/>
                      <w:color w:val="auto"/>
                      <w:sz w:val="18"/>
                      <w:szCs w:val="18"/>
                    </w:rPr>
                  </w:pPr>
                  <w:r>
                    <w:rPr>
                      <w:rFonts w:hint="default" w:ascii="Times New Roman" w:hAnsi="Times New Roman" w:eastAsia="Arial" w:cs="Times New Roman"/>
                      <w:sz w:val="18"/>
                      <w:szCs w:val="18"/>
                    </w:rPr>
                    <w:t>-48.9</w:t>
                  </w:r>
                </w:p>
              </w:tc>
              <w:tc>
                <w:tcPr>
                  <w:tcW w:w="0" w:type="auto"/>
                  <w:tcBorders>
                    <w:tl2br w:val="nil"/>
                    <w:tr2bl w:val="nil"/>
                  </w:tcBorders>
                  <w:shd w:val="clear" w:color="auto" w:fill="auto"/>
                  <w:tcMar>
                    <w:top w:w="0" w:type="dxa"/>
                    <w:left w:w="0" w:type="dxa"/>
                    <w:bottom w:w="0" w:type="dxa"/>
                    <w:right w:w="0" w:type="dxa"/>
                  </w:tcMar>
                  <w:vAlign w:val="center"/>
                </w:tcPr>
                <w:p w14:paraId="796217FB">
                  <w:pPr>
                    <w:keepNext w:val="0"/>
                    <w:keepLines w:val="0"/>
                    <w:suppressLineNumbers w:val="0"/>
                    <w:spacing w:before="0" w:beforeAutospacing="0" w:after="0" w:afterAutospacing="0"/>
                    <w:ind w:left="0" w:right="0"/>
                    <w:jc w:val="center"/>
                    <w:rPr>
                      <w:rFonts w:hint="default" w:ascii="Times New Roman" w:hAnsi="Times New Roman" w:cs="Times New Roman"/>
                      <w:b w:val="0"/>
                      <w:bCs/>
                      <w:color w:val="auto"/>
                      <w:sz w:val="18"/>
                      <w:szCs w:val="18"/>
                    </w:rPr>
                  </w:pPr>
                  <w:r>
                    <w:rPr>
                      <w:rFonts w:hint="default" w:ascii="Times New Roman" w:hAnsi="Times New Roman" w:eastAsia="Arial" w:cs="Times New Roman"/>
                      <w:sz w:val="18"/>
                      <w:szCs w:val="18"/>
                    </w:rPr>
                    <w:t>-10.4</w:t>
                  </w:r>
                </w:p>
              </w:tc>
              <w:tc>
                <w:tcPr>
                  <w:tcW w:w="0" w:type="auto"/>
                  <w:tcBorders>
                    <w:tl2br w:val="nil"/>
                    <w:tr2bl w:val="nil"/>
                  </w:tcBorders>
                  <w:shd w:val="clear" w:color="auto" w:fill="auto"/>
                  <w:tcMar>
                    <w:top w:w="0" w:type="dxa"/>
                    <w:left w:w="0" w:type="dxa"/>
                    <w:bottom w:w="0" w:type="dxa"/>
                    <w:right w:w="0" w:type="dxa"/>
                  </w:tcMar>
                  <w:vAlign w:val="center"/>
                </w:tcPr>
                <w:p w14:paraId="0D3FAD85">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color w:val="auto"/>
                      <w:sz w:val="18"/>
                      <w:szCs w:val="18"/>
                      <w:lang w:val="en-US" w:eastAsia="zh-CN"/>
                    </w:rPr>
                  </w:pPr>
                  <w:r>
                    <w:rPr>
                      <w:rFonts w:hint="default" w:ascii="Times New Roman" w:hAnsi="Times New Roman" w:eastAsia="Arial" w:cs="Times New Roman"/>
                      <w:sz w:val="18"/>
                      <w:szCs w:val="18"/>
                    </w:rPr>
                    <w:t>1.2</w:t>
                  </w:r>
                </w:p>
              </w:tc>
              <w:tc>
                <w:tcPr>
                  <w:tcW w:w="0" w:type="auto"/>
                  <w:tcBorders>
                    <w:tl2br w:val="nil"/>
                    <w:tr2bl w:val="nil"/>
                  </w:tcBorders>
                  <w:shd w:val="clear" w:color="auto" w:fill="auto"/>
                  <w:tcMar>
                    <w:top w:w="0" w:type="dxa"/>
                    <w:left w:w="0" w:type="dxa"/>
                    <w:bottom w:w="0" w:type="dxa"/>
                    <w:right w:w="0" w:type="dxa"/>
                  </w:tcMar>
                  <w:vAlign w:val="center"/>
                </w:tcPr>
                <w:p w14:paraId="5AB27094">
                  <w:pPr>
                    <w:keepNext w:val="0"/>
                    <w:keepLines w:val="0"/>
                    <w:suppressLineNumbers w:val="0"/>
                    <w:spacing w:before="0" w:beforeAutospacing="0" w:after="0" w:afterAutospacing="0"/>
                    <w:ind w:left="0" w:right="0"/>
                    <w:jc w:val="center"/>
                    <w:rPr>
                      <w:rFonts w:hint="default" w:ascii="Times New Roman" w:hAnsi="Times New Roman" w:cs="Times New Roman"/>
                      <w:b w:val="0"/>
                      <w:bCs/>
                      <w:color w:val="auto"/>
                      <w:sz w:val="18"/>
                      <w:szCs w:val="18"/>
                    </w:rPr>
                  </w:pPr>
                  <w:r>
                    <w:rPr>
                      <w:rFonts w:hint="default" w:ascii="Times New Roman" w:hAnsi="Times New Roman" w:eastAsia="Arial" w:cs="Times New Roman"/>
                      <w:sz w:val="18"/>
                      <w:szCs w:val="18"/>
                    </w:rPr>
                    <w:t>120.5</w:t>
                  </w:r>
                </w:p>
              </w:tc>
              <w:tc>
                <w:tcPr>
                  <w:tcW w:w="0" w:type="auto"/>
                  <w:tcBorders>
                    <w:tl2br w:val="nil"/>
                    <w:tr2bl w:val="nil"/>
                  </w:tcBorders>
                  <w:shd w:val="clear" w:color="auto" w:fill="auto"/>
                  <w:tcMar>
                    <w:top w:w="0" w:type="dxa"/>
                    <w:left w:w="0" w:type="dxa"/>
                    <w:bottom w:w="0" w:type="dxa"/>
                    <w:right w:w="0" w:type="dxa"/>
                  </w:tcMar>
                  <w:vAlign w:val="center"/>
                </w:tcPr>
                <w:p w14:paraId="0547C8F6">
                  <w:pPr>
                    <w:keepNext w:val="0"/>
                    <w:keepLines w:val="0"/>
                    <w:suppressLineNumbers w:val="0"/>
                    <w:spacing w:before="0" w:beforeAutospacing="0" w:after="0" w:afterAutospacing="0"/>
                    <w:ind w:left="0" w:right="0"/>
                    <w:jc w:val="center"/>
                    <w:rPr>
                      <w:rFonts w:hint="default" w:ascii="Times New Roman" w:hAnsi="Times New Roman" w:cs="Times New Roman"/>
                      <w:b w:val="0"/>
                      <w:bCs/>
                      <w:color w:val="auto"/>
                      <w:sz w:val="18"/>
                      <w:szCs w:val="18"/>
                    </w:rPr>
                  </w:pPr>
                  <w:r>
                    <w:rPr>
                      <w:rFonts w:hint="default" w:ascii="Times New Roman" w:hAnsi="Times New Roman" w:eastAsia="Arial" w:cs="Times New Roman"/>
                      <w:sz w:val="18"/>
                      <w:szCs w:val="18"/>
                    </w:rPr>
                    <w:t>10.6</w:t>
                  </w:r>
                </w:p>
              </w:tc>
              <w:tc>
                <w:tcPr>
                  <w:tcW w:w="0" w:type="auto"/>
                  <w:tcBorders>
                    <w:tl2br w:val="nil"/>
                    <w:tr2bl w:val="nil"/>
                  </w:tcBorders>
                  <w:shd w:val="clear" w:color="auto" w:fill="auto"/>
                  <w:tcMar>
                    <w:top w:w="0" w:type="dxa"/>
                    <w:left w:w="0" w:type="dxa"/>
                    <w:bottom w:w="0" w:type="dxa"/>
                    <w:right w:w="0" w:type="dxa"/>
                  </w:tcMar>
                  <w:vAlign w:val="center"/>
                </w:tcPr>
                <w:p w14:paraId="4286FE73">
                  <w:pPr>
                    <w:keepNext w:val="0"/>
                    <w:keepLines w:val="0"/>
                    <w:suppressLineNumbers w:val="0"/>
                    <w:spacing w:before="0" w:beforeAutospacing="0" w:after="0" w:afterAutospacing="0"/>
                    <w:ind w:left="0" w:right="0"/>
                    <w:jc w:val="center"/>
                    <w:rPr>
                      <w:rFonts w:hint="default" w:ascii="Times New Roman" w:hAnsi="Times New Roman" w:cs="Times New Roman"/>
                      <w:b w:val="0"/>
                      <w:bCs/>
                      <w:color w:val="auto"/>
                      <w:sz w:val="18"/>
                      <w:szCs w:val="18"/>
                    </w:rPr>
                  </w:pPr>
                  <w:r>
                    <w:rPr>
                      <w:rFonts w:hint="default" w:ascii="Times New Roman" w:hAnsi="Times New Roman" w:eastAsia="Arial" w:cs="Times New Roman"/>
                      <w:sz w:val="18"/>
                      <w:szCs w:val="18"/>
                    </w:rPr>
                    <w:t>21.7</w:t>
                  </w:r>
                </w:p>
              </w:tc>
              <w:tc>
                <w:tcPr>
                  <w:tcW w:w="0" w:type="auto"/>
                  <w:tcBorders>
                    <w:tl2br w:val="nil"/>
                    <w:tr2bl w:val="nil"/>
                  </w:tcBorders>
                  <w:shd w:val="clear" w:color="auto" w:fill="auto"/>
                  <w:tcMar>
                    <w:top w:w="0" w:type="dxa"/>
                    <w:left w:w="0" w:type="dxa"/>
                    <w:bottom w:w="0" w:type="dxa"/>
                    <w:right w:w="0" w:type="dxa"/>
                  </w:tcMar>
                  <w:vAlign w:val="center"/>
                </w:tcPr>
                <w:p w14:paraId="07E63534">
                  <w:pPr>
                    <w:keepNext w:val="0"/>
                    <w:keepLines w:val="0"/>
                    <w:suppressLineNumbers w:val="0"/>
                    <w:spacing w:before="0" w:beforeAutospacing="0" w:after="0" w:afterAutospacing="0"/>
                    <w:ind w:left="0" w:right="0"/>
                    <w:jc w:val="center"/>
                    <w:rPr>
                      <w:rFonts w:hint="default" w:ascii="Times New Roman" w:hAnsi="Times New Roman" w:cs="Times New Roman"/>
                      <w:b w:val="0"/>
                      <w:bCs/>
                      <w:color w:val="auto"/>
                      <w:sz w:val="18"/>
                      <w:szCs w:val="18"/>
                    </w:rPr>
                  </w:pPr>
                  <w:r>
                    <w:rPr>
                      <w:rFonts w:hint="default" w:ascii="Times New Roman" w:hAnsi="Times New Roman" w:eastAsia="Arial" w:cs="Times New Roman"/>
                      <w:sz w:val="18"/>
                      <w:szCs w:val="18"/>
                    </w:rPr>
                    <w:t>30.5</w:t>
                  </w:r>
                </w:p>
              </w:tc>
              <w:tc>
                <w:tcPr>
                  <w:tcW w:w="0" w:type="auto"/>
                  <w:tcBorders>
                    <w:tl2br w:val="nil"/>
                    <w:tr2bl w:val="nil"/>
                  </w:tcBorders>
                  <w:shd w:val="clear" w:color="auto" w:fill="auto"/>
                  <w:tcMar>
                    <w:top w:w="0" w:type="dxa"/>
                    <w:left w:w="0" w:type="dxa"/>
                    <w:bottom w:w="0" w:type="dxa"/>
                    <w:right w:w="0" w:type="dxa"/>
                  </w:tcMar>
                  <w:vAlign w:val="center"/>
                </w:tcPr>
                <w:p w14:paraId="6D39508F">
                  <w:pPr>
                    <w:keepNext w:val="0"/>
                    <w:keepLines w:val="0"/>
                    <w:suppressLineNumbers w:val="0"/>
                    <w:spacing w:before="0" w:beforeAutospacing="0" w:after="0" w:afterAutospacing="0"/>
                    <w:ind w:left="0" w:right="0"/>
                    <w:jc w:val="center"/>
                    <w:rPr>
                      <w:rFonts w:hint="default" w:ascii="Times New Roman" w:hAnsi="Times New Roman" w:eastAsia="Arial" w:cs="Times New Roman"/>
                      <w:sz w:val="18"/>
                      <w:szCs w:val="18"/>
                    </w:rPr>
                  </w:pPr>
                  <w:r>
                    <w:rPr>
                      <w:rFonts w:hint="default" w:ascii="Times New Roman" w:hAnsi="Times New Roman" w:eastAsia="Arial" w:cs="Times New Roman"/>
                      <w:sz w:val="18"/>
                      <w:szCs w:val="18"/>
                    </w:rPr>
                    <w:t>61.5</w:t>
                  </w:r>
                </w:p>
              </w:tc>
              <w:tc>
                <w:tcPr>
                  <w:tcW w:w="0" w:type="auto"/>
                  <w:tcBorders>
                    <w:tl2br w:val="nil"/>
                    <w:tr2bl w:val="nil"/>
                  </w:tcBorders>
                  <w:shd w:val="clear" w:color="auto" w:fill="auto"/>
                  <w:tcMar>
                    <w:top w:w="0" w:type="dxa"/>
                    <w:left w:w="0" w:type="dxa"/>
                    <w:bottom w:w="0" w:type="dxa"/>
                    <w:right w:w="0" w:type="dxa"/>
                  </w:tcMar>
                  <w:vAlign w:val="center"/>
                </w:tcPr>
                <w:p w14:paraId="09B0B287">
                  <w:pPr>
                    <w:keepNext w:val="0"/>
                    <w:keepLines w:val="0"/>
                    <w:suppressLineNumbers w:val="0"/>
                    <w:spacing w:before="0" w:beforeAutospacing="0" w:after="0" w:afterAutospacing="0"/>
                    <w:ind w:left="0" w:right="0"/>
                    <w:jc w:val="center"/>
                    <w:rPr>
                      <w:rFonts w:hint="default" w:ascii="Times New Roman" w:hAnsi="Times New Roman" w:eastAsia="Arial" w:cs="Times New Roman"/>
                      <w:sz w:val="18"/>
                      <w:szCs w:val="18"/>
                    </w:rPr>
                  </w:pPr>
                  <w:r>
                    <w:rPr>
                      <w:rFonts w:hint="default" w:ascii="Times New Roman" w:hAnsi="Times New Roman" w:eastAsia="Arial" w:cs="Times New Roman"/>
                      <w:sz w:val="18"/>
                      <w:szCs w:val="18"/>
                    </w:rPr>
                    <w:t>61.7</w:t>
                  </w:r>
                </w:p>
              </w:tc>
              <w:tc>
                <w:tcPr>
                  <w:tcW w:w="0" w:type="auto"/>
                  <w:tcBorders>
                    <w:tl2br w:val="nil"/>
                    <w:tr2bl w:val="nil"/>
                  </w:tcBorders>
                  <w:shd w:val="clear" w:color="auto" w:fill="auto"/>
                  <w:tcMar>
                    <w:top w:w="0" w:type="dxa"/>
                    <w:left w:w="0" w:type="dxa"/>
                    <w:bottom w:w="0" w:type="dxa"/>
                    <w:right w:w="0" w:type="dxa"/>
                  </w:tcMar>
                  <w:vAlign w:val="center"/>
                </w:tcPr>
                <w:p w14:paraId="707885A3">
                  <w:pPr>
                    <w:keepNext w:val="0"/>
                    <w:keepLines w:val="0"/>
                    <w:suppressLineNumbers w:val="0"/>
                    <w:spacing w:before="0" w:beforeAutospacing="0" w:after="0" w:afterAutospacing="0"/>
                    <w:ind w:left="0" w:right="0"/>
                    <w:jc w:val="center"/>
                    <w:rPr>
                      <w:rFonts w:hint="default" w:ascii="Times New Roman" w:hAnsi="Times New Roman" w:eastAsia="Arial" w:cs="Times New Roman"/>
                      <w:sz w:val="18"/>
                      <w:szCs w:val="18"/>
                    </w:rPr>
                  </w:pPr>
                  <w:r>
                    <w:rPr>
                      <w:rFonts w:hint="default" w:ascii="Times New Roman" w:hAnsi="Times New Roman" w:eastAsia="Arial" w:cs="Times New Roman"/>
                      <w:sz w:val="18"/>
                      <w:szCs w:val="18"/>
                    </w:rPr>
                    <w:t>61.6</w:t>
                  </w:r>
                </w:p>
              </w:tc>
              <w:tc>
                <w:tcPr>
                  <w:tcW w:w="0" w:type="auto"/>
                  <w:tcBorders>
                    <w:tl2br w:val="nil"/>
                    <w:tr2bl w:val="nil"/>
                  </w:tcBorders>
                  <w:shd w:val="clear" w:color="auto" w:fill="auto"/>
                  <w:tcMar>
                    <w:top w:w="0" w:type="dxa"/>
                    <w:left w:w="0" w:type="dxa"/>
                    <w:bottom w:w="0" w:type="dxa"/>
                    <w:right w:w="0" w:type="dxa"/>
                  </w:tcMar>
                  <w:vAlign w:val="center"/>
                </w:tcPr>
                <w:p w14:paraId="7AB2E14C">
                  <w:pPr>
                    <w:keepNext w:val="0"/>
                    <w:keepLines w:val="0"/>
                    <w:suppressLineNumbers w:val="0"/>
                    <w:spacing w:before="0" w:beforeAutospacing="0" w:after="0" w:afterAutospacing="0"/>
                    <w:ind w:left="0" w:right="0"/>
                    <w:jc w:val="center"/>
                    <w:rPr>
                      <w:rFonts w:hint="default" w:ascii="Times New Roman" w:hAnsi="Times New Roman" w:eastAsia="Arial" w:cs="Times New Roman"/>
                      <w:sz w:val="18"/>
                      <w:szCs w:val="18"/>
                    </w:rPr>
                  </w:pPr>
                  <w:r>
                    <w:rPr>
                      <w:rFonts w:hint="default" w:ascii="Times New Roman" w:hAnsi="Times New Roman" w:eastAsia="Arial" w:cs="Times New Roman"/>
                      <w:sz w:val="18"/>
                      <w:szCs w:val="18"/>
                    </w:rPr>
                    <w:t>61.6</w:t>
                  </w:r>
                </w:p>
              </w:tc>
              <w:tc>
                <w:tcPr>
                  <w:tcW w:w="0" w:type="auto"/>
                  <w:tcBorders>
                    <w:tl2br w:val="nil"/>
                    <w:tr2bl w:val="nil"/>
                  </w:tcBorders>
                  <w:shd w:val="clear" w:color="auto" w:fill="auto"/>
                  <w:tcMar>
                    <w:top w:w="0" w:type="dxa"/>
                    <w:left w:w="0" w:type="dxa"/>
                    <w:bottom w:w="0" w:type="dxa"/>
                    <w:right w:w="0" w:type="dxa"/>
                  </w:tcMar>
                  <w:vAlign w:val="center"/>
                </w:tcPr>
                <w:p w14:paraId="2212419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b w:val="0"/>
                      <w:bCs/>
                      <w:color w:val="auto"/>
                      <w:sz w:val="18"/>
                      <w:szCs w:val="18"/>
                    </w:rPr>
                  </w:pPr>
                  <w:r>
                    <w:rPr>
                      <w:rFonts w:hint="default" w:ascii="Times New Roman" w:hAnsi="Times New Roman" w:eastAsia="Arial" w:cs="Times New Roman"/>
                      <w:b w:val="0"/>
                      <w:bCs/>
                      <w:color w:val="auto"/>
                      <w:sz w:val="18"/>
                      <w:szCs w:val="18"/>
                    </w:rPr>
                    <w:t>26.0</w:t>
                  </w:r>
                </w:p>
              </w:tc>
              <w:tc>
                <w:tcPr>
                  <w:tcW w:w="0" w:type="auto"/>
                  <w:tcBorders>
                    <w:tl2br w:val="nil"/>
                    <w:tr2bl w:val="nil"/>
                  </w:tcBorders>
                  <w:shd w:val="clear" w:color="auto" w:fill="auto"/>
                  <w:tcMar>
                    <w:top w:w="0" w:type="dxa"/>
                    <w:left w:w="0" w:type="dxa"/>
                    <w:bottom w:w="0" w:type="dxa"/>
                    <w:right w:w="0" w:type="dxa"/>
                  </w:tcMar>
                  <w:vAlign w:val="center"/>
                </w:tcPr>
                <w:p w14:paraId="29EAF15F">
                  <w:pPr>
                    <w:keepNext w:val="0"/>
                    <w:keepLines w:val="0"/>
                    <w:suppressLineNumbers w:val="0"/>
                    <w:spacing w:before="0" w:beforeAutospacing="0" w:after="0" w:afterAutospacing="0"/>
                    <w:ind w:left="0" w:right="0"/>
                    <w:jc w:val="center"/>
                    <w:rPr>
                      <w:rFonts w:hint="default" w:ascii="Times New Roman" w:hAnsi="Times New Roman" w:eastAsia="Arial" w:cs="Times New Roman"/>
                      <w:sz w:val="18"/>
                      <w:szCs w:val="18"/>
                    </w:rPr>
                  </w:pPr>
                  <w:r>
                    <w:rPr>
                      <w:rFonts w:hint="default" w:ascii="Times New Roman" w:hAnsi="Times New Roman" w:eastAsia="Arial" w:cs="Times New Roman"/>
                      <w:sz w:val="18"/>
                      <w:szCs w:val="18"/>
                    </w:rPr>
                    <w:t>35.5</w:t>
                  </w:r>
                </w:p>
              </w:tc>
              <w:tc>
                <w:tcPr>
                  <w:tcW w:w="0" w:type="auto"/>
                  <w:tcBorders>
                    <w:tl2br w:val="nil"/>
                    <w:tr2bl w:val="nil"/>
                  </w:tcBorders>
                  <w:shd w:val="clear" w:color="auto" w:fill="auto"/>
                  <w:tcMar>
                    <w:top w:w="0" w:type="dxa"/>
                    <w:left w:w="0" w:type="dxa"/>
                    <w:bottom w:w="0" w:type="dxa"/>
                    <w:right w:w="0" w:type="dxa"/>
                  </w:tcMar>
                  <w:vAlign w:val="center"/>
                </w:tcPr>
                <w:p w14:paraId="66532E83">
                  <w:pPr>
                    <w:keepNext w:val="0"/>
                    <w:keepLines w:val="0"/>
                    <w:suppressLineNumbers w:val="0"/>
                    <w:spacing w:before="0" w:beforeAutospacing="0" w:after="0" w:afterAutospacing="0"/>
                    <w:ind w:left="0" w:right="0"/>
                    <w:jc w:val="center"/>
                    <w:rPr>
                      <w:rFonts w:hint="default" w:ascii="Times New Roman" w:hAnsi="Times New Roman" w:eastAsia="Arial" w:cs="Times New Roman"/>
                      <w:sz w:val="18"/>
                      <w:szCs w:val="18"/>
                    </w:rPr>
                  </w:pPr>
                  <w:r>
                    <w:rPr>
                      <w:rFonts w:hint="default" w:ascii="Times New Roman" w:hAnsi="Times New Roman" w:eastAsia="Arial" w:cs="Times New Roman"/>
                      <w:sz w:val="18"/>
                      <w:szCs w:val="18"/>
                    </w:rPr>
                    <w:t>35.7</w:t>
                  </w:r>
                </w:p>
              </w:tc>
              <w:tc>
                <w:tcPr>
                  <w:tcW w:w="0" w:type="auto"/>
                  <w:tcBorders>
                    <w:tl2br w:val="nil"/>
                    <w:tr2bl w:val="nil"/>
                  </w:tcBorders>
                  <w:shd w:val="clear" w:color="auto" w:fill="auto"/>
                  <w:tcMar>
                    <w:top w:w="0" w:type="dxa"/>
                    <w:left w:w="0" w:type="dxa"/>
                    <w:bottom w:w="0" w:type="dxa"/>
                    <w:right w:w="0" w:type="dxa"/>
                  </w:tcMar>
                  <w:vAlign w:val="center"/>
                </w:tcPr>
                <w:p w14:paraId="07E1A895">
                  <w:pPr>
                    <w:keepNext w:val="0"/>
                    <w:keepLines w:val="0"/>
                    <w:suppressLineNumbers w:val="0"/>
                    <w:spacing w:before="0" w:beforeAutospacing="0" w:after="0" w:afterAutospacing="0"/>
                    <w:ind w:left="0" w:right="0"/>
                    <w:jc w:val="center"/>
                    <w:rPr>
                      <w:rFonts w:hint="default" w:ascii="Times New Roman" w:hAnsi="Times New Roman" w:eastAsia="Arial" w:cs="Times New Roman"/>
                      <w:sz w:val="18"/>
                      <w:szCs w:val="18"/>
                    </w:rPr>
                  </w:pPr>
                  <w:r>
                    <w:rPr>
                      <w:rFonts w:hint="default" w:ascii="Times New Roman" w:hAnsi="Times New Roman" w:eastAsia="Arial" w:cs="Times New Roman"/>
                      <w:sz w:val="18"/>
                      <w:szCs w:val="18"/>
                    </w:rPr>
                    <w:t>35.6</w:t>
                  </w:r>
                </w:p>
              </w:tc>
              <w:tc>
                <w:tcPr>
                  <w:tcW w:w="0" w:type="auto"/>
                  <w:tcBorders>
                    <w:tl2br w:val="nil"/>
                    <w:tr2bl w:val="nil"/>
                  </w:tcBorders>
                  <w:shd w:val="clear" w:color="auto" w:fill="auto"/>
                  <w:tcMar>
                    <w:top w:w="0" w:type="dxa"/>
                    <w:left w:w="0" w:type="dxa"/>
                    <w:bottom w:w="0" w:type="dxa"/>
                    <w:right w:w="0" w:type="dxa"/>
                  </w:tcMar>
                  <w:vAlign w:val="center"/>
                </w:tcPr>
                <w:p w14:paraId="5CE75754">
                  <w:pPr>
                    <w:keepNext w:val="0"/>
                    <w:keepLines w:val="0"/>
                    <w:suppressLineNumbers w:val="0"/>
                    <w:spacing w:before="0" w:beforeAutospacing="0" w:after="0" w:afterAutospacing="0"/>
                    <w:ind w:left="0" w:right="0"/>
                    <w:jc w:val="center"/>
                    <w:rPr>
                      <w:rFonts w:hint="default" w:ascii="Times New Roman" w:hAnsi="Times New Roman" w:eastAsia="Arial" w:cs="Times New Roman"/>
                      <w:sz w:val="18"/>
                      <w:szCs w:val="18"/>
                    </w:rPr>
                  </w:pPr>
                  <w:r>
                    <w:rPr>
                      <w:rFonts w:hint="default" w:ascii="Times New Roman" w:hAnsi="Times New Roman" w:eastAsia="Arial" w:cs="Times New Roman"/>
                      <w:sz w:val="18"/>
                      <w:szCs w:val="18"/>
                    </w:rPr>
                    <w:t>35.6</w:t>
                  </w:r>
                </w:p>
              </w:tc>
              <w:tc>
                <w:tcPr>
                  <w:tcW w:w="0" w:type="auto"/>
                  <w:tcBorders>
                    <w:tl2br w:val="nil"/>
                    <w:tr2bl w:val="nil"/>
                  </w:tcBorders>
                  <w:shd w:val="clear" w:color="auto" w:fill="auto"/>
                  <w:tcMar>
                    <w:top w:w="0" w:type="dxa"/>
                    <w:left w:w="0" w:type="dxa"/>
                    <w:bottom w:w="0" w:type="dxa"/>
                    <w:right w:w="0" w:type="dxa"/>
                  </w:tcMar>
                  <w:vAlign w:val="center"/>
                </w:tcPr>
                <w:p w14:paraId="05C6115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b w:val="0"/>
                      <w:bCs/>
                      <w:color w:val="auto"/>
                      <w:sz w:val="18"/>
                      <w:szCs w:val="18"/>
                    </w:rPr>
                  </w:pPr>
                  <w:r>
                    <w:rPr>
                      <w:rFonts w:hint="default" w:ascii="Times New Roman" w:hAnsi="Times New Roman" w:eastAsia="Arial" w:cs="Times New Roman"/>
                      <w:b w:val="0"/>
                      <w:bCs/>
                      <w:color w:val="auto"/>
                      <w:sz w:val="18"/>
                      <w:szCs w:val="18"/>
                    </w:rPr>
                    <w:t>1</w:t>
                  </w:r>
                </w:p>
              </w:tc>
            </w:tr>
            <w:tr w14:paraId="0060BC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9" w:hRule="atLeast"/>
              </w:trPr>
              <w:tc>
                <w:tcPr>
                  <w:tcW w:w="0" w:type="auto"/>
                  <w:tcBorders>
                    <w:tl2br w:val="nil"/>
                    <w:tr2bl w:val="nil"/>
                  </w:tcBorders>
                  <w:shd w:val="clear" w:color="auto" w:fill="auto"/>
                  <w:tcMar>
                    <w:top w:w="0" w:type="dxa"/>
                    <w:left w:w="0" w:type="dxa"/>
                    <w:bottom w:w="0" w:type="dxa"/>
                    <w:right w:w="0" w:type="dxa"/>
                  </w:tcMar>
                  <w:vAlign w:val="center"/>
                </w:tcPr>
                <w:p w14:paraId="2EC6FE7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b w:val="0"/>
                      <w:bCs/>
                      <w:color w:val="auto"/>
                      <w:sz w:val="18"/>
                      <w:szCs w:val="18"/>
                    </w:rPr>
                  </w:pPr>
                  <w:r>
                    <w:rPr>
                      <w:rFonts w:hint="default" w:ascii="Times New Roman" w:hAnsi="Times New Roman" w:eastAsia="Arial" w:cs="Times New Roman"/>
                      <w:b w:val="0"/>
                      <w:bCs/>
                      <w:color w:val="auto"/>
                      <w:sz w:val="18"/>
                      <w:szCs w:val="18"/>
                    </w:rPr>
                    <w:t>5</w:t>
                  </w:r>
                </w:p>
              </w:tc>
              <w:tc>
                <w:tcPr>
                  <w:tcW w:w="0" w:type="auto"/>
                  <w:vMerge w:val="continue"/>
                  <w:tcBorders>
                    <w:tl2br w:val="nil"/>
                    <w:tr2bl w:val="nil"/>
                  </w:tcBorders>
                  <w:shd w:val="clear" w:color="auto" w:fill="auto"/>
                  <w:tcMar>
                    <w:top w:w="0" w:type="dxa"/>
                    <w:left w:w="0" w:type="dxa"/>
                    <w:bottom w:w="0" w:type="dxa"/>
                    <w:right w:w="0" w:type="dxa"/>
                  </w:tcMar>
                  <w:vAlign w:val="center"/>
                </w:tcPr>
                <w:p w14:paraId="5D3565A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b w:val="0"/>
                      <w:bCs/>
                      <w:color w:val="auto"/>
                      <w:sz w:val="18"/>
                      <w:szCs w:val="18"/>
                    </w:rPr>
                  </w:pPr>
                </w:p>
              </w:tc>
              <w:tc>
                <w:tcPr>
                  <w:tcW w:w="0" w:type="auto"/>
                  <w:tcBorders>
                    <w:tl2br w:val="nil"/>
                    <w:tr2bl w:val="nil"/>
                  </w:tcBorders>
                  <w:shd w:val="clear" w:color="auto" w:fill="auto"/>
                  <w:tcMar>
                    <w:top w:w="0" w:type="dxa"/>
                    <w:left w:w="0" w:type="dxa"/>
                    <w:bottom w:w="0" w:type="dxa"/>
                    <w:right w:w="0" w:type="dxa"/>
                  </w:tcMar>
                  <w:vAlign w:val="center"/>
                </w:tcPr>
                <w:p w14:paraId="6C5BE7EA">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b w:val="0"/>
                      <w:bCs/>
                      <w:color w:val="auto"/>
                      <w:sz w:val="18"/>
                      <w:szCs w:val="18"/>
                      <w:lang w:val="en-US" w:eastAsia="zh-CN"/>
                    </w:rPr>
                  </w:pPr>
                  <w:r>
                    <w:rPr>
                      <w:rFonts w:hint="default" w:ascii="Times New Roman" w:hAnsi="Times New Roman" w:cs="Times New Roman"/>
                      <w:b w:val="0"/>
                      <w:bCs/>
                      <w:color w:val="auto"/>
                      <w:sz w:val="18"/>
                      <w:szCs w:val="18"/>
                      <w:lang w:val="en-US" w:eastAsia="zh-CN"/>
                    </w:rPr>
                    <w:t>覆膜机</w:t>
                  </w:r>
                </w:p>
              </w:tc>
              <w:tc>
                <w:tcPr>
                  <w:tcW w:w="0" w:type="auto"/>
                  <w:tcBorders>
                    <w:tl2br w:val="nil"/>
                    <w:tr2bl w:val="nil"/>
                  </w:tcBorders>
                  <w:shd w:val="clear" w:color="auto" w:fill="FFFFFF"/>
                  <w:tcMar>
                    <w:top w:w="0" w:type="dxa"/>
                    <w:left w:w="0" w:type="dxa"/>
                    <w:bottom w:w="0" w:type="dxa"/>
                    <w:right w:w="0" w:type="dxa"/>
                  </w:tcMar>
                  <w:vAlign w:val="center"/>
                </w:tcPr>
                <w:p w14:paraId="4C707741">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Arial" w:cs="Times New Roman"/>
                      <w:sz w:val="18"/>
                      <w:szCs w:val="18"/>
                    </w:rPr>
                    <w:t>70</w:t>
                  </w:r>
                </w:p>
              </w:tc>
              <w:tc>
                <w:tcPr>
                  <w:tcW w:w="0" w:type="auto"/>
                  <w:tcBorders>
                    <w:tl2br w:val="nil"/>
                    <w:tr2bl w:val="nil"/>
                  </w:tcBorders>
                  <w:shd w:val="clear" w:color="auto" w:fill="auto"/>
                  <w:tcMar>
                    <w:top w:w="0" w:type="dxa"/>
                    <w:left w:w="0" w:type="dxa"/>
                    <w:bottom w:w="0" w:type="dxa"/>
                    <w:right w:w="0" w:type="dxa"/>
                  </w:tcMar>
                  <w:vAlign w:val="center"/>
                </w:tcPr>
                <w:p w14:paraId="61B0AF3E">
                  <w:pPr>
                    <w:keepNext w:val="0"/>
                    <w:keepLines w:val="0"/>
                    <w:suppressLineNumbers w:val="0"/>
                    <w:spacing w:before="0" w:beforeAutospacing="0" w:after="0" w:afterAutospacing="0"/>
                    <w:ind w:left="0" w:right="0"/>
                    <w:jc w:val="center"/>
                    <w:rPr>
                      <w:rFonts w:hint="default" w:ascii="Times New Roman" w:hAnsi="Times New Roman" w:cs="Times New Roman"/>
                      <w:b w:val="0"/>
                      <w:bCs/>
                      <w:color w:val="auto"/>
                      <w:sz w:val="18"/>
                      <w:szCs w:val="18"/>
                    </w:rPr>
                  </w:pPr>
                  <w:r>
                    <w:rPr>
                      <w:rFonts w:hint="default" w:ascii="Times New Roman" w:hAnsi="Times New Roman" w:eastAsia="Arial" w:cs="Times New Roman"/>
                      <w:sz w:val="18"/>
                      <w:szCs w:val="18"/>
                    </w:rPr>
                    <w:t>-14</w:t>
                  </w:r>
                </w:p>
              </w:tc>
              <w:tc>
                <w:tcPr>
                  <w:tcW w:w="0" w:type="auto"/>
                  <w:tcBorders>
                    <w:tl2br w:val="nil"/>
                    <w:tr2bl w:val="nil"/>
                  </w:tcBorders>
                  <w:shd w:val="clear" w:color="auto" w:fill="auto"/>
                  <w:tcMar>
                    <w:top w:w="0" w:type="dxa"/>
                    <w:left w:w="0" w:type="dxa"/>
                    <w:bottom w:w="0" w:type="dxa"/>
                    <w:right w:w="0" w:type="dxa"/>
                  </w:tcMar>
                  <w:vAlign w:val="center"/>
                </w:tcPr>
                <w:p w14:paraId="3FDBB72D">
                  <w:pPr>
                    <w:keepNext w:val="0"/>
                    <w:keepLines w:val="0"/>
                    <w:suppressLineNumbers w:val="0"/>
                    <w:spacing w:before="0" w:beforeAutospacing="0" w:after="0" w:afterAutospacing="0"/>
                    <w:ind w:left="0" w:right="0"/>
                    <w:jc w:val="center"/>
                    <w:rPr>
                      <w:rFonts w:hint="default" w:ascii="Times New Roman" w:hAnsi="Times New Roman" w:cs="Times New Roman"/>
                      <w:b w:val="0"/>
                      <w:bCs/>
                      <w:color w:val="auto"/>
                      <w:sz w:val="18"/>
                      <w:szCs w:val="18"/>
                    </w:rPr>
                  </w:pPr>
                  <w:r>
                    <w:rPr>
                      <w:rFonts w:hint="default" w:ascii="Times New Roman" w:hAnsi="Times New Roman" w:eastAsia="Arial" w:cs="Times New Roman"/>
                      <w:sz w:val="18"/>
                      <w:szCs w:val="18"/>
                    </w:rPr>
                    <w:t>8.9</w:t>
                  </w:r>
                </w:p>
              </w:tc>
              <w:tc>
                <w:tcPr>
                  <w:tcW w:w="0" w:type="auto"/>
                  <w:tcBorders>
                    <w:tl2br w:val="nil"/>
                    <w:tr2bl w:val="nil"/>
                  </w:tcBorders>
                  <w:shd w:val="clear" w:color="auto" w:fill="auto"/>
                  <w:tcMar>
                    <w:top w:w="0" w:type="dxa"/>
                    <w:left w:w="0" w:type="dxa"/>
                    <w:bottom w:w="0" w:type="dxa"/>
                    <w:right w:w="0" w:type="dxa"/>
                  </w:tcMar>
                  <w:vAlign w:val="center"/>
                </w:tcPr>
                <w:p w14:paraId="29222DCB">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color w:val="auto"/>
                      <w:sz w:val="18"/>
                      <w:szCs w:val="18"/>
                      <w:lang w:val="en-US" w:eastAsia="zh-CN"/>
                    </w:rPr>
                  </w:pPr>
                  <w:r>
                    <w:rPr>
                      <w:rFonts w:hint="default" w:ascii="Times New Roman" w:hAnsi="Times New Roman" w:eastAsia="Arial" w:cs="Times New Roman"/>
                      <w:sz w:val="18"/>
                      <w:szCs w:val="18"/>
                    </w:rPr>
                    <w:t>1.2</w:t>
                  </w:r>
                </w:p>
              </w:tc>
              <w:tc>
                <w:tcPr>
                  <w:tcW w:w="0" w:type="auto"/>
                  <w:tcBorders>
                    <w:tl2br w:val="nil"/>
                    <w:tr2bl w:val="nil"/>
                  </w:tcBorders>
                  <w:shd w:val="clear" w:color="auto" w:fill="auto"/>
                  <w:tcMar>
                    <w:top w:w="0" w:type="dxa"/>
                    <w:left w:w="0" w:type="dxa"/>
                    <w:bottom w:w="0" w:type="dxa"/>
                    <w:right w:w="0" w:type="dxa"/>
                  </w:tcMar>
                  <w:vAlign w:val="center"/>
                </w:tcPr>
                <w:p w14:paraId="4F05043B">
                  <w:pPr>
                    <w:keepNext w:val="0"/>
                    <w:keepLines w:val="0"/>
                    <w:suppressLineNumbers w:val="0"/>
                    <w:spacing w:before="0" w:beforeAutospacing="0" w:after="0" w:afterAutospacing="0"/>
                    <w:ind w:left="0" w:right="0"/>
                    <w:jc w:val="center"/>
                    <w:rPr>
                      <w:rFonts w:hint="default" w:ascii="Times New Roman" w:hAnsi="Times New Roman" w:cs="Times New Roman"/>
                      <w:b w:val="0"/>
                      <w:bCs/>
                      <w:color w:val="auto"/>
                      <w:sz w:val="18"/>
                      <w:szCs w:val="18"/>
                    </w:rPr>
                  </w:pPr>
                  <w:r>
                    <w:rPr>
                      <w:rFonts w:hint="default" w:ascii="Times New Roman" w:hAnsi="Times New Roman" w:eastAsia="Arial" w:cs="Times New Roman"/>
                      <w:sz w:val="18"/>
                      <w:szCs w:val="18"/>
                    </w:rPr>
                    <w:t>85.6</w:t>
                  </w:r>
                </w:p>
              </w:tc>
              <w:tc>
                <w:tcPr>
                  <w:tcW w:w="0" w:type="auto"/>
                  <w:tcBorders>
                    <w:tl2br w:val="nil"/>
                    <w:tr2bl w:val="nil"/>
                  </w:tcBorders>
                  <w:shd w:val="clear" w:color="auto" w:fill="auto"/>
                  <w:tcMar>
                    <w:top w:w="0" w:type="dxa"/>
                    <w:left w:w="0" w:type="dxa"/>
                    <w:bottom w:w="0" w:type="dxa"/>
                    <w:right w:w="0" w:type="dxa"/>
                  </w:tcMar>
                  <w:vAlign w:val="center"/>
                </w:tcPr>
                <w:p w14:paraId="04689188">
                  <w:pPr>
                    <w:keepNext w:val="0"/>
                    <w:keepLines w:val="0"/>
                    <w:suppressLineNumbers w:val="0"/>
                    <w:spacing w:before="0" w:beforeAutospacing="0" w:after="0" w:afterAutospacing="0"/>
                    <w:ind w:left="0" w:right="0"/>
                    <w:jc w:val="center"/>
                    <w:rPr>
                      <w:rFonts w:hint="default" w:ascii="Times New Roman" w:hAnsi="Times New Roman" w:cs="Times New Roman"/>
                      <w:b w:val="0"/>
                      <w:bCs/>
                      <w:color w:val="auto"/>
                      <w:sz w:val="18"/>
                      <w:szCs w:val="18"/>
                    </w:rPr>
                  </w:pPr>
                  <w:r>
                    <w:rPr>
                      <w:rFonts w:hint="default" w:ascii="Times New Roman" w:hAnsi="Times New Roman" w:eastAsia="Arial" w:cs="Times New Roman"/>
                      <w:sz w:val="18"/>
                      <w:szCs w:val="18"/>
                    </w:rPr>
                    <w:t>29.9</w:t>
                  </w:r>
                </w:p>
              </w:tc>
              <w:tc>
                <w:tcPr>
                  <w:tcW w:w="0" w:type="auto"/>
                  <w:tcBorders>
                    <w:tl2br w:val="nil"/>
                    <w:tr2bl w:val="nil"/>
                  </w:tcBorders>
                  <w:shd w:val="clear" w:color="auto" w:fill="auto"/>
                  <w:tcMar>
                    <w:top w:w="0" w:type="dxa"/>
                    <w:left w:w="0" w:type="dxa"/>
                    <w:bottom w:w="0" w:type="dxa"/>
                    <w:right w:w="0" w:type="dxa"/>
                  </w:tcMar>
                  <w:vAlign w:val="center"/>
                </w:tcPr>
                <w:p w14:paraId="2393464A">
                  <w:pPr>
                    <w:keepNext w:val="0"/>
                    <w:keepLines w:val="0"/>
                    <w:suppressLineNumbers w:val="0"/>
                    <w:spacing w:before="0" w:beforeAutospacing="0" w:after="0" w:afterAutospacing="0"/>
                    <w:ind w:left="0" w:right="0"/>
                    <w:jc w:val="center"/>
                    <w:rPr>
                      <w:rFonts w:hint="default" w:ascii="Times New Roman" w:hAnsi="Times New Roman" w:cs="Times New Roman"/>
                      <w:b w:val="0"/>
                      <w:bCs/>
                      <w:color w:val="auto"/>
                      <w:sz w:val="18"/>
                      <w:szCs w:val="18"/>
                    </w:rPr>
                  </w:pPr>
                  <w:r>
                    <w:rPr>
                      <w:rFonts w:hint="default" w:ascii="Times New Roman" w:hAnsi="Times New Roman" w:eastAsia="Arial" w:cs="Times New Roman"/>
                      <w:sz w:val="18"/>
                      <w:szCs w:val="18"/>
                    </w:rPr>
                    <w:t>56.6</w:t>
                  </w:r>
                </w:p>
              </w:tc>
              <w:tc>
                <w:tcPr>
                  <w:tcW w:w="0" w:type="auto"/>
                  <w:tcBorders>
                    <w:tl2br w:val="nil"/>
                    <w:tr2bl w:val="nil"/>
                  </w:tcBorders>
                  <w:shd w:val="clear" w:color="auto" w:fill="auto"/>
                  <w:tcMar>
                    <w:top w:w="0" w:type="dxa"/>
                    <w:left w:w="0" w:type="dxa"/>
                    <w:bottom w:w="0" w:type="dxa"/>
                    <w:right w:w="0" w:type="dxa"/>
                  </w:tcMar>
                  <w:vAlign w:val="center"/>
                </w:tcPr>
                <w:p w14:paraId="7837F62D">
                  <w:pPr>
                    <w:keepNext w:val="0"/>
                    <w:keepLines w:val="0"/>
                    <w:suppressLineNumbers w:val="0"/>
                    <w:spacing w:before="0" w:beforeAutospacing="0" w:after="0" w:afterAutospacing="0"/>
                    <w:ind w:left="0" w:right="0"/>
                    <w:jc w:val="center"/>
                    <w:rPr>
                      <w:rFonts w:hint="default" w:ascii="Times New Roman" w:hAnsi="Times New Roman" w:cs="Times New Roman"/>
                      <w:b w:val="0"/>
                      <w:bCs/>
                      <w:color w:val="auto"/>
                      <w:sz w:val="18"/>
                      <w:szCs w:val="18"/>
                    </w:rPr>
                  </w:pPr>
                  <w:r>
                    <w:rPr>
                      <w:rFonts w:hint="default" w:ascii="Times New Roman" w:hAnsi="Times New Roman" w:eastAsia="Arial" w:cs="Times New Roman"/>
                      <w:sz w:val="18"/>
                      <w:szCs w:val="18"/>
                    </w:rPr>
                    <w:t>11.2</w:t>
                  </w:r>
                </w:p>
              </w:tc>
              <w:tc>
                <w:tcPr>
                  <w:tcW w:w="0" w:type="auto"/>
                  <w:tcBorders>
                    <w:tl2br w:val="nil"/>
                    <w:tr2bl w:val="nil"/>
                  </w:tcBorders>
                  <w:shd w:val="clear" w:color="auto" w:fill="auto"/>
                  <w:tcMar>
                    <w:top w:w="0" w:type="dxa"/>
                    <w:left w:w="0" w:type="dxa"/>
                    <w:bottom w:w="0" w:type="dxa"/>
                    <w:right w:w="0" w:type="dxa"/>
                  </w:tcMar>
                  <w:vAlign w:val="center"/>
                </w:tcPr>
                <w:p w14:paraId="2ED62061">
                  <w:pPr>
                    <w:keepNext w:val="0"/>
                    <w:keepLines w:val="0"/>
                    <w:suppressLineNumbers w:val="0"/>
                    <w:spacing w:before="0" w:beforeAutospacing="0" w:after="0" w:afterAutospacing="0"/>
                    <w:ind w:left="0" w:right="0"/>
                    <w:jc w:val="center"/>
                    <w:rPr>
                      <w:rFonts w:hint="default" w:ascii="Times New Roman" w:hAnsi="Times New Roman" w:eastAsia="Arial" w:cs="Times New Roman"/>
                      <w:sz w:val="18"/>
                      <w:szCs w:val="18"/>
                    </w:rPr>
                  </w:pPr>
                  <w:r>
                    <w:rPr>
                      <w:rFonts w:hint="default" w:ascii="Times New Roman" w:hAnsi="Times New Roman" w:eastAsia="Arial" w:cs="Times New Roman"/>
                      <w:sz w:val="18"/>
                      <w:szCs w:val="18"/>
                    </w:rPr>
                    <w:t>51.5</w:t>
                  </w:r>
                </w:p>
              </w:tc>
              <w:tc>
                <w:tcPr>
                  <w:tcW w:w="0" w:type="auto"/>
                  <w:tcBorders>
                    <w:tl2br w:val="nil"/>
                    <w:tr2bl w:val="nil"/>
                  </w:tcBorders>
                  <w:shd w:val="clear" w:color="auto" w:fill="auto"/>
                  <w:tcMar>
                    <w:top w:w="0" w:type="dxa"/>
                    <w:left w:w="0" w:type="dxa"/>
                    <w:bottom w:w="0" w:type="dxa"/>
                    <w:right w:w="0" w:type="dxa"/>
                  </w:tcMar>
                  <w:vAlign w:val="center"/>
                </w:tcPr>
                <w:p w14:paraId="370F58C2">
                  <w:pPr>
                    <w:keepNext w:val="0"/>
                    <w:keepLines w:val="0"/>
                    <w:suppressLineNumbers w:val="0"/>
                    <w:spacing w:before="0" w:beforeAutospacing="0" w:after="0" w:afterAutospacing="0"/>
                    <w:ind w:left="0" w:right="0"/>
                    <w:jc w:val="center"/>
                    <w:rPr>
                      <w:rFonts w:hint="default" w:ascii="Times New Roman" w:hAnsi="Times New Roman" w:eastAsia="Arial" w:cs="Times New Roman"/>
                      <w:sz w:val="18"/>
                      <w:szCs w:val="18"/>
                    </w:rPr>
                  </w:pPr>
                  <w:r>
                    <w:rPr>
                      <w:rFonts w:hint="default" w:ascii="Times New Roman" w:hAnsi="Times New Roman" w:eastAsia="Arial" w:cs="Times New Roman"/>
                      <w:sz w:val="18"/>
                      <w:szCs w:val="18"/>
                    </w:rPr>
                    <w:t>51.6</w:t>
                  </w:r>
                </w:p>
              </w:tc>
              <w:tc>
                <w:tcPr>
                  <w:tcW w:w="0" w:type="auto"/>
                  <w:tcBorders>
                    <w:tl2br w:val="nil"/>
                    <w:tr2bl w:val="nil"/>
                  </w:tcBorders>
                  <w:shd w:val="clear" w:color="auto" w:fill="auto"/>
                  <w:tcMar>
                    <w:top w:w="0" w:type="dxa"/>
                    <w:left w:w="0" w:type="dxa"/>
                    <w:bottom w:w="0" w:type="dxa"/>
                    <w:right w:w="0" w:type="dxa"/>
                  </w:tcMar>
                  <w:vAlign w:val="center"/>
                </w:tcPr>
                <w:p w14:paraId="5017CC67">
                  <w:pPr>
                    <w:keepNext w:val="0"/>
                    <w:keepLines w:val="0"/>
                    <w:suppressLineNumbers w:val="0"/>
                    <w:spacing w:before="0" w:beforeAutospacing="0" w:after="0" w:afterAutospacing="0"/>
                    <w:ind w:left="0" w:right="0"/>
                    <w:jc w:val="center"/>
                    <w:rPr>
                      <w:rFonts w:hint="default" w:ascii="Times New Roman" w:hAnsi="Times New Roman" w:eastAsia="Arial" w:cs="Times New Roman"/>
                      <w:sz w:val="18"/>
                      <w:szCs w:val="18"/>
                    </w:rPr>
                  </w:pPr>
                  <w:r>
                    <w:rPr>
                      <w:rFonts w:hint="default" w:ascii="Times New Roman" w:hAnsi="Times New Roman" w:eastAsia="Arial" w:cs="Times New Roman"/>
                      <w:sz w:val="18"/>
                      <w:szCs w:val="18"/>
                    </w:rPr>
                    <w:t>51.5</w:t>
                  </w:r>
                </w:p>
              </w:tc>
              <w:tc>
                <w:tcPr>
                  <w:tcW w:w="0" w:type="auto"/>
                  <w:tcBorders>
                    <w:tl2br w:val="nil"/>
                    <w:tr2bl w:val="nil"/>
                  </w:tcBorders>
                  <w:shd w:val="clear" w:color="auto" w:fill="auto"/>
                  <w:tcMar>
                    <w:top w:w="0" w:type="dxa"/>
                    <w:left w:w="0" w:type="dxa"/>
                    <w:bottom w:w="0" w:type="dxa"/>
                    <w:right w:w="0" w:type="dxa"/>
                  </w:tcMar>
                  <w:vAlign w:val="center"/>
                </w:tcPr>
                <w:p w14:paraId="47BC4086">
                  <w:pPr>
                    <w:keepNext w:val="0"/>
                    <w:keepLines w:val="0"/>
                    <w:suppressLineNumbers w:val="0"/>
                    <w:spacing w:before="0" w:beforeAutospacing="0" w:after="0" w:afterAutospacing="0"/>
                    <w:ind w:left="0" w:right="0"/>
                    <w:jc w:val="center"/>
                    <w:rPr>
                      <w:rFonts w:hint="default" w:ascii="Times New Roman" w:hAnsi="Times New Roman" w:eastAsia="Arial" w:cs="Times New Roman"/>
                      <w:sz w:val="18"/>
                      <w:szCs w:val="18"/>
                    </w:rPr>
                  </w:pPr>
                  <w:r>
                    <w:rPr>
                      <w:rFonts w:hint="default" w:ascii="Times New Roman" w:hAnsi="Times New Roman" w:eastAsia="Arial" w:cs="Times New Roman"/>
                      <w:sz w:val="18"/>
                      <w:szCs w:val="18"/>
                    </w:rPr>
                    <w:t>51.7</w:t>
                  </w:r>
                </w:p>
              </w:tc>
              <w:tc>
                <w:tcPr>
                  <w:tcW w:w="0" w:type="auto"/>
                  <w:tcBorders>
                    <w:tl2br w:val="nil"/>
                    <w:tr2bl w:val="nil"/>
                  </w:tcBorders>
                  <w:shd w:val="clear" w:color="auto" w:fill="auto"/>
                  <w:tcMar>
                    <w:top w:w="0" w:type="dxa"/>
                    <w:left w:w="0" w:type="dxa"/>
                    <w:bottom w:w="0" w:type="dxa"/>
                    <w:right w:w="0" w:type="dxa"/>
                  </w:tcMar>
                  <w:vAlign w:val="center"/>
                </w:tcPr>
                <w:p w14:paraId="40326B8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b w:val="0"/>
                      <w:bCs/>
                      <w:color w:val="auto"/>
                      <w:sz w:val="18"/>
                      <w:szCs w:val="18"/>
                    </w:rPr>
                  </w:pPr>
                  <w:r>
                    <w:rPr>
                      <w:rFonts w:hint="default" w:ascii="Times New Roman" w:hAnsi="Times New Roman" w:eastAsia="Arial" w:cs="Times New Roman"/>
                      <w:b w:val="0"/>
                      <w:bCs/>
                      <w:color w:val="auto"/>
                      <w:sz w:val="18"/>
                      <w:szCs w:val="18"/>
                    </w:rPr>
                    <w:t>26.0</w:t>
                  </w:r>
                </w:p>
              </w:tc>
              <w:tc>
                <w:tcPr>
                  <w:tcW w:w="0" w:type="auto"/>
                  <w:tcBorders>
                    <w:tl2br w:val="nil"/>
                    <w:tr2bl w:val="nil"/>
                  </w:tcBorders>
                  <w:shd w:val="clear" w:color="auto" w:fill="auto"/>
                  <w:tcMar>
                    <w:top w:w="0" w:type="dxa"/>
                    <w:left w:w="0" w:type="dxa"/>
                    <w:bottom w:w="0" w:type="dxa"/>
                    <w:right w:w="0" w:type="dxa"/>
                  </w:tcMar>
                  <w:vAlign w:val="center"/>
                </w:tcPr>
                <w:p w14:paraId="442DB3C9">
                  <w:pPr>
                    <w:keepNext w:val="0"/>
                    <w:keepLines w:val="0"/>
                    <w:suppressLineNumbers w:val="0"/>
                    <w:spacing w:before="0" w:beforeAutospacing="0" w:after="0" w:afterAutospacing="0"/>
                    <w:ind w:left="0" w:right="0"/>
                    <w:jc w:val="center"/>
                    <w:rPr>
                      <w:rFonts w:hint="default" w:ascii="Times New Roman" w:hAnsi="Times New Roman" w:eastAsia="Arial" w:cs="Times New Roman"/>
                      <w:sz w:val="18"/>
                      <w:szCs w:val="18"/>
                    </w:rPr>
                  </w:pPr>
                  <w:r>
                    <w:rPr>
                      <w:rFonts w:hint="default" w:ascii="Times New Roman" w:hAnsi="Times New Roman" w:eastAsia="Arial" w:cs="Times New Roman"/>
                      <w:sz w:val="18"/>
                      <w:szCs w:val="18"/>
                    </w:rPr>
                    <w:t>25.5</w:t>
                  </w:r>
                </w:p>
              </w:tc>
              <w:tc>
                <w:tcPr>
                  <w:tcW w:w="0" w:type="auto"/>
                  <w:tcBorders>
                    <w:tl2br w:val="nil"/>
                    <w:tr2bl w:val="nil"/>
                  </w:tcBorders>
                  <w:shd w:val="clear" w:color="auto" w:fill="auto"/>
                  <w:tcMar>
                    <w:top w:w="0" w:type="dxa"/>
                    <w:left w:w="0" w:type="dxa"/>
                    <w:bottom w:w="0" w:type="dxa"/>
                    <w:right w:w="0" w:type="dxa"/>
                  </w:tcMar>
                  <w:vAlign w:val="center"/>
                </w:tcPr>
                <w:p w14:paraId="582D5554">
                  <w:pPr>
                    <w:keepNext w:val="0"/>
                    <w:keepLines w:val="0"/>
                    <w:suppressLineNumbers w:val="0"/>
                    <w:spacing w:before="0" w:beforeAutospacing="0" w:after="0" w:afterAutospacing="0"/>
                    <w:ind w:left="0" w:right="0"/>
                    <w:jc w:val="center"/>
                    <w:rPr>
                      <w:rFonts w:hint="default" w:ascii="Times New Roman" w:hAnsi="Times New Roman" w:eastAsia="Arial" w:cs="Times New Roman"/>
                      <w:sz w:val="18"/>
                      <w:szCs w:val="18"/>
                    </w:rPr>
                  </w:pPr>
                  <w:r>
                    <w:rPr>
                      <w:rFonts w:hint="default" w:ascii="Times New Roman" w:hAnsi="Times New Roman" w:eastAsia="Arial" w:cs="Times New Roman"/>
                      <w:sz w:val="18"/>
                      <w:szCs w:val="18"/>
                    </w:rPr>
                    <w:t>25.6</w:t>
                  </w:r>
                </w:p>
              </w:tc>
              <w:tc>
                <w:tcPr>
                  <w:tcW w:w="0" w:type="auto"/>
                  <w:tcBorders>
                    <w:tl2br w:val="nil"/>
                    <w:tr2bl w:val="nil"/>
                  </w:tcBorders>
                  <w:shd w:val="clear" w:color="auto" w:fill="auto"/>
                  <w:tcMar>
                    <w:top w:w="0" w:type="dxa"/>
                    <w:left w:w="0" w:type="dxa"/>
                    <w:bottom w:w="0" w:type="dxa"/>
                    <w:right w:w="0" w:type="dxa"/>
                  </w:tcMar>
                  <w:vAlign w:val="center"/>
                </w:tcPr>
                <w:p w14:paraId="54C04A7F">
                  <w:pPr>
                    <w:keepNext w:val="0"/>
                    <w:keepLines w:val="0"/>
                    <w:suppressLineNumbers w:val="0"/>
                    <w:spacing w:before="0" w:beforeAutospacing="0" w:after="0" w:afterAutospacing="0"/>
                    <w:ind w:left="0" w:right="0"/>
                    <w:jc w:val="center"/>
                    <w:rPr>
                      <w:rFonts w:hint="default" w:ascii="Times New Roman" w:hAnsi="Times New Roman" w:eastAsia="Arial" w:cs="Times New Roman"/>
                      <w:sz w:val="18"/>
                      <w:szCs w:val="18"/>
                    </w:rPr>
                  </w:pPr>
                  <w:r>
                    <w:rPr>
                      <w:rFonts w:hint="default" w:ascii="Times New Roman" w:hAnsi="Times New Roman" w:eastAsia="Arial" w:cs="Times New Roman"/>
                      <w:sz w:val="18"/>
                      <w:szCs w:val="18"/>
                    </w:rPr>
                    <w:t>25.5</w:t>
                  </w:r>
                </w:p>
              </w:tc>
              <w:tc>
                <w:tcPr>
                  <w:tcW w:w="0" w:type="auto"/>
                  <w:tcBorders>
                    <w:tl2br w:val="nil"/>
                    <w:tr2bl w:val="nil"/>
                  </w:tcBorders>
                  <w:shd w:val="clear" w:color="auto" w:fill="auto"/>
                  <w:tcMar>
                    <w:top w:w="0" w:type="dxa"/>
                    <w:left w:w="0" w:type="dxa"/>
                    <w:bottom w:w="0" w:type="dxa"/>
                    <w:right w:w="0" w:type="dxa"/>
                  </w:tcMar>
                  <w:vAlign w:val="center"/>
                </w:tcPr>
                <w:p w14:paraId="5C470AF4">
                  <w:pPr>
                    <w:keepNext w:val="0"/>
                    <w:keepLines w:val="0"/>
                    <w:suppressLineNumbers w:val="0"/>
                    <w:spacing w:before="0" w:beforeAutospacing="0" w:after="0" w:afterAutospacing="0"/>
                    <w:ind w:left="0" w:right="0"/>
                    <w:jc w:val="center"/>
                    <w:rPr>
                      <w:rFonts w:hint="default" w:ascii="Times New Roman" w:hAnsi="Times New Roman" w:eastAsia="Arial" w:cs="Times New Roman"/>
                      <w:sz w:val="18"/>
                      <w:szCs w:val="18"/>
                    </w:rPr>
                  </w:pPr>
                  <w:r>
                    <w:rPr>
                      <w:rFonts w:hint="default" w:ascii="Times New Roman" w:hAnsi="Times New Roman" w:eastAsia="Arial" w:cs="Times New Roman"/>
                      <w:sz w:val="18"/>
                      <w:szCs w:val="18"/>
                    </w:rPr>
                    <w:t>25.7</w:t>
                  </w:r>
                </w:p>
              </w:tc>
              <w:tc>
                <w:tcPr>
                  <w:tcW w:w="0" w:type="auto"/>
                  <w:tcBorders>
                    <w:tl2br w:val="nil"/>
                    <w:tr2bl w:val="nil"/>
                  </w:tcBorders>
                  <w:shd w:val="clear" w:color="auto" w:fill="auto"/>
                  <w:tcMar>
                    <w:top w:w="0" w:type="dxa"/>
                    <w:left w:w="0" w:type="dxa"/>
                    <w:bottom w:w="0" w:type="dxa"/>
                    <w:right w:w="0" w:type="dxa"/>
                  </w:tcMar>
                  <w:vAlign w:val="center"/>
                </w:tcPr>
                <w:p w14:paraId="0A9E5E1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b w:val="0"/>
                      <w:bCs/>
                      <w:color w:val="auto"/>
                      <w:sz w:val="18"/>
                      <w:szCs w:val="18"/>
                    </w:rPr>
                  </w:pPr>
                  <w:r>
                    <w:rPr>
                      <w:rFonts w:hint="default" w:ascii="Times New Roman" w:hAnsi="Times New Roman" w:eastAsia="Arial" w:cs="Times New Roman"/>
                      <w:b w:val="0"/>
                      <w:bCs/>
                      <w:color w:val="auto"/>
                      <w:sz w:val="18"/>
                      <w:szCs w:val="18"/>
                    </w:rPr>
                    <w:t>1</w:t>
                  </w:r>
                </w:p>
              </w:tc>
            </w:tr>
            <w:tr w14:paraId="0C4BE3E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9" w:hRule="atLeast"/>
              </w:trPr>
              <w:tc>
                <w:tcPr>
                  <w:tcW w:w="0" w:type="auto"/>
                  <w:tcBorders>
                    <w:tl2br w:val="nil"/>
                    <w:tr2bl w:val="nil"/>
                  </w:tcBorders>
                  <w:shd w:val="clear" w:color="auto" w:fill="auto"/>
                  <w:tcMar>
                    <w:top w:w="0" w:type="dxa"/>
                    <w:left w:w="0" w:type="dxa"/>
                    <w:bottom w:w="0" w:type="dxa"/>
                    <w:right w:w="0" w:type="dxa"/>
                  </w:tcMar>
                  <w:vAlign w:val="center"/>
                </w:tcPr>
                <w:p w14:paraId="57E1036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b w:val="0"/>
                      <w:bCs/>
                      <w:color w:val="auto"/>
                      <w:sz w:val="18"/>
                      <w:szCs w:val="18"/>
                    </w:rPr>
                  </w:pPr>
                  <w:r>
                    <w:rPr>
                      <w:rFonts w:hint="default" w:ascii="Times New Roman" w:hAnsi="Times New Roman" w:eastAsia="Arial" w:cs="Times New Roman"/>
                      <w:b w:val="0"/>
                      <w:bCs/>
                      <w:color w:val="auto"/>
                      <w:sz w:val="18"/>
                      <w:szCs w:val="18"/>
                    </w:rPr>
                    <w:t>6</w:t>
                  </w:r>
                </w:p>
              </w:tc>
              <w:tc>
                <w:tcPr>
                  <w:tcW w:w="0" w:type="auto"/>
                  <w:vMerge w:val="continue"/>
                  <w:tcBorders>
                    <w:tl2br w:val="nil"/>
                    <w:tr2bl w:val="nil"/>
                  </w:tcBorders>
                  <w:shd w:val="clear" w:color="auto" w:fill="auto"/>
                  <w:tcMar>
                    <w:top w:w="0" w:type="dxa"/>
                    <w:left w:w="0" w:type="dxa"/>
                    <w:bottom w:w="0" w:type="dxa"/>
                    <w:right w:w="0" w:type="dxa"/>
                  </w:tcMar>
                  <w:vAlign w:val="center"/>
                </w:tcPr>
                <w:p w14:paraId="545CC87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b w:val="0"/>
                      <w:bCs/>
                      <w:color w:val="auto"/>
                      <w:sz w:val="18"/>
                      <w:szCs w:val="18"/>
                    </w:rPr>
                  </w:pPr>
                </w:p>
              </w:tc>
              <w:tc>
                <w:tcPr>
                  <w:tcW w:w="0" w:type="auto"/>
                  <w:tcBorders>
                    <w:tl2br w:val="nil"/>
                    <w:tr2bl w:val="nil"/>
                  </w:tcBorders>
                  <w:shd w:val="clear" w:color="auto" w:fill="auto"/>
                  <w:tcMar>
                    <w:top w:w="0" w:type="dxa"/>
                    <w:left w:w="0" w:type="dxa"/>
                    <w:bottom w:w="0" w:type="dxa"/>
                    <w:right w:w="0" w:type="dxa"/>
                  </w:tcMar>
                  <w:vAlign w:val="center"/>
                </w:tcPr>
                <w:p w14:paraId="713E7152">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b w:val="0"/>
                      <w:bCs/>
                      <w:color w:val="auto"/>
                      <w:sz w:val="18"/>
                      <w:szCs w:val="18"/>
                      <w:lang w:val="en-US" w:eastAsia="zh-CN"/>
                    </w:rPr>
                  </w:pPr>
                  <w:r>
                    <w:rPr>
                      <w:rFonts w:hint="default" w:ascii="Times New Roman" w:hAnsi="Times New Roman" w:cs="Times New Roman"/>
                      <w:b w:val="0"/>
                      <w:bCs/>
                      <w:color w:val="auto"/>
                      <w:sz w:val="18"/>
                      <w:szCs w:val="18"/>
                      <w:lang w:val="en-US" w:eastAsia="zh-CN"/>
                    </w:rPr>
                    <w:t>覆膜机</w:t>
                  </w:r>
                </w:p>
              </w:tc>
              <w:tc>
                <w:tcPr>
                  <w:tcW w:w="0" w:type="auto"/>
                  <w:tcBorders>
                    <w:tl2br w:val="nil"/>
                    <w:tr2bl w:val="nil"/>
                  </w:tcBorders>
                  <w:shd w:val="clear" w:color="auto" w:fill="FFFFFF"/>
                  <w:tcMar>
                    <w:top w:w="0" w:type="dxa"/>
                    <w:left w:w="0" w:type="dxa"/>
                    <w:bottom w:w="0" w:type="dxa"/>
                    <w:right w:w="0" w:type="dxa"/>
                  </w:tcMar>
                  <w:vAlign w:val="center"/>
                </w:tcPr>
                <w:p w14:paraId="7EF68A29">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Arial" w:cs="Times New Roman"/>
                      <w:sz w:val="18"/>
                      <w:szCs w:val="18"/>
                    </w:rPr>
                    <w:t>70</w:t>
                  </w:r>
                </w:p>
              </w:tc>
              <w:tc>
                <w:tcPr>
                  <w:tcW w:w="0" w:type="auto"/>
                  <w:tcBorders>
                    <w:tl2br w:val="nil"/>
                    <w:tr2bl w:val="nil"/>
                  </w:tcBorders>
                  <w:shd w:val="clear" w:color="auto" w:fill="auto"/>
                  <w:tcMar>
                    <w:top w:w="0" w:type="dxa"/>
                    <w:left w:w="0" w:type="dxa"/>
                    <w:bottom w:w="0" w:type="dxa"/>
                    <w:right w:w="0" w:type="dxa"/>
                  </w:tcMar>
                  <w:vAlign w:val="center"/>
                </w:tcPr>
                <w:p w14:paraId="56E69121">
                  <w:pPr>
                    <w:keepNext w:val="0"/>
                    <w:keepLines w:val="0"/>
                    <w:suppressLineNumbers w:val="0"/>
                    <w:spacing w:before="0" w:beforeAutospacing="0" w:after="0" w:afterAutospacing="0"/>
                    <w:ind w:left="0" w:right="0"/>
                    <w:jc w:val="center"/>
                    <w:rPr>
                      <w:rFonts w:hint="default" w:ascii="Times New Roman" w:hAnsi="Times New Roman" w:cs="Times New Roman"/>
                      <w:b w:val="0"/>
                      <w:bCs/>
                      <w:color w:val="auto"/>
                      <w:sz w:val="18"/>
                      <w:szCs w:val="18"/>
                    </w:rPr>
                  </w:pPr>
                  <w:r>
                    <w:rPr>
                      <w:rFonts w:hint="default" w:ascii="Times New Roman" w:hAnsi="Times New Roman" w:eastAsia="Arial" w:cs="Times New Roman"/>
                      <w:sz w:val="18"/>
                      <w:szCs w:val="18"/>
                    </w:rPr>
                    <w:t>-14</w:t>
                  </w:r>
                </w:p>
              </w:tc>
              <w:tc>
                <w:tcPr>
                  <w:tcW w:w="0" w:type="auto"/>
                  <w:tcBorders>
                    <w:tl2br w:val="nil"/>
                    <w:tr2bl w:val="nil"/>
                  </w:tcBorders>
                  <w:shd w:val="clear" w:color="auto" w:fill="auto"/>
                  <w:tcMar>
                    <w:top w:w="0" w:type="dxa"/>
                    <w:left w:w="0" w:type="dxa"/>
                    <w:bottom w:w="0" w:type="dxa"/>
                    <w:right w:w="0" w:type="dxa"/>
                  </w:tcMar>
                  <w:vAlign w:val="center"/>
                </w:tcPr>
                <w:p w14:paraId="2F564C91">
                  <w:pPr>
                    <w:keepNext w:val="0"/>
                    <w:keepLines w:val="0"/>
                    <w:suppressLineNumbers w:val="0"/>
                    <w:spacing w:before="0" w:beforeAutospacing="0" w:after="0" w:afterAutospacing="0"/>
                    <w:ind w:left="0" w:right="0"/>
                    <w:jc w:val="center"/>
                    <w:rPr>
                      <w:rFonts w:hint="default" w:ascii="Times New Roman" w:hAnsi="Times New Roman" w:cs="Times New Roman"/>
                      <w:b w:val="0"/>
                      <w:bCs/>
                      <w:color w:val="auto"/>
                      <w:sz w:val="18"/>
                      <w:szCs w:val="18"/>
                    </w:rPr>
                  </w:pPr>
                  <w:r>
                    <w:rPr>
                      <w:rFonts w:hint="default" w:ascii="Times New Roman" w:hAnsi="Times New Roman" w:eastAsia="Arial" w:cs="Times New Roman"/>
                      <w:sz w:val="18"/>
                      <w:szCs w:val="18"/>
                    </w:rPr>
                    <w:t>-10.4</w:t>
                  </w:r>
                </w:p>
              </w:tc>
              <w:tc>
                <w:tcPr>
                  <w:tcW w:w="0" w:type="auto"/>
                  <w:tcBorders>
                    <w:tl2br w:val="nil"/>
                    <w:tr2bl w:val="nil"/>
                  </w:tcBorders>
                  <w:shd w:val="clear" w:color="auto" w:fill="auto"/>
                  <w:tcMar>
                    <w:top w:w="0" w:type="dxa"/>
                    <w:left w:w="0" w:type="dxa"/>
                    <w:bottom w:w="0" w:type="dxa"/>
                    <w:right w:w="0" w:type="dxa"/>
                  </w:tcMar>
                  <w:vAlign w:val="center"/>
                </w:tcPr>
                <w:p w14:paraId="05F0CB6E">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color w:val="auto"/>
                      <w:sz w:val="18"/>
                      <w:szCs w:val="18"/>
                      <w:lang w:val="en-US" w:eastAsia="zh-CN"/>
                    </w:rPr>
                  </w:pPr>
                  <w:r>
                    <w:rPr>
                      <w:rFonts w:hint="default" w:ascii="Times New Roman" w:hAnsi="Times New Roman" w:eastAsia="Arial" w:cs="Times New Roman"/>
                      <w:sz w:val="18"/>
                      <w:szCs w:val="18"/>
                    </w:rPr>
                    <w:t>1.2</w:t>
                  </w:r>
                </w:p>
              </w:tc>
              <w:tc>
                <w:tcPr>
                  <w:tcW w:w="0" w:type="auto"/>
                  <w:tcBorders>
                    <w:tl2br w:val="nil"/>
                    <w:tr2bl w:val="nil"/>
                  </w:tcBorders>
                  <w:shd w:val="clear" w:color="auto" w:fill="auto"/>
                  <w:tcMar>
                    <w:top w:w="0" w:type="dxa"/>
                    <w:left w:w="0" w:type="dxa"/>
                    <w:bottom w:w="0" w:type="dxa"/>
                    <w:right w:w="0" w:type="dxa"/>
                  </w:tcMar>
                  <w:vAlign w:val="center"/>
                </w:tcPr>
                <w:p w14:paraId="3A022971">
                  <w:pPr>
                    <w:keepNext w:val="0"/>
                    <w:keepLines w:val="0"/>
                    <w:suppressLineNumbers w:val="0"/>
                    <w:spacing w:before="0" w:beforeAutospacing="0" w:after="0" w:afterAutospacing="0"/>
                    <w:ind w:left="0" w:right="0"/>
                    <w:jc w:val="center"/>
                    <w:rPr>
                      <w:rFonts w:hint="default" w:ascii="Times New Roman" w:hAnsi="Times New Roman" w:cs="Times New Roman"/>
                      <w:b w:val="0"/>
                      <w:bCs/>
                      <w:color w:val="auto"/>
                      <w:sz w:val="18"/>
                      <w:szCs w:val="18"/>
                    </w:rPr>
                  </w:pPr>
                  <w:r>
                    <w:rPr>
                      <w:rFonts w:hint="default" w:ascii="Times New Roman" w:hAnsi="Times New Roman" w:eastAsia="Arial" w:cs="Times New Roman"/>
                      <w:sz w:val="18"/>
                      <w:szCs w:val="18"/>
                    </w:rPr>
                    <w:t>85.6</w:t>
                  </w:r>
                </w:p>
              </w:tc>
              <w:tc>
                <w:tcPr>
                  <w:tcW w:w="0" w:type="auto"/>
                  <w:tcBorders>
                    <w:tl2br w:val="nil"/>
                    <w:tr2bl w:val="nil"/>
                  </w:tcBorders>
                  <w:shd w:val="clear" w:color="auto" w:fill="auto"/>
                  <w:tcMar>
                    <w:top w:w="0" w:type="dxa"/>
                    <w:left w:w="0" w:type="dxa"/>
                    <w:bottom w:w="0" w:type="dxa"/>
                    <w:right w:w="0" w:type="dxa"/>
                  </w:tcMar>
                  <w:vAlign w:val="center"/>
                </w:tcPr>
                <w:p w14:paraId="5CF4B030">
                  <w:pPr>
                    <w:keepNext w:val="0"/>
                    <w:keepLines w:val="0"/>
                    <w:suppressLineNumbers w:val="0"/>
                    <w:spacing w:before="0" w:beforeAutospacing="0" w:after="0" w:afterAutospacing="0"/>
                    <w:ind w:left="0" w:right="0"/>
                    <w:jc w:val="center"/>
                    <w:rPr>
                      <w:rFonts w:hint="default" w:ascii="Times New Roman" w:hAnsi="Times New Roman" w:cs="Times New Roman"/>
                      <w:b w:val="0"/>
                      <w:bCs/>
                      <w:color w:val="auto"/>
                      <w:sz w:val="18"/>
                      <w:szCs w:val="18"/>
                    </w:rPr>
                  </w:pPr>
                  <w:r>
                    <w:rPr>
                      <w:rFonts w:hint="default" w:ascii="Times New Roman" w:hAnsi="Times New Roman" w:eastAsia="Arial" w:cs="Times New Roman"/>
                      <w:sz w:val="18"/>
                      <w:szCs w:val="18"/>
                    </w:rPr>
                    <w:t>10.6</w:t>
                  </w:r>
                </w:p>
              </w:tc>
              <w:tc>
                <w:tcPr>
                  <w:tcW w:w="0" w:type="auto"/>
                  <w:tcBorders>
                    <w:tl2br w:val="nil"/>
                    <w:tr2bl w:val="nil"/>
                  </w:tcBorders>
                  <w:shd w:val="clear" w:color="auto" w:fill="auto"/>
                  <w:tcMar>
                    <w:top w:w="0" w:type="dxa"/>
                    <w:left w:w="0" w:type="dxa"/>
                    <w:bottom w:w="0" w:type="dxa"/>
                    <w:right w:w="0" w:type="dxa"/>
                  </w:tcMar>
                  <w:vAlign w:val="center"/>
                </w:tcPr>
                <w:p w14:paraId="53FF8492">
                  <w:pPr>
                    <w:keepNext w:val="0"/>
                    <w:keepLines w:val="0"/>
                    <w:suppressLineNumbers w:val="0"/>
                    <w:spacing w:before="0" w:beforeAutospacing="0" w:after="0" w:afterAutospacing="0"/>
                    <w:ind w:left="0" w:right="0"/>
                    <w:jc w:val="center"/>
                    <w:rPr>
                      <w:rFonts w:hint="default" w:ascii="Times New Roman" w:hAnsi="Times New Roman" w:cs="Times New Roman"/>
                      <w:b w:val="0"/>
                      <w:bCs/>
                      <w:color w:val="auto"/>
                      <w:sz w:val="18"/>
                      <w:szCs w:val="18"/>
                    </w:rPr>
                  </w:pPr>
                  <w:r>
                    <w:rPr>
                      <w:rFonts w:hint="default" w:ascii="Times New Roman" w:hAnsi="Times New Roman" w:eastAsia="Arial" w:cs="Times New Roman"/>
                      <w:sz w:val="18"/>
                      <w:szCs w:val="18"/>
                    </w:rPr>
                    <w:t>56.6</w:t>
                  </w:r>
                </w:p>
              </w:tc>
              <w:tc>
                <w:tcPr>
                  <w:tcW w:w="0" w:type="auto"/>
                  <w:tcBorders>
                    <w:tl2br w:val="nil"/>
                    <w:tr2bl w:val="nil"/>
                  </w:tcBorders>
                  <w:shd w:val="clear" w:color="auto" w:fill="auto"/>
                  <w:tcMar>
                    <w:top w:w="0" w:type="dxa"/>
                    <w:left w:w="0" w:type="dxa"/>
                    <w:bottom w:w="0" w:type="dxa"/>
                    <w:right w:w="0" w:type="dxa"/>
                  </w:tcMar>
                  <w:vAlign w:val="center"/>
                </w:tcPr>
                <w:p w14:paraId="59B43F21">
                  <w:pPr>
                    <w:keepNext w:val="0"/>
                    <w:keepLines w:val="0"/>
                    <w:suppressLineNumbers w:val="0"/>
                    <w:spacing w:before="0" w:beforeAutospacing="0" w:after="0" w:afterAutospacing="0"/>
                    <w:ind w:left="0" w:right="0"/>
                    <w:jc w:val="center"/>
                    <w:rPr>
                      <w:rFonts w:hint="default" w:ascii="Times New Roman" w:hAnsi="Times New Roman" w:cs="Times New Roman"/>
                      <w:b w:val="0"/>
                      <w:bCs/>
                      <w:color w:val="auto"/>
                      <w:sz w:val="18"/>
                      <w:szCs w:val="18"/>
                    </w:rPr>
                  </w:pPr>
                  <w:r>
                    <w:rPr>
                      <w:rFonts w:hint="default" w:ascii="Times New Roman" w:hAnsi="Times New Roman" w:eastAsia="Arial" w:cs="Times New Roman"/>
                      <w:sz w:val="18"/>
                      <w:szCs w:val="18"/>
                    </w:rPr>
                    <w:t>30.5</w:t>
                  </w:r>
                </w:p>
              </w:tc>
              <w:tc>
                <w:tcPr>
                  <w:tcW w:w="0" w:type="auto"/>
                  <w:tcBorders>
                    <w:tl2br w:val="nil"/>
                    <w:tr2bl w:val="nil"/>
                  </w:tcBorders>
                  <w:shd w:val="clear" w:color="auto" w:fill="auto"/>
                  <w:tcMar>
                    <w:top w:w="0" w:type="dxa"/>
                    <w:left w:w="0" w:type="dxa"/>
                    <w:bottom w:w="0" w:type="dxa"/>
                    <w:right w:w="0" w:type="dxa"/>
                  </w:tcMar>
                  <w:vAlign w:val="center"/>
                </w:tcPr>
                <w:p w14:paraId="0643B71D">
                  <w:pPr>
                    <w:keepNext w:val="0"/>
                    <w:keepLines w:val="0"/>
                    <w:suppressLineNumbers w:val="0"/>
                    <w:spacing w:before="0" w:beforeAutospacing="0" w:after="0" w:afterAutospacing="0"/>
                    <w:ind w:left="0" w:right="0"/>
                    <w:jc w:val="center"/>
                    <w:rPr>
                      <w:rFonts w:hint="default" w:ascii="Times New Roman" w:hAnsi="Times New Roman" w:eastAsia="Arial" w:cs="Times New Roman"/>
                      <w:sz w:val="18"/>
                      <w:szCs w:val="18"/>
                    </w:rPr>
                  </w:pPr>
                  <w:r>
                    <w:rPr>
                      <w:rFonts w:hint="default" w:ascii="Times New Roman" w:hAnsi="Times New Roman" w:eastAsia="Arial" w:cs="Times New Roman"/>
                      <w:sz w:val="18"/>
                      <w:szCs w:val="18"/>
                    </w:rPr>
                    <w:t>51.5</w:t>
                  </w:r>
                </w:p>
              </w:tc>
              <w:tc>
                <w:tcPr>
                  <w:tcW w:w="0" w:type="auto"/>
                  <w:tcBorders>
                    <w:tl2br w:val="nil"/>
                    <w:tr2bl w:val="nil"/>
                  </w:tcBorders>
                  <w:shd w:val="clear" w:color="auto" w:fill="auto"/>
                  <w:tcMar>
                    <w:top w:w="0" w:type="dxa"/>
                    <w:left w:w="0" w:type="dxa"/>
                    <w:bottom w:w="0" w:type="dxa"/>
                    <w:right w:w="0" w:type="dxa"/>
                  </w:tcMar>
                  <w:vAlign w:val="center"/>
                </w:tcPr>
                <w:p w14:paraId="5EFA6382">
                  <w:pPr>
                    <w:keepNext w:val="0"/>
                    <w:keepLines w:val="0"/>
                    <w:suppressLineNumbers w:val="0"/>
                    <w:spacing w:before="0" w:beforeAutospacing="0" w:after="0" w:afterAutospacing="0"/>
                    <w:ind w:left="0" w:right="0"/>
                    <w:jc w:val="center"/>
                    <w:rPr>
                      <w:rFonts w:hint="default" w:ascii="Times New Roman" w:hAnsi="Times New Roman" w:eastAsia="Arial" w:cs="Times New Roman"/>
                      <w:sz w:val="18"/>
                      <w:szCs w:val="18"/>
                    </w:rPr>
                  </w:pPr>
                  <w:r>
                    <w:rPr>
                      <w:rFonts w:hint="default" w:ascii="Times New Roman" w:hAnsi="Times New Roman" w:eastAsia="Arial" w:cs="Times New Roman"/>
                      <w:sz w:val="18"/>
                      <w:szCs w:val="18"/>
                    </w:rPr>
                    <w:t>51.7</w:t>
                  </w:r>
                </w:p>
              </w:tc>
              <w:tc>
                <w:tcPr>
                  <w:tcW w:w="0" w:type="auto"/>
                  <w:tcBorders>
                    <w:tl2br w:val="nil"/>
                    <w:tr2bl w:val="nil"/>
                  </w:tcBorders>
                  <w:shd w:val="clear" w:color="auto" w:fill="auto"/>
                  <w:tcMar>
                    <w:top w:w="0" w:type="dxa"/>
                    <w:left w:w="0" w:type="dxa"/>
                    <w:bottom w:w="0" w:type="dxa"/>
                    <w:right w:w="0" w:type="dxa"/>
                  </w:tcMar>
                  <w:vAlign w:val="center"/>
                </w:tcPr>
                <w:p w14:paraId="1749893D">
                  <w:pPr>
                    <w:keepNext w:val="0"/>
                    <w:keepLines w:val="0"/>
                    <w:suppressLineNumbers w:val="0"/>
                    <w:spacing w:before="0" w:beforeAutospacing="0" w:after="0" w:afterAutospacing="0"/>
                    <w:ind w:left="0" w:right="0"/>
                    <w:jc w:val="center"/>
                    <w:rPr>
                      <w:rFonts w:hint="default" w:ascii="Times New Roman" w:hAnsi="Times New Roman" w:eastAsia="Arial" w:cs="Times New Roman"/>
                      <w:sz w:val="18"/>
                      <w:szCs w:val="18"/>
                    </w:rPr>
                  </w:pPr>
                  <w:r>
                    <w:rPr>
                      <w:rFonts w:hint="default" w:ascii="Times New Roman" w:hAnsi="Times New Roman" w:eastAsia="Arial" w:cs="Times New Roman"/>
                      <w:sz w:val="18"/>
                      <w:szCs w:val="18"/>
                    </w:rPr>
                    <w:t>51.5</w:t>
                  </w:r>
                </w:p>
              </w:tc>
              <w:tc>
                <w:tcPr>
                  <w:tcW w:w="0" w:type="auto"/>
                  <w:tcBorders>
                    <w:tl2br w:val="nil"/>
                    <w:tr2bl w:val="nil"/>
                  </w:tcBorders>
                  <w:shd w:val="clear" w:color="auto" w:fill="auto"/>
                  <w:tcMar>
                    <w:top w:w="0" w:type="dxa"/>
                    <w:left w:w="0" w:type="dxa"/>
                    <w:bottom w:w="0" w:type="dxa"/>
                    <w:right w:w="0" w:type="dxa"/>
                  </w:tcMar>
                  <w:vAlign w:val="center"/>
                </w:tcPr>
                <w:p w14:paraId="17975DBB">
                  <w:pPr>
                    <w:keepNext w:val="0"/>
                    <w:keepLines w:val="0"/>
                    <w:suppressLineNumbers w:val="0"/>
                    <w:spacing w:before="0" w:beforeAutospacing="0" w:after="0" w:afterAutospacing="0"/>
                    <w:ind w:left="0" w:right="0"/>
                    <w:jc w:val="center"/>
                    <w:rPr>
                      <w:rFonts w:hint="default" w:ascii="Times New Roman" w:hAnsi="Times New Roman" w:eastAsia="Arial" w:cs="Times New Roman"/>
                      <w:sz w:val="18"/>
                      <w:szCs w:val="18"/>
                    </w:rPr>
                  </w:pPr>
                  <w:r>
                    <w:rPr>
                      <w:rFonts w:hint="default" w:ascii="Times New Roman" w:hAnsi="Times New Roman" w:eastAsia="Arial" w:cs="Times New Roman"/>
                      <w:sz w:val="18"/>
                      <w:szCs w:val="18"/>
                    </w:rPr>
                    <w:t>51.6</w:t>
                  </w:r>
                </w:p>
              </w:tc>
              <w:tc>
                <w:tcPr>
                  <w:tcW w:w="0" w:type="auto"/>
                  <w:tcBorders>
                    <w:tl2br w:val="nil"/>
                    <w:tr2bl w:val="nil"/>
                  </w:tcBorders>
                  <w:shd w:val="clear" w:color="auto" w:fill="auto"/>
                  <w:tcMar>
                    <w:top w:w="0" w:type="dxa"/>
                    <w:left w:w="0" w:type="dxa"/>
                    <w:bottom w:w="0" w:type="dxa"/>
                    <w:right w:w="0" w:type="dxa"/>
                  </w:tcMar>
                  <w:vAlign w:val="center"/>
                </w:tcPr>
                <w:p w14:paraId="4DB3A6C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b w:val="0"/>
                      <w:bCs/>
                      <w:color w:val="auto"/>
                      <w:sz w:val="18"/>
                      <w:szCs w:val="18"/>
                    </w:rPr>
                  </w:pPr>
                  <w:r>
                    <w:rPr>
                      <w:rFonts w:hint="default" w:ascii="Times New Roman" w:hAnsi="Times New Roman" w:eastAsia="Arial" w:cs="Times New Roman"/>
                      <w:b w:val="0"/>
                      <w:bCs/>
                      <w:color w:val="auto"/>
                      <w:sz w:val="18"/>
                      <w:szCs w:val="18"/>
                    </w:rPr>
                    <w:t>26.0</w:t>
                  </w:r>
                </w:p>
              </w:tc>
              <w:tc>
                <w:tcPr>
                  <w:tcW w:w="0" w:type="auto"/>
                  <w:tcBorders>
                    <w:tl2br w:val="nil"/>
                    <w:tr2bl w:val="nil"/>
                  </w:tcBorders>
                  <w:shd w:val="clear" w:color="auto" w:fill="auto"/>
                  <w:tcMar>
                    <w:top w:w="0" w:type="dxa"/>
                    <w:left w:w="0" w:type="dxa"/>
                    <w:bottom w:w="0" w:type="dxa"/>
                    <w:right w:w="0" w:type="dxa"/>
                  </w:tcMar>
                  <w:vAlign w:val="center"/>
                </w:tcPr>
                <w:p w14:paraId="5C976847">
                  <w:pPr>
                    <w:keepNext w:val="0"/>
                    <w:keepLines w:val="0"/>
                    <w:suppressLineNumbers w:val="0"/>
                    <w:spacing w:before="0" w:beforeAutospacing="0" w:after="0" w:afterAutospacing="0"/>
                    <w:ind w:left="0" w:right="0"/>
                    <w:jc w:val="center"/>
                    <w:rPr>
                      <w:rFonts w:hint="default" w:ascii="Times New Roman" w:hAnsi="Times New Roman" w:eastAsia="Arial" w:cs="Times New Roman"/>
                      <w:sz w:val="18"/>
                      <w:szCs w:val="18"/>
                    </w:rPr>
                  </w:pPr>
                  <w:r>
                    <w:rPr>
                      <w:rFonts w:hint="default" w:ascii="Times New Roman" w:hAnsi="Times New Roman" w:eastAsia="Arial" w:cs="Times New Roman"/>
                      <w:sz w:val="18"/>
                      <w:szCs w:val="18"/>
                    </w:rPr>
                    <w:t>25.5</w:t>
                  </w:r>
                </w:p>
              </w:tc>
              <w:tc>
                <w:tcPr>
                  <w:tcW w:w="0" w:type="auto"/>
                  <w:tcBorders>
                    <w:tl2br w:val="nil"/>
                    <w:tr2bl w:val="nil"/>
                  </w:tcBorders>
                  <w:shd w:val="clear" w:color="auto" w:fill="auto"/>
                  <w:tcMar>
                    <w:top w:w="0" w:type="dxa"/>
                    <w:left w:w="0" w:type="dxa"/>
                    <w:bottom w:w="0" w:type="dxa"/>
                    <w:right w:w="0" w:type="dxa"/>
                  </w:tcMar>
                  <w:vAlign w:val="center"/>
                </w:tcPr>
                <w:p w14:paraId="0F26723F">
                  <w:pPr>
                    <w:keepNext w:val="0"/>
                    <w:keepLines w:val="0"/>
                    <w:suppressLineNumbers w:val="0"/>
                    <w:spacing w:before="0" w:beforeAutospacing="0" w:after="0" w:afterAutospacing="0"/>
                    <w:ind w:left="0" w:right="0"/>
                    <w:jc w:val="center"/>
                    <w:rPr>
                      <w:rFonts w:hint="default" w:ascii="Times New Roman" w:hAnsi="Times New Roman" w:eastAsia="Arial" w:cs="Times New Roman"/>
                      <w:sz w:val="18"/>
                      <w:szCs w:val="18"/>
                    </w:rPr>
                  </w:pPr>
                  <w:r>
                    <w:rPr>
                      <w:rFonts w:hint="default" w:ascii="Times New Roman" w:hAnsi="Times New Roman" w:eastAsia="Arial" w:cs="Times New Roman"/>
                      <w:sz w:val="18"/>
                      <w:szCs w:val="18"/>
                    </w:rPr>
                    <w:t>25.7</w:t>
                  </w:r>
                </w:p>
              </w:tc>
              <w:tc>
                <w:tcPr>
                  <w:tcW w:w="0" w:type="auto"/>
                  <w:tcBorders>
                    <w:tl2br w:val="nil"/>
                    <w:tr2bl w:val="nil"/>
                  </w:tcBorders>
                  <w:shd w:val="clear" w:color="auto" w:fill="auto"/>
                  <w:tcMar>
                    <w:top w:w="0" w:type="dxa"/>
                    <w:left w:w="0" w:type="dxa"/>
                    <w:bottom w:w="0" w:type="dxa"/>
                    <w:right w:w="0" w:type="dxa"/>
                  </w:tcMar>
                  <w:vAlign w:val="center"/>
                </w:tcPr>
                <w:p w14:paraId="28BBD139">
                  <w:pPr>
                    <w:keepNext w:val="0"/>
                    <w:keepLines w:val="0"/>
                    <w:suppressLineNumbers w:val="0"/>
                    <w:spacing w:before="0" w:beforeAutospacing="0" w:after="0" w:afterAutospacing="0"/>
                    <w:ind w:left="0" w:right="0"/>
                    <w:jc w:val="center"/>
                    <w:rPr>
                      <w:rFonts w:hint="default" w:ascii="Times New Roman" w:hAnsi="Times New Roman" w:eastAsia="Arial" w:cs="Times New Roman"/>
                      <w:sz w:val="18"/>
                      <w:szCs w:val="18"/>
                    </w:rPr>
                  </w:pPr>
                  <w:r>
                    <w:rPr>
                      <w:rFonts w:hint="default" w:ascii="Times New Roman" w:hAnsi="Times New Roman" w:eastAsia="Arial" w:cs="Times New Roman"/>
                      <w:sz w:val="18"/>
                      <w:szCs w:val="18"/>
                    </w:rPr>
                    <w:t>25.5</w:t>
                  </w:r>
                </w:p>
              </w:tc>
              <w:tc>
                <w:tcPr>
                  <w:tcW w:w="0" w:type="auto"/>
                  <w:tcBorders>
                    <w:tl2br w:val="nil"/>
                    <w:tr2bl w:val="nil"/>
                  </w:tcBorders>
                  <w:shd w:val="clear" w:color="auto" w:fill="auto"/>
                  <w:tcMar>
                    <w:top w:w="0" w:type="dxa"/>
                    <w:left w:w="0" w:type="dxa"/>
                    <w:bottom w:w="0" w:type="dxa"/>
                    <w:right w:w="0" w:type="dxa"/>
                  </w:tcMar>
                  <w:vAlign w:val="center"/>
                </w:tcPr>
                <w:p w14:paraId="4C396F91">
                  <w:pPr>
                    <w:keepNext w:val="0"/>
                    <w:keepLines w:val="0"/>
                    <w:suppressLineNumbers w:val="0"/>
                    <w:spacing w:before="0" w:beforeAutospacing="0" w:after="0" w:afterAutospacing="0"/>
                    <w:ind w:left="0" w:right="0"/>
                    <w:jc w:val="center"/>
                    <w:rPr>
                      <w:rFonts w:hint="default" w:ascii="Times New Roman" w:hAnsi="Times New Roman" w:eastAsia="Arial" w:cs="Times New Roman"/>
                      <w:sz w:val="18"/>
                      <w:szCs w:val="18"/>
                    </w:rPr>
                  </w:pPr>
                  <w:r>
                    <w:rPr>
                      <w:rFonts w:hint="default" w:ascii="Times New Roman" w:hAnsi="Times New Roman" w:eastAsia="Arial" w:cs="Times New Roman"/>
                      <w:sz w:val="18"/>
                      <w:szCs w:val="18"/>
                    </w:rPr>
                    <w:t>25.6</w:t>
                  </w:r>
                </w:p>
              </w:tc>
              <w:tc>
                <w:tcPr>
                  <w:tcW w:w="0" w:type="auto"/>
                  <w:tcBorders>
                    <w:tl2br w:val="nil"/>
                    <w:tr2bl w:val="nil"/>
                  </w:tcBorders>
                  <w:shd w:val="clear" w:color="auto" w:fill="auto"/>
                  <w:tcMar>
                    <w:top w:w="0" w:type="dxa"/>
                    <w:left w:w="0" w:type="dxa"/>
                    <w:bottom w:w="0" w:type="dxa"/>
                    <w:right w:w="0" w:type="dxa"/>
                  </w:tcMar>
                  <w:vAlign w:val="center"/>
                </w:tcPr>
                <w:p w14:paraId="447F310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b w:val="0"/>
                      <w:bCs/>
                      <w:color w:val="auto"/>
                      <w:sz w:val="18"/>
                      <w:szCs w:val="18"/>
                    </w:rPr>
                  </w:pPr>
                  <w:r>
                    <w:rPr>
                      <w:rFonts w:hint="default" w:ascii="Times New Roman" w:hAnsi="Times New Roman" w:eastAsia="Arial" w:cs="Times New Roman"/>
                      <w:b w:val="0"/>
                      <w:bCs/>
                      <w:color w:val="auto"/>
                      <w:sz w:val="18"/>
                      <w:szCs w:val="18"/>
                    </w:rPr>
                    <w:t>1</w:t>
                  </w:r>
                </w:p>
              </w:tc>
            </w:tr>
            <w:tr w14:paraId="4C39B74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9" w:hRule="atLeast"/>
              </w:trPr>
              <w:tc>
                <w:tcPr>
                  <w:tcW w:w="0" w:type="auto"/>
                  <w:tcBorders>
                    <w:tl2br w:val="nil"/>
                    <w:tr2bl w:val="nil"/>
                  </w:tcBorders>
                  <w:shd w:val="clear" w:color="auto" w:fill="auto"/>
                  <w:tcMar>
                    <w:top w:w="0" w:type="dxa"/>
                    <w:left w:w="0" w:type="dxa"/>
                    <w:bottom w:w="0" w:type="dxa"/>
                    <w:right w:w="0" w:type="dxa"/>
                  </w:tcMar>
                  <w:vAlign w:val="center"/>
                </w:tcPr>
                <w:p w14:paraId="2FFB4BF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val="0"/>
                      <w:bCs/>
                      <w:color w:val="auto"/>
                      <w:sz w:val="18"/>
                      <w:szCs w:val="18"/>
                      <w:lang w:val="en-US" w:eastAsia="zh-CN"/>
                    </w:rPr>
                  </w:pPr>
                  <w:r>
                    <w:rPr>
                      <w:rFonts w:hint="default" w:ascii="Times New Roman" w:hAnsi="Times New Roman" w:eastAsia="宋体" w:cs="Times New Roman"/>
                      <w:b w:val="0"/>
                      <w:bCs/>
                      <w:color w:val="auto"/>
                      <w:sz w:val="18"/>
                      <w:szCs w:val="18"/>
                      <w:lang w:val="en-US" w:eastAsia="zh-CN"/>
                    </w:rPr>
                    <w:t>7</w:t>
                  </w:r>
                </w:p>
              </w:tc>
              <w:tc>
                <w:tcPr>
                  <w:tcW w:w="0" w:type="auto"/>
                  <w:vMerge w:val="continue"/>
                  <w:tcBorders>
                    <w:tl2br w:val="nil"/>
                    <w:tr2bl w:val="nil"/>
                  </w:tcBorders>
                  <w:shd w:val="clear" w:color="auto" w:fill="auto"/>
                  <w:tcMar>
                    <w:top w:w="0" w:type="dxa"/>
                    <w:left w:w="0" w:type="dxa"/>
                    <w:bottom w:w="0" w:type="dxa"/>
                    <w:right w:w="0" w:type="dxa"/>
                  </w:tcMar>
                  <w:vAlign w:val="center"/>
                </w:tcPr>
                <w:p w14:paraId="2644DA2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b w:val="0"/>
                      <w:bCs/>
                      <w:color w:val="auto"/>
                      <w:sz w:val="18"/>
                      <w:szCs w:val="18"/>
                    </w:rPr>
                  </w:pPr>
                </w:p>
              </w:tc>
              <w:tc>
                <w:tcPr>
                  <w:tcW w:w="0" w:type="auto"/>
                  <w:tcBorders>
                    <w:tl2br w:val="nil"/>
                    <w:tr2bl w:val="nil"/>
                  </w:tcBorders>
                  <w:shd w:val="clear" w:color="auto" w:fill="auto"/>
                  <w:tcMar>
                    <w:top w:w="0" w:type="dxa"/>
                    <w:left w:w="0" w:type="dxa"/>
                    <w:bottom w:w="0" w:type="dxa"/>
                    <w:right w:w="0" w:type="dxa"/>
                  </w:tcMar>
                  <w:vAlign w:val="center"/>
                </w:tcPr>
                <w:p w14:paraId="4B1D53C2">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环保设施风机</w:t>
                  </w:r>
                </w:p>
              </w:tc>
              <w:tc>
                <w:tcPr>
                  <w:tcW w:w="0" w:type="auto"/>
                  <w:tcBorders>
                    <w:tl2br w:val="nil"/>
                    <w:tr2bl w:val="nil"/>
                  </w:tcBorders>
                  <w:shd w:val="clear" w:color="auto" w:fill="FFFFFF"/>
                  <w:tcMar>
                    <w:top w:w="0" w:type="dxa"/>
                    <w:left w:w="0" w:type="dxa"/>
                    <w:bottom w:w="0" w:type="dxa"/>
                    <w:right w:w="0" w:type="dxa"/>
                  </w:tcMar>
                  <w:vAlign w:val="center"/>
                </w:tcPr>
                <w:p w14:paraId="2D8A708B">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Arial" w:cs="Times New Roman"/>
                      <w:sz w:val="18"/>
                      <w:szCs w:val="18"/>
                    </w:rPr>
                    <w:t>85</w:t>
                  </w:r>
                </w:p>
              </w:tc>
              <w:tc>
                <w:tcPr>
                  <w:tcW w:w="0" w:type="auto"/>
                  <w:tcBorders>
                    <w:tl2br w:val="nil"/>
                    <w:tr2bl w:val="nil"/>
                  </w:tcBorders>
                  <w:shd w:val="clear" w:color="auto" w:fill="auto"/>
                  <w:tcMar>
                    <w:top w:w="0" w:type="dxa"/>
                    <w:left w:w="0" w:type="dxa"/>
                    <w:bottom w:w="0" w:type="dxa"/>
                    <w:right w:w="0" w:type="dxa"/>
                  </w:tcMar>
                  <w:vAlign w:val="center"/>
                </w:tcPr>
                <w:p w14:paraId="0D0BF035">
                  <w:pPr>
                    <w:keepNext w:val="0"/>
                    <w:keepLines w:val="0"/>
                    <w:suppressLineNumbers w:val="0"/>
                    <w:spacing w:before="0" w:beforeAutospacing="0" w:after="0" w:afterAutospacing="0"/>
                    <w:ind w:left="0" w:right="0"/>
                    <w:jc w:val="center"/>
                    <w:rPr>
                      <w:rFonts w:hint="default" w:ascii="Times New Roman" w:hAnsi="Times New Roman" w:eastAsia="Arial" w:cs="Times New Roman"/>
                      <w:sz w:val="18"/>
                      <w:szCs w:val="18"/>
                    </w:rPr>
                  </w:pPr>
                  <w:r>
                    <w:rPr>
                      <w:rFonts w:hint="default" w:ascii="Times New Roman" w:hAnsi="Times New Roman" w:eastAsia="Arial" w:cs="Times New Roman"/>
                      <w:sz w:val="18"/>
                      <w:szCs w:val="18"/>
                    </w:rPr>
                    <w:t>-33.9</w:t>
                  </w:r>
                </w:p>
              </w:tc>
              <w:tc>
                <w:tcPr>
                  <w:tcW w:w="0" w:type="auto"/>
                  <w:tcBorders>
                    <w:tl2br w:val="nil"/>
                    <w:tr2bl w:val="nil"/>
                  </w:tcBorders>
                  <w:shd w:val="clear" w:color="auto" w:fill="auto"/>
                  <w:tcMar>
                    <w:top w:w="0" w:type="dxa"/>
                    <w:left w:w="0" w:type="dxa"/>
                    <w:bottom w:w="0" w:type="dxa"/>
                    <w:right w:w="0" w:type="dxa"/>
                  </w:tcMar>
                  <w:vAlign w:val="center"/>
                </w:tcPr>
                <w:p w14:paraId="6A2FBAB6">
                  <w:pPr>
                    <w:keepNext w:val="0"/>
                    <w:keepLines w:val="0"/>
                    <w:suppressLineNumbers w:val="0"/>
                    <w:spacing w:before="0" w:beforeAutospacing="0" w:after="0" w:afterAutospacing="0"/>
                    <w:ind w:left="0" w:right="0"/>
                    <w:jc w:val="center"/>
                    <w:rPr>
                      <w:rFonts w:hint="default" w:ascii="Times New Roman" w:hAnsi="Times New Roman" w:eastAsia="Arial" w:cs="Times New Roman"/>
                      <w:sz w:val="18"/>
                      <w:szCs w:val="18"/>
                    </w:rPr>
                  </w:pPr>
                  <w:r>
                    <w:rPr>
                      <w:rFonts w:hint="default" w:ascii="Times New Roman" w:hAnsi="Times New Roman" w:eastAsia="Arial" w:cs="Times New Roman"/>
                      <w:sz w:val="18"/>
                      <w:szCs w:val="18"/>
                    </w:rPr>
                    <w:t>16.7</w:t>
                  </w:r>
                </w:p>
              </w:tc>
              <w:tc>
                <w:tcPr>
                  <w:tcW w:w="0" w:type="auto"/>
                  <w:tcBorders>
                    <w:tl2br w:val="nil"/>
                    <w:tr2bl w:val="nil"/>
                  </w:tcBorders>
                  <w:shd w:val="clear" w:color="auto" w:fill="auto"/>
                  <w:tcMar>
                    <w:top w:w="0" w:type="dxa"/>
                    <w:left w:w="0" w:type="dxa"/>
                    <w:bottom w:w="0" w:type="dxa"/>
                    <w:right w:w="0" w:type="dxa"/>
                  </w:tcMar>
                  <w:vAlign w:val="center"/>
                </w:tcPr>
                <w:p w14:paraId="578CC540">
                  <w:pPr>
                    <w:keepNext w:val="0"/>
                    <w:keepLines w:val="0"/>
                    <w:suppressLineNumbers w:val="0"/>
                    <w:spacing w:before="0" w:beforeAutospacing="0" w:after="0" w:afterAutospacing="0"/>
                    <w:ind w:left="0" w:right="0"/>
                    <w:jc w:val="center"/>
                    <w:rPr>
                      <w:rFonts w:hint="default" w:ascii="Times New Roman" w:hAnsi="Times New Roman" w:eastAsia="Arial" w:cs="Times New Roman"/>
                      <w:sz w:val="18"/>
                      <w:szCs w:val="18"/>
                    </w:rPr>
                  </w:pPr>
                  <w:r>
                    <w:rPr>
                      <w:rFonts w:hint="default" w:ascii="Times New Roman" w:hAnsi="Times New Roman" w:eastAsia="Arial" w:cs="Times New Roman"/>
                      <w:sz w:val="18"/>
                      <w:szCs w:val="18"/>
                    </w:rPr>
                    <w:t>1.2</w:t>
                  </w:r>
                </w:p>
              </w:tc>
              <w:tc>
                <w:tcPr>
                  <w:tcW w:w="0" w:type="auto"/>
                  <w:tcBorders>
                    <w:tl2br w:val="nil"/>
                    <w:tr2bl w:val="nil"/>
                  </w:tcBorders>
                  <w:shd w:val="clear" w:color="auto" w:fill="auto"/>
                  <w:tcMar>
                    <w:top w:w="0" w:type="dxa"/>
                    <w:left w:w="0" w:type="dxa"/>
                    <w:bottom w:w="0" w:type="dxa"/>
                    <w:right w:w="0" w:type="dxa"/>
                  </w:tcMar>
                  <w:vAlign w:val="center"/>
                </w:tcPr>
                <w:p w14:paraId="7AED2EBE">
                  <w:pPr>
                    <w:keepNext w:val="0"/>
                    <w:keepLines w:val="0"/>
                    <w:suppressLineNumbers w:val="0"/>
                    <w:spacing w:before="0" w:beforeAutospacing="0" w:after="0" w:afterAutospacing="0"/>
                    <w:ind w:left="0" w:right="0"/>
                    <w:jc w:val="center"/>
                    <w:rPr>
                      <w:rFonts w:hint="default" w:ascii="Times New Roman" w:hAnsi="Times New Roman" w:eastAsia="Arial" w:cs="Times New Roman"/>
                      <w:sz w:val="18"/>
                      <w:szCs w:val="18"/>
                    </w:rPr>
                  </w:pPr>
                  <w:r>
                    <w:rPr>
                      <w:rFonts w:hint="default" w:ascii="Times New Roman" w:hAnsi="Times New Roman" w:eastAsia="Arial" w:cs="Times New Roman"/>
                      <w:sz w:val="18"/>
                      <w:szCs w:val="18"/>
                    </w:rPr>
                    <w:t>105.5</w:t>
                  </w:r>
                </w:p>
              </w:tc>
              <w:tc>
                <w:tcPr>
                  <w:tcW w:w="0" w:type="auto"/>
                  <w:tcBorders>
                    <w:tl2br w:val="nil"/>
                    <w:tr2bl w:val="nil"/>
                  </w:tcBorders>
                  <w:shd w:val="clear" w:color="auto" w:fill="auto"/>
                  <w:tcMar>
                    <w:top w:w="0" w:type="dxa"/>
                    <w:left w:w="0" w:type="dxa"/>
                    <w:bottom w:w="0" w:type="dxa"/>
                    <w:right w:w="0" w:type="dxa"/>
                  </w:tcMar>
                  <w:vAlign w:val="center"/>
                </w:tcPr>
                <w:p w14:paraId="5190DABA">
                  <w:pPr>
                    <w:keepNext w:val="0"/>
                    <w:keepLines w:val="0"/>
                    <w:suppressLineNumbers w:val="0"/>
                    <w:spacing w:before="0" w:beforeAutospacing="0" w:after="0" w:afterAutospacing="0"/>
                    <w:ind w:left="0" w:right="0"/>
                    <w:jc w:val="center"/>
                    <w:rPr>
                      <w:rFonts w:hint="default" w:ascii="Times New Roman" w:hAnsi="Times New Roman" w:eastAsia="Arial" w:cs="Times New Roman"/>
                      <w:sz w:val="18"/>
                      <w:szCs w:val="18"/>
                    </w:rPr>
                  </w:pPr>
                  <w:r>
                    <w:rPr>
                      <w:rFonts w:hint="default" w:ascii="Times New Roman" w:hAnsi="Times New Roman" w:eastAsia="Arial" w:cs="Times New Roman"/>
                      <w:sz w:val="18"/>
                      <w:szCs w:val="18"/>
                    </w:rPr>
                    <w:t>37.7</w:t>
                  </w:r>
                </w:p>
              </w:tc>
              <w:tc>
                <w:tcPr>
                  <w:tcW w:w="0" w:type="auto"/>
                  <w:tcBorders>
                    <w:tl2br w:val="nil"/>
                    <w:tr2bl w:val="nil"/>
                  </w:tcBorders>
                  <w:shd w:val="clear" w:color="auto" w:fill="auto"/>
                  <w:tcMar>
                    <w:top w:w="0" w:type="dxa"/>
                    <w:left w:w="0" w:type="dxa"/>
                    <w:bottom w:w="0" w:type="dxa"/>
                    <w:right w:w="0" w:type="dxa"/>
                  </w:tcMar>
                  <w:vAlign w:val="center"/>
                </w:tcPr>
                <w:p w14:paraId="0F06573B">
                  <w:pPr>
                    <w:keepNext w:val="0"/>
                    <w:keepLines w:val="0"/>
                    <w:suppressLineNumbers w:val="0"/>
                    <w:spacing w:before="0" w:beforeAutospacing="0" w:after="0" w:afterAutospacing="0"/>
                    <w:ind w:left="0" w:right="0"/>
                    <w:jc w:val="center"/>
                    <w:rPr>
                      <w:rFonts w:hint="default" w:ascii="Times New Roman" w:hAnsi="Times New Roman" w:eastAsia="Arial" w:cs="Times New Roman"/>
                      <w:sz w:val="18"/>
                      <w:szCs w:val="18"/>
                    </w:rPr>
                  </w:pPr>
                  <w:r>
                    <w:rPr>
                      <w:rFonts w:hint="default" w:ascii="Times New Roman" w:hAnsi="Times New Roman" w:eastAsia="Arial" w:cs="Times New Roman"/>
                      <w:sz w:val="18"/>
                      <w:szCs w:val="18"/>
                    </w:rPr>
                    <w:t>36.7</w:t>
                  </w:r>
                </w:p>
              </w:tc>
              <w:tc>
                <w:tcPr>
                  <w:tcW w:w="0" w:type="auto"/>
                  <w:tcBorders>
                    <w:tl2br w:val="nil"/>
                    <w:tr2bl w:val="nil"/>
                  </w:tcBorders>
                  <w:shd w:val="clear" w:color="auto" w:fill="auto"/>
                  <w:tcMar>
                    <w:top w:w="0" w:type="dxa"/>
                    <w:left w:w="0" w:type="dxa"/>
                    <w:bottom w:w="0" w:type="dxa"/>
                    <w:right w:w="0" w:type="dxa"/>
                  </w:tcMar>
                  <w:vAlign w:val="center"/>
                </w:tcPr>
                <w:p w14:paraId="71B8C788">
                  <w:pPr>
                    <w:keepNext w:val="0"/>
                    <w:keepLines w:val="0"/>
                    <w:suppressLineNumbers w:val="0"/>
                    <w:spacing w:before="0" w:beforeAutospacing="0" w:after="0" w:afterAutospacing="0"/>
                    <w:ind w:left="0" w:right="0"/>
                    <w:jc w:val="center"/>
                    <w:rPr>
                      <w:rFonts w:hint="default" w:ascii="Times New Roman" w:hAnsi="Times New Roman" w:eastAsia="Arial" w:cs="Times New Roman"/>
                      <w:sz w:val="18"/>
                      <w:szCs w:val="18"/>
                    </w:rPr>
                  </w:pPr>
                  <w:r>
                    <w:rPr>
                      <w:rFonts w:hint="default" w:ascii="Times New Roman" w:hAnsi="Times New Roman" w:eastAsia="Arial" w:cs="Times New Roman"/>
                      <w:sz w:val="18"/>
                      <w:szCs w:val="18"/>
                    </w:rPr>
                    <w:t>3.4</w:t>
                  </w:r>
                </w:p>
              </w:tc>
              <w:tc>
                <w:tcPr>
                  <w:tcW w:w="0" w:type="auto"/>
                  <w:tcBorders>
                    <w:tl2br w:val="nil"/>
                    <w:tr2bl w:val="nil"/>
                  </w:tcBorders>
                  <w:shd w:val="clear" w:color="auto" w:fill="auto"/>
                  <w:tcMar>
                    <w:top w:w="0" w:type="dxa"/>
                    <w:left w:w="0" w:type="dxa"/>
                    <w:bottom w:w="0" w:type="dxa"/>
                    <w:right w:w="0" w:type="dxa"/>
                  </w:tcMar>
                  <w:vAlign w:val="center"/>
                </w:tcPr>
                <w:p w14:paraId="7CE563FD">
                  <w:pPr>
                    <w:keepNext w:val="0"/>
                    <w:keepLines w:val="0"/>
                    <w:suppressLineNumbers w:val="0"/>
                    <w:spacing w:before="0" w:beforeAutospacing="0" w:after="0" w:afterAutospacing="0"/>
                    <w:ind w:left="0" w:right="0"/>
                    <w:jc w:val="center"/>
                    <w:rPr>
                      <w:rFonts w:hint="default" w:ascii="Times New Roman" w:hAnsi="Times New Roman" w:eastAsia="Arial" w:cs="Times New Roman"/>
                      <w:sz w:val="18"/>
                      <w:szCs w:val="18"/>
                    </w:rPr>
                  </w:pPr>
                  <w:r>
                    <w:rPr>
                      <w:rFonts w:hint="default" w:ascii="Times New Roman" w:hAnsi="Times New Roman" w:eastAsia="Arial" w:cs="Times New Roman"/>
                      <w:sz w:val="18"/>
                      <w:szCs w:val="18"/>
                    </w:rPr>
                    <w:t>66.5</w:t>
                  </w:r>
                </w:p>
              </w:tc>
              <w:tc>
                <w:tcPr>
                  <w:tcW w:w="0" w:type="auto"/>
                  <w:tcBorders>
                    <w:tl2br w:val="nil"/>
                    <w:tr2bl w:val="nil"/>
                  </w:tcBorders>
                  <w:shd w:val="clear" w:color="auto" w:fill="auto"/>
                  <w:tcMar>
                    <w:top w:w="0" w:type="dxa"/>
                    <w:left w:w="0" w:type="dxa"/>
                    <w:bottom w:w="0" w:type="dxa"/>
                    <w:right w:w="0" w:type="dxa"/>
                  </w:tcMar>
                  <w:vAlign w:val="center"/>
                </w:tcPr>
                <w:p w14:paraId="3E703B37">
                  <w:pPr>
                    <w:keepNext w:val="0"/>
                    <w:keepLines w:val="0"/>
                    <w:suppressLineNumbers w:val="0"/>
                    <w:spacing w:before="0" w:beforeAutospacing="0" w:after="0" w:afterAutospacing="0"/>
                    <w:ind w:left="0" w:right="0"/>
                    <w:jc w:val="center"/>
                    <w:rPr>
                      <w:rFonts w:hint="default" w:ascii="Times New Roman" w:hAnsi="Times New Roman" w:eastAsia="Arial" w:cs="Times New Roman"/>
                      <w:sz w:val="18"/>
                      <w:szCs w:val="18"/>
                    </w:rPr>
                  </w:pPr>
                  <w:r>
                    <w:rPr>
                      <w:rFonts w:hint="default" w:ascii="Times New Roman" w:hAnsi="Times New Roman" w:eastAsia="Arial" w:cs="Times New Roman"/>
                      <w:sz w:val="18"/>
                      <w:szCs w:val="18"/>
                    </w:rPr>
                    <w:t>66.6</w:t>
                  </w:r>
                </w:p>
              </w:tc>
              <w:tc>
                <w:tcPr>
                  <w:tcW w:w="0" w:type="auto"/>
                  <w:tcBorders>
                    <w:tl2br w:val="nil"/>
                    <w:tr2bl w:val="nil"/>
                  </w:tcBorders>
                  <w:shd w:val="clear" w:color="auto" w:fill="auto"/>
                  <w:tcMar>
                    <w:top w:w="0" w:type="dxa"/>
                    <w:left w:w="0" w:type="dxa"/>
                    <w:bottom w:w="0" w:type="dxa"/>
                    <w:right w:w="0" w:type="dxa"/>
                  </w:tcMar>
                  <w:vAlign w:val="center"/>
                </w:tcPr>
                <w:p w14:paraId="29F4B7EA">
                  <w:pPr>
                    <w:keepNext w:val="0"/>
                    <w:keepLines w:val="0"/>
                    <w:suppressLineNumbers w:val="0"/>
                    <w:spacing w:before="0" w:beforeAutospacing="0" w:after="0" w:afterAutospacing="0"/>
                    <w:ind w:left="0" w:right="0"/>
                    <w:jc w:val="center"/>
                    <w:rPr>
                      <w:rFonts w:hint="default" w:ascii="Times New Roman" w:hAnsi="Times New Roman" w:eastAsia="Arial" w:cs="Times New Roman"/>
                      <w:sz w:val="18"/>
                      <w:szCs w:val="18"/>
                    </w:rPr>
                  </w:pPr>
                  <w:r>
                    <w:rPr>
                      <w:rFonts w:hint="default" w:ascii="Times New Roman" w:hAnsi="Times New Roman" w:eastAsia="Arial" w:cs="Times New Roman"/>
                      <w:sz w:val="18"/>
                      <w:szCs w:val="18"/>
                    </w:rPr>
                    <w:t>66.6</w:t>
                  </w:r>
                </w:p>
              </w:tc>
              <w:tc>
                <w:tcPr>
                  <w:tcW w:w="0" w:type="auto"/>
                  <w:tcBorders>
                    <w:tl2br w:val="nil"/>
                    <w:tr2bl w:val="nil"/>
                  </w:tcBorders>
                  <w:shd w:val="clear" w:color="auto" w:fill="auto"/>
                  <w:tcMar>
                    <w:top w:w="0" w:type="dxa"/>
                    <w:left w:w="0" w:type="dxa"/>
                    <w:bottom w:w="0" w:type="dxa"/>
                    <w:right w:w="0" w:type="dxa"/>
                  </w:tcMar>
                  <w:vAlign w:val="center"/>
                </w:tcPr>
                <w:p w14:paraId="2DCDD9F3">
                  <w:pPr>
                    <w:keepNext w:val="0"/>
                    <w:keepLines w:val="0"/>
                    <w:suppressLineNumbers w:val="0"/>
                    <w:spacing w:before="0" w:beforeAutospacing="0" w:after="0" w:afterAutospacing="0"/>
                    <w:ind w:left="0" w:right="0"/>
                    <w:jc w:val="center"/>
                    <w:rPr>
                      <w:rFonts w:hint="default" w:ascii="Times New Roman" w:hAnsi="Times New Roman" w:eastAsia="Arial" w:cs="Times New Roman"/>
                      <w:sz w:val="18"/>
                      <w:szCs w:val="18"/>
                    </w:rPr>
                  </w:pPr>
                  <w:r>
                    <w:rPr>
                      <w:rFonts w:hint="default" w:ascii="Times New Roman" w:hAnsi="Times New Roman" w:eastAsia="Arial" w:cs="Times New Roman"/>
                      <w:sz w:val="18"/>
                      <w:szCs w:val="18"/>
                    </w:rPr>
                    <w:t>68.2</w:t>
                  </w:r>
                </w:p>
              </w:tc>
              <w:tc>
                <w:tcPr>
                  <w:tcW w:w="0" w:type="auto"/>
                  <w:tcBorders>
                    <w:tl2br w:val="nil"/>
                    <w:tr2bl w:val="nil"/>
                  </w:tcBorders>
                  <w:shd w:val="clear" w:color="auto" w:fill="auto"/>
                  <w:tcMar>
                    <w:top w:w="0" w:type="dxa"/>
                    <w:left w:w="0" w:type="dxa"/>
                    <w:bottom w:w="0" w:type="dxa"/>
                    <w:right w:w="0" w:type="dxa"/>
                  </w:tcMar>
                  <w:vAlign w:val="center"/>
                </w:tcPr>
                <w:p w14:paraId="1CB0356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Arial" w:cs="Times New Roman"/>
                      <w:b w:val="0"/>
                      <w:bCs/>
                      <w:color w:val="auto"/>
                      <w:sz w:val="18"/>
                      <w:szCs w:val="18"/>
                    </w:rPr>
                  </w:pPr>
                  <w:r>
                    <w:rPr>
                      <w:rFonts w:hint="default" w:ascii="Times New Roman" w:hAnsi="Times New Roman" w:eastAsia="Arial" w:cs="Times New Roman"/>
                      <w:b w:val="0"/>
                      <w:bCs/>
                      <w:color w:val="auto"/>
                      <w:sz w:val="18"/>
                      <w:szCs w:val="18"/>
                    </w:rPr>
                    <w:t>26.0</w:t>
                  </w:r>
                </w:p>
              </w:tc>
              <w:tc>
                <w:tcPr>
                  <w:tcW w:w="0" w:type="auto"/>
                  <w:tcBorders>
                    <w:tl2br w:val="nil"/>
                    <w:tr2bl w:val="nil"/>
                  </w:tcBorders>
                  <w:shd w:val="clear" w:color="auto" w:fill="auto"/>
                  <w:tcMar>
                    <w:top w:w="0" w:type="dxa"/>
                    <w:left w:w="0" w:type="dxa"/>
                    <w:bottom w:w="0" w:type="dxa"/>
                    <w:right w:w="0" w:type="dxa"/>
                  </w:tcMar>
                  <w:vAlign w:val="center"/>
                </w:tcPr>
                <w:p w14:paraId="51310B8F">
                  <w:pPr>
                    <w:keepNext w:val="0"/>
                    <w:keepLines w:val="0"/>
                    <w:suppressLineNumbers w:val="0"/>
                    <w:spacing w:before="0" w:beforeAutospacing="0" w:after="0" w:afterAutospacing="0"/>
                    <w:ind w:left="0" w:right="0"/>
                    <w:jc w:val="center"/>
                    <w:rPr>
                      <w:rFonts w:hint="default" w:ascii="Times New Roman" w:hAnsi="Times New Roman" w:eastAsia="Arial" w:cs="Times New Roman"/>
                      <w:sz w:val="18"/>
                      <w:szCs w:val="18"/>
                    </w:rPr>
                  </w:pPr>
                  <w:r>
                    <w:rPr>
                      <w:rFonts w:hint="default" w:ascii="Times New Roman" w:hAnsi="Times New Roman" w:eastAsia="Arial" w:cs="Times New Roman"/>
                      <w:sz w:val="18"/>
                      <w:szCs w:val="18"/>
                    </w:rPr>
                    <w:t>40.5</w:t>
                  </w:r>
                </w:p>
              </w:tc>
              <w:tc>
                <w:tcPr>
                  <w:tcW w:w="0" w:type="auto"/>
                  <w:tcBorders>
                    <w:tl2br w:val="nil"/>
                    <w:tr2bl w:val="nil"/>
                  </w:tcBorders>
                  <w:shd w:val="clear" w:color="auto" w:fill="auto"/>
                  <w:tcMar>
                    <w:top w:w="0" w:type="dxa"/>
                    <w:left w:w="0" w:type="dxa"/>
                    <w:bottom w:w="0" w:type="dxa"/>
                    <w:right w:w="0" w:type="dxa"/>
                  </w:tcMar>
                  <w:vAlign w:val="center"/>
                </w:tcPr>
                <w:p w14:paraId="63EE088C">
                  <w:pPr>
                    <w:keepNext w:val="0"/>
                    <w:keepLines w:val="0"/>
                    <w:suppressLineNumbers w:val="0"/>
                    <w:spacing w:before="0" w:beforeAutospacing="0" w:after="0" w:afterAutospacing="0"/>
                    <w:ind w:left="0" w:right="0"/>
                    <w:jc w:val="center"/>
                    <w:rPr>
                      <w:rFonts w:hint="default" w:ascii="Times New Roman" w:hAnsi="Times New Roman" w:eastAsia="Arial" w:cs="Times New Roman"/>
                      <w:sz w:val="18"/>
                      <w:szCs w:val="18"/>
                    </w:rPr>
                  </w:pPr>
                  <w:r>
                    <w:rPr>
                      <w:rFonts w:hint="default" w:ascii="Times New Roman" w:hAnsi="Times New Roman" w:eastAsia="Arial" w:cs="Times New Roman"/>
                      <w:sz w:val="18"/>
                      <w:szCs w:val="18"/>
                    </w:rPr>
                    <w:t>40.6</w:t>
                  </w:r>
                </w:p>
              </w:tc>
              <w:tc>
                <w:tcPr>
                  <w:tcW w:w="0" w:type="auto"/>
                  <w:tcBorders>
                    <w:tl2br w:val="nil"/>
                    <w:tr2bl w:val="nil"/>
                  </w:tcBorders>
                  <w:shd w:val="clear" w:color="auto" w:fill="auto"/>
                  <w:tcMar>
                    <w:top w:w="0" w:type="dxa"/>
                    <w:left w:w="0" w:type="dxa"/>
                    <w:bottom w:w="0" w:type="dxa"/>
                    <w:right w:w="0" w:type="dxa"/>
                  </w:tcMar>
                  <w:vAlign w:val="center"/>
                </w:tcPr>
                <w:p w14:paraId="14A2B21F">
                  <w:pPr>
                    <w:keepNext w:val="0"/>
                    <w:keepLines w:val="0"/>
                    <w:suppressLineNumbers w:val="0"/>
                    <w:spacing w:before="0" w:beforeAutospacing="0" w:after="0" w:afterAutospacing="0"/>
                    <w:ind w:left="0" w:right="0"/>
                    <w:jc w:val="center"/>
                    <w:rPr>
                      <w:rFonts w:hint="default" w:ascii="Times New Roman" w:hAnsi="Times New Roman" w:eastAsia="Arial" w:cs="Times New Roman"/>
                      <w:sz w:val="18"/>
                      <w:szCs w:val="18"/>
                    </w:rPr>
                  </w:pPr>
                  <w:r>
                    <w:rPr>
                      <w:rFonts w:hint="default" w:ascii="Times New Roman" w:hAnsi="Times New Roman" w:eastAsia="Arial" w:cs="Times New Roman"/>
                      <w:sz w:val="18"/>
                      <w:szCs w:val="18"/>
                    </w:rPr>
                    <w:t>40.6</w:t>
                  </w:r>
                </w:p>
              </w:tc>
              <w:tc>
                <w:tcPr>
                  <w:tcW w:w="0" w:type="auto"/>
                  <w:tcBorders>
                    <w:tl2br w:val="nil"/>
                    <w:tr2bl w:val="nil"/>
                  </w:tcBorders>
                  <w:shd w:val="clear" w:color="auto" w:fill="auto"/>
                  <w:tcMar>
                    <w:top w:w="0" w:type="dxa"/>
                    <w:left w:w="0" w:type="dxa"/>
                    <w:bottom w:w="0" w:type="dxa"/>
                    <w:right w:w="0" w:type="dxa"/>
                  </w:tcMar>
                  <w:vAlign w:val="center"/>
                </w:tcPr>
                <w:p w14:paraId="4BA51980">
                  <w:pPr>
                    <w:keepNext w:val="0"/>
                    <w:keepLines w:val="0"/>
                    <w:suppressLineNumbers w:val="0"/>
                    <w:spacing w:before="0" w:beforeAutospacing="0" w:after="0" w:afterAutospacing="0"/>
                    <w:ind w:left="0" w:right="0"/>
                    <w:jc w:val="center"/>
                    <w:rPr>
                      <w:rFonts w:hint="default" w:ascii="Times New Roman" w:hAnsi="Times New Roman" w:eastAsia="Arial" w:cs="Times New Roman"/>
                      <w:sz w:val="18"/>
                      <w:szCs w:val="18"/>
                    </w:rPr>
                  </w:pPr>
                  <w:r>
                    <w:rPr>
                      <w:rFonts w:hint="default" w:ascii="Times New Roman" w:hAnsi="Times New Roman" w:eastAsia="Arial" w:cs="Times New Roman"/>
                      <w:sz w:val="18"/>
                      <w:szCs w:val="18"/>
                    </w:rPr>
                    <w:t>42.2</w:t>
                  </w:r>
                </w:p>
              </w:tc>
              <w:tc>
                <w:tcPr>
                  <w:tcW w:w="0" w:type="auto"/>
                  <w:tcBorders>
                    <w:tl2br w:val="nil"/>
                    <w:tr2bl w:val="nil"/>
                  </w:tcBorders>
                  <w:shd w:val="clear" w:color="auto" w:fill="auto"/>
                  <w:tcMar>
                    <w:top w:w="0" w:type="dxa"/>
                    <w:left w:w="0" w:type="dxa"/>
                    <w:bottom w:w="0" w:type="dxa"/>
                    <w:right w:w="0" w:type="dxa"/>
                  </w:tcMar>
                  <w:vAlign w:val="center"/>
                </w:tcPr>
                <w:p w14:paraId="74C30AE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val="0"/>
                      <w:bCs/>
                      <w:color w:val="auto"/>
                      <w:sz w:val="18"/>
                      <w:szCs w:val="18"/>
                      <w:lang w:val="en-US" w:eastAsia="zh-CN"/>
                    </w:rPr>
                  </w:pPr>
                  <w:r>
                    <w:rPr>
                      <w:rFonts w:hint="default" w:ascii="Times New Roman" w:hAnsi="Times New Roman" w:eastAsia="宋体" w:cs="Times New Roman"/>
                      <w:b w:val="0"/>
                      <w:bCs/>
                      <w:color w:val="auto"/>
                      <w:sz w:val="18"/>
                      <w:szCs w:val="18"/>
                      <w:lang w:val="en-US" w:eastAsia="zh-CN"/>
                    </w:rPr>
                    <w:t>1</w:t>
                  </w:r>
                </w:p>
              </w:tc>
            </w:tr>
            <w:bookmarkEnd w:id="34"/>
          </w:tbl>
          <w:p w14:paraId="4B0978CA">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520" w:lineRule="exact"/>
              <w:ind w:left="0" w:right="0"/>
              <w:jc w:val="center"/>
              <w:textAlignment w:val="auto"/>
              <w:rPr>
                <w:rFonts w:hint="default" w:eastAsia="黑体" w:cs="Times New Roman"/>
                <w:b w:val="0"/>
                <w:bCs w:val="0"/>
                <w:color w:val="000000" w:themeColor="text1"/>
                <w:sz w:val="24"/>
                <w:szCs w:val="24"/>
                <w:highlight w:val="none"/>
                <w:lang w:val="en-US" w:eastAsia="zh-CN"/>
                <w14:textFill>
                  <w14:solidFill>
                    <w14:schemeClr w14:val="tx1"/>
                  </w14:solidFill>
                </w14:textFill>
              </w:rPr>
            </w:pPr>
            <w:r>
              <w:rPr>
                <w:rFonts w:hint="default" w:eastAsia="黑体" w:cs="Times New Roman"/>
                <w:b w:val="0"/>
                <w:bCs w:val="0"/>
                <w:color w:val="000000" w:themeColor="text1"/>
                <w:sz w:val="24"/>
                <w:szCs w:val="24"/>
                <w:highlight w:val="none"/>
                <w:lang w:val="en-US" w:eastAsia="zh-CN"/>
                <w14:textFill>
                  <w14:solidFill>
                    <w14:schemeClr w14:val="tx1"/>
                  </w14:solidFill>
                </w14:textFill>
              </w:rPr>
              <w:t>表</w:t>
            </w:r>
            <w:r>
              <w:rPr>
                <w:rFonts w:hint="eastAsia" w:eastAsia="黑体" w:cs="Times New Roman"/>
                <w:b w:val="0"/>
                <w:bCs w:val="0"/>
                <w:color w:val="000000" w:themeColor="text1"/>
                <w:sz w:val="24"/>
                <w:szCs w:val="24"/>
                <w:highlight w:val="none"/>
                <w:lang w:val="en-US" w:eastAsia="zh-CN"/>
                <w14:textFill>
                  <w14:solidFill>
                    <w14:schemeClr w14:val="tx1"/>
                  </w14:solidFill>
                </w14:textFill>
              </w:rPr>
              <w:t>4-10</w:t>
            </w:r>
            <w:r>
              <w:rPr>
                <w:rFonts w:hint="default" w:eastAsia="黑体" w:cs="Times New Roman"/>
                <w:b w:val="0"/>
                <w:bCs w:val="0"/>
                <w:color w:val="000000" w:themeColor="text1"/>
                <w:sz w:val="24"/>
                <w:szCs w:val="24"/>
                <w:highlight w:val="none"/>
                <w:lang w:val="en-US" w:eastAsia="zh-CN"/>
                <w14:textFill>
                  <w14:solidFill>
                    <w14:schemeClr w14:val="tx1"/>
                  </w14:solidFill>
                </w14:textFill>
              </w:rPr>
              <w:t xml:space="preserve"> </w:t>
            </w:r>
            <w:r>
              <w:rPr>
                <w:rFonts w:hint="eastAsia" w:eastAsia="黑体" w:cs="Times New Roman"/>
                <w:b w:val="0"/>
                <w:bCs w:val="0"/>
                <w:color w:val="000000" w:themeColor="text1"/>
                <w:sz w:val="24"/>
                <w:szCs w:val="24"/>
                <w:highlight w:val="none"/>
                <w:lang w:val="en-US" w:eastAsia="zh-CN"/>
                <w14:textFill>
                  <w14:solidFill>
                    <w14:schemeClr w14:val="tx1"/>
                  </w14:solidFill>
                </w14:textFill>
              </w:rPr>
              <w:t xml:space="preserve"> 厂界噪声预测结果与达标分析表</w:t>
            </w:r>
          </w:p>
          <w:tbl>
            <w:tblPr>
              <w:tblStyle w:val="2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26"/>
              <w:gridCol w:w="952"/>
              <w:gridCol w:w="823"/>
              <w:gridCol w:w="731"/>
              <w:gridCol w:w="816"/>
              <w:gridCol w:w="1300"/>
              <w:gridCol w:w="1311"/>
              <w:gridCol w:w="1233"/>
            </w:tblGrid>
            <w:tr w14:paraId="1918C0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3" w:hRule="atLeast"/>
                <w:jc w:val="center"/>
              </w:trPr>
              <w:tc>
                <w:tcPr>
                  <w:tcW w:w="626" w:type="pct"/>
                  <w:vMerge w:val="restart"/>
                  <w:tcBorders>
                    <w:tl2br w:val="nil"/>
                    <w:tr2bl w:val="nil"/>
                  </w:tcBorders>
                  <w:vAlign w:val="center"/>
                </w:tcPr>
                <w:p w14:paraId="3F41E63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bCs/>
                      <w:sz w:val="21"/>
                      <w:szCs w:val="21"/>
                    </w:rPr>
                    <w:t>预测方位</w:t>
                  </w:r>
                </w:p>
              </w:tc>
              <w:tc>
                <w:tcPr>
                  <w:tcW w:w="1529" w:type="pct"/>
                  <w:gridSpan w:val="3"/>
                  <w:tcBorders>
                    <w:tl2br w:val="nil"/>
                    <w:tr2bl w:val="nil"/>
                  </w:tcBorders>
                  <w:vAlign w:val="center"/>
                </w:tcPr>
                <w:p w14:paraId="261E59B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eastAsia" w:ascii="Times New Roman" w:hAnsi="Times New Roman" w:cs="Times New Roman" w:eastAsiaTheme="minorEastAsia"/>
                      <w:b w:val="0"/>
                      <w:bCs/>
                      <w:sz w:val="21"/>
                      <w:szCs w:val="21"/>
                      <w:lang w:val="en-US" w:eastAsia="zh-CN"/>
                    </w:rPr>
                  </w:pPr>
                  <w:r>
                    <w:rPr>
                      <w:rFonts w:hint="default" w:ascii="Times New Roman" w:hAnsi="Times New Roman" w:cs="Times New Roman" w:eastAsiaTheme="minorEastAsia"/>
                      <w:b w:val="0"/>
                      <w:bCs/>
                      <w:sz w:val="21"/>
                      <w:szCs w:val="21"/>
                      <w:lang w:val="en-US" w:eastAsia="zh-CN"/>
                    </w:rPr>
                    <w:t>最大值点</w:t>
                  </w:r>
                  <w:r>
                    <w:rPr>
                      <w:rFonts w:hint="default" w:ascii="Times New Roman" w:hAnsi="Times New Roman" w:cs="Times New Roman" w:eastAsiaTheme="minorEastAsia"/>
                      <w:b w:val="0"/>
                      <w:bCs/>
                      <w:sz w:val="21"/>
                      <w:szCs w:val="21"/>
                    </w:rPr>
                    <w:t>空间相对位置</w:t>
                  </w:r>
                  <w:r>
                    <w:rPr>
                      <w:rFonts w:hint="eastAsia" w:ascii="Times New Roman" w:hAnsi="Times New Roman" w:cs="Times New Roman" w:eastAsiaTheme="minorEastAsia"/>
                      <w:b w:val="0"/>
                      <w:bCs/>
                      <w:sz w:val="21"/>
                      <w:szCs w:val="21"/>
                      <w:lang w:val="en-US" w:eastAsia="zh-CN"/>
                    </w:rPr>
                    <w:t>m</w:t>
                  </w:r>
                </w:p>
              </w:tc>
              <w:tc>
                <w:tcPr>
                  <w:tcW w:w="498" w:type="pct"/>
                  <w:vMerge w:val="restart"/>
                  <w:tcBorders>
                    <w:tl2br w:val="nil"/>
                    <w:tr2bl w:val="nil"/>
                  </w:tcBorders>
                  <w:vAlign w:val="center"/>
                </w:tcPr>
                <w:p w14:paraId="1B6987B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bCs/>
                      <w:sz w:val="21"/>
                      <w:szCs w:val="21"/>
                    </w:rPr>
                    <w:t>时段</w:t>
                  </w:r>
                </w:p>
              </w:tc>
              <w:tc>
                <w:tcPr>
                  <w:tcW w:w="793" w:type="pct"/>
                  <w:vMerge w:val="restart"/>
                  <w:tcBorders>
                    <w:tl2br w:val="nil"/>
                    <w:tr2bl w:val="nil"/>
                  </w:tcBorders>
                  <w:vAlign w:val="center"/>
                </w:tcPr>
                <w:p w14:paraId="3122F19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bCs/>
                      <w:sz w:val="21"/>
                      <w:szCs w:val="21"/>
                    </w:rPr>
                    <w:t>贡献值dB(A)</w:t>
                  </w:r>
                </w:p>
              </w:tc>
              <w:tc>
                <w:tcPr>
                  <w:tcW w:w="800" w:type="pct"/>
                  <w:vMerge w:val="restart"/>
                  <w:tcBorders>
                    <w:tl2br w:val="nil"/>
                    <w:tr2bl w:val="nil"/>
                  </w:tcBorders>
                  <w:vAlign w:val="center"/>
                </w:tcPr>
                <w:p w14:paraId="4D70E7E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bCs/>
                      <w:sz w:val="21"/>
                      <w:szCs w:val="21"/>
                    </w:rPr>
                    <w:t>标准限值dB(A)</w:t>
                  </w:r>
                </w:p>
              </w:tc>
              <w:tc>
                <w:tcPr>
                  <w:tcW w:w="752" w:type="pct"/>
                  <w:vMerge w:val="restart"/>
                  <w:tcBorders>
                    <w:tl2br w:val="nil"/>
                    <w:tr2bl w:val="nil"/>
                  </w:tcBorders>
                  <w:vAlign w:val="center"/>
                </w:tcPr>
                <w:p w14:paraId="6E5E778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bCs/>
                      <w:sz w:val="21"/>
                      <w:szCs w:val="21"/>
                    </w:rPr>
                    <w:t>达标情况</w:t>
                  </w:r>
                </w:p>
              </w:tc>
            </w:tr>
            <w:tr w14:paraId="6DC883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26" w:type="pct"/>
                  <w:vMerge w:val="continue"/>
                  <w:tcBorders>
                    <w:tl2br w:val="nil"/>
                    <w:tr2bl w:val="nil"/>
                  </w:tcBorders>
                  <w:shd w:val="clear" w:color="auto" w:fill="FFFFFF"/>
                  <w:vAlign w:val="center"/>
                </w:tcPr>
                <w:p w14:paraId="3F1B41E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cs="Times New Roman" w:eastAsiaTheme="minorEastAsia"/>
                      <w:b w:val="0"/>
                      <w:bCs/>
                      <w:sz w:val="21"/>
                      <w:szCs w:val="21"/>
                    </w:rPr>
                  </w:pPr>
                </w:p>
              </w:tc>
              <w:tc>
                <w:tcPr>
                  <w:tcW w:w="581" w:type="pct"/>
                  <w:tcBorders>
                    <w:tl2br w:val="nil"/>
                    <w:tr2bl w:val="nil"/>
                  </w:tcBorders>
                  <w:shd w:val="clear" w:color="auto" w:fill="FFFFFF"/>
                  <w:vAlign w:val="center"/>
                </w:tcPr>
                <w:p w14:paraId="0049452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bCs/>
                      <w:sz w:val="21"/>
                      <w:szCs w:val="21"/>
                    </w:rPr>
                    <w:t>X</w:t>
                  </w:r>
                </w:p>
              </w:tc>
              <w:tc>
                <w:tcPr>
                  <w:tcW w:w="502" w:type="pct"/>
                  <w:tcBorders>
                    <w:tl2br w:val="nil"/>
                    <w:tr2bl w:val="nil"/>
                  </w:tcBorders>
                  <w:shd w:val="clear" w:color="auto" w:fill="FFFFFF"/>
                  <w:vAlign w:val="center"/>
                </w:tcPr>
                <w:p w14:paraId="5AF7951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bCs/>
                      <w:sz w:val="21"/>
                      <w:szCs w:val="21"/>
                    </w:rPr>
                    <w:t>Y</w:t>
                  </w:r>
                </w:p>
              </w:tc>
              <w:tc>
                <w:tcPr>
                  <w:tcW w:w="446" w:type="pct"/>
                  <w:tcBorders>
                    <w:tl2br w:val="nil"/>
                    <w:tr2bl w:val="nil"/>
                  </w:tcBorders>
                  <w:shd w:val="clear" w:color="auto" w:fill="FFFFFF"/>
                  <w:vAlign w:val="center"/>
                </w:tcPr>
                <w:p w14:paraId="7CF6F2E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bCs/>
                      <w:sz w:val="21"/>
                      <w:szCs w:val="21"/>
                    </w:rPr>
                    <w:t>Z</w:t>
                  </w:r>
                </w:p>
              </w:tc>
              <w:tc>
                <w:tcPr>
                  <w:tcW w:w="498" w:type="pct"/>
                  <w:vMerge w:val="continue"/>
                  <w:tcBorders>
                    <w:tl2br w:val="nil"/>
                    <w:tr2bl w:val="nil"/>
                  </w:tcBorders>
                  <w:shd w:val="clear" w:color="auto" w:fill="FFFFFF"/>
                  <w:vAlign w:val="center"/>
                </w:tcPr>
                <w:p w14:paraId="6CBE5E6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cs="Times New Roman" w:eastAsiaTheme="minorEastAsia"/>
                      <w:b w:val="0"/>
                      <w:bCs/>
                      <w:sz w:val="21"/>
                      <w:szCs w:val="21"/>
                    </w:rPr>
                  </w:pPr>
                </w:p>
              </w:tc>
              <w:tc>
                <w:tcPr>
                  <w:tcW w:w="793" w:type="pct"/>
                  <w:vMerge w:val="continue"/>
                  <w:tcBorders>
                    <w:tl2br w:val="nil"/>
                    <w:tr2bl w:val="nil"/>
                  </w:tcBorders>
                  <w:shd w:val="clear" w:color="auto" w:fill="FFFFFF"/>
                  <w:vAlign w:val="center"/>
                </w:tcPr>
                <w:p w14:paraId="48AE56F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cs="Times New Roman" w:eastAsiaTheme="minorEastAsia"/>
                      <w:b w:val="0"/>
                      <w:bCs/>
                      <w:sz w:val="21"/>
                      <w:szCs w:val="21"/>
                    </w:rPr>
                  </w:pPr>
                </w:p>
              </w:tc>
              <w:tc>
                <w:tcPr>
                  <w:tcW w:w="800" w:type="pct"/>
                  <w:vMerge w:val="continue"/>
                  <w:tcBorders>
                    <w:tl2br w:val="nil"/>
                    <w:tr2bl w:val="nil"/>
                  </w:tcBorders>
                  <w:shd w:val="clear" w:color="auto" w:fill="FFFFFF"/>
                  <w:vAlign w:val="center"/>
                </w:tcPr>
                <w:p w14:paraId="6121631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cs="Times New Roman" w:eastAsiaTheme="minorEastAsia"/>
                      <w:b w:val="0"/>
                      <w:bCs/>
                      <w:sz w:val="21"/>
                      <w:szCs w:val="21"/>
                    </w:rPr>
                  </w:pPr>
                </w:p>
              </w:tc>
              <w:tc>
                <w:tcPr>
                  <w:tcW w:w="752" w:type="pct"/>
                  <w:vMerge w:val="continue"/>
                  <w:tcBorders>
                    <w:tl2br w:val="nil"/>
                    <w:tr2bl w:val="nil"/>
                  </w:tcBorders>
                  <w:shd w:val="clear" w:color="auto" w:fill="FFFFFF"/>
                  <w:vAlign w:val="center"/>
                </w:tcPr>
                <w:p w14:paraId="3E2D7DD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cs="Times New Roman" w:eastAsiaTheme="minorEastAsia"/>
                      <w:b w:val="0"/>
                      <w:bCs/>
                      <w:sz w:val="21"/>
                      <w:szCs w:val="21"/>
                    </w:rPr>
                  </w:pPr>
                </w:p>
              </w:tc>
            </w:tr>
            <w:tr w14:paraId="491288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23" w:hRule="atLeast"/>
                <w:jc w:val="center"/>
              </w:trPr>
              <w:tc>
                <w:tcPr>
                  <w:tcW w:w="626" w:type="pct"/>
                  <w:vMerge w:val="restart"/>
                  <w:tcBorders>
                    <w:tl2br w:val="nil"/>
                    <w:tr2bl w:val="nil"/>
                  </w:tcBorders>
                  <w:shd w:val="clear" w:color="auto" w:fill="FFFFFF"/>
                  <w:vAlign w:val="center"/>
                </w:tcPr>
                <w:p w14:paraId="30A2485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cs="Times New Roman"/>
                      <w:b w:val="0"/>
                      <w:bCs/>
                      <w:sz w:val="21"/>
                      <w:szCs w:val="21"/>
                    </w:rPr>
                  </w:pPr>
                  <w:r>
                    <w:rPr>
                      <w:rFonts w:hint="default" w:ascii="Times New Roman" w:hAnsi="Times New Roman" w:eastAsia="Arial" w:cs="Times New Roman"/>
                      <w:b w:val="0"/>
                      <w:bCs/>
                      <w:sz w:val="21"/>
                      <w:szCs w:val="21"/>
                    </w:rPr>
                    <w:t>东侧</w:t>
                  </w:r>
                </w:p>
              </w:tc>
              <w:tc>
                <w:tcPr>
                  <w:tcW w:w="581" w:type="pct"/>
                  <w:tcBorders>
                    <w:tl2br w:val="nil"/>
                    <w:tr2bl w:val="nil"/>
                  </w:tcBorders>
                  <w:shd w:val="clear" w:color="auto" w:fill="FFFFFF"/>
                  <w:vAlign w:val="center"/>
                </w:tcPr>
                <w:p w14:paraId="58248A0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Arial" w:cs="Times New Roman"/>
                      <w:b w:val="0"/>
                      <w:bCs/>
                      <w:sz w:val="21"/>
                      <w:szCs w:val="21"/>
                    </w:rPr>
                  </w:pPr>
                  <w:r>
                    <w:rPr>
                      <w:rFonts w:hint="default" w:ascii="Times New Roman" w:hAnsi="Times New Roman" w:eastAsia="Arial" w:cs="Times New Roman"/>
                      <w:b w:val="0"/>
                      <w:bCs/>
                      <w:sz w:val="21"/>
                      <w:szCs w:val="21"/>
                    </w:rPr>
                    <w:t>73.1</w:t>
                  </w:r>
                </w:p>
              </w:tc>
              <w:tc>
                <w:tcPr>
                  <w:tcW w:w="502" w:type="pct"/>
                  <w:tcBorders>
                    <w:tl2br w:val="nil"/>
                    <w:tr2bl w:val="nil"/>
                  </w:tcBorders>
                  <w:shd w:val="clear" w:color="auto" w:fill="FFFFFF"/>
                  <w:vAlign w:val="center"/>
                </w:tcPr>
                <w:p w14:paraId="198E99C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Arial" w:cs="Times New Roman"/>
                      <w:b w:val="0"/>
                      <w:bCs/>
                      <w:sz w:val="21"/>
                      <w:szCs w:val="21"/>
                    </w:rPr>
                  </w:pPr>
                  <w:r>
                    <w:rPr>
                      <w:rFonts w:hint="default" w:ascii="Times New Roman" w:hAnsi="Times New Roman" w:eastAsia="Arial" w:cs="Times New Roman"/>
                      <w:b w:val="0"/>
                      <w:bCs/>
                      <w:sz w:val="21"/>
                      <w:szCs w:val="21"/>
                    </w:rPr>
                    <w:t>23.5</w:t>
                  </w:r>
                </w:p>
              </w:tc>
              <w:tc>
                <w:tcPr>
                  <w:tcW w:w="446" w:type="pct"/>
                  <w:tcBorders>
                    <w:tl2br w:val="nil"/>
                    <w:tr2bl w:val="nil"/>
                  </w:tcBorders>
                  <w:shd w:val="clear" w:color="auto" w:fill="FFFFFF"/>
                  <w:vAlign w:val="center"/>
                </w:tcPr>
                <w:p w14:paraId="7CB6047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Arial" w:cs="Times New Roman"/>
                      <w:b w:val="0"/>
                      <w:bCs/>
                      <w:sz w:val="21"/>
                      <w:szCs w:val="21"/>
                    </w:rPr>
                  </w:pPr>
                  <w:r>
                    <w:rPr>
                      <w:rFonts w:hint="default" w:ascii="Times New Roman" w:hAnsi="Times New Roman" w:eastAsia="Arial" w:cs="Times New Roman"/>
                      <w:b w:val="0"/>
                      <w:bCs/>
                      <w:sz w:val="21"/>
                      <w:szCs w:val="21"/>
                    </w:rPr>
                    <w:t>1.2</w:t>
                  </w:r>
                </w:p>
              </w:tc>
              <w:tc>
                <w:tcPr>
                  <w:tcW w:w="498" w:type="pct"/>
                  <w:tcBorders>
                    <w:tl2br w:val="nil"/>
                    <w:tr2bl w:val="nil"/>
                  </w:tcBorders>
                  <w:shd w:val="clear" w:color="auto" w:fill="FFFFFF"/>
                  <w:vAlign w:val="center"/>
                </w:tcPr>
                <w:p w14:paraId="6754FEF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Arial" w:cs="Times New Roman"/>
                      <w:b w:val="0"/>
                      <w:bCs/>
                      <w:sz w:val="21"/>
                      <w:szCs w:val="21"/>
                    </w:rPr>
                  </w:pPr>
                  <w:r>
                    <w:rPr>
                      <w:rFonts w:hint="default" w:ascii="Times New Roman" w:hAnsi="Times New Roman" w:eastAsia="Arial" w:cs="Times New Roman"/>
                      <w:b w:val="0"/>
                      <w:bCs/>
                      <w:sz w:val="21"/>
                      <w:szCs w:val="21"/>
                    </w:rPr>
                    <w:t>昼间</w:t>
                  </w:r>
                </w:p>
              </w:tc>
              <w:tc>
                <w:tcPr>
                  <w:tcW w:w="793" w:type="pct"/>
                  <w:tcBorders>
                    <w:tl2br w:val="nil"/>
                    <w:tr2bl w:val="nil"/>
                  </w:tcBorders>
                  <w:shd w:val="clear" w:color="auto" w:fill="FFFFFF"/>
                  <w:vAlign w:val="center"/>
                </w:tcPr>
                <w:p w14:paraId="4D58443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Arial" w:cs="Times New Roman"/>
                      <w:b w:val="0"/>
                      <w:bCs/>
                      <w:sz w:val="21"/>
                      <w:szCs w:val="21"/>
                    </w:rPr>
                  </w:pPr>
                  <w:r>
                    <w:rPr>
                      <w:rFonts w:hint="default" w:ascii="Times New Roman" w:hAnsi="Times New Roman" w:eastAsia="Arial" w:cs="Times New Roman"/>
                      <w:b w:val="0"/>
                      <w:bCs/>
                      <w:sz w:val="21"/>
                      <w:szCs w:val="21"/>
                    </w:rPr>
                    <w:t>31.8</w:t>
                  </w:r>
                </w:p>
              </w:tc>
              <w:tc>
                <w:tcPr>
                  <w:tcW w:w="800" w:type="pct"/>
                  <w:tcBorders>
                    <w:tl2br w:val="nil"/>
                    <w:tr2bl w:val="nil"/>
                  </w:tcBorders>
                  <w:shd w:val="clear" w:color="auto" w:fill="FFFFFF"/>
                  <w:vAlign w:val="center"/>
                </w:tcPr>
                <w:p w14:paraId="4E33A00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宋体" w:cs="Times New Roman"/>
                      <w:b w:val="0"/>
                      <w:bCs/>
                      <w:sz w:val="21"/>
                      <w:szCs w:val="21"/>
                      <w:lang w:val="en-US" w:eastAsia="zh-CN"/>
                    </w:rPr>
                  </w:pPr>
                  <w:r>
                    <w:rPr>
                      <w:rFonts w:hint="eastAsia" w:eastAsia="宋体" w:cs="Times New Roman"/>
                      <w:b w:val="0"/>
                      <w:bCs/>
                      <w:sz w:val="21"/>
                      <w:szCs w:val="21"/>
                      <w:lang w:eastAsia="zh-CN"/>
                    </w:rPr>
                    <w:t>6</w:t>
                  </w:r>
                  <w:r>
                    <w:rPr>
                      <w:rFonts w:hint="eastAsia" w:eastAsia="宋体" w:cs="Times New Roman"/>
                      <w:b w:val="0"/>
                      <w:bCs/>
                      <w:sz w:val="21"/>
                      <w:szCs w:val="21"/>
                      <w:lang w:val="en-US" w:eastAsia="zh-CN"/>
                    </w:rPr>
                    <w:t>5</w:t>
                  </w:r>
                </w:p>
              </w:tc>
              <w:tc>
                <w:tcPr>
                  <w:tcW w:w="752" w:type="pct"/>
                  <w:tcBorders>
                    <w:tl2br w:val="nil"/>
                    <w:tr2bl w:val="nil"/>
                  </w:tcBorders>
                  <w:shd w:val="clear" w:color="auto" w:fill="FFFFFF"/>
                  <w:vAlign w:val="center"/>
                </w:tcPr>
                <w:p w14:paraId="6E8B92B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Arial" w:cs="Times New Roman"/>
                      <w:b w:val="0"/>
                      <w:bCs/>
                      <w:sz w:val="21"/>
                      <w:szCs w:val="21"/>
                    </w:rPr>
                  </w:pPr>
                  <w:r>
                    <w:rPr>
                      <w:rFonts w:hint="default" w:ascii="Times New Roman" w:hAnsi="Times New Roman" w:eastAsia="Arial" w:cs="Times New Roman"/>
                      <w:b w:val="0"/>
                      <w:bCs/>
                      <w:sz w:val="21"/>
                      <w:szCs w:val="21"/>
                    </w:rPr>
                    <w:t>达标</w:t>
                  </w:r>
                </w:p>
              </w:tc>
            </w:tr>
            <w:tr w14:paraId="141441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23" w:hRule="atLeast"/>
                <w:jc w:val="center"/>
              </w:trPr>
              <w:tc>
                <w:tcPr>
                  <w:tcW w:w="626" w:type="pct"/>
                  <w:vMerge w:val="continue"/>
                  <w:tcBorders>
                    <w:tl2br w:val="nil"/>
                    <w:tr2bl w:val="nil"/>
                  </w:tcBorders>
                  <w:shd w:val="clear" w:color="auto" w:fill="FFFFFF"/>
                  <w:vAlign w:val="center"/>
                </w:tcPr>
                <w:p w14:paraId="5C26E55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cs="Times New Roman"/>
                      <w:b w:val="0"/>
                      <w:bCs/>
                      <w:sz w:val="21"/>
                      <w:szCs w:val="21"/>
                    </w:rPr>
                  </w:pPr>
                </w:p>
              </w:tc>
              <w:tc>
                <w:tcPr>
                  <w:tcW w:w="581" w:type="pct"/>
                  <w:tcBorders>
                    <w:tl2br w:val="nil"/>
                    <w:tr2bl w:val="nil"/>
                  </w:tcBorders>
                  <w:shd w:val="clear" w:color="auto" w:fill="FFFFFF"/>
                  <w:vAlign w:val="center"/>
                </w:tcPr>
                <w:p w14:paraId="7D26139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Arial" w:cs="Times New Roman"/>
                      <w:b w:val="0"/>
                      <w:bCs/>
                      <w:sz w:val="21"/>
                      <w:szCs w:val="21"/>
                    </w:rPr>
                  </w:pPr>
                  <w:r>
                    <w:rPr>
                      <w:rFonts w:hint="default" w:ascii="Times New Roman" w:hAnsi="Times New Roman" w:eastAsia="Arial" w:cs="Times New Roman"/>
                      <w:b w:val="0"/>
                      <w:bCs/>
                      <w:sz w:val="21"/>
                      <w:szCs w:val="21"/>
                    </w:rPr>
                    <w:t>73.1</w:t>
                  </w:r>
                </w:p>
              </w:tc>
              <w:tc>
                <w:tcPr>
                  <w:tcW w:w="502" w:type="pct"/>
                  <w:tcBorders>
                    <w:tl2br w:val="nil"/>
                    <w:tr2bl w:val="nil"/>
                  </w:tcBorders>
                  <w:shd w:val="clear" w:color="auto" w:fill="FFFFFF"/>
                  <w:vAlign w:val="center"/>
                </w:tcPr>
                <w:p w14:paraId="678B904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Arial" w:cs="Times New Roman"/>
                      <w:b w:val="0"/>
                      <w:bCs/>
                      <w:sz w:val="21"/>
                      <w:szCs w:val="21"/>
                    </w:rPr>
                  </w:pPr>
                  <w:r>
                    <w:rPr>
                      <w:rFonts w:hint="default" w:ascii="Times New Roman" w:hAnsi="Times New Roman" w:eastAsia="Arial" w:cs="Times New Roman"/>
                      <w:b w:val="0"/>
                      <w:bCs/>
                      <w:sz w:val="21"/>
                      <w:szCs w:val="21"/>
                    </w:rPr>
                    <w:t>23.5</w:t>
                  </w:r>
                </w:p>
              </w:tc>
              <w:tc>
                <w:tcPr>
                  <w:tcW w:w="446" w:type="pct"/>
                  <w:tcBorders>
                    <w:tl2br w:val="nil"/>
                    <w:tr2bl w:val="nil"/>
                  </w:tcBorders>
                  <w:shd w:val="clear" w:color="auto" w:fill="FFFFFF"/>
                  <w:vAlign w:val="center"/>
                </w:tcPr>
                <w:p w14:paraId="2C6FA0C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Arial" w:cs="Times New Roman"/>
                      <w:b w:val="0"/>
                      <w:bCs/>
                      <w:sz w:val="21"/>
                      <w:szCs w:val="21"/>
                    </w:rPr>
                  </w:pPr>
                  <w:r>
                    <w:rPr>
                      <w:rFonts w:hint="default" w:ascii="Times New Roman" w:hAnsi="Times New Roman" w:eastAsia="Arial" w:cs="Times New Roman"/>
                      <w:b w:val="0"/>
                      <w:bCs/>
                      <w:sz w:val="21"/>
                      <w:szCs w:val="21"/>
                    </w:rPr>
                    <w:t>1.2</w:t>
                  </w:r>
                </w:p>
              </w:tc>
              <w:tc>
                <w:tcPr>
                  <w:tcW w:w="498" w:type="pct"/>
                  <w:tcBorders>
                    <w:tl2br w:val="nil"/>
                    <w:tr2bl w:val="nil"/>
                  </w:tcBorders>
                  <w:shd w:val="clear" w:color="auto" w:fill="FFFFFF"/>
                  <w:vAlign w:val="center"/>
                </w:tcPr>
                <w:p w14:paraId="4B55B99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Arial" w:cs="Times New Roman"/>
                      <w:b w:val="0"/>
                      <w:bCs/>
                      <w:sz w:val="21"/>
                      <w:szCs w:val="21"/>
                    </w:rPr>
                  </w:pPr>
                  <w:r>
                    <w:rPr>
                      <w:rFonts w:hint="default" w:ascii="Times New Roman" w:hAnsi="Times New Roman" w:eastAsia="Arial" w:cs="Times New Roman"/>
                      <w:b w:val="0"/>
                      <w:bCs/>
                      <w:sz w:val="21"/>
                      <w:szCs w:val="21"/>
                    </w:rPr>
                    <w:t>夜间</w:t>
                  </w:r>
                </w:p>
              </w:tc>
              <w:tc>
                <w:tcPr>
                  <w:tcW w:w="793" w:type="pct"/>
                  <w:tcBorders>
                    <w:tl2br w:val="nil"/>
                    <w:tr2bl w:val="nil"/>
                  </w:tcBorders>
                  <w:shd w:val="clear" w:color="auto" w:fill="FFFFFF"/>
                  <w:vAlign w:val="center"/>
                </w:tcPr>
                <w:p w14:paraId="2B75EC9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Arial" w:cs="Times New Roman"/>
                      <w:b w:val="0"/>
                      <w:bCs/>
                      <w:sz w:val="21"/>
                      <w:szCs w:val="21"/>
                    </w:rPr>
                  </w:pPr>
                  <w:r>
                    <w:rPr>
                      <w:rFonts w:hint="default" w:ascii="Times New Roman" w:hAnsi="Times New Roman" w:eastAsia="Arial" w:cs="Times New Roman"/>
                      <w:b w:val="0"/>
                      <w:bCs/>
                      <w:sz w:val="21"/>
                      <w:szCs w:val="21"/>
                    </w:rPr>
                    <w:t>31.8</w:t>
                  </w:r>
                </w:p>
              </w:tc>
              <w:tc>
                <w:tcPr>
                  <w:tcW w:w="800" w:type="pct"/>
                  <w:tcBorders>
                    <w:tl2br w:val="nil"/>
                    <w:tr2bl w:val="nil"/>
                  </w:tcBorders>
                  <w:shd w:val="clear" w:color="auto" w:fill="FFFFFF"/>
                  <w:vAlign w:val="center"/>
                </w:tcPr>
                <w:p w14:paraId="51C2853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eastAsia" w:ascii="Times New Roman" w:hAnsi="Times New Roman" w:eastAsia="宋体" w:cs="Times New Roman"/>
                      <w:b w:val="0"/>
                      <w:bCs/>
                      <w:sz w:val="21"/>
                      <w:szCs w:val="21"/>
                      <w:lang w:val="en-US" w:eastAsia="zh-CN"/>
                    </w:rPr>
                  </w:pPr>
                  <w:r>
                    <w:rPr>
                      <w:rFonts w:hint="default" w:ascii="Times New Roman" w:hAnsi="Times New Roman" w:eastAsia="Arial" w:cs="Times New Roman"/>
                      <w:b w:val="0"/>
                      <w:bCs/>
                      <w:sz w:val="21"/>
                      <w:szCs w:val="21"/>
                      <w:lang w:val="en-US"/>
                    </w:rPr>
                    <w:t>5</w:t>
                  </w:r>
                  <w:r>
                    <w:rPr>
                      <w:rFonts w:hint="eastAsia" w:eastAsia="宋体" w:cs="Times New Roman"/>
                      <w:b w:val="0"/>
                      <w:bCs/>
                      <w:sz w:val="21"/>
                      <w:szCs w:val="21"/>
                      <w:lang w:val="en-US" w:eastAsia="zh-CN"/>
                    </w:rPr>
                    <w:t>5</w:t>
                  </w:r>
                </w:p>
              </w:tc>
              <w:tc>
                <w:tcPr>
                  <w:tcW w:w="752" w:type="pct"/>
                  <w:tcBorders>
                    <w:tl2br w:val="nil"/>
                    <w:tr2bl w:val="nil"/>
                  </w:tcBorders>
                  <w:shd w:val="clear" w:color="auto" w:fill="FFFFFF"/>
                  <w:vAlign w:val="center"/>
                </w:tcPr>
                <w:p w14:paraId="15321AE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Arial" w:cs="Times New Roman"/>
                      <w:b w:val="0"/>
                      <w:bCs/>
                      <w:sz w:val="21"/>
                      <w:szCs w:val="21"/>
                    </w:rPr>
                  </w:pPr>
                  <w:r>
                    <w:rPr>
                      <w:rFonts w:hint="default" w:ascii="Times New Roman" w:hAnsi="Times New Roman" w:eastAsia="Arial" w:cs="Times New Roman"/>
                      <w:b w:val="0"/>
                      <w:bCs/>
                      <w:sz w:val="21"/>
                      <w:szCs w:val="21"/>
                    </w:rPr>
                    <w:t>达标</w:t>
                  </w:r>
                </w:p>
              </w:tc>
            </w:tr>
            <w:tr w14:paraId="007676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23" w:hRule="atLeast"/>
                <w:jc w:val="center"/>
              </w:trPr>
              <w:tc>
                <w:tcPr>
                  <w:tcW w:w="626" w:type="pct"/>
                  <w:vMerge w:val="restart"/>
                  <w:tcBorders>
                    <w:tl2br w:val="nil"/>
                    <w:tr2bl w:val="nil"/>
                  </w:tcBorders>
                  <w:shd w:val="clear" w:color="auto" w:fill="FFFFFF"/>
                  <w:vAlign w:val="center"/>
                </w:tcPr>
                <w:p w14:paraId="6E109E8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cs="Times New Roman"/>
                      <w:b w:val="0"/>
                      <w:bCs/>
                      <w:sz w:val="21"/>
                      <w:szCs w:val="21"/>
                    </w:rPr>
                  </w:pPr>
                  <w:r>
                    <w:rPr>
                      <w:rFonts w:hint="default" w:ascii="Times New Roman" w:hAnsi="Times New Roman" w:eastAsia="Arial" w:cs="Times New Roman"/>
                      <w:b w:val="0"/>
                      <w:bCs/>
                      <w:sz w:val="21"/>
                      <w:szCs w:val="21"/>
                    </w:rPr>
                    <w:t>南侧</w:t>
                  </w:r>
                </w:p>
              </w:tc>
              <w:tc>
                <w:tcPr>
                  <w:tcW w:w="581" w:type="pct"/>
                  <w:tcBorders>
                    <w:tl2br w:val="nil"/>
                    <w:tr2bl w:val="nil"/>
                  </w:tcBorders>
                  <w:shd w:val="clear" w:color="auto" w:fill="FFFFFF"/>
                  <w:vAlign w:val="center"/>
                </w:tcPr>
                <w:p w14:paraId="2FD9678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Arial" w:cs="Times New Roman"/>
                      <w:b w:val="0"/>
                      <w:bCs/>
                      <w:sz w:val="21"/>
                      <w:szCs w:val="21"/>
                    </w:rPr>
                  </w:pPr>
                  <w:r>
                    <w:rPr>
                      <w:rFonts w:hint="default" w:ascii="Times New Roman" w:hAnsi="Times New Roman" w:eastAsia="Arial" w:cs="Times New Roman"/>
                      <w:b w:val="0"/>
                      <w:bCs/>
                      <w:sz w:val="21"/>
                      <w:szCs w:val="21"/>
                    </w:rPr>
                    <w:t>-49.9</w:t>
                  </w:r>
                </w:p>
              </w:tc>
              <w:tc>
                <w:tcPr>
                  <w:tcW w:w="502" w:type="pct"/>
                  <w:tcBorders>
                    <w:tl2br w:val="nil"/>
                    <w:tr2bl w:val="nil"/>
                  </w:tcBorders>
                  <w:shd w:val="clear" w:color="auto" w:fill="FFFFFF"/>
                  <w:vAlign w:val="center"/>
                </w:tcPr>
                <w:p w14:paraId="0980F72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Arial" w:cs="Times New Roman"/>
                      <w:b w:val="0"/>
                      <w:bCs/>
                      <w:sz w:val="21"/>
                      <w:szCs w:val="21"/>
                    </w:rPr>
                  </w:pPr>
                  <w:r>
                    <w:rPr>
                      <w:rFonts w:hint="default" w:ascii="Times New Roman" w:hAnsi="Times New Roman" w:eastAsia="Arial" w:cs="Times New Roman"/>
                      <w:b w:val="0"/>
                      <w:bCs/>
                      <w:sz w:val="21"/>
                      <w:szCs w:val="21"/>
                    </w:rPr>
                    <w:t>-23.5</w:t>
                  </w:r>
                </w:p>
              </w:tc>
              <w:tc>
                <w:tcPr>
                  <w:tcW w:w="446" w:type="pct"/>
                  <w:tcBorders>
                    <w:tl2br w:val="nil"/>
                    <w:tr2bl w:val="nil"/>
                  </w:tcBorders>
                  <w:shd w:val="clear" w:color="auto" w:fill="FFFFFF"/>
                  <w:vAlign w:val="center"/>
                </w:tcPr>
                <w:p w14:paraId="5EA30D0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Arial" w:cs="Times New Roman"/>
                      <w:b w:val="0"/>
                      <w:bCs/>
                      <w:sz w:val="21"/>
                      <w:szCs w:val="21"/>
                    </w:rPr>
                  </w:pPr>
                  <w:r>
                    <w:rPr>
                      <w:rFonts w:hint="default" w:ascii="Times New Roman" w:hAnsi="Times New Roman" w:eastAsia="Arial" w:cs="Times New Roman"/>
                      <w:b w:val="0"/>
                      <w:bCs/>
                      <w:sz w:val="21"/>
                      <w:szCs w:val="21"/>
                    </w:rPr>
                    <w:t>1.2</w:t>
                  </w:r>
                </w:p>
              </w:tc>
              <w:tc>
                <w:tcPr>
                  <w:tcW w:w="498" w:type="pct"/>
                  <w:tcBorders>
                    <w:tl2br w:val="nil"/>
                    <w:tr2bl w:val="nil"/>
                  </w:tcBorders>
                  <w:shd w:val="clear" w:color="auto" w:fill="FFFFFF"/>
                  <w:vAlign w:val="center"/>
                </w:tcPr>
                <w:p w14:paraId="46BEC98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Arial" w:cs="Times New Roman"/>
                      <w:b w:val="0"/>
                      <w:bCs/>
                      <w:sz w:val="21"/>
                      <w:szCs w:val="21"/>
                    </w:rPr>
                  </w:pPr>
                  <w:r>
                    <w:rPr>
                      <w:rFonts w:hint="default" w:ascii="Times New Roman" w:hAnsi="Times New Roman" w:eastAsia="Arial" w:cs="Times New Roman"/>
                      <w:b w:val="0"/>
                      <w:bCs/>
                      <w:sz w:val="21"/>
                      <w:szCs w:val="21"/>
                    </w:rPr>
                    <w:t>昼间</w:t>
                  </w:r>
                </w:p>
              </w:tc>
              <w:tc>
                <w:tcPr>
                  <w:tcW w:w="793" w:type="pct"/>
                  <w:tcBorders>
                    <w:tl2br w:val="nil"/>
                    <w:tr2bl w:val="nil"/>
                  </w:tcBorders>
                  <w:shd w:val="clear" w:color="auto" w:fill="FFFFFF"/>
                  <w:vAlign w:val="center"/>
                </w:tcPr>
                <w:p w14:paraId="5171EE4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Arial" w:cs="Times New Roman"/>
                      <w:b w:val="0"/>
                      <w:bCs/>
                      <w:sz w:val="21"/>
                      <w:szCs w:val="21"/>
                    </w:rPr>
                    <w:t>38</w:t>
                  </w:r>
                  <w:r>
                    <w:rPr>
                      <w:rFonts w:hint="eastAsia" w:eastAsia="宋体" w:cs="Times New Roman"/>
                      <w:b w:val="0"/>
                      <w:bCs/>
                      <w:sz w:val="21"/>
                      <w:szCs w:val="21"/>
                      <w:lang w:val="en-US" w:eastAsia="zh-CN"/>
                    </w:rPr>
                    <w:t>.0</w:t>
                  </w:r>
                </w:p>
              </w:tc>
              <w:tc>
                <w:tcPr>
                  <w:tcW w:w="800" w:type="pct"/>
                  <w:tcBorders>
                    <w:tl2br w:val="nil"/>
                    <w:tr2bl w:val="nil"/>
                  </w:tcBorders>
                  <w:shd w:val="clear" w:color="auto" w:fill="FFFFFF"/>
                  <w:vAlign w:val="center"/>
                </w:tcPr>
                <w:p w14:paraId="3A4CBCC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default" w:ascii="Times New Roman" w:hAnsi="Times New Roman" w:eastAsia="Arial" w:cs="Times New Roman"/>
                      <w:b w:val="0"/>
                      <w:bCs/>
                      <w:sz w:val="21"/>
                      <w:szCs w:val="21"/>
                    </w:rPr>
                  </w:pPr>
                  <w:r>
                    <w:rPr>
                      <w:rFonts w:hint="eastAsia" w:eastAsia="宋体" w:cs="Times New Roman"/>
                      <w:b w:val="0"/>
                      <w:bCs/>
                      <w:sz w:val="21"/>
                      <w:szCs w:val="21"/>
                      <w:lang w:eastAsia="zh-CN"/>
                    </w:rPr>
                    <w:t>6</w:t>
                  </w:r>
                  <w:r>
                    <w:rPr>
                      <w:rFonts w:hint="eastAsia" w:eastAsia="宋体" w:cs="Times New Roman"/>
                      <w:b w:val="0"/>
                      <w:bCs/>
                      <w:sz w:val="21"/>
                      <w:szCs w:val="21"/>
                      <w:lang w:val="en-US" w:eastAsia="zh-CN"/>
                    </w:rPr>
                    <w:t>5</w:t>
                  </w:r>
                </w:p>
              </w:tc>
              <w:tc>
                <w:tcPr>
                  <w:tcW w:w="752" w:type="pct"/>
                  <w:tcBorders>
                    <w:tl2br w:val="nil"/>
                    <w:tr2bl w:val="nil"/>
                  </w:tcBorders>
                  <w:shd w:val="clear" w:color="auto" w:fill="FFFFFF"/>
                  <w:vAlign w:val="center"/>
                </w:tcPr>
                <w:p w14:paraId="2DF1377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Arial" w:cs="Times New Roman"/>
                      <w:b w:val="0"/>
                      <w:bCs/>
                      <w:sz w:val="21"/>
                      <w:szCs w:val="21"/>
                    </w:rPr>
                  </w:pPr>
                  <w:r>
                    <w:rPr>
                      <w:rFonts w:hint="default" w:ascii="Times New Roman" w:hAnsi="Times New Roman" w:eastAsia="Arial" w:cs="Times New Roman"/>
                      <w:b w:val="0"/>
                      <w:bCs/>
                      <w:sz w:val="21"/>
                      <w:szCs w:val="21"/>
                    </w:rPr>
                    <w:t>达标</w:t>
                  </w:r>
                </w:p>
              </w:tc>
            </w:tr>
            <w:tr w14:paraId="40FB0A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23" w:hRule="atLeast"/>
                <w:jc w:val="center"/>
              </w:trPr>
              <w:tc>
                <w:tcPr>
                  <w:tcW w:w="626" w:type="pct"/>
                  <w:vMerge w:val="continue"/>
                  <w:tcBorders>
                    <w:tl2br w:val="nil"/>
                    <w:tr2bl w:val="nil"/>
                  </w:tcBorders>
                  <w:shd w:val="clear" w:color="auto" w:fill="FFFFFF"/>
                  <w:vAlign w:val="center"/>
                </w:tcPr>
                <w:p w14:paraId="2090373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cs="Times New Roman"/>
                      <w:b w:val="0"/>
                      <w:bCs/>
                      <w:sz w:val="21"/>
                      <w:szCs w:val="21"/>
                    </w:rPr>
                  </w:pPr>
                </w:p>
              </w:tc>
              <w:tc>
                <w:tcPr>
                  <w:tcW w:w="581" w:type="pct"/>
                  <w:tcBorders>
                    <w:tl2br w:val="nil"/>
                    <w:tr2bl w:val="nil"/>
                  </w:tcBorders>
                  <w:shd w:val="clear" w:color="auto" w:fill="FFFFFF"/>
                  <w:vAlign w:val="center"/>
                </w:tcPr>
                <w:p w14:paraId="1D35F2A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Arial" w:cs="Times New Roman"/>
                      <w:b w:val="0"/>
                      <w:bCs/>
                      <w:sz w:val="21"/>
                      <w:szCs w:val="21"/>
                    </w:rPr>
                  </w:pPr>
                  <w:r>
                    <w:rPr>
                      <w:rFonts w:hint="default" w:ascii="Times New Roman" w:hAnsi="Times New Roman" w:eastAsia="Arial" w:cs="Times New Roman"/>
                      <w:b w:val="0"/>
                      <w:bCs/>
                      <w:sz w:val="21"/>
                      <w:szCs w:val="21"/>
                    </w:rPr>
                    <w:t>-49.9</w:t>
                  </w:r>
                </w:p>
              </w:tc>
              <w:tc>
                <w:tcPr>
                  <w:tcW w:w="502" w:type="pct"/>
                  <w:tcBorders>
                    <w:tl2br w:val="nil"/>
                    <w:tr2bl w:val="nil"/>
                  </w:tcBorders>
                  <w:shd w:val="clear" w:color="auto" w:fill="FFFFFF"/>
                  <w:vAlign w:val="center"/>
                </w:tcPr>
                <w:p w14:paraId="2269932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Arial" w:cs="Times New Roman"/>
                      <w:b w:val="0"/>
                      <w:bCs/>
                      <w:sz w:val="21"/>
                      <w:szCs w:val="21"/>
                    </w:rPr>
                  </w:pPr>
                  <w:r>
                    <w:rPr>
                      <w:rFonts w:hint="default" w:ascii="Times New Roman" w:hAnsi="Times New Roman" w:eastAsia="Arial" w:cs="Times New Roman"/>
                      <w:b w:val="0"/>
                      <w:bCs/>
                      <w:sz w:val="21"/>
                      <w:szCs w:val="21"/>
                    </w:rPr>
                    <w:t>-23.5</w:t>
                  </w:r>
                </w:p>
              </w:tc>
              <w:tc>
                <w:tcPr>
                  <w:tcW w:w="446" w:type="pct"/>
                  <w:tcBorders>
                    <w:tl2br w:val="nil"/>
                    <w:tr2bl w:val="nil"/>
                  </w:tcBorders>
                  <w:shd w:val="clear" w:color="auto" w:fill="FFFFFF"/>
                  <w:vAlign w:val="center"/>
                </w:tcPr>
                <w:p w14:paraId="73103BB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Arial" w:cs="Times New Roman"/>
                      <w:b w:val="0"/>
                      <w:bCs/>
                      <w:sz w:val="21"/>
                      <w:szCs w:val="21"/>
                    </w:rPr>
                  </w:pPr>
                  <w:r>
                    <w:rPr>
                      <w:rFonts w:hint="default" w:ascii="Times New Roman" w:hAnsi="Times New Roman" w:eastAsia="Arial" w:cs="Times New Roman"/>
                      <w:b w:val="0"/>
                      <w:bCs/>
                      <w:sz w:val="21"/>
                      <w:szCs w:val="21"/>
                    </w:rPr>
                    <w:t>1.2</w:t>
                  </w:r>
                </w:p>
              </w:tc>
              <w:tc>
                <w:tcPr>
                  <w:tcW w:w="498" w:type="pct"/>
                  <w:tcBorders>
                    <w:tl2br w:val="nil"/>
                    <w:tr2bl w:val="nil"/>
                  </w:tcBorders>
                  <w:shd w:val="clear" w:color="auto" w:fill="FFFFFF"/>
                  <w:vAlign w:val="center"/>
                </w:tcPr>
                <w:p w14:paraId="1EE38FE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Arial" w:cs="Times New Roman"/>
                      <w:b w:val="0"/>
                      <w:bCs/>
                      <w:sz w:val="21"/>
                      <w:szCs w:val="21"/>
                    </w:rPr>
                  </w:pPr>
                  <w:r>
                    <w:rPr>
                      <w:rFonts w:hint="default" w:ascii="Times New Roman" w:hAnsi="Times New Roman" w:eastAsia="Arial" w:cs="Times New Roman"/>
                      <w:b w:val="0"/>
                      <w:bCs/>
                      <w:sz w:val="21"/>
                      <w:szCs w:val="21"/>
                    </w:rPr>
                    <w:t>夜间</w:t>
                  </w:r>
                </w:p>
              </w:tc>
              <w:tc>
                <w:tcPr>
                  <w:tcW w:w="793" w:type="pct"/>
                  <w:tcBorders>
                    <w:tl2br w:val="nil"/>
                    <w:tr2bl w:val="nil"/>
                  </w:tcBorders>
                  <w:shd w:val="clear" w:color="auto" w:fill="FFFFFF"/>
                  <w:vAlign w:val="center"/>
                </w:tcPr>
                <w:p w14:paraId="48A62F0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Arial" w:cs="Times New Roman"/>
                      <w:b w:val="0"/>
                      <w:bCs/>
                      <w:sz w:val="21"/>
                      <w:szCs w:val="21"/>
                    </w:rPr>
                    <w:t>38</w:t>
                  </w:r>
                  <w:r>
                    <w:rPr>
                      <w:rFonts w:hint="eastAsia" w:eastAsia="宋体" w:cs="Times New Roman"/>
                      <w:b w:val="0"/>
                      <w:bCs/>
                      <w:sz w:val="21"/>
                      <w:szCs w:val="21"/>
                      <w:lang w:val="en-US" w:eastAsia="zh-CN"/>
                    </w:rPr>
                    <w:t>.0</w:t>
                  </w:r>
                </w:p>
              </w:tc>
              <w:tc>
                <w:tcPr>
                  <w:tcW w:w="800" w:type="pct"/>
                  <w:tcBorders>
                    <w:tl2br w:val="nil"/>
                    <w:tr2bl w:val="nil"/>
                  </w:tcBorders>
                  <w:shd w:val="clear" w:color="auto" w:fill="FFFFFF"/>
                  <w:vAlign w:val="center"/>
                </w:tcPr>
                <w:p w14:paraId="66287CB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default" w:ascii="Times New Roman" w:hAnsi="Times New Roman" w:eastAsia="Arial" w:cs="Times New Roman"/>
                      <w:b w:val="0"/>
                      <w:bCs/>
                      <w:sz w:val="21"/>
                      <w:szCs w:val="21"/>
                    </w:rPr>
                  </w:pPr>
                  <w:r>
                    <w:rPr>
                      <w:rFonts w:hint="default" w:ascii="Times New Roman" w:hAnsi="Times New Roman" w:eastAsia="Arial" w:cs="Times New Roman"/>
                      <w:b w:val="0"/>
                      <w:bCs/>
                      <w:sz w:val="21"/>
                      <w:szCs w:val="21"/>
                      <w:lang w:val="en-US"/>
                    </w:rPr>
                    <w:t>5</w:t>
                  </w:r>
                  <w:r>
                    <w:rPr>
                      <w:rFonts w:hint="eastAsia" w:eastAsia="宋体" w:cs="Times New Roman"/>
                      <w:b w:val="0"/>
                      <w:bCs/>
                      <w:sz w:val="21"/>
                      <w:szCs w:val="21"/>
                      <w:lang w:val="en-US" w:eastAsia="zh-CN"/>
                    </w:rPr>
                    <w:t>5</w:t>
                  </w:r>
                </w:p>
              </w:tc>
              <w:tc>
                <w:tcPr>
                  <w:tcW w:w="752" w:type="pct"/>
                  <w:tcBorders>
                    <w:tl2br w:val="nil"/>
                    <w:tr2bl w:val="nil"/>
                  </w:tcBorders>
                  <w:shd w:val="clear" w:color="auto" w:fill="FFFFFF"/>
                  <w:vAlign w:val="center"/>
                </w:tcPr>
                <w:p w14:paraId="7DC31D1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Arial" w:cs="Times New Roman"/>
                      <w:b w:val="0"/>
                      <w:bCs/>
                      <w:sz w:val="21"/>
                      <w:szCs w:val="21"/>
                    </w:rPr>
                  </w:pPr>
                  <w:r>
                    <w:rPr>
                      <w:rFonts w:hint="default" w:ascii="Times New Roman" w:hAnsi="Times New Roman" w:eastAsia="Arial" w:cs="Times New Roman"/>
                      <w:b w:val="0"/>
                      <w:bCs/>
                      <w:sz w:val="21"/>
                      <w:szCs w:val="21"/>
                    </w:rPr>
                    <w:t>达标</w:t>
                  </w:r>
                </w:p>
              </w:tc>
            </w:tr>
            <w:tr w14:paraId="157690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23" w:hRule="atLeast"/>
                <w:jc w:val="center"/>
              </w:trPr>
              <w:tc>
                <w:tcPr>
                  <w:tcW w:w="626" w:type="pct"/>
                  <w:vMerge w:val="restart"/>
                  <w:tcBorders>
                    <w:tl2br w:val="nil"/>
                    <w:tr2bl w:val="nil"/>
                  </w:tcBorders>
                  <w:shd w:val="clear" w:color="auto" w:fill="FFFFFF"/>
                  <w:vAlign w:val="center"/>
                </w:tcPr>
                <w:p w14:paraId="789A34D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cs="Times New Roman"/>
                      <w:b w:val="0"/>
                      <w:bCs/>
                      <w:sz w:val="21"/>
                      <w:szCs w:val="21"/>
                    </w:rPr>
                  </w:pPr>
                  <w:r>
                    <w:rPr>
                      <w:rFonts w:hint="default" w:ascii="Times New Roman" w:hAnsi="Times New Roman" w:eastAsia="Arial" w:cs="Times New Roman"/>
                      <w:b w:val="0"/>
                      <w:bCs/>
                      <w:sz w:val="21"/>
                      <w:szCs w:val="21"/>
                    </w:rPr>
                    <w:t>西侧</w:t>
                  </w:r>
                </w:p>
              </w:tc>
              <w:tc>
                <w:tcPr>
                  <w:tcW w:w="581" w:type="pct"/>
                  <w:tcBorders>
                    <w:tl2br w:val="nil"/>
                    <w:tr2bl w:val="nil"/>
                  </w:tcBorders>
                  <w:shd w:val="clear" w:color="auto" w:fill="FFFFFF"/>
                  <w:vAlign w:val="center"/>
                </w:tcPr>
                <w:p w14:paraId="6356D6C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Arial" w:cs="Times New Roman"/>
                      <w:b w:val="0"/>
                      <w:bCs/>
                      <w:sz w:val="21"/>
                      <w:szCs w:val="21"/>
                    </w:rPr>
                  </w:pPr>
                  <w:r>
                    <w:rPr>
                      <w:rFonts w:hint="default" w:ascii="Times New Roman" w:hAnsi="Times New Roman" w:eastAsia="Arial" w:cs="Times New Roman"/>
                      <w:b w:val="0"/>
                      <w:bCs/>
                      <w:sz w:val="21"/>
                      <w:szCs w:val="21"/>
                    </w:rPr>
                    <w:t>-73.1</w:t>
                  </w:r>
                </w:p>
              </w:tc>
              <w:tc>
                <w:tcPr>
                  <w:tcW w:w="502" w:type="pct"/>
                  <w:tcBorders>
                    <w:tl2br w:val="nil"/>
                    <w:tr2bl w:val="nil"/>
                  </w:tcBorders>
                  <w:shd w:val="clear" w:color="auto" w:fill="FFFFFF"/>
                  <w:vAlign w:val="center"/>
                </w:tcPr>
                <w:p w14:paraId="3FEEE2C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Arial" w:cs="Times New Roman"/>
                      <w:b w:val="0"/>
                      <w:bCs/>
                      <w:sz w:val="21"/>
                      <w:szCs w:val="21"/>
                    </w:rPr>
                  </w:pPr>
                  <w:r>
                    <w:rPr>
                      <w:rFonts w:hint="default" w:ascii="Times New Roman" w:hAnsi="Times New Roman" w:eastAsia="Arial" w:cs="Times New Roman"/>
                      <w:b w:val="0"/>
                      <w:bCs/>
                      <w:sz w:val="21"/>
                      <w:szCs w:val="21"/>
                    </w:rPr>
                    <w:t>21.5</w:t>
                  </w:r>
                </w:p>
              </w:tc>
              <w:tc>
                <w:tcPr>
                  <w:tcW w:w="446" w:type="pct"/>
                  <w:tcBorders>
                    <w:tl2br w:val="nil"/>
                    <w:tr2bl w:val="nil"/>
                  </w:tcBorders>
                  <w:shd w:val="clear" w:color="auto" w:fill="FFFFFF"/>
                  <w:vAlign w:val="center"/>
                </w:tcPr>
                <w:p w14:paraId="0ED3A52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Arial" w:cs="Times New Roman"/>
                      <w:b w:val="0"/>
                      <w:bCs/>
                      <w:sz w:val="21"/>
                      <w:szCs w:val="21"/>
                    </w:rPr>
                  </w:pPr>
                  <w:r>
                    <w:rPr>
                      <w:rFonts w:hint="default" w:ascii="Times New Roman" w:hAnsi="Times New Roman" w:eastAsia="Arial" w:cs="Times New Roman"/>
                      <w:b w:val="0"/>
                      <w:bCs/>
                      <w:sz w:val="21"/>
                      <w:szCs w:val="21"/>
                    </w:rPr>
                    <w:t>1.2</w:t>
                  </w:r>
                </w:p>
              </w:tc>
              <w:tc>
                <w:tcPr>
                  <w:tcW w:w="498" w:type="pct"/>
                  <w:tcBorders>
                    <w:tl2br w:val="nil"/>
                    <w:tr2bl w:val="nil"/>
                  </w:tcBorders>
                  <w:shd w:val="clear" w:color="auto" w:fill="FFFFFF"/>
                  <w:vAlign w:val="center"/>
                </w:tcPr>
                <w:p w14:paraId="3006AD6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Arial" w:cs="Times New Roman"/>
                      <w:b w:val="0"/>
                      <w:bCs/>
                      <w:sz w:val="21"/>
                      <w:szCs w:val="21"/>
                    </w:rPr>
                  </w:pPr>
                  <w:r>
                    <w:rPr>
                      <w:rFonts w:hint="default" w:ascii="Times New Roman" w:hAnsi="Times New Roman" w:eastAsia="Arial" w:cs="Times New Roman"/>
                      <w:b w:val="0"/>
                      <w:bCs/>
                      <w:sz w:val="21"/>
                      <w:szCs w:val="21"/>
                    </w:rPr>
                    <w:t>昼间</w:t>
                  </w:r>
                </w:p>
              </w:tc>
              <w:tc>
                <w:tcPr>
                  <w:tcW w:w="793" w:type="pct"/>
                  <w:tcBorders>
                    <w:tl2br w:val="nil"/>
                    <w:tr2bl w:val="nil"/>
                  </w:tcBorders>
                  <w:shd w:val="clear" w:color="auto" w:fill="FFFFFF"/>
                  <w:vAlign w:val="center"/>
                </w:tcPr>
                <w:p w14:paraId="31054AF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Arial" w:cs="Times New Roman"/>
                      <w:b w:val="0"/>
                      <w:bCs/>
                      <w:sz w:val="21"/>
                      <w:szCs w:val="21"/>
                    </w:rPr>
                  </w:pPr>
                  <w:r>
                    <w:rPr>
                      <w:rFonts w:hint="default" w:ascii="Times New Roman" w:hAnsi="Times New Roman" w:eastAsia="Arial" w:cs="Times New Roman"/>
                      <w:b w:val="0"/>
                      <w:bCs/>
                      <w:sz w:val="21"/>
                      <w:szCs w:val="21"/>
                    </w:rPr>
                    <w:t>36.4</w:t>
                  </w:r>
                </w:p>
              </w:tc>
              <w:tc>
                <w:tcPr>
                  <w:tcW w:w="800" w:type="pct"/>
                  <w:tcBorders>
                    <w:tl2br w:val="nil"/>
                    <w:tr2bl w:val="nil"/>
                  </w:tcBorders>
                  <w:shd w:val="clear" w:color="auto" w:fill="FFFFFF"/>
                  <w:vAlign w:val="center"/>
                </w:tcPr>
                <w:p w14:paraId="6F38A1C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default" w:ascii="Times New Roman" w:hAnsi="Times New Roman" w:eastAsia="Arial" w:cs="Times New Roman"/>
                      <w:b w:val="0"/>
                      <w:bCs/>
                      <w:sz w:val="21"/>
                      <w:szCs w:val="21"/>
                      <w:lang w:val="en-US" w:eastAsia="zh-CN"/>
                    </w:rPr>
                  </w:pPr>
                  <w:r>
                    <w:rPr>
                      <w:rFonts w:hint="eastAsia" w:eastAsia="宋体" w:cs="Times New Roman"/>
                      <w:b w:val="0"/>
                      <w:bCs/>
                      <w:sz w:val="21"/>
                      <w:szCs w:val="21"/>
                      <w:lang w:eastAsia="zh-CN"/>
                    </w:rPr>
                    <w:t>6</w:t>
                  </w:r>
                  <w:r>
                    <w:rPr>
                      <w:rFonts w:hint="eastAsia" w:eastAsia="宋体" w:cs="Times New Roman"/>
                      <w:b w:val="0"/>
                      <w:bCs/>
                      <w:sz w:val="21"/>
                      <w:szCs w:val="21"/>
                      <w:lang w:val="en-US" w:eastAsia="zh-CN"/>
                    </w:rPr>
                    <w:t>5</w:t>
                  </w:r>
                </w:p>
              </w:tc>
              <w:tc>
                <w:tcPr>
                  <w:tcW w:w="752" w:type="pct"/>
                  <w:tcBorders>
                    <w:tl2br w:val="nil"/>
                    <w:tr2bl w:val="nil"/>
                  </w:tcBorders>
                  <w:shd w:val="clear" w:color="auto" w:fill="FFFFFF"/>
                  <w:vAlign w:val="center"/>
                </w:tcPr>
                <w:p w14:paraId="1D5809A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Arial" w:cs="Times New Roman"/>
                      <w:b w:val="0"/>
                      <w:bCs/>
                      <w:sz w:val="21"/>
                      <w:szCs w:val="21"/>
                    </w:rPr>
                  </w:pPr>
                  <w:r>
                    <w:rPr>
                      <w:rFonts w:hint="default" w:ascii="Times New Roman" w:hAnsi="Times New Roman" w:eastAsia="Arial" w:cs="Times New Roman"/>
                      <w:b w:val="0"/>
                      <w:bCs/>
                      <w:sz w:val="21"/>
                      <w:szCs w:val="21"/>
                    </w:rPr>
                    <w:t>达标</w:t>
                  </w:r>
                </w:p>
              </w:tc>
            </w:tr>
            <w:tr w14:paraId="0B9AAC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23" w:hRule="atLeast"/>
                <w:jc w:val="center"/>
              </w:trPr>
              <w:tc>
                <w:tcPr>
                  <w:tcW w:w="626" w:type="pct"/>
                  <w:vMerge w:val="continue"/>
                  <w:tcBorders>
                    <w:tl2br w:val="nil"/>
                    <w:tr2bl w:val="nil"/>
                  </w:tcBorders>
                  <w:shd w:val="clear" w:color="auto" w:fill="FFFFFF"/>
                  <w:vAlign w:val="center"/>
                </w:tcPr>
                <w:p w14:paraId="0115FDF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cs="Times New Roman"/>
                      <w:b w:val="0"/>
                      <w:bCs/>
                      <w:sz w:val="21"/>
                      <w:szCs w:val="21"/>
                    </w:rPr>
                  </w:pPr>
                </w:p>
              </w:tc>
              <w:tc>
                <w:tcPr>
                  <w:tcW w:w="581" w:type="pct"/>
                  <w:tcBorders>
                    <w:tl2br w:val="nil"/>
                    <w:tr2bl w:val="nil"/>
                  </w:tcBorders>
                  <w:shd w:val="clear" w:color="auto" w:fill="FFFFFF"/>
                  <w:vAlign w:val="center"/>
                </w:tcPr>
                <w:p w14:paraId="32EBBE7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Arial" w:cs="Times New Roman"/>
                      <w:b w:val="0"/>
                      <w:bCs/>
                      <w:sz w:val="21"/>
                      <w:szCs w:val="21"/>
                    </w:rPr>
                  </w:pPr>
                  <w:r>
                    <w:rPr>
                      <w:rFonts w:hint="default" w:ascii="Times New Roman" w:hAnsi="Times New Roman" w:eastAsia="Arial" w:cs="Times New Roman"/>
                      <w:b w:val="0"/>
                      <w:bCs/>
                      <w:sz w:val="21"/>
                      <w:szCs w:val="21"/>
                    </w:rPr>
                    <w:t>-73.1</w:t>
                  </w:r>
                </w:p>
              </w:tc>
              <w:tc>
                <w:tcPr>
                  <w:tcW w:w="502" w:type="pct"/>
                  <w:tcBorders>
                    <w:tl2br w:val="nil"/>
                    <w:tr2bl w:val="nil"/>
                  </w:tcBorders>
                  <w:shd w:val="clear" w:color="auto" w:fill="FFFFFF"/>
                  <w:vAlign w:val="center"/>
                </w:tcPr>
                <w:p w14:paraId="0938A28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Arial" w:cs="Times New Roman"/>
                      <w:b w:val="0"/>
                      <w:bCs/>
                      <w:sz w:val="21"/>
                      <w:szCs w:val="21"/>
                    </w:rPr>
                  </w:pPr>
                  <w:r>
                    <w:rPr>
                      <w:rFonts w:hint="default" w:ascii="Times New Roman" w:hAnsi="Times New Roman" w:eastAsia="Arial" w:cs="Times New Roman"/>
                      <w:b w:val="0"/>
                      <w:bCs/>
                      <w:sz w:val="21"/>
                      <w:szCs w:val="21"/>
                    </w:rPr>
                    <w:t>21.5</w:t>
                  </w:r>
                </w:p>
              </w:tc>
              <w:tc>
                <w:tcPr>
                  <w:tcW w:w="446" w:type="pct"/>
                  <w:tcBorders>
                    <w:tl2br w:val="nil"/>
                    <w:tr2bl w:val="nil"/>
                  </w:tcBorders>
                  <w:shd w:val="clear" w:color="auto" w:fill="FFFFFF"/>
                  <w:vAlign w:val="center"/>
                </w:tcPr>
                <w:p w14:paraId="3910039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Arial" w:cs="Times New Roman"/>
                      <w:b w:val="0"/>
                      <w:bCs/>
                      <w:sz w:val="21"/>
                      <w:szCs w:val="21"/>
                    </w:rPr>
                  </w:pPr>
                  <w:r>
                    <w:rPr>
                      <w:rFonts w:hint="default" w:ascii="Times New Roman" w:hAnsi="Times New Roman" w:eastAsia="Arial" w:cs="Times New Roman"/>
                      <w:b w:val="0"/>
                      <w:bCs/>
                      <w:sz w:val="21"/>
                      <w:szCs w:val="21"/>
                    </w:rPr>
                    <w:t>1.2</w:t>
                  </w:r>
                </w:p>
              </w:tc>
              <w:tc>
                <w:tcPr>
                  <w:tcW w:w="498" w:type="pct"/>
                  <w:tcBorders>
                    <w:tl2br w:val="nil"/>
                    <w:tr2bl w:val="nil"/>
                  </w:tcBorders>
                  <w:shd w:val="clear" w:color="auto" w:fill="FFFFFF"/>
                  <w:vAlign w:val="center"/>
                </w:tcPr>
                <w:p w14:paraId="18328C9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Arial" w:cs="Times New Roman"/>
                      <w:b w:val="0"/>
                      <w:bCs/>
                      <w:sz w:val="21"/>
                      <w:szCs w:val="21"/>
                    </w:rPr>
                  </w:pPr>
                  <w:r>
                    <w:rPr>
                      <w:rFonts w:hint="default" w:ascii="Times New Roman" w:hAnsi="Times New Roman" w:eastAsia="Arial" w:cs="Times New Roman"/>
                      <w:b w:val="0"/>
                      <w:bCs/>
                      <w:sz w:val="21"/>
                      <w:szCs w:val="21"/>
                    </w:rPr>
                    <w:t>夜间</w:t>
                  </w:r>
                </w:p>
              </w:tc>
              <w:tc>
                <w:tcPr>
                  <w:tcW w:w="793" w:type="pct"/>
                  <w:tcBorders>
                    <w:tl2br w:val="nil"/>
                    <w:tr2bl w:val="nil"/>
                  </w:tcBorders>
                  <w:shd w:val="clear" w:color="auto" w:fill="FFFFFF"/>
                  <w:vAlign w:val="center"/>
                </w:tcPr>
                <w:p w14:paraId="270DA16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Arial" w:cs="Times New Roman"/>
                      <w:b w:val="0"/>
                      <w:bCs/>
                      <w:sz w:val="21"/>
                      <w:szCs w:val="21"/>
                    </w:rPr>
                  </w:pPr>
                  <w:r>
                    <w:rPr>
                      <w:rFonts w:hint="default" w:ascii="Times New Roman" w:hAnsi="Times New Roman" w:eastAsia="Arial" w:cs="Times New Roman"/>
                      <w:b w:val="0"/>
                      <w:bCs/>
                      <w:sz w:val="21"/>
                      <w:szCs w:val="21"/>
                    </w:rPr>
                    <w:t>36.4</w:t>
                  </w:r>
                </w:p>
              </w:tc>
              <w:tc>
                <w:tcPr>
                  <w:tcW w:w="800" w:type="pct"/>
                  <w:tcBorders>
                    <w:tl2br w:val="nil"/>
                    <w:tr2bl w:val="nil"/>
                  </w:tcBorders>
                  <w:shd w:val="clear" w:color="auto" w:fill="FFFFFF"/>
                  <w:vAlign w:val="center"/>
                </w:tcPr>
                <w:p w14:paraId="019C813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default" w:ascii="Times New Roman" w:hAnsi="Times New Roman" w:eastAsia="Arial" w:cs="Times New Roman"/>
                      <w:b w:val="0"/>
                      <w:bCs/>
                      <w:sz w:val="21"/>
                      <w:szCs w:val="21"/>
                    </w:rPr>
                  </w:pPr>
                  <w:r>
                    <w:rPr>
                      <w:rFonts w:hint="default" w:ascii="Times New Roman" w:hAnsi="Times New Roman" w:eastAsia="Arial" w:cs="Times New Roman"/>
                      <w:b w:val="0"/>
                      <w:bCs/>
                      <w:sz w:val="21"/>
                      <w:szCs w:val="21"/>
                      <w:lang w:val="en-US"/>
                    </w:rPr>
                    <w:t>5</w:t>
                  </w:r>
                  <w:r>
                    <w:rPr>
                      <w:rFonts w:hint="eastAsia" w:eastAsia="宋体" w:cs="Times New Roman"/>
                      <w:b w:val="0"/>
                      <w:bCs/>
                      <w:sz w:val="21"/>
                      <w:szCs w:val="21"/>
                      <w:lang w:val="en-US" w:eastAsia="zh-CN"/>
                    </w:rPr>
                    <w:t>5</w:t>
                  </w:r>
                </w:p>
              </w:tc>
              <w:tc>
                <w:tcPr>
                  <w:tcW w:w="752" w:type="pct"/>
                  <w:tcBorders>
                    <w:tl2br w:val="nil"/>
                    <w:tr2bl w:val="nil"/>
                  </w:tcBorders>
                  <w:shd w:val="clear" w:color="auto" w:fill="FFFFFF"/>
                  <w:vAlign w:val="center"/>
                </w:tcPr>
                <w:p w14:paraId="55DD19D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Arial" w:cs="Times New Roman"/>
                      <w:b w:val="0"/>
                      <w:bCs/>
                      <w:sz w:val="21"/>
                      <w:szCs w:val="21"/>
                    </w:rPr>
                  </w:pPr>
                  <w:r>
                    <w:rPr>
                      <w:rFonts w:hint="default" w:ascii="Times New Roman" w:hAnsi="Times New Roman" w:eastAsia="Arial" w:cs="Times New Roman"/>
                      <w:b w:val="0"/>
                      <w:bCs/>
                      <w:sz w:val="21"/>
                      <w:szCs w:val="21"/>
                    </w:rPr>
                    <w:t>达标</w:t>
                  </w:r>
                </w:p>
              </w:tc>
            </w:tr>
            <w:tr w14:paraId="3745E0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23" w:hRule="atLeast"/>
                <w:jc w:val="center"/>
              </w:trPr>
              <w:tc>
                <w:tcPr>
                  <w:tcW w:w="626" w:type="pct"/>
                  <w:vMerge w:val="restart"/>
                  <w:tcBorders>
                    <w:tl2br w:val="nil"/>
                    <w:tr2bl w:val="nil"/>
                  </w:tcBorders>
                  <w:shd w:val="clear" w:color="auto" w:fill="FFFFFF"/>
                  <w:vAlign w:val="center"/>
                </w:tcPr>
                <w:p w14:paraId="24F27BC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cs="Times New Roman"/>
                      <w:b w:val="0"/>
                      <w:bCs/>
                      <w:sz w:val="21"/>
                      <w:szCs w:val="21"/>
                    </w:rPr>
                  </w:pPr>
                  <w:r>
                    <w:rPr>
                      <w:rFonts w:hint="default" w:ascii="Times New Roman" w:hAnsi="Times New Roman" w:eastAsia="Arial" w:cs="Times New Roman"/>
                      <w:b w:val="0"/>
                      <w:bCs/>
                      <w:sz w:val="21"/>
                      <w:szCs w:val="21"/>
                    </w:rPr>
                    <w:t>北侧</w:t>
                  </w:r>
                </w:p>
              </w:tc>
              <w:tc>
                <w:tcPr>
                  <w:tcW w:w="581" w:type="pct"/>
                  <w:tcBorders>
                    <w:tl2br w:val="nil"/>
                    <w:tr2bl w:val="nil"/>
                  </w:tcBorders>
                  <w:shd w:val="clear" w:color="auto" w:fill="FFFFFF"/>
                  <w:vAlign w:val="center"/>
                </w:tcPr>
                <w:p w14:paraId="21E929C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Arial" w:cs="Times New Roman"/>
                      <w:b w:val="0"/>
                      <w:bCs/>
                      <w:sz w:val="21"/>
                      <w:szCs w:val="21"/>
                    </w:rPr>
                  </w:pPr>
                  <w:r>
                    <w:rPr>
                      <w:rFonts w:hint="default" w:ascii="Times New Roman" w:hAnsi="Times New Roman" w:eastAsia="Arial" w:cs="Times New Roman"/>
                      <w:b w:val="0"/>
                      <w:bCs/>
                      <w:sz w:val="21"/>
                      <w:szCs w:val="21"/>
                    </w:rPr>
                    <w:t>-34.1</w:t>
                  </w:r>
                </w:p>
              </w:tc>
              <w:tc>
                <w:tcPr>
                  <w:tcW w:w="502" w:type="pct"/>
                  <w:tcBorders>
                    <w:tl2br w:val="nil"/>
                    <w:tr2bl w:val="nil"/>
                  </w:tcBorders>
                  <w:shd w:val="clear" w:color="auto" w:fill="FFFFFF"/>
                  <w:vAlign w:val="center"/>
                </w:tcPr>
                <w:p w14:paraId="483A722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Arial" w:cs="Times New Roman"/>
                      <w:b w:val="0"/>
                      <w:bCs/>
                      <w:sz w:val="21"/>
                      <w:szCs w:val="21"/>
                    </w:rPr>
                  </w:pPr>
                  <w:r>
                    <w:rPr>
                      <w:rFonts w:hint="default" w:ascii="Times New Roman" w:hAnsi="Times New Roman" w:eastAsia="Arial" w:cs="Times New Roman"/>
                      <w:b w:val="0"/>
                      <w:bCs/>
                      <w:sz w:val="21"/>
                      <w:szCs w:val="21"/>
                    </w:rPr>
                    <w:t>23.5</w:t>
                  </w:r>
                </w:p>
              </w:tc>
              <w:tc>
                <w:tcPr>
                  <w:tcW w:w="446" w:type="pct"/>
                  <w:tcBorders>
                    <w:tl2br w:val="nil"/>
                    <w:tr2bl w:val="nil"/>
                  </w:tcBorders>
                  <w:shd w:val="clear" w:color="auto" w:fill="FFFFFF"/>
                  <w:vAlign w:val="center"/>
                </w:tcPr>
                <w:p w14:paraId="4ABB958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Arial" w:cs="Times New Roman"/>
                      <w:b w:val="0"/>
                      <w:bCs/>
                      <w:sz w:val="21"/>
                      <w:szCs w:val="21"/>
                    </w:rPr>
                  </w:pPr>
                  <w:r>
                    <w:rPr>
                      <w:rFonts w:hint="default" w:ascii="Times New Roman" w:hAnsi="Times New Roman" w:eastAsia="Arial" w:cs="Times New Roman"/>
                      <w:b w:val="0"/>
                      <w:bCs/>
                      <w:sz w:val="21"/>
                      <w:szCs w:val="21"/>
                    </w:rPr>
                    <w:t>1.2</w:t>
                  </w:r>
                </w:p>
              </w:tc>
              <w:tc>
                <w:tcPr>
                  <w:tcW w:w="498" w:type="pct"/>
                  <w:tcBorders>
                    <w:tl2br w:val="nil"/>
                    <w:tr2bl w:val="nil"/>
                  </w:tcBorders>
                  <w:shd w:val="clear" w:color="auto" w:fill="FFFFFF"/>
                  <w:vAlign w:val="center"/>
                </w:tcPr>
                <w:p w14:paraId="668D9CC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Arial" w:cs="Times New Roman"/>
                      <w:b w:val="0"/>
                      <w:bCs/>
                      <w:sz w:val="21"/>
                      <w:szCs w:val="21"/>
                    </w:rPr>
                  </w:pPr>
                  <w:r>
                    <w:rPr>
                      <w:rFonts w:hint="default" w:ascii="Times New Roman" w:hAnsi="Times New Roman" w:eastAsia="Arial" w:cs="Times New Roman"/>
                      <w:b w:val="0"/>
                      <w:bCs/>
                      <w:sz w:val="21"/>
                      <w:szCs w:val="21"/>
                    </w:rPr>
                    <w:t>昼间</w:t>
                  </w:r>
                </w:p>
              </w:tc>
              <w:tc>
                <w:tcPr>
                  <w:tcW w:w="793" w:type="pct"/>
                  <w:tcBorders>
                    <w:tl2br w:val="nil"/>
                    <w:tr2bl w:val="nil"/>
                  </w:tcBorders>
                  <w:shd w:val="clear" w:color="auto" w:fill="FFFFFF"/>
                  <w:vAlign w:val="center"/>
                </w:tcPr>
                <w:p w14:paraId="6C76660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Arial" w:cs="Times New Roman"/>
                      <w:b w:val="0"/>
                      <w:bCs/>
                      <w:sz w:val="21"/>
                      <w:szCs w:val="21"/>
                    </w:rPr>
                  </w:pPr>
                  <w:r>
                    <w:rPr>
                      <w:rFonts w:hint="default" w:ascii="Times New Roman" w:hAnsi="Times New Roman" w:eastAsia="Arial" w:cs="Times New Roman"/>
                      <w:b w:val="0"/>
                      <w:bCs/>
                      <w:sz w:val="21"/>
                      <w:szCs w:val="21"/>
                    </w:rPr>
                    <w:t>46.4</w:t>
                  </w:r>
                </w:p>
              </w:tc>
              <w:tc>
                <w:tcPr>
                  <w:tcW w:w="800" w:type="pct"/>
                  <w:tcBorders>
                    <w:tl2br w:val="nil"/>
                    <w:tr2bl w:val="nil"/>
                  </w:tcBorders>
                  <w:shd w:val="clear" w:color="auto" w:fill="FFFFFF"/>
                  <w:vAlign w:val="center"/>
                </w:tcPr>
                <w:p w14:paraId="2551914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default" w:ascii="Times New Roman" w:hAnsi="Times New Roman" w:eastAsia="Arial" w:cs="Times New Roman"/>
                      <w:b w:val="0"/>
                      <w:bCs/>
                      <w:sz w:val="21"/>
                      <w:szCs w:val="21"/>
                    </w:rPr>
                  </w:pPr>
                  <w:r>
                    <w:rPr>
                      <w:rFonts w:hint="eastAsia" w:eastAsia="宋体" w:cs="Times New Roman"/>
                      <w:b w:val="0"/>
                      <w:bCs/>
                      <w:sz w:val="21"/>
                      <w:szCs w:val="21"/>
                      <w:lang w:eastAsia="zh-CN"/>
                    </w:rPr>
                    <w:t>6</w:t>
                  </w:r>
                  <w:r>
                    <w:rPr>
                      <w:rFonts w:hint="eastAsia" w:eastAsia="宋体" w:cs="Times New Roman"/>
                      <w:b w:val="0"/>
                      <w:bCs/>
                      <w:sz w:val="21"/>
                      <w:szCs w:val="21"/>
                      <w:lang w:val="en-US" w:eastAsia="zh-CN"/>
                    </w:rPr>
                    <w:t>5</w:t>
                  </w:r>
                </w:p>
              </w:tc>
              <w:tc>
                <w:tcPr>
                  <w:tcW w:w="752" w:type="pct"/>
                  <w:tcBorders>
                    <w:tl2br w:val="nil"/>
                    <w:tr2bl w:val="nil"/>
                  </w:tcBorders>
                  <w:shd w:val="clear" w:color="auto" w:fill="FFFFFF"/>
                  <w:vAlign w:val="center"/>
                </w:tcPr>
                <w:p w14:paraId="02FAC69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Arial" w:cs="Times New Roman"/>
                      <w:b w:val="0"/>
                      <w:bCs/>
                      <w:sz w:val="21"/>
                      <w:szCs w:val="21"/>
                    </w:rPr>
                  </w:pPr>
                  <w:r>
                    <w:rPr>
                      <w:rFonts w:hint="default" w:ascii="Times New Roman" w:hAnsi="Times New Roman" w:eastAsia="Arial" w:cs="Times New Roman"/>
                      <w:b w:val="0"/>
                      <w:bCs/>
                      <w:sz w:val="21"/>
                      <w:szCs w:val="21"/>
                    </w:rPr>
                    <w:t>达标</w:t>
                  </w:r>
                </w:p>
              </w:tc>
            </w:tr>
            <w:tr w14:paraId="58420A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23" w:hRule="atLeast"/>
                <w:jc w:val="center"/>
              </w:trPr>
              <w:tc>
                <w:tcPr>
                  <w:tcW w:w="626" w:type="pct"/>
                  <w:vMerge w:val="continue"/>
                  <w:tcBorders>
                    <w:tl2br w:val="nil"/>
                    <w:tr2bl w:val="nil"/>
                  </w:tcBorders>
                  <w:shd w:val="clear" w:color="auto" w:fill="FFFFFF"/>
                  <w:vAlign w:val="center"/>
                </w:tcPr>
                <w:p w14:paraId="51A5440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cs="Times New Roman"/>
                      <w:b w:val="0"/>
                      <w:bCs/>
                      <w:sz w:val="21"/>
                      <w:szCs w:val="21"/>
                    </w:rPr>
                  </w:pPr>
                </w:p>
              </w:tc>
              <w:tc>
                <w:tcPr>
                  <w:tcW w:w="581" w:type="pct"/>
                  <w:tcBorders>
                    <w:tl2br w:val="nil"/>
                    <w:tr2bl w:val="nil"/>
                  </w:tcBorders>
                  <w:shd w:val="clear" w:color="auto" w:fill="FFFFFF"/>
                  <w:vAlign w:val="center"/>
                </w:tcPr>
                <w:p w14:paraId="5AADF05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Arial" w:cs="Times New Roman"/>
                      <w:b w:val="0"/>
                      <w:bCs/>
                      <w:sz w:val="21"/>
                      <w:szCs w:val="21"/>
                    </w:rPr>
                  </w:pPr>
                  <w:r>
                    <w:rPr>
                      <w:rFonts w:hint="default" w:ascii="Times New Roman" w:hAnsi="Times New Roman" w:eastAsia="Arial" w:cs="Times New Roman"/>
                      <w:b w:val="0"/>
                      <w:bCs/>
                      <w:sz w:val="21"/>
                      <w:szCs w:val="21"/>
                    </w:rPr>
                    <w:t>-34.1</w:t>
                  </w:r>
                </w:p>
              </w:tc>
              <w:tc>
                <w:tcPr>
                  <w:tcW w:w="502" w:type="pct"/>
                  <w:tcBorders>
                    <w:tl2br w:val="nil"/>
                    <w:tr2bl w:val="nil"/>
                  </w:tcBorders>
                  <w:shd w:val="clear" w:color="auto" w:fill="FFFFFF"/>
                  <w:vAlign w:val="center"/>
                </w:tcPr>
                <w:p w14:paraId="60F2896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Arial" w:cs="Times New Roman"/>
                      <w:b w:val="0"/>
                      <w:bCs/>
                      <w:sz w:val="21"/>
                      <w:szCs w:val="21"/>
                    </w:rPr>
                  </w:pPr>
                  <w:r>
                    <w:rPr>
                      <w:rFonts w:hint="default" w:ascii="Times New Roman" w:hAnsi="Times New Roman" w:eastAsia="Arial" w:cs="Times New Roman"/>
                      <w:b w:val="0"/>
                      <w:bCs/>
                      <w:sz w:val="21"/>
                      <w:szCs w:val="21"/>
                    </w:rPr>
                    <w:t>23.5</w:t>
                  </w:r>
                </w:p>
              </w:tc>
              <w:tc>
                <w:tcPr>
                  <w:tcW w:w="446" w:type="pct"/>
                  <w:tcBorders>
                    <w:tl2br w:val="nil"/>
                    <w:tr2bl w:val="nil"/>
                  </w:tcBorders>
                  <w:shd w:val="clear" w:color="auto" w:fill="FFFFFF"/>
                  <w:vAlign w:val="center"/>
                </w:tcPr>
                <w:p w14:paraId="0FDE803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Arial" w:cs="Times New Roman"/>
                      <w:b w:val="0"/>
                      <w:bCs/>
                      <w:sz w:val="21"/>
                      <w:szCs w:val="21"/>
                    </w:rPr>
                  </w:pPr>
                  <w:r>
                    <w:rPr>
                      <w:rFonts w:hint="default" w:ascii="Times New Roman" w:hAnsi="Times New Roman" w:eastAsia="Arial" w:cs="Times New Roman"/>
                      <w:b w:val="0"/>
                      <w:bCs/>
                      <w:sz w:val="21"/>
                      <w:szCs w:val="21"/>
                    </w:rPr>
                    <w:t>1.2</w:t>
                  </w:r>
                </w:p>
              </w:tc>
              <w:tc>
                <w:tcPr>
                  <w:tcW w:w="498" w:type="pct"/>
                  <w:tcBorders>
                    <w:tl2br w:val="nil"/>
                    <w:tr2bl w:val="nil"/>
                  </w:tcBorders>
                  <w:shd w:val="clear" w:color="auto" w:fill="FFFFFF"/>
                  <w:vAlign w:val="center"/>
                </w:tcPr>
                <w:p w14:paraId="1E15E40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Arial" w:cs="Times New Roman"/>
                      <w:b w:val="0"/>
                      <w:bCs/>
                      <w:sz w:val="21"/>
                      <w:szCs w:val="21"/>
                    </w:rPr>
                  </w:pPr>
                  <w:r>
                    <w:rPr>
                      <w:rFonts w:hint="default" w:ascii="Times New Roman" w:hAnsi="Times New Roman" w:eastAsia="Arial" w:cs="Times New Roman"/>
                      <w:b w:val="0"/>
                      <w:bCs/>
                      <w:sz w:val="21"/>
                      <w:szCs w:val="21"/>
                    </w:rPr>
                    <w:t>夜间</w:t>
                  </w:r>
                </w:p>
              </w:tc>
              <w:tc>
                <w:tcPr>
                  <w:tcW w:w="793" w:type="pct"/>
                  <w:tcBorders>
                    <w:tl2br w:val="nil"/>
                    <w:tr2bl w:val="nil"/>
                  </w:tcBorders>
                  <w:shd w:val="clear" w:color="auto" w:fill="FFFFFF"/>
                  <w:vAlign w:val="center"/>
                </w:tcPr>
                <w:p w14:paraId="3CFEE3B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Arial" w:cs="Times New Roman"/>
                      <w:b w:val="0"/>
                      <w:bCs/>
                      <w:sz w:val="21"/>
                      <w:szCs w:val="21"/>
                    </w:rPr>
                  </w:pPr>
                  <w:r>
                    <w:rPr>
                      <w:rFonts w:hint="default" w:ascii="Times New Roman" w:hAnsi="Times New Roman" w:eastAsia="Arial" w:cs="Times New Roman"/>
                      <w:b w:val="0"/>
                      <w:bCs/>
                      <w:sz w:val="21"/>
                      <w:szCs w:val="21"/>
                    </w:rPr>
                    <w:t>46.4</w:t>
                  </w:r>
                </w:p>
              </w:tc>
              <w:tc>
                <w:tcPr>
                  <w:tcW w:w="800" w:type="pct"/>
                  <w:tcBorders>
                    <w:tl2br w:val="nil"/>
                    <w:tr2bl w:val="nil"/>
                  </w:tcBorders>
                  <w:shd w:val="clear" w:color="auto" w:fill="FFFFFF"/>
                  <w:vAlign w:val="center"/>
                </w:tcPr>
                <w:p w14:paraId="2B6E576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default" w:ascii="Times New Roman" w:hAnsi="Times New Roman" w:eastAsia="Arial" w:cs="Times New Roman"/>
                      <w:b w:val="0"/>
                      <w:bCs/>
                      <w:sz w:val="21"/>
                      <w:szCs w:val="21"/>
                    </w:rPr>
                  </w:pPr>
                  <w:r>
                    <w:rPr>
                      <w:rFonts w:hint="default" w:ascii="Times New Roman" w:hAnsi="Times New Roman" w:eastAsia="Arial" w:cs="Times New Roman"/>
                      <w:b w:val="0"/>
                      <w:bCs/>
                      <w:sz w:val="21"/>
                      <w:szCs w:val="21"/>
                      <w:lang w:val="en-US"/>
                    </w:rPr>
                    <w:t>5</w:t>
                  </w:r>
                  <w:r>
                    <w:rPr>
                      <w:rFonts w:hint="eastAsia" w:eastAsia="宋体" w:cs="Times New Roman"/>
                      <w:b w:val="0"/>
                      <w:bCs/>
                      <w:sz w:val="21"/>
                      <w:szCs w:val="21"/>
                      <w:lang w:val="en-US" w:eastAsia="zh-CN"/>
                    </w:rPr>
                    <w:t>5</w:t>
                  </w:r>
                </w:p>
              </w:tc>
              <w:tc>
                <w:tcPr>
                  <w:tcW w:w="752" w:type="pct"/>
                  <w:tcBorders>
                    <w:tl2br w:val="nil"/>
                    <w:tr2bl w:val="nil"/>
                  </w:tcBorders>
                  <w:shd w:val="clear" w:color="auto" w:fill="FFFFFF"/>
                  <w:vAlign w:val="center"/>
                </w:tcPr>
                <w:p w14:paraId="7E58257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Arial" w:cs="Times New Roman"/>
                      <w:b w:val="0"/>
                      <w:bCs/>
                      <w:sz w:val="21"/>
                      <w:szCs w:val="21"/>
                    </w:rPr>
                  </w:pPr>
                  <w:r>
                    <w:rPr>
                      <w:rFonts w:hint="default" w:ascii="Times New Roman" w:hAnsi="Times New Roman" w:eastAsia="Arial" w:cs="Times New Roman"/>
                      <w:b w:val="0"/>
                      <w:bCs/>
                      <w:sz w:val="21"/>
                      <w:szCs w:val="21"/>
                    </w:rPr>
                    <w:t>达标</w:t>
                  </w:r>
                </w:p>
              </w:tc>
            </w:tr>
          </w:tbl>
          <w:p w14:paraId="2998BF75">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520" w:lineRule="exact"/>
              <w:ind w:left="0" w:leftChars="0" w:right="0" w:rightChars="0" w:firstLine="600" w:firstLineChars="250"/>
              <w:textAlignment w:val="auto"/>
              <w:outlineLvl w:val="9"/>
              <w:rPr>
                <w:rFonts w:hint="default"/>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由表可知，</w:t>
            </w:r>
            <w:r>
              <w:rPr>
                <w:rFonts w:hint="eastAsia" w:cs="Times New Roman"/>
                <w:color w:val="000000" w:themeColor="text1"/>
                <w:sz w:val="24"/>
                <w:szCs w:val="24"/>
                <w:lang w:val="en-US" w:eastAsia="zh-CN"/>
                <w14:textFill>
                  <w14:solidFill>
                    <w14:schemeClr w14:val="tx1"/>
                  </w14:solidFill>
                </w14:textFill>
              </w:rPr>
              <w:t>项目各厂界噪声贡献值均</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能够</w:t>
            </w:r>
            <w:r>
              <w:rPr>
                <w:rFonts w:hint="default"/>
                <w:color w:val="000000" w:themeColor="text1"/>
                <w:sz w:val="24"/>
                <w:szCs w:val="24"/>
                <w:lang w:val="en-US" w:eastAsia="zh-CN"/>
                <w14:textFill>
                  <w14:solidFill>
                    <w14:schemeClr w14:val="tx1"/>
                  </w14:solidFill>
                </w14:textFill>
              </w:rPr>
              <w:t>满足</w:t>
            </w:r>
            <w:r>
              <w:rPr>
                <w:rFonts w:hint="default"/>
                <w:color w:val="000000" w:themeColor="text1"/>
                <w:sz w:val="24"/>
                <w14:textFill>
                  <w14:solidFill>
                    <w14:schemeClr w14:val="tx1"/>
                  </w14:solidFill>
                </w14:textFill>
              </w:rPr>
              <w:t>《工业企业厂界环境噪声排放标准》（GB12348-2008）</w:t>
            </w:r>
            <w:r>
              <w:rPr>
                <w:rFonts w:hint="eastAsia"/>
                <w:color w:val="000000" w:themeColor="text1"/>
                <w:sz w:val="24"/>
                <w:lang w:val="en-US" w:eastAsia="zh-CN"/>
                <w14:textFill>
                  <w14:solidFill>
                    <w14:schemeClr w14:val="tx1"/>
                  </w14:solidFill>
                </w14:textFill>
              </w:rPr>
              <w:t>3</w:t>
            </w:r>
            <w:r>
              <w:rPr>
                <w:rFonts w:hint="default"/>
                <w:color w:val="000000" w:themeColor="text1"/>
                <w:sz w:val="24"/>
                <w14:textFill>
                  <w14:solidFill>
                    <w14:schemeClr w14:val="tx1"/>
                  </w14:solidFill>
                </w14:textFill>
              </w:rPr>
              <w:t>类</w:t>
            </w:r>
            <w:r>
              <w:rPr>
                <w:rFonts w:hint="default"/>
                <w:color w:val="000000" w:themeColor="text1"/>
                <w:sz w:val="24"/>
                <w:lang w:val="en-US" w:eastAsia="zh-CN"/>
                <w14:textFill>
                  <w14:solidFill>
                    <w14:schemeClr w14:val="tx1"/>
                  </w14:solidFill>
                </w14:textFill>
              </w:rPr>
              <w:t>标准要求</w:t>
            </w:r>
            <w:r>
              <w:rPr>
                <w:rFonts w:hint="default"/>
                <w:color w:val="000000" w:themeColor="text1"/>
                <w:sz w:val="24"/>
                <w:szCs w:val="24"/>
                <w14:textFill>
                  <w14:solidFill>
                    <w14:schemeClr w14:val="tx1"/>
                  </w14:solidFill>
                </w14:textFill>
              </w:rPr>
              <w:t>。</w:t>
            </w:r>
          </w:p>
          <w:p w14:paraId="232E9265">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520" w:lineRule="exact"/>
              <w:ind w:left="0" w:right="0" w:firstLine="480" w:firstLineChars="200"/>
              <w:jc w:val="left"/>
              <w:textAlignment w:val="auto"/>
              <w:rPr>
                <w:rFonts w:hint="default"/>
                <w:color w:val="000000" w:themeColor="text1"/>
                <w:sz w:val="24"/>
                <w:szCs w:val="24"/>
                <w:highlight w:val="yellow"/>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3、噪声监测计划</w:t>
            </w:r>
          </w:p>
          <w:p w14:paraId="261AE986">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520" w:lineRule="exact"/>
              <w:ind w:left="0" w:right="0" w:firstLine="480" w:firstLineChars="200"/>
              <w:textAlignment w:val="auto"/>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eastAsia="宋体" w:cs="Times New Roman"/>
                <w:color w:val="000000" w:themeColor="text1"/>
                <w:sz w:val="24"/>
                <w:lang w:val="en-US" w:eastAsia="zh-CN"/>
                <w14:textFill>
                  <w14:solidFill>
                    <w14:schemeClr w14:val="tx1"/>
                  </w14:solidFill>
                </w14:textFill>
              </w:rPr>
              <w:t>参照《排污许可证申请与核发技术规范 工业噪声》（HJ1301-2023）的有关规定，项目噪声监测计划如下。</w:t>
            </w:r>
          </w:p>
          <w:p w14:paraId="1DC10366">
            <w:pPr>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520" w:lineRule="exact"/>
              <w:ind w:left="0" w:right="0"/>
              <w:jc w:val="center"/>
              <w:textAlignment w:val="auto"/>
              <w:rPr>
                <w:rFonts w:hint="default" w:eastAsia="黑体" w:cs="Times New Roman"/>
                <w:b w:val="0"/>
                <w:bCs w:val="0"/>
                <w:color w:val="000000" w:themeColor="text1"/>
                <w:sz w:val="24"/>
                <w:szCs w:val="24"/>
                <w:highlight w:val="none"/>
                <w:lang w:val="en-US" w:eastAsia="zh-CN"/>
                <w14:textFill>
                  <w14:solidFill>
                    <w14:schemeClr w14:val="tx1"/>
                  </w14:solidFill>
                </w14:textFill>
              </w:rPr>
            </w:pPr>
            <w:r>
              <w:rPr>
                <w:rFonts w:hint="default" w:eastAsia="黑体" w:cs="Times New Roman"/>
                <w:b w:val="0"/>
                <w:bCs w:val="0"/>
                <w:color w:val="000000" w:themeColor="text1"/>
                <w:sz w:val="24"/>
                <w:szCs w:val="24"/>
                <w:highlight w:val="none"/>
                <w:lang w:val="en-US" w:eastAsia="zh-CN"/>
                <w14:textFill>
                  <w14:solidFill>
                    <w14:schemeClr w14:val="tx1"/>
                  </w14:solidFill>
                </w14:textFill>
              </w:rPr>
              <w:t>表</w:t>
            </w:r>
            <w:r>
              <w:rPr>
                <w:rFonts w:hint="eastAsia" w:eastAsia="黑体" w:cs="Times New Roman"/>
                <w:b w:val="0"/>
                <w:bCs w:val="0"/>
                <w:color w:val="000000" w:themeColor="text1"/>
                <w:sz w:val="24"/>
                <w:szCs w:val="24"/>
                <w:highlight w:val="none"/>
                <w:lang w:val="en-US" w:eastAsia="zh-CN"/>
                <w14:textFill>
                  <w14:solidFill>
                    <w14:schemeClr w14:val="tx1"/>
                  </w14:solidFill>
                </w14:textFill>
              </w:rPr>
              <w:t>4-11</w:t>
            </w:r>
            <w:r>
              <w:rPr>
                <w:rFonts w:hint="default" w:eastAsia="黑体" w:cs="Times New Roman"/>
                <w:b w:val="0"/>
                <w:bCs w:val="0"/>
                <w:color w:val="000000" w:themeColor="text1"/>
                <w:sz w:val="24"/>
                <w:szCs w:val="24"/>
                <w:highlight w:val="none"/>
                <w:lang w:val="en-US" w:eastAsia="zh-CN"/>
                <w14:textFill>
                  <w14:solidFill>
                    <w14:schemeClr w14:val="tx1"/>
                  </w14:solidFill>
                </w14:textFill>
              </w:rPr>
              <w:t xml:space="preserve">  本项目噪声监测要求一览表</w:t>
            </w:r>
          </w:p>
          <w:tbl>
            <w:tblPr>
              <w:tblStyle w:val="25"/>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25"/>
              <w:gridCol w:w="1222"/>
              <w:gridCol w:w="1342"/>
              <w:gridCol w:w="1729"/>
              <w:gridCol w:w="2571"/>
            </w:tblGrid>
            <w:tr w14:paraId="0856D6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558" w:hRule="atLeast"/>
                <w:jc w:val="center"/>
              </w:trPr>
              <w:tc>
                <w:tcPr>
                  <w:tcW w:w="809" w:type="pct"/>
                  <w:tcBorders>
                    <w:tl2br w:val="nil"/>
                    <w:tr2bl w:val="nil"/>
                  </w:tcBorders>
                  <w:noWrap w:val="0"/>
                  <w:vAlign w:val="center"/>
                </w:tcPr>
                <w:p w14:paraId="5BE23B8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color w:val="auto"/>
                      <w:szCs w:val="21"/>
                    </w:rPr>
                  </w:pPr>
                  <w:r>
                    <w:rPr>
                      <w:rFonts w:hint="eastAsia"/>
                      <w:b w:val="0"/>
                      <w:bCs/>
                      <w:color w:val="auto"/>
                      <w:szCs w:val="21"/>
                    </w:rPr>
                    <w:t>噪声监测点位</w:t>
                  </w:r>
                </w:p>
              </w:tc>
              <w:tc>
                <w:tcPr>
                  <w:tcW w:w="746" w:type="pct"/>
                  <w:tcBorders>
                    <w:tl2br w:val="nil"/>
                    <w:tr2bl w:val="nil"/>
                  </w:tcBorders>
                  <w:noWrap w:val="0"/>
                  <w:vAlign w:val="center"/>
                </w:tcPr>
                <w:p w14:paraId="76571F1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eastAsia="宋体"/>
                      <w:b w:val="0"/>
                      <w:bCs/>
                      <w:color w:val="auto"/>
                      <w:szCs w:val="21"/>
                      <w:lang w:val="en-US" w:eastAsia="zh-CN"/>
                    </w:rPr>
                  </w:pPr>
                  <w:r>
                    <w:rPr>
                      <w:rFonts w:hint="eastAsia"/>
                      <w:b w:val="0"/>
                      <w:bCs/>
                      <w:color w:val="auto"/>
                      <w:szCs w:val="21"/>
                      <w:lang w:val="en-US" w:eastAsia="zh-CN"/>
                    </w:rPr>
                    <w:t>监测内容</w:t>
                  </w:r>
                </w:p>
              </w:tc>
              <w:tc>
                <w:tcPr>
                  <w:tcW w:w="819" w:type="pct"/>
                  <w:tcBorders>
                    <w:tl2br w:val="nil"/>
                    <w:tr2bl w:val="nil"/>
                  </w:tcBorders>
                  <w:noWrap w:val="0"/>
                  <w:vAlign w:val="center"/>
                </w:tcPr>
                <w:p w14:paraId="780B7B1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color w:val="auto"/>
                      <w:szCs w:val="21"/>
                    </w:rPr>
                  </w:pPr>
                  <w:r>
                    <w:rPr>
                      <w:rFonts w:hint="eastAsia"/>
                      <w:b w:val="0"/>
                      <w:bCs/>
                      <w:color w:val="auto"/>
                      <w:szCs w:val="21"/>
                    </w:rPr>
                    <w:t>监测周期</w:t>
                  </w:r>
                </w:p>
              </w:tc>
              <w:tc>
                <w:tcPr>
                  <w:tcW w:w="1055" w:type="pct"/>
                  <w:tcBorders>
                    <w:tl2br w:val="nil"/>
                    <w:tr2bl w:val="nil"/>
                  </w:tcBorders>
                  <w:noWrap w:val="0"/>
                  <w:vAlign w:val="center"/>
                </w:tcPr>
                <w:p w14:paraId="6843B82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color w:val="auto"/>
                      <w:szCs w:val="21"/>
                    </w:rPr>
                  </w:pPr>
                  <w:r>
                    <w:rPr>
                      <w:rFonts w:hint="eastAsia"/>
                      <w:b w:val="0"/>
                      <w:bCs/>
                      <w:color w:val="auto"/>
                      <w:szCs w:val="21"/>
                    </w:rPr>
                    <w:t>监测频次</w:t>
                  </w:r>
                </w:p>
              </w:tc>
              <w:tc>
                <w:tcPr>
                  <w:tcW w:w="1569" w:type="pct"/>
                  <w:tcBorders>
                    <w:tl2br w:val="nil"/>
                    <w:tr2bl w:val="nil"/>
                  </w:tcBorders>
                  <w:noWrap w:val="0"/>
                  <w:vAlign w:val="center"/>
                </w:tcPr>
                <w:p w14:paraId="69369D3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color w:val="auto"/>
                      <w:szCs w:val="21"/>
                    </w:rPr>
                  </w:pPr>
                  <w:r>
                    <w:rPr>
                      <w:rFonts w:hint="eastAsia"/>
                      <w:b w:val="0"/>
                      <w:bCs/>
                      <w:color w:val="auto"/>
                      <w:szCs w:val="21"/>
                    </w:rPr>
                    <w:t>执行标准</w:t>
                  </w:r>
                </w:p>
              </w:tc>
            </w:tr>
            <w:tr w14:paraId="1A766D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09" w:type="pct"/>
                  <w:vMerge w:val="restart"/>
                  <w:tcBorders>
                    <w:tl2br w:val="nil"/>
                    <w:tr2bl w:val="nil"/>
                  </w:tcBorders>
                  <w:noWrap w:val="0"/>
                  <w:vAlign w:val="center"/>
                </w:tcPr>
                <w:p w14:paraId="5749ED7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color w:val="auto"/>
                      <w:szCs w:val="21"/>
                    </w:rPr>
                  </w:pPr>
                  <w:r>
                    <w:rPr>
                      <w:rFonts w:hint="eastAsia"/>
                      <w:color w:val="auto"/>
                      <w:szCs w:val="21"/>
                    </w:rPr>
                    <w:t>厂界四周外</w:t>
                  </w:r>
                  <w:r>
                    <w:rPr>
                      <w:rFonts w:hint="default"/>
                      <w:color w:val="auto"/>
                      <w:szCs w:val="21"/>
                    </w:rPr>
                    <w:t>1m</w:t>
                  </w:r>
                </w:p>
              </w:tc>
              <w:tc>
                <w:tcPr>
                  <w:tcW w:w="746" w:type="pct"/>
                  <w:tcBorders>
                    <w:tl2br w:val="nil"/>
                    <w:tr2bl w:val="nil"/>
                  </w:tcBorders>
                  <w:noWrap w:val="0"/>
                  <w:vAlign w:val="center"/>
                </w:tcPr>
                <w:p w14:paraId="3B9F040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eastAsia" w:eastAsia="宋体"/>
                      <w:color w:val="auto"/>
                      <w:szCs w:val="21"/>
                      <w:lang w:val="en-US" w:eastAsia="zh-CN"/>
                    </w:rPr>
                  </w:pPr>
                  <w:r>
                    <w:rPr>
                      <w:rFonts w:hint="eastAsia"/>
                      <w:color w:val="auto"/>
                      <w:szCs w:val="21"/>
                      <w:lang w:val="en-US" w:eastAsia="zh-CN"/>
                    </w:rPr>
                    <w:t>等效声级</w:t>
                  </w:r>
                </w:p>
              </w:tc>
              <w:tc>
                <w:tcPr>
                  <w:tcW w:w="819" w:type="pct"/>
                  <w:vMerge w:val="restart"/>
                  <w:tcBorders>
                    <w:tl2br w:val="nil"/>
                    <w:tr2bl w:val="nil"/>
                  </w:tcBorders>
                  <w:noWrap w:val="0"/>
                  <w:vAlign w:val="center"/>
                </w:tcPr>
                <w:p w14:paraId="10451E2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color w:val="auto"/>
                      <w:szCs w:val="21"/>
                    </w:rPr>
                  </w:pPr>
                  <w:r>
                    <w:rPr>
                      <w:rFonts w:hint="default"/>
                      <w:color w:val="auto"/>
                      <w:szCs w:val="21"/>
                    </w:rPr>
                    <w:t>1</w:t>
                  </w:r>
                  <w:r>
                    <w:rPr>
                      <w:rFonts w:hint="eastAsia"/>
                      <w:color w:val="auto"/>
                      <w:szCs w:val="21"/>
                    </w:rPr>
                    <w:t>天</w:t>
                  </w:r>
                  <w:r>
                    <w:rPr>
                      <w:rFonts w:hint="default"/>
                      <w:color w:val="auto"/>
                      <w:szCs w:val="21"/>
                    </w:rPr>
                    <w:t>(</w:t>
                  </w:r>
                  <w:r>
                    <w:rPr>
                      <w:rFonts w:hint="eastAsia"/>
                      <w:color w:val="auto"/>
                      <w:szCs w:val="21"/>
                    </w:rPr>
                    <w:t>昼、夜间各一次</w:t>
                  </w:r>
                  <w:r>
                    <w:rPr>
                      <w:rFonts w:hint="default"/>
                      <w:color w:val="auto"/>
                      <w:szCs w:val="21"/>
                    </w:rPr>
                    <w:t>)</w:t>
                  </w:r>
                </w:p>
              </w:tc>
              <w:tc>
                <w:tcPr>
                  <w:tcW w:w="1055" w:type="pct"/>
                  <w:tcBorders>
                    <w:tl2br w:val="nil"/>
                    <w:tr2bl w:val="nil"/>
                  </w:tcBorders>
                  <w:noWrap w:val="0"/>
                  <w:vAlign w:val="center"/>
                </w:tcPr>
                <w:p w14:paraId="228DFEA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color w:val="auto"/>
                      <w:szCs w:val="21"/>
                    </w:rPr>
                  </w:pPr>
                  <w:r>
                    <w:rPr>
                      <w:rFonts w:hint="default"/>
                      <w:color w:val="auto"/>
                      <w:szCs w:val="21"/>
                    </w:rPr>
                    <w:t>1</w:t>
                  </w:r>
                  <w:r>
                    <w:rPr>
                      <w:rFonts w:hint="eastAsia"/>
                      <w:color w:val="auto"/>
                      <w:szCs w:val="21"/>
                    </w:rPr>
                    <w:t>次</w:t>
                  </w:r>
                  <w:r>
                    <w:rPr>
                      <w:rFonts w:hint="default"/>
                      <w:color w:val="auto"/>
                      <w:szCs w:val="21"/>
                    </w:rPr>
                    <w:t>/</w:t>
                  </w:r>
                  <w:r>
                    <w:rPr>
                      <w:rFonts w:hint="eastAsia"/>
                      <w:color w:val="auto"/>
                      <w:szCs w:val="21"/>
                    </w:rPr>
                    <w:t>季度</w:t>
                  </w:r>
                </w:p>
              </w:tc>
              <w:tc>
                <w:tcPr>
                  <w:tcW w:w="1569" w:type="pct"/>
                  <w:vMerge w:val="restart"/>
                  <w:tcBorders>
                    <w:tl2br w:val="nil"/>
                    <w:tr2bl w:val="nil"/>
                  </w:tcBorders>
                  <w:noWrap w:val="0"/>
                  <w:vAlign w:val="center"/>
                </w:tcPr>
                <w:p w14:paraId="232DFF1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color w:val="auto"/>
                      <w:szCs w:val="21"/>
                    </w:rPr>
                  </w:pPr>
                  <w:r>
                    <w:rPr>
                      <w:rFonts w:hint="eastAsia"/>
                      <w:color w:val="auto"/>
                      <w:szCs w:val="21"/>
                    </w:rPr>
                    <w:t>《工业企业厂界环境噪声排放标准》（</w:t>
                  </w:r>
                  <w:r>
                    <w:rPr>
                      <w:rFonts w:hint="default"/>
                      <w:color w:val="auto"/>
                      <w:szCs w:val="21"/>
                    </w:rPr>
                    <w:t>GB12348-2008</w:t>
                  </w:r>
                  <w:r>
                    <w:rPr>
                      <w:rFonts w:hint="eastAsia"/>
                      <w:color w:val="auto"/>
                      <w:szCs w:val="21"/>
                    </w:rPr>
                    <w:t>）</w:t>
                  </w:r>
                  <w:r>
                    <w:rPr>
                      <w:rFonts w:hint="eastAsia"/>
                      <w:color w:val="auto"/>
                      <w:szCs w:val="21"/>
                      <w:lang w:val="en-US" w:eastAsia="zh-CN"/>
                    </w:rPr>
                    <w:t>3</w:t>
                  </w:r>
                  <w:r>
                    <w:rPr>
                      <w:rFonts w:hint="eastAsia"/>
                      <w:color w:val="auto"/>
                      <w:szCs w:val="21"/>
                    </w:rPr>
                    <w:t>类</w:t>
                  </w:r>
                </w:p>
              </w:tc>
            </w:tr>
            <w:tr w14:paraId="64A2DC6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809" w:type="pct"/>
                  <w:vMerge w:val="continue"/>
                  <w:tcBorders>
                    <w:tl2br w:val="nil"/>
                    <w:tr2bl w:val="nil"/>
                  </w:tcBorders>
                  <w:noWrap w:val="0"/>
                  <w:vAlign w:val="center"/>
                </w:tcPr>
                <w:p w14:paraId="25F94E1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eastAsia"/>
                      <w:color w:val="auto"/>
                      <w:szCs w:val="21"/>
                    </w:rPr>
                  </w:pPr>
                </w:p>
              </w:tc>
              <w:tc>
                <w:tcPr>
                  <w:tcW w:w="746" w:type="pct"/>
                  <w:tcBorders>
                    <w:tl2br w:val="nil"/>
                    <w:tr2bl w:val="nil"/>
                  </w:tcBorders>
                  <w:noWrap w:val="0"/>
                  <w:vAlign w:val="center"/>
                </w:tcPr>
                <w:p w14:paraId="0E38933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eastAsia="宋体"/>
                      <w:color w:val="auto"/>
                      <w:szCs w:val="21"/>
                      <w:lang w:val="en-US" w:eastAsia="zh-CN"/>
                    </w:rPr>
                  </w:pPr>
                  <w:r>
                    <w:rPr>
                      <w:rFonts w:hint="eastAsia"/>
                      <w:color w:val="auto"/>
                      <w:szCs w:val="21"/>
                      <w:lang w:val="en-US" w:eastAsia="zh-CN"/>
                    </w:rPr>
                    <w:t>最大声级</w:t>
                  </w:r>
                </w:p>
              </w:tc>
              <w:tc>
                <w:tcPr>
                  <w:tcW w:w="819" w:type="pct"/>
                  <w:vMerge w:val="continue"/>
                  <w:tcBorders>
                    <w:tl2br w:val="nil"/>
                    <w:tr2bl w:val="nil"/>
                  </w:tcBorders>
                  <w:noWrap w:val="0"/>
                  <w:vAlign w:val="center"/>
                </w:tcPr>
                <w:p w14:paraId="42A6904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color w:val="auto"/>
                      <w:szCs w:val="21"/>
                    </w:rPr>
                  </w:pPr>
                </w:p>
              </w:tc>
              <w:tc>
                <w:tcPr>
                  <w:tcW w:w="1055" w:type="pct"/>
                  <w:tcBorders>
                    <w:tl2br w:val="nil"/>
                    <w:tr2bl w:val="nil"/>
                  </w:tcBorders>
                  <w:noWrap w:val="0"/>
                  <w:vAlign w:val="center"/>
                </w:tcPr>
                <w:p w14:paraId="6946801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eastAsia="宋体"/>
                      <w:color w:val="auto"/>
                      <w:szCs w:val="21"/>
                      <w:lang w:val="en-US" w:eastAsia="zh-CN"/>
                    </w:rPr>
                  </w:pPr>
                  <w:r>
                    <w:rPr>
                      <w:rFonts w:hint="default"/>
                      <w:color w:val="auto"/>
                      <w:szCs w:val="21"/>
                    </w:rPr>
                    <w:t>1</w:t>
                  </w:r>
                  <w:r>
                    <w:rPr>
                      <w:rFonts w:hint="eastAsia"/>
                      <w:color w:val="auto"/>
                      <w:szCs w:val="21"/>
                    </w:rPr>
                    <w:t>次</w:t>
                  </w:r>
                  <w:r>
                    <w:rPr>
                      <w:rFonts w:hint="default"/>
                      <w:color w:val="auto"/>
                      <w:szCs w:val="21"/>
                    </w:rPr>
                    <w:t>/</w:t>
                  </w:r>
                  <w:r>
                    <w:rPr>
                      <w:rFonts w:hint="eastAsia"/>
                      <w:color w:val="auto"/>
                      <w:szCs w:val="21"/>
                    </w:rPr>
                    <w:t>季度</w:t>
                  </w:r>
                  <w:r>
                    <w:rPr>
                      <w:rFonts w:hint="eastAsia"/>
                      <w:color w:val="auto"/>
                      <w:szCs w:val="21"/>
                      <w:lang w:eastAsia="zh-CN"/>
                    </w:rPr>
                    <w:t>，</w:t>
                  </w:r>
                  <w:r>
                    <w:rPr>
                      <w:rFonts w:hint="eastAsia"/>
                      <w:color w:val="auto"/>
                      <w:szCs w:val="21"/>
                      <w:lang w:val="en-US" w:eastAsia="zh-CN"/>
                    </w:rPr>
                    <w:t>夜间频发噪声、偶发噪声发生时监测</w:t>
                  </w:r>
                </w:p>
              </w:tc>
              <w:tc>
                <w:tcPr>
                  <w:tcW w:w="1569" w:type="pct"/>
                  <w:vMerge w:val="continue"/>
                  <w:tcBorders>
                    <w:tl2br w:val="nil"/>
                    <w:tr2bl w:val="nil"/>
                  </w:tcBorders>
                  <w:noWrap w:val="0"/>
                  <w:vAlign w:val="center"/>
                </w:tcPr>
                <w:p w14:paraId="1466580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eastAsia"/>
                      <w:color w:val="auto"/>
                      <w:szCs w:val="21"/>
                    </w:rPr>
                  </w:pPr>
                </w:p>
              </w:tc>
            </w:tr>
          </w:tbl>
          <w:p w14:paraId="32399D2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0" w:firstLineChars="0"/>
              <w:jc w:val="left"/>
              <w:textAlignment w:val="auto"/>
              <w:rPr>
                <w:rFonts w:hint="default"/>
                <w:b/>
                <w:bCs/>
                <w:color w:val="000000" w:themeColor="text1"/>
                <w:sz w:val="24"/>
                <w:szCs w:val="24"/>
                <w:lang w:val="en-US" w:eastAsia="zh-CN"/>
                <w14:textFill>
                  <w14:solidFill>
                    <w14:schemeClr w14:val="tx1"/>
                  </w14:solidFill>
                </w14:textFill>
              </w:rPr>
            </w:pPr>
            <w:r>
              <w:rPr>
                <w:rFonts w:hint="eastAsia"/>
                <w:b/>
                <w:bCs/>
                <w:color w:val="000000" w:themeColor="text1"/>
                <w:sz w:val="24"/>
                <w:szCs w:val="24"/>
                <w:lang w:val="en-US" w:eastAsia="zh-CN"/>
                <w14:textFill>
                  <w14:solidFill>
                    <w14:schemeClr w14:val="tx1"/>
                  </w14:solidFill>
                </w14:textFill>
              </w:rPr>
              <w:t>四</w:t>
            </w:r>
            <w:r>
              <w:rPr>
                <w:rFonts w:hint="default"/>
                <w:b/>
                <w:bCs/>
                <w:color w:val="000000" w:themeColor="text1"/>
                <w:sz w:val="24"/>
                <w:szCs w:val="24"/>
                <w:lang w:val="en-US" w:eastAsia="zh-CN"/>
                <w14:textFill>
                  <w14:solidFill>
                    <w14:schemeClr w14:val="tx1"/>
                  </w14:solidFill>
                </w14:textFill>
              </w:rPr>
              <w:t>、固体废物</w:t>
            </w:r>
          </w:p>
          <w:p w14:paraId="7F050F37">
            <w:pPr>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520" w:lineRule="exact"/>
              <w:ind w:left="0" w:leftChars="0" w:right="0" w:rightChars="0" w:firstLine="480" w:firstLineChars="200"/>
              <w:textAlignment w:val="auto"/>
              <w:outlineLvl w:val="9"/>
              <w:rPr>
                <w:rFonts w:hint="default"/>
                <w:color w:val="auto"/>
                <w:sz w:val="24"/>
                <w:lang w:val="en-US" w:eastAsia="zh-CN"/>
              </w:rPr>
            </w:pPr>
            <w:r>
              <w:rPr>
                <w:rFonts w:hint="eastAsia"/>
                <w:color w:val="auto"/>
                <w:sz w:val="24"/>
                <w:lang w:val="en-US" w:eastAsia="zh-CN"/>
              </w:rPr>
              <w:t>本项目固体废物包括：</w:t>
            </w:r>
            <w:r>
              <w:rPr>
                <w:rFonts w:hint="eastAsia" w:cs="Times New Roman"/>
                <w:kern w:val="2"/>
                <w:sz w:val="24"/>
                <w:szCs w:val="24"/>
                <w:lang w:val="en-US" w:eastAsia="zh-CN" w:bidi="ar"/>
              </w:rPr>
              <w:t>废弃包装</w:t>
            </w:r>
            <w:r>
              <w:rPr>
                <w:rFonts w:hint="eastAsia" w:ascii="Times New Roman" w:hAnsi="Times New Roman" w:eastAsia="宋体" w:cs="Times New Roman"/>
                <w:kern w:val="2"/>
                <w:sz w:val="24"/>
                <w:szCs w:val="24"/>
                <w:lang w:val="en-US" w:eastAsia="zh-CN" w:bidi="ar"/>
              </w:rPr>
              <w:t>、废</w:t>
            </w:r>
            <w:r>
              <w:rPr>
                <w:rFonts w:hint="eastAsia" w:cs="Times New Roman"/>
                <w:kern w:val="2"/>
                <w:sz w:val="24"/>
                <w:szCs w:val="24"/>
                <w:lang w:val="en-US" w:eastAsia="zh-CN" w:bidi="ar"/>
              </w:rPr>
              <w:t>活性炭</w:t>
            </w:r>
            <w:r>
              <w:rPr>
                <w:rFonts w:hint="eastAsia" w:ascii="Times New Roman" w:hAnsi="Times New Roman" w:eastAsia="宋体" w:cs="Times New Roman"/>
                <w:kern w:val="2"/>
                <w:sz w:val="24"/>
                <w:szCs w:val="24"/>
                <w:lang w:val="en-US" w:eastAsia="zh-CN" w:bidi="ar"/>
              </w:rPr>
              <w:t>、</w:t>
            </w:r>
            <w:r>
              <w:rPr>
                <w:rFonts w:hint="eastAsia" w:ascii="Times New Roman" w:hAnsi="Times New Roman" w:eastAsia="宋体" w:cs="Times New Roman"/>
                <w:sz w:val="24"/>
                <w:szCs w:val="24"/>
                <w:lang w:val="en-US" w:eastAsia="zh-CN" w:bidi="ar"/>
              </w:rPr>
              <w:t>废</w:t>
            </w:r>
            <w:r>
              <w:rPr>
                <w:rFonts w:hint="eastAsia" w:cs="Times New Roman"/>
                <w:sz w:val="24"/>
                <w:szCs w:val="24"/>
                <w:lang w:val="en-US" w:eastAsia="zh-CN" w:bidi="ar"/>
              </w:rPr>
              <w:t>催化剂</w:t>
            </w:r>
            <w:r>
              <w:rPr>
                <w:rFonts w:hint="eastAsia" w:ascii="Times New Roman" w:hAnsi="Times New Roman" w:eastAsia="宋体" w:cs="Times New Roman"/>
                <w:sz w:val="24"/>
                <w:szCs w:val="24"/>
                <w:lang w:val="en-US" w:eastAsia="zh-CN" w:bidi="ar"/>
              </w:rPr>
              <w:t>和职工生活垃圾。</w:t>
            </w:r>
          </w:p>
          <w:p w14:paraId="26FFD442">
            <w:pPr>
              <w:keepNext w:val="0"/>
              <w:keepLines w:val="0"/>
              <w:pageBreakBefore w:val="0"/>
              <w:widowControl w:val="0"/>
              <w:suppressLineNumbers w:val="0"/>
              <w:kinsoku/>
              <w:wordWrap/>
              <w:overflowPunct/>
              <w:topLinePunct w:val="0"/>
              <w:autoSpaceDE/>
              <w:autoSpaceDN/>
              <w:bidi w:val="0"/>
              <w:spacing w:before="0" w:beforeAutospacing="0" w:after="0" w:afterAutospacing="0" w:line="520" w:lineRule="exact"/>
              <w:ind w:left="0" w:right="0" w:firstLine="482" w:firstLineChars="200"/>
              <w:textAlignment w:val="auto"/>
              <w:rPr>
                <w:rFonts w:hint="eastAsia" w:ascii="Times New Roman" w:hAnsi="Times New Roman" w:eastAsia="宋体" w:cs="Times New Roman"/>
                <w:kern w:val="2"/>
                <w:sz w:val="24"/>
                <w:szCs w:val="24"/>
                <w:lang w:val="en-US" w:eastAsia="zh-CN" w:bidi="ar"/>
              </w:rPr>
            </w:pPr>
            <w:r>
              <w:rPr>
                <w:rFonts w:hint="eastAsia"/>
                <w:b/>
                <w:bCs/>
                <w:color w:val="auto"/>
                <w:sz w:val="24"/>
                <w:lang w:val="en-US" w:eastAsia="zh-CN"/>
              </w:rPr>
              <w:t>废弃包装：</w:t>
            </w:r>
            <w:r>
              <w:rPr>
                <w:rFonts w:hint="eastAsia"/>
                <w:b w:val="0"/>
                <w:bCs w:val="0"/>
                <w:color w:val="auto"/>
                <w:sz w:val="24"/>
                <w:lang w:val="en-US" w:eastAsia="zh-CN"/>
              </w:rPr>
              <w:t>原</w:t>
            </w:r>
            <w:r>
              <w:rPr>
                <w:rFonts w:hint="eastAsia" w:ascii="Times New Roman" w:hAnsi="Times New Roman" w:eastAsia="宋体" w:cs="Times New Roman"/>
                <w:kern w:val="2"/>
                <w:sz w:val="24"/>
                <w:szCs w:val="24"/>
                <w:lang w:val="en-US" w:eastAsia="zh-CN" w:bidi="ar"/>
              </w:rPr>
              <w:t>料聚乙烯颗粒进厂为袋装，使用后产生的废弃包装约5</w:t>
            </w:r>
            <w:r>
              <w:rPr>
                <w:rFonts w:hint="default" w:ascii="Times New Roman" w:hAnsi="Times New Roman" w:eastAsia="宋体" w:cs="Times New Roman"/>
                <w:kern w:val="2"/>
                <w:sz w:val="24"/>
                <w:szCs w:val="24"/>
                <w:lang w:val="en-US" w:eastAsia="zh-CN" w:bidi="ar"/>
              </w:rPr>
              <w:t>t/a</w:t>
            </w:r>
            <w:r>
              <w:rPr>
                <w:rFonts w:hint="eastAsia" w:ascii="Times New Roman" w:hAnsi="Times New Roman" w:eastAsia="宋体" w:cs="Times New Roman"/>
                <w:kern w:val="2"/>
                <w:sz w:val="24"/>
                <w:szCs w:val="24"/>
                <w:lang w:val="en-US" w:eastAsia="zh-CN" w:bidi="ar"/>
              </w:rPr>
              <w:t>，属于第</w:t>
            </w:r>
            <w:r>
              <w:rPr>
                <w:rFonts w:hint="eastAsia" w:ascii="宋体" w:hAnsi="宋体" w:eastAsia="宋体" w:cs="宋体"/>
                <w:kern w:val="2"/>
                <w:sz w:val="24"/>
                <w:szCs w:val="24"/>
                <w:lang w:val="en-US" w:eastAsia="zh-CN" w:bidi="ar"/>
              </w:rPr>
              <w:t>Ⅰ</w:t>
            </w:r>
            <w:r>
              <w:rPr>
                <w:rFonts w:hint="eastAsia" w:ascii="Times New Roman" w:hAnsi="Times New Roman" w:eastAsia="宋体" w:cs="Times New Roman"/>
                <w:kern w:val="2"/>
                <w:sz w:val="24"/>
                <w:szCs w:val="24"/>
                <w:lang w:val="en-US" w:eastAsia="zh-CN" w:bidi="ar"/>
              </w:rPr>
              <w:t>类一般工业固体废物，在车间内</w:t>
            </w:r>
            <w:r>
              <w:rPr>
                <w:rFonts w:hint="default" w:ascii="Times New Roman" w:hAnsi="Times New Roman" w:eastAsia="宋体" w:cs="Times New Roman"/>
                <w:kern w:val="2"/>
                <w:sz w:val="24"/>
                <w:szCs w:val="24"/>
                <w:lang w:val="en-US" w:eastAsia="zh-CN" w:bidi="ar"/>
              </w:rPr>
              <w:t>10m</w:t>
            </w:r>
            <w:r>
              <w:rPr>
                <w:rFonts w:hint="default" w:ascii="Times New Roman" w:hAnsi="Times New Roman" w:eastAsia="宋体" w:cs="Times New Roman"/>
                <w:kern w:val="2"/>
                <w:sz w:val="24"/>
                <w:szCs w:val="24"/>
                <w:vertAlign w:val="superscript"/>
                <w:lang w:val="en-US" w:eastAsia="zh-CN" w:bidi="ar"/>
              </w:rPr>
              <w:t>2</w:t>
            </w:r>
            <w:r>
              <w:rPr>
                <w:rFonts w:hint="eastAsia" w:ascii="Times New Roman" w:hAnsi="Times New Roman" w:eastAsia="宋体" w:cs="Times New Roman"/>
                <w:kern w:val="2"/>
                <w:sz w:val="24"/>
                <w:szCs w:val="24"/>
                <w:lang w:val="en-US" w:eastAsia="zh-CN" w:bidi="ar"/>
              </w:rPr>
              <w:t>一般工业固体废物暂存区域暂存，定期外售废旧资源收购单位。</w:t>
            </w:r>
          </w:p>
          <w:p w14:paraId="645FC720">
            <w:pPr>
              <w:keepNext w:val="0"/>
              <w:keepLines w:val="0"/>
              <w:pageBreakBefore w:val="0"/>
              <w:widowControl w:val="0"/>
              <w:suppressLineNumbers w:val="0"/>
              <w:tabs>
                <w:tab w:val="left" w:pos="3052"/>
              </w:tabs>
              <w:kinsoku/>
              <w:wordWrap/>
              <w:overflowPunct/>
              <w:topLinePunct w:val="0"/>
              <w:autoSpaceDE/>
              <w:autoSpaceDN/>
              <w:bidi w:val="0"/>
              <w:adjustRightInd w:val="0"/>
              <w:snapToGrid w:val="0"/>
              <w:spacing w:before="0" w:beforeAutospacing="0" w:after="0" w:afterAutospacing="0" w:line="520" w:lineRule="exact"/>
              <w:ind w:left="0" w:right="0" w:firstLine="482" w:firstLineChars="200"/>
              <w:jc w:val="both"/>
              <w:textAlignment w:val="auto"/>
              <w:rPr>
                <w:rFonts w:hint="default"/>
                <w:sz w:val="24"/>
                <w:szCs w:val="24"/>
                <w:lang w:val="en-US"/>
              </w:rPr>
            </w:pPr>
            <w:r>
              <w:rPr>
                <w:rFonts w:hint="eastAsia" w:cs="Times New Roman"/>
                <w:b/>
                <w:bCs w:val="0"/>
                <w:kern w:val="2"/>
                <w:sz w:val="24"/>
                <w:szCs w:val="24"/>
                <w:highlight w:val="none"/>
                <w:lang w:val="en-US" w:eastAsia="zh-CN" w:bidi="ar"/>
              </w:rPr>
              <w:t>废活性炭</w:t>
            </w:r>
            <w:r>
              <w:rPr>
                <w:rFonts w:hint="eastAsia" w:ascii="Times New Roman" w:hAnsi="Times New Roman" w:eastAsia="宋体" w:cs="Times New Roman"/>
                <w:b/>
                <w:bCs w:val="0"/>
                <w:kern w:val="2"/>
                <w:sz w:val="24"/>
                <w:szCs w:val="24"/>
                <w:highlight w:val="none"/>
                <w:lang w:val="en-US" w:eastAsia="zh-CN" w:bidi="ar"/>
              </w:rPr>
              <w:t>：</w:t>
            </w:r>
            <w:r>
              <w:rPr>
                <w:rFonts w:hint="eastAsia" w:cs="Times New Roman"/>
                <w:kern w:val="2"/>
                <w:sz w:val="24"/>
                <w:szCs w:val="24"/>
                <w:lang w:val="en-US" w:eastAsia="zh-CN" w:bidi="ar"/>
              </w:rPr>
              <w:t>依据前文核算，</w:t>
            </w:r>
            <w:r>
              <w:rPr>
                <w:rFonts w:hint="eastAsia" w:ascii="Times New Roman" w:hAnsi="Times New Roman" w:eastAsia="宋体" w:cs="Times New Roman"/>
                <w:kern w:val="2"/>
                <w:sz w:val="24"/>
                <w:szCs w:val="24"/>
                <w:lang w:val="en-US" w:eastAsia="zh-CN" w:bidi="ar"/>
              </w:rPr>
              <w:t>活性炭吸附箱内填充量为</w:t>
            </w:r>
            <w:r>
              <w:rPr>
                <w:rFonts w:hint="eastAsia" w:cs="Times New Roman"/>
                <w:kern w:val="2"/>
                <w:sz w:val="24"/>
                <w:szCs w:val="24"/>
                <w:lang w:val="en-US" w:eastAsia="zh-CN" w:bidi="ar"/>
              </w:rPr>
              <w:t>1.222</w:t>
            </w:r>
            <w:r>
              <w:rPr>
                <w:rFonts w:hint="eastAsia" w:ascii="Times New Roman" w:hAnsi="Times New Roman" w:eastAsia="宋体" w:cs="Times New Roman"/>
                <w:kern w:val="2"/>
                <w:sz w:val="24"/>
                <w:szCs w:val="24"/>
                <w:lang w:val="en-US" w:eastAsia="zh-CN" w:bidi="ar"/>
              </w:rPr>
              <w:t>t，活性炭吸附脱附后可反复使用</w:t>
            </w:r>
            <w:r>
              <w:rPr>
                <w:rFonts w:hint="default" w:ascii="Segoe UI" w:hAnsi="Segoe UI" w:eastAsia="Segoe UI" w:cs="Segoe UI"/>
                <w:i w:val="0"/>
                <w:iCs w:val="0"/>
                <w:caps w:val="0"/>
                <w:spacing w:val="0"/>
                <w:sz w:val="24"/>
                <w:szCs w:val="24"/>
                <w:shd w:val="clear" w:fill="FFFFFF"/>
              </w:rPr>
              <w:t>。</w:t>
            </w:r>
            <w:r>
              <w:rPr>
                <w:rFonts w:hint="eastAsia" w:ascii="Segoe UI" w:hAnsi="Segoe UI" w:eastAsia="宋体" w:cs="Segoe UI"/>
                <w:i w:val="0"/>
                <w:iCs w:val="0"/>
                <w:caps w:val="0"/>
                <w:spacing w:val="0"/>
                <w:sz w:val="24"/>
                <w:szCs w:val="24"/>
                <w:shd w:val="clear" w:fill="FFFFFF"/>
                <w:lang w:val="en-US" w:eastAsia="zh-CN"/>
              </w:rPr>
              <w:t>本项目采用</w:t>
            </w:r>
            <w:r>
              <w:rPr>
                <w:rFonts w:hint="eastAsia" w:ascii="Times New Roman" w:hAnsi="Times New Roman" w:eastAsia="宋体" w:cs="Times New Roman"/>
                <w:kern w:val="2"/>
                <w:sz w:val="24"/>
                <w:szCs w:val="24"/>
                <w:lang w:val="en-US" w:eastAsia="zh-CN" w:bidi="ar"/>
              </w:rPr>
              <w:t>颗粒活性炭</w:t>
            </w:r>
            <w:r>
              <w:rPr>
                <w:rFonts w:hint="eastAsia" w:eastAsia="宋体" w:cs="Times New Roman"/>
                <w:kern w:val="2"/>
                <w:sz w:val="24"/>
                <w:szCs w:val="24"/>
                <w:lang w:val="en-US" w:eastAsia="zh-CN" w:bidi="ar"/>
              </w:rPr>
              <w:t>，可再生次数约为80~150次（按100次计），平均每3~7天（按3天计）进行一次再生，则整体更换周期为1年，</w:t>
            </w:r>
            <w:r>
              <w:rPr>
                <w:rFonts w:hint="eastAsia" w:ascii="Times New Roman" w:hAnsi="Times New Roman" w:eastAsia="宋体" w:cs="Times New Roman"/>
                <w:kern w:val="2"/>
                <w:sz w:val="24"/>
                <w:szCs w:val="24"/>
                <w:lang w:val="en-US" w:eastAsia="zh-CN" w:bidi="ar"/>
              </w:rPr>
              <w:t>产生的废活性炭为</w:t>
            </w:r>
            <w:r>
              <w:rPr>
                <w:rFonts w:hint="eastAsia" w:cs="Times New Roman"/>
                <w:kern w:val="2"/>
                <w:sz w:val="24"/>
                <w:szCs w:val="24"/>
                <w:lang w:val="en-US" w:eastAsia="zh-CN" w:bidi="ar"/>
              </w:rPr>
              <w:t>1.222</w:t>
            </w:r>
            <w:r>
              <w:rPr>
                <w:rFonts w:hint="eastAsia" w:ascii="Times New Roman" w:hAnsi="Times New Roman" w:eastAsia="宋体" w:cs="Times New Roman"/>
                <w:kern w:val="2"/>
                <w:sz w:val="24"/>
                <w:szCs w:val="24"/>
                <w:lang w:val="en-US" w:eastAsia="zh-CN" w:bidi="ar"/>
              </w:rPr>
              <w:t>t/a。根据《国家危险废物名录》（2025年版），</w:t>
            </w:r>
            <w:r>
              <w:rPr>
                <w:rFonts w:hint="eastAsia"/>
                <w:color w:val="auto"/>
                <w:sz w:val="24"/>
                <w:szCs w:val="24"/>
              </w:rPr>
              <w:t>废活性炭属于“HW49</w:t>
            </w:r>
            <w:r>
              <w:rPr>
                <w:rFonts w:hint="eastAsia"/>
                <w:color w:val="auto"/>
                <w:sz w:val="24"/>
              </w:rPr>
              <w:t>其他废物”，危废代码：900-039-49“烟气、VOCs 治理过程（不包括餐饮行业油烟治理过程）产生的废活性炭，化学原料和化学制品脱色（不包括有机合成食品添加剂脱色）、除杂、净化过程产生的废活性炭”。</w:t>
            </w:r>
            <w:r>
              <w:rPr>
                <w:rFonts w:hint="eastAsia" w:ascii="Times New Roman" w:hAnsi="Times New Roman" w:eastAsia="宋体" w:cs="宋体"/>
                <w:kern w:val="2"/>
                <w:sz w:val="24"/>
                <w:szCs w:val="24"/>
                <w:lang w:val="en-US" w:eastAsia="zh-CN" w:bidi="ar"/>
              </w:rPr>
              <w:t>在车间内</w:t>
            </w:r>
            <w:r>
              <w:rPr>
                <w:rFonts w:hint="default" w:ascii="Times New Roman" w:hAnsi="Times New Roman" w:eastAsia="宋体" w:cs="Times New Roman"/>
                <w:kern w:val="2"/>
                <w:sz w:val="24"/>
                <w:szCs w:val="24"/>
                <w:lang w:val="en-US" w:eastAsia="zh-CN" w:bidi="ar"/>
              </w:rPr>
              <w:t>5m</w:t>
            </w:r>
            <w:r>
              <w:rPr>
                <w:rFonts w:hint="default" w:ascii="Times New Roman" w:hAnsi="Times New Roman" w:eastAsia="宋体" w:cs="Times New Roman"/>
                <w:kern w:val="2"/>
                <w:sz w:val="24"/>
                <w:szCs w:val="24"/>
                <w:vertAlign w:val="superscript"/>
                <w:lang w:val="en-US" w:eastAsia="zh-CN" w:bidi="ar"/>
              </w:rPr>
              <w:t>2</w:t>
            </w:r>
            <w:r>
              <w:rPr>
                <w:rFonts w:hint="eastAsia" w:ascii="Times New Roman" w:hAnsi="Times New Roman" w:eastAsia="宋体" w:cs="宋体"/>
                <w:kern w:val="2"/>
                <w:sz w:val="24"/>
                <w:szCs w:val="24"/>
                <w:lang w:val="en-US" w:eastAsia="zh-CN" w:bidi="ar"/>
              </w:rPr>
              <w:t>危险废物暂存间暂存，定期交有资质单位处置。</w:t>
            </w:r>
          </w:p>
          <w:p w14:paraId="2E00DF9F">
            <w:pPr>
              <w:keepNext w:val="0"/>
              <w:keepLines w:val="0"/>
              <w:pageBreakBefore w:val="0"/>
              <w:widowControl w:val="0"/>
              <w:suppressLineNumbers w:val="0"/>
              <w:kinsoku/>
              <w:wordWrap/>
              <w:overflowPunct/>
              <w:topLinePunct w:val="0"/>
              <w:autoSpaceDE/>
              <w:autoSpaceDN/>
              <w:bidi w:val="0"/>
              <w:spacing w:before="0" w:beforeAutospacing="0" w:after="0" w:afterAutospacing="0" w:line="520" w:lineRule="exact"/>
              <w:ind w:left="0" w:right="0" w:firstLine="482" w:firstLineChars="200"/>
              <w:textAlignment w:val="auto"/>
              <w:rPr>
                <w:rFonts w:hint="eastAsia"/>
                <w:b w:val="0"/>
                <w:bCs w:val="0"/>
                <w:color w:val="auto"/>
                <w:sz w:val="24"/>
                <w:highlight w:val="none"/>
                <w:lang w:val="en-US" w:eastAsia="zh-CN"/>
              </w:rPr>
            </w:pPr>
            <w:r>
              <w:rPr>
                <w:rFonts w:hint="eastAsia"/>
                <w:b/>
                <w:bCs/>
                <w:color w:val="auto"/>
                <w:sz w:val="24"/>
                <w:highlight w:val="none"/>
                <w:lang w:val="en-US" w:eastAsia="zh-CN"/>
              </w:rPr>
              <w:t>废催化剂：</w:t>
            </w:r>
            <w:r>
              <w:rPr>
                <w:rFonts w:hint="eastAsia"/>
                <w:b w:val="0"/>
                <w:bCs w:val="0"/>
                <w:color w:val="auto"/>
                <w:sz w:val="24"/>
                <w:highlight w:val="none"/>
                <w:lang w:val="en-US" w:eastAsia="zh-CN"/>
              </w:rPr>
              <w:t>催化燃烧装置内装填催化剂，成分主要为钯、铂等贵金属，每3年更换一次，废催化剂产生量约为0.05t/次。根据《国家危险废物名录》（2025年版），</w:t>
            </w:r>
            <w:r>
              <w:rPr>
                <w:rFonts w:hint="eastAsia"/>
                <w:color w:val="auto"/>
                <w:sz w:val="24"/>
                <w:szCs w:val="24"/>
              </w:rPr>
              <w:t>属于“HW</w:t>
            </w:r>
            <w:r>
              <w:rPr>
                <w:rFonts w:hint="eastAsia"/>
                <w:color w:val="auto"/>
                <w:sz w:val="24"/>
                <w:szCs w:val="24"/>
                <w:lang w:val="en-US" w:eastAsia="zh-CN"/>
              </w:rPr>
              <w:t>50废催化剂</w:t>
            </w:r>
            <w:r>
              <w:rPr>
                <w:rFonts w:hint="eastAsia"/>
                <w:color w:val="auto"/>
                <w:sz w:val="24"/>
              </w:rPr>
              <w:t>”，危废代码：</w:t>
            </w:r>
            <w:r>
              <w:rPr>
                <w:rFonts w:hint="eastAsia"/>
                <w:color w:val="auto"/>
                <w:sz w:val="24"/>
                <w:lang w:val="en-US" w:eastAsia="zh-CN"/>
              </w:rPr>
              <w:t>900</w:t>
            </w:r>
            <w:r>
              <w:rPr>
                <w:rFonts w:hint="eastAsia"/>
                <w:color w:val="auto"/>
                <w:sz w:val="24"/>
              </w:rPr>
              <w:t>-0</w:t>
            </w:r>
            <w:r>
              <w:rPr>
                <w:rFonts w:hint="eastAsia"/>
                <w:color w:val="auto"/>
                <w:sz w:val="24"/>
                <w:lang w:val="en-US" w:eastAsia="zh-CN"/>
              </w:rPr>
              <w:t>49</w:t>
            </w:r>
            <w:r>
              <w:rPr>
                <w:rFonts w:hint="eastAsia"/>
                <w:color w:val="auto"/>
                <w:sz w:val="24"/>
              </w:rPr>
              <w:t>-</w:t>
            </w:r>
            <w:r>
              <w:rPr>
                <w:rFonts w:hint="eastAsia"/>
                <w:color w:val="auto"/>
                <w:sz w:val="24"/>
                <w:lang w:val="en-US" w:eastAsia="zh-CN"/>
              </w:rPr>
              <w:t>50</w:t>
            </w:r>
            <w:r>
              <w:rPr>
                <w:rFonts w:hint="eastAsia"/>
                <w:color w:val="auto"/>
                <w:sz w:val="24"/>
              </w:rPr>
              <w:t>“机动车和非道路移动机械尾气净化废催化</w:t>
            </w:r>
            <w:r>
              <w:rPr>
                <w:rFonts w:hint="eastAsia"/>
                <w:color w:val="auto"/>
                <w:sz w:val="24"/>
                <w:lang w:val="en-US" w:eastAsia="zh-CN"/>
              </w:rPr>
              <w:t>剂</w:t>
            </w:r>
            <w:r>
              <w:rPr>
                <w:rFonts w:hint="eastAsia"/>
                <w:color w:val="auto"/>
                <w:sz w:val="24"/>
              </w:rPr>
              <w:t>”。</w:t>
            </w:r>
            <w:r>
              <w:rPr>
                <w:rFonts w:hint="eastAsia" w:ascii="Times New Roman" w:hAnsi="Times New Roman" w:eastAsia="宋体" w:cs="宋体"/>
                <w:kern w:val="2"/>
                <w:sz w:val="24"/>
                <w:szCs w:val="24"/>
                <w:lang w:val="en-US" w:eastAsia="zh-CN" w:bidi="ar"/>
              </w:rPr>
              <w:t>在车间内</w:t>
            </w:r>
            <w:r>
              <w:rPr>
                <w:rFonts w:hint="default" w:ascii="Times New Roman" w:hAnsi="Times New Roman" w:eastAsia="宋体" w:cs="Times New Roman"/>
                <w:kern w:val="2"/>
                <w:sz w:val="24"/>
                <w:szCs w:val="24"/>
                <w:lang w:val="en-US" w:eastAsia="zh-CN" w:bidi="ar"/>
              </w:rPr>
              <w:t>5m</w:t>
            </w:r>
            <w:r>
              <w:rPr>
                <w:rFonts w:hint="default" w:ascii="Times New Roman" w:hAnsi="Times New Roman" w:eastAsia="宋体" w:cs="Times New Roman"/>
                <w:kern w:val="2"/>
                <w:sz w:val="24"/>
                <w:szCs w:val="24"/>
                <w:vertAlign w:val="superscript"/>
                <w:lang w:val="en-US" w:eastAsia="zh-CN" w:bidi="ar"/>
              </w:rPr>
              <w:t>2</w:t>
            </w:r>
            <w:r>
              <w:rPr>
                <w:rFonts w:hint="eastAsia" w:ascii="Times New Roman" w:hAnsi="Times New Roman" w:eastAsia="宋体" w:cs="宋体"/>
                <w:kern w:val="2"/>
                <w:sz w:val="24"/>
                <w:szCs w:val="24"/>
                <w:lang w:val="en-US" w:eastAsia="zh-CN" w:bidi="ar"/>
              </w:rPr>
              <w:t>危险废物暂存间暂存，定期交有资质单位处置</w:t>
            </w:r>
            <w:r>
              <w:rPr>
                <w:rFonts w:hint="eastAsia"/>
                <w:b w:val="0"/>
                <w:bCs w:val="0"/>
                <w:color w:val="auto"/>
                <w:sz w:val="24"/>
                <w:highlight w:val="none"/>
                <w:lang w:val="en-US" w:eastAsia="zh-CN"/>
              </w:rPr>
              <w:t>。</w:t>
            </w:r>
          </w:p>
          <w:p w14:paraId="4179AFC5">
            <w:pPr>
              <w:keepNext w:val="0"/>
              <w:keepLines w:val="0"/>
              <w:pageBreakBefore w:val="0"/>
              <w:widowControl w:val="0"/>
              <w:suppressLineNumbers w:val="0"/>
              <w:kinsoku/>
              <w:wordWrap/>
              <w:overflowPunct/>
              <w:topLinePunct w:val="0"/>
              <w:autoSpaceDE/>
              <w:autoSpaceDN/>
              <w:bidi w:val="0"/>
              <w:spacing w:before="0" w:beforeAutospacing="0" w:after="0" w:afterAutospacing="0" w:line="520" w:lineRule="exact"/>
              <w:ind w:left="0" w:right="0" w:firstLine="482" w:firstLineChars="200"/>
              <w:textAlignment w:val="auto"/>
              <w:rPr>
                <w:rFonts w:hint="eastAsia" w:cs="Times New Roman"/>
                <w:b w:val="0"/>
                <w:bCs w:val="0"/>
                <w:color w:val="000000" w:themeColor="text1"/>
                <w:kern w:val="2"/>
                <w:sz w:val="24"/>
                <w:szCs w:val="24"/>
                <w:highlight w:val="none"/>
                <w:lang w:val="en-US" w:eastAsia="zh-CN" w:bidi="ar-SA"/>
                <w14:textFill>
                  <w14:solidFill>
                    <w14:schemeClr w14:val="tx1"/>
                  </w14:solidFill>
                </w14:textFill>
              </w:rPr>
            </w:pPr>
            <w:r>
              <w:rPr>
                <w:rFonts w:hint="eastAsia" w:cs="Times New Roman"/>
                <w:b/>
                <w:bCs/>
                <w:color w:val="000000" w:themeColor="text1"/>
                <w:kern w:val="2"/>
                <w:sz w:val="24"/>
                <w:szCs w:val="24"/>
                <w:highlight w:val="none"/>
                <w:lang w:val="en-US" w:eastAsia="zh-CN" w:bidi="ar-SA"/>
                <w14:textFill>
                  <w14:solidFill>
                    <w14:schemeClr w14:val="tx1"/>
                  </w14:solidFill>
                </w14:textFill>
              </w:rPr>
              <w:t>生活垃圾：</w:t>
            </w:r>
            <w:r>
              <w:rPr>
                <w:rFonts w:hint="eastAsia" w:cs="Times New Roman"/>
                <w:b w:val="0"/>
                <w:bCs w:val="0"/>
                <w:color w:val="000000" w:themeColor="text1"/>
                <w:kern w:val="2"/>
                <w:sz w:val="24"/>
                <w:szCs w:val="24"/>
                <w:highlight w:val="none"/>
                <w:lang w:val="en-US" w:eastAsia="zh-CN" w:bidi="ar-SA"/>
                <w14:textFill>
                  <w14:solidFill>
                    <w14:schemeClr w14:val="tx1"/>
                  </w14:solidFill>
                </w14:textFill>
              </w:rPr>
              <w:t>全厂职工30人，生活垃圾产生系数按照0.5kg/p·d计算，则生活垃圾产生量4.5t/a。经垃圾箱收集后，由环卫工人定期清运。</w:t>
            </w:r>
          </w:p>
          <w:p w14:paraId="04AA819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jc w:val="center"/>
              <w:textAlignment w:val="auto"/>
              <w:rPr>
                <w:rFonts w:hint="default" w:ascii="Times New Roman" w:hAnsi="Times New Roman" w:eastAsia="黑体" w:cs="Times New Roman"/>
                <w:b w:val="0"/>
                <w:bCs w:val="0"/>
                <w:color w:val="auto"/>
                <w:spacing w:val="6"/>
                <w:sz w:val="24"/>
              </w:rPr>
            </w:pPr>
            <w:r>
              <w:rPr>
                <w:rFonts w:hint="default" w:ascii="Times New Roman" w:hAnsi="Times New Roman" w:eastAsia="黑体" w:cs="Times New Roman"/>
                <w:b w:val="0"/>
                <w:bCs w:val="0"/>
                <w:color w:val="auto"/>
                <w:spacing w:val="6"/>
                <w:sz w:val="24"/>
              </w:rPr>
              <w:t>表4-</w:t>
            </w:r>
            <w:r>
              <w:rPr>
                <w:rFonts w:hint="eastAsia" w:eastAsia="黑体" w:cs="Times New Roman"/>
                <w:b w:val="0"/>
                <w:bCs w:val="0"/>
                <w:color w:val="auto"/>
                <w:spacing w:val="6"/>
                <w:sz w:val="24"/>
                <w:lang w:val="en-US" w:eastAsia="zh-CN"/>
              </w:rPr>
              <w:t>12</w:t>
            </w:r>
            <w:r>
              <w:rPr>
                <w:rFonts w:hint="default" w:ascii="Times New Roman" w:hAnsi="Times New Roman" w:eastAsia="黑体" w:cs="Times New Roman"/>
                <w:b w:val="0"/>
                <w:bCs w:val="0"/>
                <w:color w:val="auto"/>
                <w:spacing w:val="6"/>
                <w:sz w:val="24"/>
              </w:rPr>
              <w:t xml:space="preserve">  危险废物汇总表</w:t>
            </w:r>
          </w:p>
          <w:tbl>
            <w:tblPr>
              <w:tblStyle w:val="25"/>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29"/>
              <w:gridCol w:w="892"/>
              <w:gridCol w:w="1272"/>
              <w:gridCol w:w="1085"/>
              <w:gridCol w:w="1100"/>
              <w:gridCol w:w="582"/>
              <w:gridCol w:w="957"/>
              <w:gridCol w:w="661"/>
              <w:gridCol w:w="711"/>
            </w:tblGrid>
            <w:tr w14:paraId="5A28C5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67" w:type="pct"/>
                  <w:tcBorders>
                    <w:tl2br w:val="nil"/>
                    <w:tr2bl w:val="nil"/>
                  </w:tcBorders>
                  <w:noWrap w:val="0"/>
                  <w:vAlign w:val="center"/>
                </w:tcPr>
                <w:p w14:paraId="0ADE203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b w:val="0"/>
                      <w:bCs w:val="0"/>
                      <w:color w:val="auto"/>
                    </w:rPr>
                  </w:pPr>
                  <w:r>
                    <w:rPr>
                      <w:rFonts w:hint="eastAsia"/>
                      <w:b w:val="0"/>
                      <w:bCs w:val="0"/>
                      <w:color w:val="auto"/>
                    </w:rPr>
                    <w:t>危险废物名称</w:t>
                  </w:r>
                </w:p>
              </w:tc>
              <w:tc>
                <w:tcPr>
                  <w:tcW w:w="544" w:type="pct"/>
                  <w:tcBorders>
                    <w:tl2br w:val="nil"/>
                    <w:tr2bl w:val="nil"/>
                  </w:tcBorders>
                  <w:noWrap w:val="0"/>
                  <w:vAlign w:val="center"/>
                </w:tcPr>
                <w:p w14:paraId="3487F6D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b w:val="0"/>
                      <w:bCs w:val="0"/>
                      <w:color w:val="auto"/>
                    </w:rPr>
                  </w:pPr>
                  <w:r>
                    <w:rPr>
                      <w:rFonts w:hint="eastAsia"/>
                      <w:b w:val="0"/>
                      <w:bCs w:val="0"/>
                      <w:color w:val="auto"/>
                    </w:rPr>
                    <w:t>危险废物类别</w:t>
                  </w:r>
                </w:p>
              </w:tc>
              <w:tc>
                <w:tcPr>
                  <w:tcW w:w="776" w:type="pct"/>
                  <w:tcBorders>
                    <w:tl2br w:val="nil"/>
                    <w:tr2bl w:val="nil"/>
                  </w:tcBorders>
                  <w:noWrap w:val="0"/>
                  <w:vAlign w:val="center"/>
                </w:tcPr>
                <w:p w14:paraId="00B0DF5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b w:val="0"/>
                      <w:bCs w:val="0"/>
                      <w:color w:val="auto"/>
                    </w:rPr>
                  </w:pPr>
                  <w:r>
                    <w:rPr>
                      <w:rFonts w:hint="eastAsia"/>
                      <w:b w:val="0"/>
                      <w:bCs w:val="0"/>
                      <w:color w:val="auto"/>
                    </w:rPr>
                    <w:t>危险废物代码</w:t>
                  </w:r>
                </w:p>
              </w:tc>
              <w:tc>
                <w:tcPr>
                  <w:tcW w:w="662" w:type="pct"/>
                  <w:tcBorders>
                    <w:tl2br w:val="nil"/>
                    <w:tr2bl w:val="nil"/>
                  </w:tcBorders>
                  <w:noWrap w:val="0"/>
                  <w:vAlign w:val="center"/>
                </w:tcPr>
                <w:p w14:paraId="285EBF1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b w:val="0"/>
                      <w:bCs w:val="0"/>
                      <w:color w:val="auto"/>
                    </w:rPr>
                  </w:pPr>
                  <w:r>
                    <w:rPr>
                      <w:rFonts w:hint="eastAsia"/>
                      <w:b w:val="0"/>
                      <w:bCs w:val="0"/>
                      <w:color w:val="auto"/>
                    </w:rPr>
                    <w:t>产生量</w:t>
                  </w:r>
                </w:p>
              </w:tc>
              <w:tc>
                <w:tcPr>
                  <w:tcW w:w="671" w:type="pct"/>
                  <w:tcBorders>
                    <w:tl2br w:val="nil"/>
                    <w:tr2bl w:val="nil"/>
                  </w:tcBorders>
                  <w:noWrap w:val="0"/>
                  <w:vAlign w:val="center"/>
                </w:tcPr>
                <w:p w14:paraId="3E196EC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b w:val="0"/>
                      <w:bCs w:val="0"/>
                      <w:color w:val="auto"/>
                    </w:rPr>
                  </w:pPr>
                  <w:r>
                    <w:rPr>
                      <w:rFonts w:hint="eastAsia"/>
                      <w:b w:val="0"/>
                      <w:bCs w:val="0"/>
                      <w:color w:val="auto"/>
                    </w:rPr>
                    <w:t>产生工序及装置</w:t>
                  </w:r>
                </w:p>
              </w:tc>
              <w:tc>
                <w:tcPr>
                  <w:tcW w:w="355" w:type="pct"/>
                  <w:tcBorders>
                    <w:tl2br w:val="nil"/>
                    <w:tr2bl w:val="nil"/>
                  </w:tcBorders>
                  <w:noWrap w:val="0"/>
                  <w:vAlign w:val="center"/>
                </w:tcPr>
                <w:p w14:paraId="0E7B1B2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b w:val="0"/>
                      <w:bCs w:val="0"/>
                      <w:color w:val="auto"/>
                    </w:rPr>
                  </w:pPr>
                  <w:r>
                    <w:rPr>
                      <w:rFonts w:hint="eastAsia"/>
                      <w:b w:val="0"/>
                      <w:bCs w:val="0"/>
                      <w:color w:val="auto"/>
                    </w:rPr>
                    <w:t>形态</w:t>
                  </w:r>
                </w:p>
              </w:tc>
              <w:tc>
                <w:tcPr>
                  <w:tcW w:w="584" w:type="pct"/>
                  <w:tcBorders>
                    <w:tl2br w:val="nil"/>
                    <w:tr2bl w:val="nil"/>
                  </w:tcBorders>
                  <w:noWrap w:val="0"/>
                  <w:vAlign w:val="center"/>
                </w:tcPr>
                <w:p w14:paraId="4E2BF35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b w:val="0"/>
                      <w:bCs w:val="0"/>
                      <w:color w:val="auto"/>
                    </w:rPr>
                  </w:pPr>
                  <w:r>
                    <w:rPr>
                      <w:rFonts w:hint="eastAsia"/>
                      <w:b w:val="0"/>
                      <w:bCs w:val="0"/>
                      <w:color w:val="auto"/>
                    </w:rPr>
                    <w:t>主要成分</w:t>
                  </w:r>
                </w:p>
              </w:tc>
              <w:tc>
                <w:tcPr>
                  <w:tcW w:w="403" w:type="pct"/>
                  <w:tcBorders>
                    <w:tl2br w:val="nil"/>
                    <w:tr2bl w:val="nil"/>
                  </w:tcBorders>
                  <w:noWrap w:val="0"/>
                  <w:vAlign w:val="center"/>
                </w:tcPr>
                <w:p w14:paraId="277EEA2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b w:val="0"/>
                      <w:bCs w:val="0"/>
                      <w:color w:val="auto"/>
                    </w:rPr>
                  </w:pPr>
                  <w:r>
                    <w:rPr>
                      <w:rFonts w:hint="eastAsia"/>
                      <w:b w:val="0"/>
                      <w:bCs w:val="0"/>
                      <w:color w:val="auto"/>
                    </w:rPr>
                    <w:t>有害成分</w:t>
                  </w:r>
                </w:p>
              </w:tc>
              <w:tc>
                <w:tcPr>
                  <w:tcW w:w="434" w:type="pct"/>
                  <w:tcBorders>
                    <w:tl2br w:val="nil"/>
                    <w:tr2bl w:val="nil"/>
                  </w:tcBorders>
                  <w:noWrap w:val="0"/>
                  <w:vAlign w:val="center"/>
                </w:tcPr>
                <w:p w14:paraId="474B70B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b w:val="0"/>
                      <w:bCs w:val="0"/>
                      <w:color w:val="auto"/>
                    </w:rPr>
                  </w:pPr>
                  <w:r>
                    <w:rPr>
                      <w:rFonts w:hint="eastAsia"/>
                      <w:b w:val="0"/>
                      <w:bCs w:val="0"/>
                      <w:color w:val="auto"/>
                    </w:rPr>
                    <w:t>危险特性</w:t>
                  </w:r>
                </w:p>
              </w:tc>
            </w:tr>
            <w:tr w14:paraId="5AD215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67" w:type="pct"/>
                  <w:tcBorders>
                    <w:tl2br w:val="nil"/>
                    <w:tr2bl w:val="nil"/>
                  </w:tcBorders>
                  <w:noWrap w:val="0"/>
                  <w:vAlign w:val="center"/>
                </w:tcPr>
                <w:p w14:paraId="06BB27B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color w:val="auto"/>
                    </w:rPr>
                  </w:pPr>
                  <w:r>
                    <w:rPr>
                      <w:rFonts w:hint="eastAsia"/>
                      <w:color w:val="auto"/>
                    </w:rPr>
                    <w:t>废活性炭</w:t>
                  </w:r>
                </w:p>
              </w:tc>
              <w:tc>
                <w:tcPr>
                  <w:tcW w:w="544" w:type="pct"/>
                  <w:tcBorders>
                    <w:tl2br w:val="nil"/>
                    <w:tr2bl w:val="nil"/>
                  </w:tcBorders>
                  <w:noWrap w:val="0"/>
                  <w:vAlign w:val="center"/>
                </w:tcPr>
                <w:p w14:paraId="1664D0C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color w:val="auto"/>
                    </w:rPr>
                  </w:pPr>
                  <w:r>
                    <w:rPr>
                      <w:rFonts w:hint="default"/>
                      <w:color w:val="auto"/>
                    </w:rPr>
                    <w:t>HW49</w:t>
                  </w:r>
                </w:p>
              </w:tc>
              <w:tc>
                <w:tcPr>
                  <w:tcW w:w="776" w:type="pct"/>
                  <w:tcBorders>
                    <w:tl2br w:val="nil"/>
                    <w:tr2bl w:val="nil"/>
                  </w:tcBorders>
                  <w:noWrap w:val="0"/>
                  <w:vAlign w:val="center"/>
                </w:tcPr>
                <w:p w14:paraId="6FBF68D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color w:val="auto"/>
                      <w:spacing w:val="6"/>
                    </w:rPr>
                  </w:pPr>
                  <w:r>
                    <w:rPr>
                      <w:rFonts w:hint="eastAsia"/>
                      <w:color w:val="auto"/>
                      <w:spacing w:val="6"/>
                    </w:rPr>
                    <w:t>900-039-49</w:t>
                  </w:r>
                </w:p>
              </w:tc>
              <w:tc>
                <w:tcPr>
                  <w:tcW w:w="662" w:type="pct"/>
                  <w:tcBorders>
                    <w:tl2br w:val="nil"/>
                    <w:tr2bl w:val="nil"/>
                  </w:tcBorders>
                  <w:noWrap w:val="0"/>
                  <w:vAlign w:val="center"/>
                </w:tcPr>
                <w:p w14:paraId="78C60FB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color w:val="auto"/>
                    </w:rPr>
                  </w:pPr>
                  <w:r>
                    <w:rPr>
                      <w:rFonts w:hint="eastAsia"/>
                      <w:color w:val="auto"/>
                      <w:lang w:val="en-US" w:eastAsia="zh-CN"/>
                    </w:rPr>
                    <w:t>1.222</w:t>
                  </w:r>
                  <w:r>
                    <w:rPr>
                      <w:rFonts w:hint="eastAsia"/>
                      <w:color w:val="auto"/>
                    </w:rPr>
                    <w:t>t/a</w:t>
                  </w:r>
                </w:p>
              </w:tc>
              <w:tc>
                <w:tcPr>
                  <w:tcW w:w="671" w:type="pct"/>
                  <w:tcBorders>
                    <w:tl2br w:val="nil"/>
                    <w:tr2bl w:val="nil"/>
                  </w:tcBorders>
                  <w:noWrap w:val="0"/>
                  <w:vAlign w:val="center"/>
                </w:tcPr>
                <w:p w14:paraId="003B601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color w:val="auto"/>
                    </w:rPr>
                  </w:pPr>
                  <w:r>
                    <w:rPr>
                      <w:rFonts w:hint="eastAsia" w:eastAsia="宋体"/>
                      <w:color w:val="auto"/>
                    </w:rPr>
                    <w:t>废气治理设施</w:t>
                  </w:r>
                </w:p>
              </w:tc>
              <w:tc>
                <w:tcPr>
                  <w:tcW w:w="355" w:type="pct"/>
                  <w:tcBorders>
                    <w:tl2br w:val="nil"/>
                    <w:tr2bl w:val="nil"/>
                  </w:tcBorders>
                  <w:noWrap w:val="0"/>
                  <w:vAlign w:val="center"/>
                </w:tcPr>
                <w:p w14:paraId="7559D15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bCs/>
                      <w:color w:val="auto"/>
                    </w:rPr>
                  </w:pPr>
                  <w:r>
                    <w:rPr>
                      <w:rFonts w:hint="eastAsia"/>
                      <w:bCs/>
                      <w:color w:val="auto"/>
                    </w:rPr>
                    <w:t>固态</w:t>
                  </w:r>
                </w:p>
              </w:tc>
              <w:tc>
                <w:tcPr>
                  <w:tcW w:w="584" w:type="pct"/>
                  <w:tcBorders>
                    <w:tl2br w:val="nil"/>
                    <w:tr2bl w:val="nil"/>
                  </w:tcBorders>
                  <w:noWrap w:val="0"/>
                  <w:vAlign w:val="center"/>
                </w:tcPr>
                <w:p w14:paraId="411BEC5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bCs/>
                      <w:color w:val="auto"/>
                    </w:rPr>
                  </w:pPr>
                  <w:r>
                    <w:rPr>
                      <w:rFonts w:hint="eastAsia"/>
                      <w:bCs/>
                      <w:color w:val="auto"/>
                    </w:rPr>
                    <w:t>活性炭、挥发性有机物</w:t>
                  </w:r>
                </w:p>
              </w:tc>
              <w:tc>
                <w:tcPr>
                  <w:tcW w:w="403" w:type="pct"/>
                  <w:tcBorders>
                    <w:tl2br w:val="nil"/>
                    <w:tr2bl w:val="nil"/>
                  </w:tcBorders>
                  <w:noWrap w:val="0"/>
                  <w:vAlign w:val="center"/>
                </w:tcPr>
                <w:p w14:paraId="10104C6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color w:val="auto"/>
                    </w:rPr>
                  </w:pPr>
                  <w:r>
                    <w:rPr>
                      <w:rFonts w:hint="eastAsia"/>
                      <w:bCs/>
                      <w:color w:val="auto"/>
                    </w:rPr>
                    <w:t>挥发性有机物</w:t>
                  </w:r>
                </w:p>
              </w:tc>
              <w:tc>
                <w:tcPr>
                  <w:tcW w:w="434" w:type="pct"/>
                  <w:tcBorders>
                    <w:tl2br w:val="nil"/>
                    <w:tr2bl w:val="nil"/>
                  </w:tcBorders>
                  <w:noWrap w:val="0"/>
                  <w:vAlign w:val="center"/>
                </w:tcPr>
                <w:p w14:paraId="2D3B025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bCs/>
                      <w:color w:val="auto"/>
                    </w:rPr>
                  </w:pPr>
                  <w:r>
                    <w:rPr>
                      <w:rFonts w:hint="default"/>
                      <w:bCs/>
                      <w:color w:val="auto"/>
                    </w:rPr>
                    <w:t>T</w:t>
                  </w:r>
                </w:p>
              </w:tc>
            </w:tr>
            <w:tr w14:paraId="44AC082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67" w:type="pct"/>
                  <w:tcBorders>
                    <w:tl2br w:val="nil"/>
                    <w:tr2bl w:val="nil"/>
                  </w:tcBorders>
                  <w:noWrap w:val="0"/>
                  <w:vAlign w:val="center"/>
                </w:tcPr>
                <w:p w14:paraId="665C46D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eastAsia="宋体"/>
                      <w:color w:val="auto"/>
                      <w:lang w:eastAsia="zh-CN"/>
                    </w:rPr>
                  </w:pPr>
                  <w:r>
                    <w:rPr>
                      <w:rFonts w:hint="eastAsia"/>
                      <w:color w:val="auto"/>
                      <w:lang w:val="en-US" w:eastAsia="zh-CN"/>
                    </w:rPr>
                    <w:t>废催化剂</w:t>
                  </w:r>
                </w:p>
              </w:tc>
              <w:tc>
                <w:tcPr>
                  <w:tcW w:w="544" w:type="pct"/>
                  <w:tcBorders>
                    <w:tl2br w:val="nil"/>
                    <w:tr2bl w:val="nil"/>
                  </w:tcBorders>
                  <w:noWrap w:val="0"/>
                  <w:vAlign w:val="center"/>
                </w:tcPr>
                <w:p w14:paraId="54E36FE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eastAsia="宋体"/>
                      <w:color w:val="auto"/>
                      <w:lang w:val="en-US" w:eastAsia="zh-CN"/>
                    </w:rPr>
                  </w:pPr>
                  <w:r>
                    <w:rPr>
                      <w:rFonts w:hint="default"/>
                      <w:color w:val="auto"/>
                    </w:rPr>
                    <w:t>HW</w:t>
                  </w:r>
                  <w:r>
                    <w:rPr>
                      <w:rFonts w:hint="eastAsia"/>
                      <w:color w:val="auto"/>
                      <w:lang w:val="en-US" w:eastAsia="zh-CN"/>
                    </w:rPr>
                    <w:t>50</w:t>
                  </w:r>
                </w:p>
              </w:tc>
              <w:tc>
                <w:tcPr>
                  <w:tcW w:w="776" w:type="pct"/>
                  <w:tcBorders>
                    <w:tl2br w:val="nil"/>
                    <w:tr2bl w:val="nil"/>
                  </w:tcBorders>
                  <w:noWrap w:val="0"/>
                  <w:vAlign w:val="center"/>
                </w:tcPr>
                <w:p w14:paraId="488EFD1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color w:val="auto"/>
                      <w:spacing w:val="6"/>
                    </w:rPr>
                  </w:pPr>
                  <w:r>
                    <w:rPr>
                      <w:rFonts w:hint="eastAsia"/>
                      <w:color w:val="auto"/>
                      <w:spacing w:val="6"/>
                      <w:lang w:val="en-US" w:eastAsia="zh-CN"/>
                    </w:rPr>
                    <w:t>900</w:t>
                  </w:r>
                  <w:r>
                    <w:rPr>
                      <w:rFonts w:hint="eastAsia"/>
                      <w:color w:val="auto"/>
                      <w:spacing w:val="6"/>
                    </w:rPr>
                    <w:t>-0</w:t>
                  </w:r>
                  <w:r>
                    <w:rPr>
                      <w:rFonts w:hint="eastAsia"/>
                      <w:color w:val="auto"/>
                      <w:spacing w:val="6"/>
                      <w:lang w:val="en-US" w:eastAsia="zh-CN"/>
                    </w:rPr>
                    <w:t>49</w:t>
                  </w:r>
                  <w:r>
                    <w:rPr>
                      <w:rFonts w:hint="eastAsia"/>
                      <w:color w:val="auto"/>
                      <w:spacing w:val="6"/>
                    </w:rPr>
                    <w:t>-</w:t>
                  </w:r>
                  <w:r>
                    <w:rPr>
                      <w:rFonts w:hint="eastAsia"/>
                      <w:color w:val="auto"/>
                      <w:spacing w:val="6"/>
                      <w:lang w:val="en-US" w:eastAsia="zh-CN"/>
                    </w:rPr>
                    <w:t>50</w:t>
                  </w:r>
                </w:p>
              </w:tc>
              <w:tc>
                <w:tcPr>
                  <w:tcW w:w="662" w:type="pct"/>
                  <w:tcBorders>
                    <w:tl2br w:val="nil"/>
                    <w:tr2bl w:val="nil"/>
                  </w:tcBorders>
                  <w:noWrap w:val="0"/>
                  <w:vAlign w:val="center"/>
                </w:tcPr>
                <w:p w14:paraId="3D1E1D9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color w:val="auto"/>
                    </w:rPr>
                  </w:pPr>
                  <w:r>
                    <w:rPr>
                      <w:rFonts w:hint="eastAsia"/>
                      <w:color w:val="auto"/>
                      <w:lang w:val="en-US" w:eastAsia="zh-CN"/>
                    </w:rPr>
                    <w:t>0.05</w:t>
                  </w:r>
                  <w:r>
                    <w:rPr>
                      <w:rFonts w:hint="eastAsia"/>
                      <w:color w:val="auto"/>
                    </w:rPr>
                    <w:t>t/</w:t>
                  </w:r>
                  <w:r>
                    <w:rPr>
                      <w:rFonts w:hint="eastAsia"/>
                      <w:color w:val="auto"/>
                      <w:lang w:val="en-US" w:eastAsia="zh-CN"/>
                    </w:rPr>
                    <w:t>3</w:t>
                  </w:r>
                  <w:r>
                    <w:rPr>
                      <w:rFonts w:hint="eastAsia"/>
                      <w:color w:val="auto"/>
                    </w:rPr>
                    <w:t>a</w:t>
                  </w:r>
                </w:p>
              </w:tc>
              <w:tc>
                <w:tcPr>
                  <w:tcW w:w="671" w:type="pct"/>
                  <w:tcBorders>
                    <w:tl2br w:val="nil"/>
                    <w:tr2bl w:val="nil"/>
                  </w:tcBorders>
                  <w:noWrap w:val="0"/>
                  <w:vAlign w:val="center"/>
                </w:tcPr>
                <w:p w14:paraId="1B8DD6E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eastAsia="宋体"/>
                      <w:color w:val="auto"/>
                    </w:rPr>
                  </w:pPr>
                  <w:r>
                    <w:rPr>
                      <w:rFonts w:hint="eastAsia" w:eastAsia="宋体"/>
                      <w:color w:val="auto"/>
                    </w:rPr>
                    <w:t>废气治理设施</w:t>
                  </w:r>
                </w:p>
              </w:tc>
              <w:tc>
                <w:tcPr>
                  <w:tcW w:w="355" w:type="pct"/>
                  <w:tcBorders>
                    <w:tl2br w:val="nil"/>
                    <w:tr2bl w:val="nil"/>
                  </w:tcBorders>
                  <w:noWrap w:val="0"/>
                  <w:vAlign w:val="center"/>
                </w:tcPr>
                <w:p w14:paraId="76702C7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bCs/>
                      <w:color w:val="auto"/>
                    </w:rPr>
                  </w:pPr>
                  <w:r>
                    <w:rPr>
                      <w:rFonts w:hint="eastAsia"/>
                      <w:color w:val="auto"/>
                    </w:rPr>
                    <w:t>固态</w:t>
                  </w:r>
                </w:p>
              </w:tc>
              <w:tc>
                <w:tcPr>
                  <w:tcW w:w="584" w:type="pct"/>
                  <w:tcBorders>
                    <w:tl2br w:val="nil"/>
                    <w:tr2bl w:val="nil"/>
                  </w:tcBorders>
                  <w:noWrap w:val="0"/>
                  <w:vAlign w:val="center"/>
                </w:tcPr>
                <w:p w14:paraId="0A3057F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eastAsia="宋体"/>
                      <w:bCs/>
                      <w:color w:val="auto"/>
                      <w:lang w:val="en-US" w:eastAsia="zh-CN"/>
                    </w:rPr>
                  </w:pPr>
                  <w:r>
                    <w:rPr>
                      <w:rFonts w:hint="eastAsia"/>
                      <w:bCs/>
                      <w:color w:val="auto"/>
                      <w:lang w:val="en-US" w:eastAsia="zh-CN"/>
                    </w:rPr>
                    <w:t>金属</w:t>
                  </w:r>
                </w:p>
              </w:tc>
              <w:tc>
                <w:tcPr>
                  <w:tcW w:w="403" w:type="pct"/>
                  <w:tcBorders>
                    <w:tl2br w:val="nil"/>
                    <w:tr2bl w:val="nil"/>
                  </w:tcBorders>
                  <w:noWrap w:val="0"/>
                  <w:vAlign w:val="center"/>
                </w:tcPr>
                <w:p w14:paraId="21CD39B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eastAsia="宋体"/>
                      <w:bCs/>
                      <w:color w:val="auto"/>
                      <w:lang w:eastAsia="zh-CN"/>
                    </w:rPr>
                  </w:pPr>
                  <w:r>
                    <w:rPr>
                      <w:rFonts w:hint="eastAsia"/>
                      <w:color w:val="auto"/>
                      <w:lang w:val="en-US" w:eastAsia="zh-CN"/>
                    </w:rPr>
                    <w:t>金属</w:t>
                  </w:r>
                </w:p>
              </w:tc>
              <w:tc>
                <w:tcPr>
                  <w:tcW w:w="434" w:type="pct"/>
                  <w:tcBorders>
                    <w:tl2br w:val="nil"/>
                    <w:tr2bl w:val="nil"/>
                  </w:tcBorders>
                  <w:noWrap w:val="0"/>
                  <w:vAlign w:val="center"/>
                </w:tcPr>
                <w:p w14:paraId="01230E5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bCs/>
                      <w:color w:val="auto"/>
                    </w:rPr>
                  </w:pPr>
                  <w:r>
                    <w:rPr>
                      <w:rFonts w:hint="default"/>
                      <w:color w:val="auto"/>
                    </w:rPr>
                    <w:t>T</w:t>
                  </w:r>
                </w:p>
              </w:tc>
            </w:tr>
          </w:tbl>
          <w:p w14:paraId="1EC8334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jc w:val="center"/>
              <w:textAlignment w:val="auto"/>
              <w:rPr>
                <w:rFonts w:hint="default" w:ascii="Times New Roman" w:hAnsi="Times New Roman" w:eastAsia="黑体" w:cs="Times New Roman"/>
                <w:b w:val="0"/>
                <w:bCs w:val="0"/>
                <w:color w:val="auto"/>
                <w:spacing w:val="6"/>
                <w:sz w:val="24"/>
                <w:lang w:val="en-US"/>
              </w:rPr>
            </w:pPr>
            <w:r>
              <w:rPr>
                <w:rFonts w:hint="eastAsia" w:ascii="Times New Roman" w:hAnsi="Times New Roman" w:eastAsia="黑体" w:cs="Times New Roman"/>
                <w:b w:val="0"/>
                <w:bCs w:val="0"/>
                <w:color w:val="auto"/>
                <w:spacing w:val="6"/>
                <w:sz w:val="24"/>
                <w:lang w:val="en-US" w:eastAsia="zh-CN"/>
              </w:rPr>
              <w:t>表</w:t>
            </w:r>
            <w:r>
              <w:rPr>
                <w:rFonts w:hint="default" w:ascii="Times New Roman" w:hAnsi="Times New Roman" w:eastAsia="黑体" w:cs="Times New Roman"/>
                <w:b w:val="0"/>
                <w:bCs w:val="0"/>
                <w:color w:val="auto"/>
                <w:spacing w:val="6"/>
                <w:sz w:val="24"/>
                <w:lang w:val="en-US" w:eastAsia="zh-CN"/>
              </w:rPr>
              <w:t>4-</w:t>
            </w:r>
            <w:r>
              <w:rPr>
                <w:rFonts w:hint="eastAsia" w:eastAsia="黑体" w:cs="Times New Roman"/>
                <w:b w:val="0"/>
                <w:bCs w:val="0"/>
                <w:color w:val="auto"/>
                <w:spacing w:val="6"/>
                <w:sz w:val="24"/>
                <w:lang w:val="en-US" w:eastAsia="zh-CN"/>
              </w:rPr>
              <w:t>13</w:t>
            </w:r>
            <w:r>
              <w:rPr>
                <w:rFonts w:hint="default" w:ascii="Times New Roman" w:hAnsi="Times New Roman" w:eastAsia="黑体" w:cs="Times New Roman"/>
                <w:b w:val="0"/>
                <w:bCs w:val="0"/>
                <w:color w:val="auto"/>
                <w:spacing w:val="6"/>
                <w:sz w:val="24"/>
                <w:lang w:val="en-US" w:eastAsia="zh-CN"/>
              </w:rPr>
              <w:t xml:space="preserve">  </w:t>
            </w:r>
            <w:r>
              <w:rPr>
                <w:rFonts w:hint="eastAsia" w:ascii="Times New Roman" w:hAnsi="Times New Roman" w:eastAsia="黑体" w:cs="Times New Roman"/>
                <w:b w:val="0"/>
                <w:bCs w:val="0"/>
                <w:color w:val="auto"/>
                <w:spacing w:val="6"/>
                <w:sz w:val="24"/>
                <w:lang w:val="en-US" w:eastAsia="zh-CN"/>
              </w:rPr>
              <w:t>危险废物类别及贮存场所（设施）基本情况</w:t>
            </w:r>
          </w:p>
          <w:tbl>
            <w:tblPr>
              <w:tblStyle w:val="25"/>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942"/>
              <w:gridCol w:w="1163"/>
              <w:gridCol w:w="1081"/>
              <w:gridCol w:w="1507"/>
              <w:gridCol w:w="1343"/>
              <w:gridCol w:w="1354"/>
              <w:gridCol w:w="797"/>
            </w:tblGrid>
            <w:tr w14:paraId="703DE2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23" w:hRule="atLeast"/>
              </w:trPr>
              <w:tc>
                <w:tcPr>
                  <w:tcW w:w="575" w:type="pct"/>
                  <w:tcBorders>
                    <w:tl2br w:val="nil"/>
                    <w:tr2bl w:val="nil"/>
                  </w:tcBorders>
                  <w:shd w:val="clear" w:color="auto" w:fill="auto"/>
                  <w:vAlign w:val="center"/>
                </w:tcPr>
                <w:p w14:paraId="7894206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hAnsi="宋体"/>
                      <w:b w:val="0"/>
                      <w:bCs w:val="0"/>
                      <w:lang w:val="en-US"/>
                    </w:rPr>
                  </w:pPr>
                  <w:r>
                    <w:rPr>
                      <w:rFonts w:hint="eastAsia" w:ascii="Times New Roman" w:hAnsi="宋体" w:eastAsia="宋体" w:cs="宋体"/>
                      <w:b w:val="0"/>
                      <w:bCs w:val="0"/>
                      <w:kern w:val="2"/>
                      <w:sz w:val="21"/>
                      <w:szCs w:val="24"/>
                      <w:lang w:val="en-US" w:eastAsia="zh-CN" w:bidi="ar"/>
                    </w:rPr>
                    <w:t>贮存场所名称</w:t>
                  </w:r>
                </w:p>
              </w:tc>
              <w:tc>
                <w:tcPr>
                  <w:tcW w:w="710" w:type="pct"/>
                  <w:tcBorders>
                    <w:tl2br w:val="nil"/>
                    <w:tr2bl w:val="nil"/>
                  </w:tcBorders>
                  <w:shd w:val="clear" w:color="auto" w:fill="auto"/>
                  <w:vAlign w:val="center"/>
                </w:tcPr>
                <w:p w14:paraId="498DC43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val="0"/>
                      <w:lang w:val="en-US"/>
                    </w:rPr>
                  </w:pPr>
                  <w:r>
                    <w:rPr>
                      <w:rFonts w:hint="eastAsia" w:ascii="Times New Roman" w:hAnsi="宋体" w:eastAsia="宋体" w:cs="宋体"/>
                      <w:b w:val="0"/>
                      <w:bCs w:val="0"/>
                      <w:kern w:val="2"/>
                      <w:sz w:val="21"/>
                      <w:szCs w:val="24"/>
                      <w:lang w:val="en-US" w:eastAsia="zh-CN" w:bidi="ar"/>
                    </w:rPr>
                    <w:t>危险废物名称</w:t>
                  </w:r>
                </w:p>
              </w:tc>
              <w:tc>
                <w:tcPr>
                  <w:tcW w:w="660" w:type="pct"/>
                  <w:tcBorders>
                    <w:tl2br w:val="nil"/>
                    <w:tr2bl w:val="nil"/>
                  </w:tcBorders>
                  <w:shd w:val="clear" w:color="auto" w:fill="auto"/>
                  <w:vAlign w:val="center"/>
                </w:tcPr>
                <w:p w14:paraId="53D0B81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val="0"/>
                      <w:lang w:val="en-US"/>
                    </w:rPr>
                  </w:pPr>
                  <w:r>
                    <w:rPr>
                      <w:rFonts w:hint="eastAsia" w:ascii="Times New Roman" w:hAnsi="宋体" w:eastAsia="宋体" w:cs="宋体"/>
                      <w:b w:val="0"/>
                      <w:bCs w:val="0"/>
                      <w:kern w:val="2"/>
                      <w:sz w:val="21"/>
                      <w:szCs w:val="24"/>
                      <w:lang w:val="en-US" w:eastAsia="zh-CN" w:bidi="ar"/>
                    </w:rPr>
                    <w:t>危险废物类别</w:t>
                  </w:r>
                </w:p>
              </w:tc>
              <w:tc>
                <w:tcPr>
                  <w:tcW w:w="920" w:type="pct"/>
                  <w:tcBorders>
                    <w:tl2br w:val="nil"/>
                    <w:tr2bl w:val="nil"/>
                  </w:tcBorders>
                  <w:shd w:val="clear" w:color="auto" w:fill="auto"/>
                  <w:vAlign w:val="center"/>
                </w:tcPr>
                <w:p w14:paraId="2AAEC78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val="0"/>
                      <w:lang w:val="en-US"/>
                    </w:rPr>
                  </w:pPr>
                  <w:r>
                    <w:rPr>
                      <w:rFonts w:hint="eastAsia" w:ascii="Times New Roman" w:hAnsi="宋体" w:eastAsia="宋体" w:cs="宋体"/>
                      <w:b w:val="0"/>
                      <w:bCs w:val="0"/>
                      <w:kern w:val="2"/>
                      <w:sz w:val="21"/>
                      <w:szCs w:val="24"/>
                      <w:lang w:val="en-US" w:eastAsia="zh-CN" w:bidi="ar"/>
                    </w:rPr>
                    <w:t>危险废物代码</w:t>
                  </w:r>
                </w:p>
              </w:tc>
              <w:tc>
                <w:tcPr>
                  <w:tcW w:w="820" w:type="pct"/>
                  <w:tcBorders>
                    <w:tl2br w:val="nil"/>
                    <w:tr2bl w:val="nil"/>
                  </w:tcBorders>
                  <w:shd w:val="clear" w:color="auto" w:fill="auto"/>
                  <w:vAlign w:val="center"/>
                </w:tcPr>
                <w:p w14:paraId="674768E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hAnsi="宋体"/>
                      <w:b w:val="0"/>
                      <w:bCs w:val="0"/>
                      <w:lang w:val="en-US"/>
                    </w:rPr>
                  </w:pPr>
                  <w:r>
                    <w:rPr>
                      <w:rFonts w:hint="eastAsia" w:ascii="Times New Roman" w:hAnsi="宋体" w:eastAsia="宋体" w:cs="宋体"/>
                      <w:b w:val="0"/>
                      <w:bCs w:val="0"/>
                      <w:kern w:val="2"/>
                      <w:sz w:val="21"/>
                      <w:szCs w:val="24"/>
                      <w:lang w:val="en-US" w:eastAsia="zh-CN" w:bidi="ar"/>
                    </w:rPr>
                    <w:t>占地面积</w:t>
                  </w:r>
                </w:p>
              </w:tc>
              <w:tc>
                <w:tcPr>
                  <w:tcW w:w="826" w:type="pct"/>
                  <w:tcBorders>
                    <w:tl2br w:val="nil"/>
                    <w:tr2bl w:val="nil"/>
                  </w:tcBorders>
                  <w:shd w:val="clear" w:color="auto" w:fill="auto"/>
                  <w:vAlign w:val="center"/>
                </w:tcPr>
                <w:p w14:paraId="29B5C88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hAnsi="宋体"/>
                      <w:b w:val="0"/>
                      <w:bCs w:val="0"/>
                      <w:lang w:val="en-US"/>
                    </w:rPr>
                  </w:pPr>
                  <w:r>
                    <w:rPr>
                      <w:rFonts w:hint="eastAsia" w:ascii="Times New Roman" w:hAnsi="宋体" w:eastAsia="宋体" w:cs="宋体"/>
                      <w:b w:val="0"/>
                      <w:bCs w:val="0"/>
                      <w:kern w:val="2"/>
                      <w:sz w:val="21"/>
                      <w:szCs w:val="24"/>
                      <w:lang w:val="en-US" w:eastAsia="zh-CN" w:bidi="ar"/>
                    </w:rPr>
                    <w:t>贮存方式</w:t>
                  </w:r>
                </w:p>
              </w:tc>
              <w:tc>
                <w:tcPr>
                  <w:tcW w:w="486" w:type="pct"/>
                  <w:tcBorders>
                    <w:tl2br w:val="nil"/>
                    <w:tr2bl w:val="nil"/>
                  </w:tcBorders>
                  <w:shd w:val="clear" w:color="auto" w:fill="auto"/>
                  <w:vAlign w:val="center"/>
                </w:tcPr>
                <w:p w14:paraId="21E21FD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val="0"/>
                      <w:lang w:val="en-US"/>
                    </w:rPr>
                  </w:pPr>
                  <w:r>
                    <w:rPr>
                      <w:rFonts w:hint="eastAsia" w:ascii="Times New Roman" w:hAnsi="宋体" w:eastAsia="宋体" w:cs="宋体"/>
                      <w:b w:val="0"/>
                      <w:bCs w:val="0"/>
                      <w:kern w:val="2"/>
                      <w:sz w:val="21"/>
                      <w:szCs w:val="24"/>
                      <w:lang w:val="en-US" w:eastAsia="zh-CN" w:bidi="ar"/>
                    </w:rPr>
                    <w:t>贮存周期</w:t>
                  </w:r>
                </w:p>
              </w:tc>
            </w:tr>
            <w:tr w14:paraId="0D84D0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575" w:type="pct"/>
                  <w:vMerge w:val="restart"/>
                  <w:tcBorders>
                    <w:tl2br w:val="nil"/>
                    <w:tr2bl w:val="nil"/>
                  </w:tcBorders>
                  <w:shd w:val="clear" w:color="auto" w:fill="auto"/>
                  <w:vAlign w:val="center"/>
                </w:tcPr>
                <w:p w14:paraId="47F1566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val="0"/>
                      <w:lang w:val="en-US"/>
                    </w:rPr>
                  </w:pPr>
                  <w:r>
                    <w:rPr>
                      <w:rFonts w:hint="eastAsia" w:ascii="Times New Roman" w:hAnsi="Times New Roman" w:eastAsia="宋体" w:cs="宋体"/>
                      <w:b w:val="0"/>
                      <w:bCs w:val="0"/>
                      <w:kern w:val="2"/>
                      <w:sz w:val="21"/>
                      <w:szCs w:val="24"/>
                      <w:lang w:val="en-US" w:eastAsia="zh-CN" w:bidi="ar"/>
                    </w:rPr>
                    <w:t>危废暂存间</w:t>
                  </w:r>
                </w:p>
              </w:tc>
              <w:tc>
                <w:tcPr>
                  <w:tcW w:w="1163" w:type="dxa"/>
                  <w:tcBorders>
                    <w:tl2br w:val="nil"/>
                    <w:tr2bl w:val="nil"/>
                  </w:tcBorders>
                  <w:shd w:val="clear" w:color="auto" w:fill="auto"/>
                  <w:vAlign w:val="center"/>
                </w:tcPr>
                <w:p w14:paraId="2136956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textAlignment w:val="auto"/>
                    <w:rPr>
                      <w:rFonts w:hint="default" w:hAnsi="宋体"/>
                      <w:b w:val="0"/>
                      <w:bCs w:val="0"/>
                      <w:lang w:val="en-US"/>
                    </w:rPr>
                  </w:pPr>
                  <w:r>
                    <w:rPr>
                      <w:rFonts w:hint="eastAsia"/>
                      <w:color w:val="auto"/>
                    </w:rPr>
                    <w:t>废活性炭</w:t>
                  </w:r>
                </w:p>
              </w:tc>
              <w:tc>
                <w:tcPr>
                  <w:tcW w:w="1081" w:type="dxa"/>
                  <w:tcBorders>
                    <w:tl2br w:val="nil"/>
                    <w:tr2bl w:val="nil"/>
                  </w:tcBorders>
                  <w:shd w:val="clear" w:color="auto" w:fill="auto"/>
                  <w:vAlign w:val="center"/>
                </w:tcPr>
                <w:p w14:paraId="4E04F41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textAlignment w:val="auto"/>
                    <w:rPr>
                      <w:rFonts w:hint="default"/>
                      <w:b w:val="0"/>
                      <w:bCs w:val="0"/>
                      <w:lang w:val="en-US"/>
                    </w:rPr>
                  </w:pPr>
                  <w:r>
                    <w:rPr>
                      <w:rFonts w:hint="default"/>
                      <w:color w:val="auto"/>
                    </w:rPr>
                    <w:t>HW49</w:t>
                  </w:r>
                </w:p>
              </w:tc>
              <w:tc>
                <w:tcPr>
                  <w:tcW w:w="1507" w:type="dxa"/>
                  <w:tcBorders>
                    <w:tl2br w:val="nil"/>
                    <w:tr2bl w:val="nil"/>
                  </w:tcBorders>
                  <w:shd w:val="clear" w:color="auto" w:fill="auto"/>
                  <w:vAlign w:val="center"/>
                </w:tcPr>
                <w:p w14:paraId="7E67FBB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textAlignment w:val="auto"/>
                    <w:rPr>
                      <w:rFonts w:hint="default"/>
                      <w:b w:val="0"/>
                      <w:bCs w:val="0"/>
                      <w:lang w:val="en-US"/>
                    </w:rPr>
                  </w:pPr>
                  <w:r>
                    <w:rPr>
                      <w:rFonts w:hint="eastAsia"/>
                      <w:color w:val="auto"/>
                      <w:spacing w:val="6"/>
                    </w:rPr>
                    <w:t>900-039-49</w:t>
                  </w:r>
                </w:p>
              </w:tc>
              <w:tc>
                <w:tcPr>
                  <w:tcW w:w="820" w:type="pct"/>
                  <w:vMerge w:val="restart"/>
                  <w:tcBorders>
                    <w:tl2br w:val="nil"/>
                    <w:tr2bl w:val="nil"/>
                  </w:tcBorders>
                  <w:shd w:val="clear" w:color="auto" w:fill="auto"/>
                  <w:vAlign w:val="center"/>
                </w:tcPr>
                <w:p w14:paraId="7ECC11F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val="0"/>
                      <w:vertAlign w:val="baseline"/>
                      <w:lang w:val="en-US"/>
                    </w:rPr>
                  </w:pPr>
                  <w:r>
                    <w:rPr>
                      <w:rFonts w:hint="eastAsia" w:cs="Times New Roman"/>
                      <w:b w:val="0"/>
                      <w:bCs w:val="0"/>
                      <w:kern w:val="2"/>
                      <w:sz w:val="21"/>
                      <w:szCs w:val="24"/>
                      <w:vertAlign w:val="baseline"/>
                      <w:lang w:val="en-US" w:eastAsia="zh-CN" w:bidi="ar"/>
                    </w:rPr>
                    <w:t>5</w:t>
                  </w:r>
                  <w:r>
                    <w:rPr>
                      <w:rFonts w:hint="eastAsia" w:ascii="Times New Roman" w:hAnsi="Times New Roman" w:eastAsia="宋体" w:cs="Times New Roman"/>
                      <w:b w:val="0"/>
                      <w:bCs w:val="0"/>
                      <w:kern w:val="2"/>
                      <w:sz w:val="21"/>
                      <w:szCs w:val="24"/>
                      <w:vertAlign w:val="baseline"/>
                      <w:lang w:val="en-US" w:eastAsia="zh-CN" w:bidi="ar"/>
                    </w:rPr>
                    <w:t>m</w:t>
                  </w:r>
                  <w:r>
                    <w:rPr>
                      <w:rFonts w:hint="eastAsia" w:ascii="Times New Roman" w:hAnsi="Times New Roman" w:eastAsia="宋体" w:cs="Times New Roman"/>
                      <w:b w:val="0"/>
                      <w:bCs w:val="0"/>
                      <w:kern w:val="2"/>
                      <w:sz w:val="21"/>
                      <w:szCs w:val="24"/>
                      <w:vertAlign w:val="superscript"/>
                      <w:lang w:val="en-US" w:eastAsia="zh-CN" w:bidi="ar"/>
                    </w:rPr>
                    <w:t>2</w:t>
                  </w:r>
                  <w:r>
                    <w:rPr>
                      <w:rFonts w:hint="eastAsia" w:ascii="Times New Roman" w:hAnsi="Times New Roman" w:eastAsia="宋体" w:cs="Times New Roman"/>
                      <w:b w:val="0"/>
                      <w:bCs w:val="0"/>
                      <w:kern w:val="2"/>
                      <w:sz w:val="21"/>
                      <w:szCs w:val="24"/>
                      <w:vertAlign w:val="baseline"/>
                      <w:lang w:val="en-US" w:eastAsia="zh-CN" w:bidi="ar"/>
                    </w:rPr>
                    <w:t>危废暂存间</w:t>
                  </w:r>
                </w:p>
              </w:tc>
              <w:tc>
                <w:tcPr>
                  <w:tcW w:w="826" w:type="pct"/>
                  <w:vMerge w:val="restart"/>
                  <w:tcBorders>
                    <w:tl2br w:val="nil"/>
                    <w:tr2bl w:val="nil"/>
                  </w:tcBorders>
                  <w:shd w:val="clear" w:color="auto" w:fill="auto"/>
                  <w:vAlign w:val="center"/>
                </w:tcPr>
                <w:p w14:paraId="60FBBFC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val="0"/>
                      <w:lang w:val="en-US"/>
                    </w:rPr>
                  </w:pPr>
                  <w:r>
                    <w:rPr>
                      <w:rFonts w:hint="default"/>
                      <w:b w:val="0"/>
                      <w:bCs w:val="0"/>
                      <w:lang w:val="en-US"/>
                    </w:rPr>
                    <w:t>使用密闭容器收集</w:t>
                  </w:r>
                </w:p>
              </w:tc>
              <w:tc>
                <w:tcPr>
                  <w:tcW w:w="486" w:type="pct"/>
                  <w:vMerge w:val="restart"/>
                  <w:tcBorders>
                    <w:tl2br w:val="nil"/>
                    <w:tr2bl w:val="nil"/>
                  </w:tcBorders>
                  <w:shd w:val="clear" w:color="auto" w:fill="auto"/>
                  <w:vAlign w:val="center"/>
                </w:tcPr>
                <w:p w14:paraId="7C8FAC6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b w:val="0"/>
                      <w:bCs w:val="0"/>
                      <w:lang w:val="en-US"/>
                    </w:rPr>
                  </w:pPr>
                  <w:r>
                    <w:rPr>
                      <w:rFonts w:hint="default" w:ascii="Times New Roman" w:hAnsi="Times New Roman" w:eastAsia="宋体" w:cs="Times New Roman"/>
                      <w:b w:val="0"/>
                      <w:bCs w:val="0"/>
                      <w:kern w:val="2"/>
                      <w:sz w:val="21"/>
                      <w:szCs w:val="24"/>
                      <w:lang w:val="en-US" w:eastAsia="zh-CN" w:bidi="ar"/>
                    </w:rPr>
                    <w:t>1</w:t>
                  </w:r>
                  <w:r>
                    <w:rPr>
                      <w:rFonts w:hint="eastAsia" w:ascii="Times New Roman" w:hAnsi="Times New Roman" w:eastAsia="宋体" w:cs="宋体"/>
                      <w:b w:val="0"/>
                      <w:bCs w:val="0"/>
                      <w:kern w:val="2"/>
                      <w:sz w:val="21"/>
                      <w:szCs w:val="24"/>
                      <w:lang w:val="en-US" w:eastAsia="zh-CN" w:bidi="ar"/>
                    </w:rPr>
                    <w:t>年</w:t>
                  </w:r>
                </w:p>
              </w:tc>
            </w:tr>
            <w:tr w14:paraId="4D6804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575" w:type="pct"/>
                  <w:vMerge w:val="continue"/>
                  <w:tcBorders>
                    <w:tl2br w:val="nil"/>
                    <w:tr2bl w:val="nil"/>
                  </w:tcBorders>
                  <w:shd w:val="clear" w:color="auto" w:fill="auto"/>
                  <w:vAlign w:val="center"/>
                </w:tcPr>
                <w:p w14:paraId="32A40A8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exact"/>
                    <w:ind w:left="0" w:right="0"/>
                    <w:textAlignment w:val="auto"/>
                    <w:rPr>
                      <w:rFonts w:hint="default" w:ascii="Times New Roman" w:hAnsi="Times New Roman" w:eastAsia="Times New Roman" w:cs="Times New Roman"/>
                      <w:b w:val="0"/>
                      <w:bCs w:val="0"/>
                      <w:sz w:val="20"/>
                      <w:szCs w:val="20"/>
                    </w:rPr>
                  </w:pPr>
                </w:p>
              </w:tc>
              <w:tc>
                <w:tcPr>
                  <w:tcW w:w="1163" w:type="dxa"/>
                  <w:tcBorders>
                    <w:tl2br w:val="nil"/>
                    <w:tr2bl w:val="nil"/>
                  </w:tcBorders>
                  <w:shd w:val="clear" w:color="auto" w:fill="auto"/>
                  <w:vAlign w:val="center"/>
                </w:tcPr>
                <w:p w14:paraId="7FD66E3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textAlignment w:val="auto"/>
                    <w:rPr>
                      <w:rFonts w:hint="default"/>
                      <w:b w:val="0"/>
                      <w:bCs w:val="0"/>
                      <w:lang w:val="en-US"/>
                    </w:rPr>
                  </w:pPr>
                  <w:r>
                    <w:rPr>
                      <w:rFonts w:hint="eastAsia"/>
                      <w:color w:val="auto"/>
                      <w:lang w:val="en-US" w:eastAsia="zh-CN"/>
                    </w:rPr>
                    <w:t>废催化剂</w:t>
                  </w:r>
                </w:p>
              </w:tc>
              <w:tc>
                <w:tcPr>
                  <w:tcW w:w="1081" w:type="dxa"/>
                  <w:tcBorders>
                    <w:tl2br w:val="nil"/>
                    <w:tr2bl w:val="nil"/>
                  </w:tcBorders>
                  <w:shd w:val="clear" w:color="auto" w:fill="auto"/>
                  <w:vAlign w:val="center"/>
                </w:tcPr>
                <w:p w14:paraId="0734411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textAlignment w:val="auto"/>
                    <w:rPr>
                      <w:rFonts w:hint="default"/>
                      <w:b w:val="0"/>
                      <w:bCs w:val="0"/>
                      <w:lang w:val="en-US"/>
                    </w:rPr>
                  </w:pPr>
                  <w:r>
                    <w:rPr>
                      <w:rFonts w:hint="default"/>
                      <w:color w:val="auto"/>
                    </w:rPr>
                    <w:t>HW</w:t>
                  </w:r>
                  <w:r>
                    <w:rPr>
                      <w:rFonts w:hint="eastAsia"/>
                      <w:color w:val="auto"/>
                      <w:lang w:val="en-US" w:eastAsia="zh-CN"/>
                    </w:rPr>
                    <w:t>50</w:t>
                  </w:r>
                </w:p>
              </w:tc>
              <w:tc>
                <w:tcPr>
                  <w:tcW w:w="1507" w:type="dxa"/>
                  <w:tcBorders>
                    <w:tl2br w:val="nil"/>
                    <w:tr2bl w:val="nil"/>
                  </w:tcBorders>
                  <w:shd w:val="clear" w:color="auto" w:fill="auto"/>
                  <w:vAlign w:val="center"/>
                </w:tcPr>
                <w:p w14:paraId="6608E5B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textAlignment w:val="auto"/>
                    <w:rPr>
                      <w:rFonts w:hint="default"/>
                      <w:b w:val="0"/>
                      <w:bCs w:val="0"/>
                      <w:lang w:val="en-US"/>
                    </w:rPr>
                  </w:pPr>
                  <w:r>
                    <w:rPr>
                      <w:rFonts w:hint="eastAsia"/>
                      <w:color w:val="auto"/>
                      <w:spacing w:val="6"/>
                      <w:lang w:val="en-US" w:eastAsia="zh-CN"/>
                    </w:rPr>
                    <w:t>772</w:t>
                  </w:r>
                  <w:r>
                    <w:rPr>
                      <w:rFonts w:hint="eastAsia"/>
                      <w:color w:val="auto"/>
                      <w:spacing w:val="6"/>
                    </w:rPr>
                    <w:t>-0</w:t>
                  </w:r>
                  <w:r>
                    <w:rPr>
                      <w:rFonts w:hint="eastAsia"/>
                      <w:color w:val="auto"/>
                      <w:spacing w:val="6"/>
                      <w:lang w:val="en-US" w:eastAsia="zh-CN"/>
                    </w:rPr>
                    <w:t>07</w:t>
                  </w:r>
                  <w:r>
                    <w:rPr>
                      <w:rFonts w:hint="eastAsia"/>
                      <w:color w:val="auto"/>
                      <w:spacing w:val="6"/>
                    </w:rPr>
                    <w:t>-</w:t>
                  </w:r>
                  <w:r>
                    <w:rPr>
                      <w:rFonts w:hint="eastAsia"/>
                      <w:color w:val="auto"/>
                      <w:spacing w:val="6"/>
                      <w:lang w:val="en-US" w:eastAsia="zh-CN"/>
                    </w:rPr>
                    <w:t>50</w:t>
                  </w:r>
                </w:p>
              </w:tc>
              <w:tc>
                <w:tcPr>
                  <w:tcW w:w="820" w:type="pct"/>
                  <w:vMerge w:val="continue"/>
                  <w:tcBorders>
                    <w:tl2br w:val="nil"/>
                    <w:tr2bl w:val="nil"/>
                  </w:tcBorders>
                  <w:shd w:val="clear" w:color="auto" w:fill="auto"/>
                  <w:vAlign w:val="center"/>
                </w:tcPr>
                <w:p w14:paraId="3BAFD597">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exact"/>
                    <w:ind w:left="0" w:right="0"/>
                    <w:textAlignment w:val="auto"/>
                    <w:rPr>
                      <w:rFonts w:hint="default" w:ascii="Times New Roman" w:hAnsi="Times New Roman" w:eastAsia="Times New Roman" w:cs="Times New Roman"/>
                      <w:b w:val="0"/>
                      <w:bCs w:val="0"/>
                      <w:sz w:val="20"/>
                      <w:szCs w:val="20"/>
                    </w:rPr>
                  </w:pPr>
                </w:p>
              </w:tc>
              <w:tc>
                <w:tcPr>
                  <w:tcW w:w="826" w:type="pct"/>
                  <w:vMerge w:val="continue"/>
                  <w:tcBorders>
                    <w:tl2br w:val="nil"/>
                    <w:tr2bl w:val="nil"/>
                  </w:tcBorders>
                  <w:shd w:val="clear" w:color="auto" w:fill="auto"/>
                  <w:vAlign w:val="center"/>
                </w:tcPr>
                <w:p w14:paraId="00693B2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exact"/>
                    <w:ind w:left="0" w:right="0"/>
                    <w:textAlignment w:val="auto"/>
                    <w:rPr>
                      <w:rFonts w:hint="default" w:ascii="Times New Roman" w:hAnsi="Times New Roman" w:eastAsia="Times New Roman" w:cs="Times New Roman"/>
                      <w:b w:val="0"/>
                      <w:bCs w:val="0"/>
                      <w:sz w:val="20"/>
                      <w:szCs w:val="20"/>
                    </w:rPr>
                  </w:pPr>
                </w:p>
              </w:tc>
              <w:tc>
                <w:tcPr>
                  <w:tcW w:w="486" w:type="pct"/>
                  <w:vMerge w:val="continue"/>
                  <w:tcBorders>
                    <w:tl2br w:val="nil"/>
                    <w:tr2bl w:val="nil"/>
                  </w:tcBorders>
                  <w:shd w:val="clear" w:color="auto" w:fill="auto"/>
                  <w:vAlign w:val="center"/>
                </w:tcPr>
                <w:p w14:paraId="32C0D39E">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exact"/>
                    <w:ind w:left="0" w:right="0"/>
                    <w:textAlignment w:val="auto"/>
                    <w:rPr>
                      <w:rFonts w:hint="default" w:ascii="Times New Roman" w:hAnsi="Times New Roman" w:eastAsia="Times New Roman" w:cs="Times New Roman"/>
                      <w:b w:val="0"/>
                      <w:bCs w:val="0"/>
                      <w:sz w:val="20"/>
                      <w:szCs w:val="20"/>
                    </w:rPr>
                  </w:pPr>
                </w:p>
              </w:tc>
            </w:tr>
          </w:tbl>
          <w:p w14:paraId="690A5B4C">
            <w:pPr>
              <w:keepNext w:val="0"/>
              <w:keepLines w:val="0"/>
              <w:pageBreakBefore w:val="0"/>
              <w:widowControl w:val="0"/>
              <w:suppressLineNumbers w:val="0"/>
              <w:tabs>
                <w:tab w:val="left" w:pos="3052"/>
              </w:tabs>
              <w:kinsoku/>
              <w:wordWrap/>
              <w:overflowPunct/>
              <w:topLinePunct w:val="0"/>
              <w:autoSpaceDE/>
              <w:autoSpaceDN/>
              <w:bidi w:val="0"/>
              <w:adjustRightInd w:val="0"/>
              <w:snapToGrid w:val="0"/>
              <w:spacing w:before="0" w:beforeAutospacing="0" w:after="0" w:afterAutospacing="0" w:line="520" w:lineRule="exact"/>
              <w:ind w:left="0" w:right="0" w:firstLine="482" w:firstLineChars="200"/>
              <w:jc w:val="both"/>
              <w:textAlignment w:val="auto"/>
              <w:rPr>
                <w:rFonts w:hint="default"/>
                <w:b/>
                <w:bCs w:val="0"/>
                <w:sz w:val="24"/>
                <w:szCs w:val="24"/>
                <w:lang w:val="en-US"/>
              </w:rPr>
            </w:pPr>
            <w:r>
              <w:rPr>
                <w:rFonts w:hint="eastAsia" w:ascii="Times New Roman" w:hAnsi="Times New Roman" w:eastAsia="宋体" w:cs="宋体"/>
                <w:b/>
                <w:bCs w:val="0"/>
                <w:kern w:val="2"/>
                <w:sz w:val="24"/>
                <w:szCs w:val="24"/>
                <w:lang w:val="en-US" w:eastAsia="zh-CN" w:bidi="ar"/>
              </w:rPr>
              <w:t>一般固体废物贮存要求：</w:t>
            </w:r>
          </w:p>
          <w:p w14:paraId="6FB29A7E">
            <w:pPr>
              <w:keepNext w:val="0"/>
              <w:keepLines w:val="0"/>
              <w:pageBreakBefore w:val="0"/>
              <w:widowControl w:val="0"/>
              <w:suppressLineNumbers w:val="0"/>
              <w:tabs>
                <w:tab w:val="left" w:pos="3052"/>
              </w:tabs>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textAlignment w:val="auto"/>
              <w:rPr>
                <w:rFonts w:hint="default"/>
                <w:sz w:val="24"/>
                <w:szCs w:val="24"/>
                <w:lang w:val="en-US"/>
              </w:rPr>
            </w:pPr>
            <w:r>
              <w:rPr>
                <w:rFonts w:hint="eastAsia" w:cs="Times New Roman"/>
                <w:kern w:val="2"/>
                <w:sz w:val="24"/>
                <w:szCs w:val="24"/>
                <w:lang w:val="en-US" w:eastAsia="zh-CN" w:bidi="ar"/>
              </w:rPr>
              <w:t>一般</w:t>
            </w:r>
            <w:r>
              <w:rPr>
                <w:rFonts w:hint="eastAsia" w:ascii="Times New Roman" w:hAnsi="Times New Roman" w:eastAsia="宋体" w:cs="Times New Roman"/>
                <w:kern w:val="2"/>
                <w:sz w:val="24"/>
                <w:szCs w:val="24"/>
                <w:lang w:val="en-US" w:eastAsia="zh-CN" w:bidi="ar"/>
              </w:rPr>
              <w:t>固体废物收集后在车间内</w:t>
            </w:r>
            <w:r>
              <w:rPr>
                <w:rFonts w:hint="default" w:ascii="Times New Roman" w:hAnsi="Times New Roman" w:eastAsia="宋体" w:cs="Times New Roman"/>
                <w:kern w:val="2"/>
                <w:sz w:val="24"/>
                <w:szCs w:val="24"/>
                <w:lang w:val="en-US" w:eastAsia="zh-CN" w:bidi="ar"/>
              </w:rPr>
              <w:t>1</w:t>
            </w:r>
            <w:r>
              <w:rPr>
                <w:rFonts w:hint="eastAsia" w:ascii="Times New Roman" w:hAnsi="Times New Roman" w:eastAsia="宋体" w:cs="Times New Roman"/>
                <w:kern w:val="2"/>
                <w:sz w:val="24"/>
                <w:szCs w:val="24"/>
                <w:lang w:val="en-US" w:eastAsia="zh-CN" w:bidi="ar"/>
              </w:rPr>
              <w:t>座</w:t>
            </w:r>
            <w:r>
              <w:rPr>
                <w:rFonts w:hint="default" w:ascii="Times New Roman" w:hAnsi="Times New Roman" w:eastAsia="宋体" w:cs="Times New Roman"/>
                <w:kern w:val="2"/>
                <w:sz w:val="24"/>
                <w:szCs w:val="24"/>
                <w:lang w:val="en-US" w:eastAsia="zh-CN" w:bidi="ar"/>
              </w:rPr>
              <w:t>10m</w:t>
            </w:r>
            <w:r>
              <w:rPr>
                <w:rFonts w:hint="default" w:ascii="Times New Roman" w:hAnsi="Times New Roman" w:eastAsia="宋体" w:cs="Times New Roman"/>
                <w:kern w:val="2"/>
                <w:sz w:val="24"/>
                <w:szCs w:val="24"/>
                <w:vertAlign w:val="superscript"/>
                <w:lang w:val="en-US" w:eastAsia="zh-CN" w:bidi="ar"/>
              </w:rPr>
              <w:t>2</w:t>
            </w:r>
            <w:r>
              <w:rPr>
                <w:rFonts w:hint="eastAsia" w:ascii="Times New Roman" w:hAnsi="Times New Roman" w:eastAsia="宋体" w:cs="Times New Roman"/>
                <w:kern w:val="2"/>
                <w:sz w:val="24"/>
                <w:szCs w:val="24"/>
                <w:lang w:val="en-US" w:eastAsia="zh-CN" w:bidi="ar"/>
              </w:rPr>
              <w:t>固废暂存间储存，</w:t>
            </w:r>
            <w:r>
              <w:rPr>
                <w:rFonts w:hint="eastAsia" w:ascii="Times New Roman" w:hAnsi="Times New Roman" w:eastAsia="宋体" w:cs="宋体"/>
                <w:kern w:val="2"/>
                <w:sz w:val="24"/>
                <w:szCs w:val="24"/>
                <w:lang w:val="en-US" w:eastAsia="zh-CN" w:bidi="ar"/>
              </w:rPr>
              <w:t>设置一般固体废物标识牌，</w:t>
            </w:r>
            <w:r>
              <w:rPr>
                <w:rFonts w:hint="eastAsia" w:cs="宋体"/>
                <w:kern w:val="2"/>
                <w:sz w:val="24"/>
                <w:szCs w:val="24"/>
                <w:lang w:val="en-US" w:eastAsia="zh-CN" w:bidi="ar"/>
              </w:rPr>
              <w:t>要求</w:t>
            </w:r>
            <w:r>
              <w:rPr>
                <w:rFonts w:hint="eastAsia" w:ascii="Times New Roman" w:hAnsi="Times New Roman" w:eastAsia="宋体" w:cs="宋体"/>
                <w:kern w:val="2"/>
                <w:sz w:val="24"/>
                <w:szCs w:val="24"/>
                <w:lang w:val="en-US" w:eastAsia="zh-CN" w:bidi="ar"/>
              </w:rPr>
              <w:t>满足《一般工业固体废物贮存和填埋污染控制标准》（</w:t>
            </w:r>
            <w:r>
              <w:rPr>
                <w:rFonts w:hint="default" w:ascii="Times New Roman" w:hAnsi="Times New Roman" w:eastAsia="宋体" w:cs="Times New Roman"/>
                <w:kern w:val="2"/>
                <w:sz w:val="24"/>
                <w:szCs w:val="24"/>
                <w:lang w:val="en-US" w:eastAsia="zh-CN" w:bidi="ar"/>
              </w:rPr>
              <w:t>GB18599-2020</w:t>
            </w:r>
            <w:r>
              <w:rPr>
                <w:rFonts w:hint="eastAsia" w:ascii="Times New Roman" w:hAnsi="Times New Roman" w:eastAsia="宋体" w:cs="宋体"/>
                <w:kern w:val="2"/>
                <w:sz w:val="24"/>
                <w:szCs w:val="24"/>
                <w:lang w:val="en-US" w:eastAsia="zh-CN" w:bidi="ar"/>
              </w:rPr>
              <w:t>）相关要求。按照《中华人民共和国固体废物污染环境防治法》及《排污许可证申请与核发技术规范</w:t>
            </w:r>
            <w:r>
              <w:rPr>
                <w:rFonts w:hint="default" w:ascii="Times New Roman" w:hAnsi="Times New Roman" w:eastAsia="宋体" w:cs="Times New Roman"/>
                <w:kern w:val="2"/>
                <w:sz w:val="24"/>
                <w:szCs w:val="24"/>
                <w:lang w:val="en-US" w:eastAsia="zh-CN" w:bidi="ar"/>
              </w:rPr>
              <w:t xml:space="preserve"> </w:t>
            </w:r>
            <w:r>
              <w:rPr>
                <w:rFonts w:hint="eastAsia" w:ascii="Times New Roman" w:hAnsi="Times New Roman" w:eastAsia="宋体" w:cs="宋体"/>
                <w:kern w:val="2"/>
                <w:sz w:val="24"/>
                <w:szCs w:val="24"/>
                <w:lang w:val="en-US" w:eastAsia="zh-CN" w:bidi="ar"/>
              </w:rPr>
              <w:t>工业固体废物（试行）》（</w:t>
            </w:r>
            <w:r>
              <w:rPr>
                <w:rFonts w:hint="default" w:ascii="Times New Roman" w:hAnsi="Times New Roman" w:eastAsia="宋体" w:cs="Times New Roman"/>
                <w:kern w:val="2"/>
                <w:sz w:val="24"/>
                <w:szCs w:val="24"/>
                <w:lang w:val="en-US" w:eastAsia="zh-CN" w:bidi="ar"/>
              </w:rPr>
              <w:t>HJ1200-2021</w:t>
            </w:r>
            <w:r>
              <w:rPr>
                <w:rFonts w:hint="eastAsia" w:ascii="Times New Roman" w:hAnsi="Times New Roman" w:eastAsia="宋体" w:cs="宋体"/>
                <w:kern w:val="2"/>
                <w:sz w:val="24"/>
                <w:szCs w:val="24"/>
                <w:lang w:val="en-US" w:eastAsia="zh-CN" w:bidi="ar"/>
              </w:rPr>
              <w:t>）相关要求，要求做到以下几点要求：</w:t>
            </w:r>
          </w:p>
          <w:p w14:paraId="5708225C">
            <w:pPr>
              <w:keepNext w:val="0"/>
              <w:keepLines w:val="0"/>
              <w:pageBreakBefore w:val="0"/>
              <w:widowControl w:val="0"/>
              <w:suppressLineNumbers w:val="0"/>
              <w:tabs>
                <w:tab w:val="left" w:pos="3052"/>
              </w:tabs>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textAlignment w:val="auto"/>
              <w:rPr>
                <w:rFonts w:hint="default"/>
                <w:sz w:val="24"/>
                <w:szCs w:val="24"/>
                <w:lang w:val="en-US"/>
              </w:rPr>
            </w:pPr>
            <w:r>
              <w:rPr>
                <w:rFonts w:hint="eastAsia" w:ascii="Times New Roman" w:hAnsi="Times New Roman" w:eastAsia="宋体" w:cs="宋体"/>
                <w:kern w:val="2"/>
                <w:sz w:val="24"/>
                <w:szCs w:val="24"/>
                <w:lang w:val="en-US" w:eastAsia="zh-CN" w:bidi="ar"/>
              </w:rPr>
              <w:t>①对工业固体废物采取防扬散、防流失、防渗漏或者其他防止污染环境的措施，不得擅自倾倒、堆放、丢弃、遗撒工业固体废物。</w:t>
            </w:r>
          </w:p>
          <w:p w14:paraId="19CEA0A9">
            <w:pPr>
              <w:keepNext w:val="0"/>
              <w:keepLines w:val="0"/>
              <w:pageBreakBefore w:val="0"/>
              <w:widowControl w:val="0"/>
              <w:suppressLineNumbers w:val="0"/>
              <w:tabs>
                <w:tab w:val="left" w:pos="3052"/>
              </w:tabs>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textAlignment w:val="auto"/>
              <w:rPr>
                <w:rFonts w:hint="default"/>
                <w:sz w:val="24"/>
                <w:szCs w:val="24"/>
                <w:lang w:val="en-US"/>
              </w:rPr>
            </w:pPr>
            <w:r>
              <w:rPr>
                <w:rFonts w:hint="eastAsia" w:ascii="Times New Roman" w:hAnsi="Times New Roman" w:eastAsia="宋体" w:cs="宋体"/>
                <w:kern w:val="2"/>
                <w:sz w:val="24"/>
                <w:szCs w:val="24"/>
                <w:lang w:val="en-US" w:eastAsia="zh-CN" w:bidi="ar"/>
              </w:rPr>
              <w:t>②建立健全工业固体废物产生、收集、贮存、运输、利用、处置全过程的污染环境防治责任制度，建立工业固体废物管理台账，如实记录产生工业固体废物的种类、数量、流向、贮存、利用、处置等信息，实现工业固体废物可追溯、可查询，并采取防治工业固体废物污染环境的措施。</w:t>
            </w:r>
          </w:p>
          <w:p w14:paraId="5BDFE05E">
            <w:pPr>
              <w:keepNext w:val="0"/>
              <w:keepLines w:val="0"/>
              <w:pageBreakBefore w:val="0"/>
              <w:widowControl w:val="0"/>
              <w:suppressLineNumbers w:val="0"/>
              <w:tabs>
                <w:tab w:val="left" w:pos="3052"/>
              </w:tabs>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textAlignment w:val="auto"/>
              <w:rPr>
                <w:rFonts w:hint="default"/>
                <w:sz w:val="24"/>
                <w:szCs w:val="24"/>
                <w:lang w:val="en-US"/>
              </w:rPr>
            </w:pPr>
            <w:r>
              <w:rPr>
                <w:rFonts w:hint="eastAsia" w:ascii="Times New Roman" w:hAnsi="Times New Roman" w:eastAsia="宋体" w:cs="宋体"/>
                <w:kern w:val="2"/>
                <w:sz w:val="24"/>
                <w:szCs w:val="24"/>
                <w:lang w:val="en-US" w:eastAsia="zh-CN" w:bidi="ar"/>
              </w:rPr>
              <w:t>③禁止向生活垃圾收集设施中投放工业固体废物。</w:t>
            </w:r>
          </w:p>
          <w:p w14:paraId="4ED66407">
            <w:pPr>
              <w:keepNext w:val="0"/>
              <w:keepLines w:val="0"/>
              <w:pageBreakBefore w:val="0"/>
              <w:widowControl w:val="0"/>
              <w:suppressLineNumbers w:val="0"/>
              <w:tabs>
                <w:tab w:val="left" w:pos="3052"/>
              </w:tabs>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textAlignment w:val="auto"/>
              <w:rPr>
                <w:rFonts w:hint="default"/>
                <w:sz w:val="24"/>
                <w:szCs w:val="24"/>
                <w:lang w:val="en-US"/>
              </w:rPr>
            </w:pPr>
            <w:r>
              <w:rPr>
                <w:rFonts w:hint="eastAsia" w:ascii="Times New Roman" w:hAnsi="Times New Roman" w:eastAsia="宋体" w:cs="宋体"/>
                <w:kern w:val="2"/>
                <w:sz w:val="24"/>
                <w:szCs w:val="24"/>
                <w:lang w:val="en-US" w:eastAsia="zh-CN" w:bidi="ar"/>
              </w:rPr>
              <w:t>④应当向所在地生态环境主管部门提供工业固体废物的种类、数量、</w:t>
            </w:r>
            <w:r>
              <w:rPr>
                <w:rFonts w:hint="default" w:ascii="Times New Roman" w:hAnsi="Times New Roman" w:eastAsia="宋体" w:cs="Times New Roman"/>
                <w:kern w:val="2"/>
                <w:sz w:val="24"/>
                <w:szCs w:val="24"/>
                <w:lang w:val="en-US" w:eastAsia="zh-CN" w:bidi="ar"/>
              </w:rPr>
              <w:t xml:space="preserve"> </w:t>
            </w:r>
            <w:r>
              <w:rPr>
                <w:rFonts w:hint="eastAsia" w:ascii="Times New Roman" w:hAnsi="Times New Roman" w:eastAsia="宋体" w:cs="宋体"/>
                <w:kern w:val="2"/>
                <w:sz w:val="24"/>
                <w:szCs w:val="24"/>
                <w:lang w:val="en-US" w:eastAsia="zh-CN" w:bidi="ar"/>
              </w:rPr>
              <w:t>流向、贮存、利用、处置等有关资料，以及减少工业固体废物产生、促进综合利用的具体措施，并执行排污许可管理制度的相关规定。</w:t>
            </w:r>
          </w:p>
          <w:p w14:paraId="41DC30A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2" w:firstLineChars="200"/>
              <w:textAlignment w:val="auto"/>
              <w:rPr>
                <w:rFonts w:hint="default"/>
                <w:b/>
                <w:bCs/>
                <w:color w:val="auto"/>
                <w:sz w:val="24"/>
                <w:lang w:val="en-US" w:eastAsia="zh-CN"/>
              </w:rPr>
            </w:pPr>
            <w:r>
              <w:rPr>
                <w:rFonts w:hint="eastAsia"/>
                <w:b/>
                <w:bCs/>
                <w:color w:val="auto"/>
                <w:sz w:val="24"/>
                <w:lang w:val="en-US" w:eastAsia="zh-CN"/>
              </w:rPr>
              <w:t>危险废物贮存要求：</w:t>
            </w:r>
          </w:p>
          <w:p w14:paraId="7AFF593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textAlignment w:val="auto"/>
              <w:rPr>
                <w:rFonts w:hint="default"/>
                <w:sz w:val="24"/>
                <w:szCs w:val="24"/>
                <w:lang w:val="en-US"/>
              </w:rPr>
            </w:pPr>
            <w:r>
              <w:rPr>
                <w:rFonts w:hint="eastAsia" w:ascii="Times New Roman" w:hAnsi="宋体" w:eastAsia="宋体" w:cs="宋体"/>
                <w:bCs/>
                <w:kern w:val="2"/>
                <w:sz w:val="24"/>
                <w:szCs w:val="24"/>
                <w:lang w:val="en-US" w:eastAsia="zh-CN" w:bidi="ar"/>
              </w:rPr>
              <w:t>本项目车间</w:t>
            </w:r>
            <w:r>
              <w:rPr>
                <w:rFonts w:hint="eastAsia" w:hAnsi="宋体" w:cs="宋体"/>
                <w:bCs/>
                <w:kern w:val="2"/>
                <w:sz w:val="24"/>
                <w:szCs w:val="24"/>
                <w:lang w:val="en-US" w:eastAsia="zh-CN" w:bidi="ar"/>
              </w:rPr>
              <w:t>内建设</w:t>
            </w:r>
            <w:r>
              <w:rPr>
                <w:rFonts w:hint="default" w:ascii="Times New Roman" w:hAnsi="宋体" w:eastAsia="宋体" w:cs="Times New Roman"/>
                <w:bCs/>
                <w:kern w:val="2"/>
                <w:sz w:val="24"/>
                <w:szCs w:val="24"/>
                <w:lang w:val="en-US" w:eastAsia="zh-CN" w:bidi="ar"/>
              </w:rPr>
              <w:t>1</w:t>
            </w:r>
            <w:r>
              <w:rPr>
                <w:rFonts w:hint="eastAsia" w:ascii="Times New Roman" w:hAnsi="宋体" w:eastAsia="宋体" w:cs="宋体"/>
                <w:bCs/>
                <w:kern w:val="2"/>
                <w:sz w:val="24"/>
                <w:szCs w:val="24"/>
                <w:lang w:val="en-US" w:eastAsia="zh-CN" w:bidi="ar"/>
              </w:rPr>
              <w:t>座5</w:t>
            </w:r>
            <w:r>
              <w:rPr>
                <w:rFonts w:hint="default" w:ascii="Times New Roman" w:hAnsi="宋体" w:eastAsia="宋体" w:cs="Times New Roman"/>
                <w:bCs/>
                <w:kern w:val="2"/>
                <w:sz w:val="24"/>
                <w:szCs w:val="24"/>
                <w:lang w:val="en-US" w:eastAsia="zh-CN" w:bidi="ar"/>
              </w:rPr>
              <w:t>m</w:t>
            </w:r>
            <w:r>
              <w:rPr>
                <w:rFonts w:hint="default" w:ascii="Times New Roman" w:hAnsi="宋体" w:eastAsia="宋体" w:cs="Times New Roman"/>
                <w:bCs/>
                <w:kern w:val="2"/>
                <w:sz w:val="24"/>
                <w:szCs w:val="24"/>
                <w:vertAlign w:val="superscript"/>
                <w:lang w:val="en-US" w:eastAsia="zh-CN" w:bidi="ar"/>
              </w:rPr>
              <w:t>2</w:t>
            </w:r>
            <w:r>
              <w:rPr>
                <w:rFonts w:hint="eastAsia" w:ascii="Times New Roman" w:hAnsi="宋体" w:eastAsia="宋体" w:cs="宋体"/>
                <w:bCs/>
                <w:kern w:val="2"/>
                <w:sz w:val="24"/>
                <w:szCs w:val="24"/>
                <w:lang w:val="en-US" w:eastAsia="zh-CN" w:bidi="ar"/>
              </w:rPr>
              <w:t>危废暂存间，危废暂存间满足</w:t>
            </w:r>
            <w:r>
              <w:rPr>
                <w:rFonts w:hint="eastAsia" w:ascii="Times New Roman" w:hAnsi="Times New Roman" w:eastAsia="宋体" w:cs="宋体"/>
                <w:kern w:val="2"/>
                <w:sz w:val="24"/>
                <w:szCs w:val="24"/>
                <w:lang w:val="en-US" w:eastAsia="zh-CN" w:bidi="ar"/>
              </w:rPr>
              <w:t>《危险废物贮存污染控制标准》（</w:t>
            </w:r>
            <w:r>
              <w:rPr>
                <w:rFonts w:hint="default" w:ascii="Times New Roman" w:hAnsi="Times New Roman" w:eastAsia="宋体" w:cs="Times New Roman"/>
                <w:kern w:val="2"/>
                <w:sz w:val="24"/>
                <w:szCs w:val="24"/>
                <w:lang w:val="en-US" w:eastAsia="zh-CN" w:bidi="ar"/>
              </w:rPr>
              <w:t>GB18597-2023</w:t>
            </w:r>
            <w:r>
              <w:rPr>
                <w:rFonts w:hint="eastAsia" w:ascii="Times New Roman" w:hAnsi="Times New Roman" w:eastAsia="宋体" w:cs="宋体"/>
                <w:kern w:val="2"/>
                <w:sz w:val="24"/>
                <w:szCs w:val="24"/>
                <w:lang w:val="en-US" w:eastAsia="zh-CN" w:bidi="ar"/>
              </w:rPr>
              <w:t>）中相关要求，具备防风、防晒、防雨、防漏、防渗、防腐以及其他环境污染防治措施：</w:t>
            </w:r>
          </w:p>
          <w:p w14:paraId="50C42E3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textAlignment w:val="auto"/>
              <w:rPr>
                <w:rFonts w:hint="default"/>
                <w:sz w:val="24"/>
                <w:szCs w:val="24"/>
                <w:lang w:val="en-US"/>
              </w:rPr>
            </w:pPr>
            <w:r>
              <w:rPr>
                <w:rFonts w:hint="eastAsia" w:ascii="Times New Roman" w:hAnsi="Times New Roman" w:eastAsia="宋体" w:cs="宋体"/>
                <w:kern w:val="2"/>
                <w:sz w:val="24"/>
                <w:szCs w:val="24"/>
                <w:lang w:val="en-US" w:eastAsia="zh-CN" w:bidi="ar"/>
              </w:rPr>
              <w:t>①暂存间内地面、墙面裙脚、堵截泄漏的围堰、接触危险废物的隔板和墙体等应采用坚固的材料建造，表面无裂缝；</w:t>
            </w:r>
          </w:p>
          <w:p w14:paraId="4DF3DA1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textAlignment w:val="auto"/>
              <w:rPr>
                <w:rFonts w:hint="default"/>
                <w:sz w:val="24"/>
                <w:szCs w:val="24"/>
                <w:lang w:val="en-US"/>
              </w:rPr>
            </w:pPr>
            <w:r>
              <w:rPr>
                <w:rFonts w:hint="eastAsia" w:ascii="Times New Roman" w:hAnsi="Times New Roman" w:eastAsia="宋体" w:cs="宋体"/>
                <w:kern w:val="2"/>
                <w:sz w:val="24"/>
                <w:szCs w:val="24"/>
                <w:lang w:val="en-US" w:eastAsia="zh-CN" w:bidi="ar"/>
              </w:rPr>
              <w:t>②暂存间地面与裙脚应采取表面防渗措施；</w:t>
            </w:r>
          </w:p>
          <w:p w14:paraId="71E17FB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textAlignment w:val="auto"/>
              <w:rPr>
                <w:rFonts w:hint="default"/>
                <w:sz w:val="24"/>
                <w:szCs w:val="24"/>
                <w:lang w:val="en-US"/>
              </w:rPr>
            </w:pPr>
            <w:r>
              <w:rPr>
                <w:rFonts w:hint="eastAsia" w:ascii="Times New Roman" w:hAnsi="Times New Roman" w:eastAsia="宋体" w:cs="宋体"/>
                <w:kern w:val="2"/>
                <w:sz w:val="24"/>
                <w:szCs w:val="24"/>
                <w:lang w:val="en-US" w:eastAsia="zh-CN" w:bidi="ar"/>
              </w:rPr>
              <w:t>③设有安全照明设施和观察窗口，暂存间配有防护服及工具；</w:t>
            </w:r>
          </w:p>
          <w:p w14:paraId="78D717F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textAlignment w:val="auto"/>
              <w:rPr>
                <w:rFonts w:hint="default"/>
                <w:sz w:val="24"/>
                <w:szCs w:val="24"/>
                <w:lang w:val="en-US"/>
              </w:rPr>
            </w:pPr>
            <w:r>
              <w:rPr>
                <w:rFonts w:hint="eastAsia" w:ascii="Times New Roman" w:hAnsi="Times New Roman" w:eastAsia="宋体" w:cs="宋体"/>
                <w:kern w:val="2"/>
                <w:sz w:val="24"/>
                <w:szCs w:val="24"/>
                <w:lang w:val="en-US" w:eastAsia="zh-CN" w:bidi="ar"/>
              </w:rPr>
              <w:t>④危险废物贮存设施设置警示标志，暂存区周围设置围堰；</w:t>
            </w:r>
          </w:p>
          <w:p w14:paraId="748F88E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textAlignment w:val="auto"/>
              <w:rPr>
                <w:rFonts w:hint="default"/>
                <w:sz w:val="24"/>
                <w:szCs w:val="24"/>
                <w:lang w:val="en-US"/>
              </w:rPr>
            </w:pPr>
            <w:r>
              <w:rPr>
                <w:rFonts w:hint="eastAsia" w:ascii="Times New Roman" w:hAnsi="Times New Roman" w:eastAsia="宋体" w:cs="宋体"/>
                <w:kern w:val="2"/>
                <w:sz w:val="24"/>
                <w:szCs w:val="24"/>
                <w:lang w:val="en-US" w:eastAsia="zh-CN" w:bidi="ar"/>
              </w:rPr>
              <w:t>⑤危废间设置集气装置，引至</w:t>
            </w:r>
            <w:r>
              <w:rPr>
                <w:rFonts w:hint="eastAsia" w:cs="宋体"/>
                <w:kern w:val="2"/>
                <w:sz w:val="24"/>
                <w:szCs w:val="24"/>
                <w:lang w:val="en-US" w:eastAsia="zh-CN" w:bidi="ar"/>
              </w:rPr>
              <w:t>有机废气处理</w:t>
            </w:r>
            <w:r>
              <w:rPr>
                <w:rFonts w:hint="eastAsia" w:ascii="Times New Roman" w:hAnsi="Times New Roman" w:eastAsia="宋体" w:cs="宋体"/>
                <w:kern w:val="2"/>
                <w:sz w:val="24"/>
                <w:szCs w:val="24"/>
                <w:lang w:val="en-US" w:eastAsia="zh-CN" w:bidi="ar"/>
              </w:rPr>
              <w:t>装置对废气进行处置；</w:t>
            </w:r>
          </w:p>
          <w:p w14:paraId="626F172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textAlignment w:val="auto"/>
              <w:rPr>
                <w:rFonts w:hint="default"/>
                <w:sz w:val="24"/>
                <w:szCs w:val="24"/>
                <w:lang w:val="en-US"/>
              </w:rPr>
            </w:pPr>
            <w:r>
              <w:rPr>
                <w:rFonts w:hint="eastAsia" w:ascii="Times New Roman" w:hAnsi="Times New Roman" w:eastAsia="宋体" w:cs="宋体"/>
                <w:kern w:val="2"/>
                <w:sz w:val="24"/>
                <w:szCs w:val="24"/>
                <w:lang w:val="en-US" w:eastAsia="zh-CN" w:bidi="ar"/>
              </w:rPr>
              <w:t>⑥危险暂存间安排专人进行管理，禁止无关人员进入；</w:t>
            </w:r>
          </w:p>
          <w:p w14:paraId="0044F2A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textAlignment w:val="auto"/>
              <w:rPr>
                <w:rFonts w:hint="eastAsia" w:ascii="Times New Roman" w:hAnsi="Times New Roman" w:eastAsia="宋体" w:cs="宋体"/>
                <w:kern w:val="2"/>
                <w:sz w:val="24"/>
                <w:szCs w:val="24"/>
                <w:lang w:val="en-US" w:eastAsia="zh-CN" w:bidi="ar"/>
              </w:rPr>
            </w:pPr>
            <w:r>
              <w:rPr>
                <w:rFonts w:hint="eastAsia" w:ascii="Times New Roman" w:hAnsi="Times New Roman" w:eastAsia="宋体" w:cs="宋体"/>
                <w:kern w:val="2"/>
                <w:sz w:val="24"/>
                <w:szCs w:val="24"/>
                <w:lang w:val="en-US" w:eastAsia="zh-CN" w:bidi="ar"/>
              </w:rPr>
              <w:t>⑦做好危险废物情况的记录，记录上须注明危险废物的名称、来源、数量、特性和包装容器的类别、入库日期、出库日期及接收单位名称。危险废物环境管理台账按照《排污许可管理条例》（国务院令第736号）中相关要求，保存期限不得少于</w:t>
            </w:r>
            <w:r>
              <w:rPr>
                <w:rFonts w:hint="eastAsia" w:cs="宋体"/>
                <w:kern w:val="2"/>
                <w:sz w:val="24"/>
                <w:szCs w:val="24"/>
                <w:lang w:val="en-US" w:eastAsia="zh-CN" w:bidi="ar"/>
              </w:rPr>
              <w:t>五</w:t>
            </w:r>
            <w:r>
              <w:rPr>
                <w:rFonts w:hint="eastAsia" w:ascii="Times New Roman" w:hAnsi="Times New Roman" w:eastAsia="宋体" w:cs="宋体"/>
                <w:kern w:val="2"/>
                <w:sz w:val="24"/>
                <w:szCs w:val="24"/>
                <w:lang w:val="en-US" w:eastAsia="zh-CN" w:bidi="ar"/>
              </w:rPr>
              <w:t>年。</w:t>
            </w:r>
          </w:p>
          <w:p w14:paraId="2437F05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textAlignment w:val="auto"/>
              <w:rPr>
                <w:rFonts w:hint="eastAsia"/>
                <w:color w:val="auto"/>
                <w:sz w:val="24"/>
              </w:rPr>
            </w:pPr>
            <w:r>
              <w:rPr>
                <w:rFonts w:hint="eastAsia"/>
                <w:color w:val="auto"/>
                <w:sz w:val="24"/>
              </w:rPr>
              <w:t>项目固废均得到合理处置或综合利用，对环境影响较小。</w:t>
            </w:r>
          </w:p>
          <w:p w14:paraId="385BB4AC">
            <w:pPr>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520" w:lineRule="exact"/>
              <w:ind w:left="0" w:right="0" w:rightChars="0"/>
              <w:textAlignment w:val="auto"/>
              <w:outlineLvl w:val="9"/>
              <w:rPr>
                <w:rFonts w:hint="eastAsia"/>
                <w:b/>
                <w:bCs/>
                <w:color w:val="000000" w:themeColor="text1"/>
                <w:sz w:val="24"/>
                <w:szCs w:val="24"/>
                <w:highlight w:val="none"/>
                <w:lang w:val="en-US" w:eastAsia="zh-CN"/>
                <w14:textFill>
                  <w14:solidFill>
                    <w14:schemeClr w14:val="tx1"/>
                  </w14:solidFill>
                </w14:textFill>
              </w:rPr>
            </w:pPr>
            <w:r>
              <w:rPr>
                <w:rFonts w:hint="eastAsia"/>
                <w:b/>
                <w:bCs/>
                <w:color w:val="000000" w:themeColor="text1"/>
                <w:sz w:val="24"/>
                <w:szCs w:val="24"/>
                <w:highlight w:val="none"/>
                <w:lang w:val="en-US" w:eastAsia="zh-CN"/>
                <w14:textFill>
                  <w14:solidFill>
                    <w14:schemeClr w14:val="tx1"/>
                  </w14:solidFill>
                </w14:textFill>
              </w:rPr>
              <w:t>五、地下水、土壤</w:t>
            </w:r>
          </w:p>
          <w:p w14:paraId="229C5389">
            <w:pPr>
              <w:keepNext w:val="0"/>
              <w:keepLines w:val="0"/>
              <w:pageBreakBefore w:val="0"/>
              <w:widowControl w:val="0"/>
              <w:suppressLineNumbers w:val="0"/>
              <w:kinsoku/>
              <w:wordWrap/>
              <w:overflowPunct/>
              <w:topLinePunct w:val="0"/>
              <w:autoSpaceDE/>
              <w:autoSpaceDN/>
              <w:bidi w:val="0"/>
              <w:spacing w:before="0" w:beforeAutospacing="0" w:after="0" w:afterAutospacing="0" w:line="520" w:lineRule="exact"/>
              <w:ind w:left="0" w:right="0" w:firstLine="480" w:firstLineChars="200"/>
              <w:jc w:val="both"/>
              <w:textAlignment w:val="auto"/>
              <w:rPr>
                <w:rFonts w:hint="eastAsia" w:cs="Times New Roman"/>
                <w:color w:val="auto"/>
                <w:sz w:val="24"/>
                <w:szCs w:val="24"/>
                <w:lang w:val="en-US" w:eastAsia="zh-CN"/>
              </w:rPr>
            </w:pPr>
            <w:r>
              <w:rPr>
                <w:rFonts w:hint="eastAsia" w:cs="Times New Roman"/>
                <w:color w:val="auto"/>
                <w:sz w:val="24"/>
                <w:szCs w:val="24"/>
                <w:lang w:val="en-US" w:eastAsia="zh-CN"/>
              </w:rPr>
              <w:t>企业通过采取源头控制、过程控制、分区防控措施，防止地下水及土壤污染：车间地面进行全部硬化防渗，</w:t>
            </w:r>
            <w:r>
              <w:rPr>
                <w:rFonts w:hint="eastAsia" w:ascii="Times New Roman" w:hAnsi="宋体" w:eastAsia="宋体" w:cs="Times New Roman"/>
                <w:kern w:val="2"/>
                <w:sz w:val="24"/>
                <w:szCs w:val="24"/>
                <w:highlight w:val="none"/>
                <w:lang w:val="en-US" w:eastAsia="zh-CN" w:bidi="ar"/>
              </w:rPr>
              <w:t>危废暂存间划分为重点防渗区，</w:t>
            </w:r>
            <w:r>
              <w:rPr>
                <w:rFonts w:hint="eastAsia" w:cs="Times New Roman"/>
                <w:color w:val="auto"/>
                <w:sz w:val="24"/>
                <w:szCs w:val="24"/>
                <w:highlight w:val="none"/>
                <w:lang w:val="en-US" w:eastAsia="zh-CN"/>
              </w:rPr>
              <w:t>循环水池做好防渗措施；物料禁止露天存放，保证环保设施运行状态良好，减少废气的产生及排放</w:t>
            </w:r>
            <w:r>
              <w:rPr>
                <w:rFonts w:hint="eastAsia" w:cs="Times New Roman"/>
                <w:color w:val="auto"/>
                <w:sz w:val="24"/>
                <w:szCs w:val="24"/>
                <w:lang w:val="en-US" w:eastAsia="zh-CN"/>
              </w:rPr>
              <w:t>。</w:t>
            </w:r>
          </w:p>
          <w:p w14:paraId="7E34D2E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jc w:val="center"/>
              <w:textAlignment w:val="auto"/>
              <w:rPr>
                <w:rFonts w:hint="default" w:ascii="Times New Roman" w:hAnsi="Times New Roman" w:eastAsia="黑体" w:cs="Times New Roman"/>
                <w:b w:val="0"/>
                <w:bCs w:val="0"/>
                <w:color w:val="auto"/>
                <w:sz w:val="24"/>
                <w:szCs w:val="24"/>
                <w:u w:val="none"/>
                <w:lang w:val="en-US" w:eastAsia="zh-CN"/>
              </w:rPr>
            </w:pPr>
            <w:r>
              <w:rPr>
                <w:rFonts w:hint="default" w:ascii="Times New Roman" w:hAnsi="Times New Roman" w:eastAsia="黑体" w:cs="Times New Roman"/>
                <w:b w:val="0"/>
                <w:bCs w:val="0"/>
                <w:color w:val="auto"/>
                <w:sz w:val="24"/>
                <w:szCs w:val="24"/>
                <w:u w:val="none"/>
                <w:lang w:val="en-US" w:eastAsia="zh-CN"/>
              </w:rPr>
              <w:t>表4-</w:t>
            </w:r>
            <w:r>
              <w:rPr>
                <w:rFonts w:hint="eastAsia" w:eastAsia="黑体" w:cs="Times New Roman"/>
                <w:b w:val="0"/>
                <w:bCs w:val="0"/>
                <w:color w:val="auto"/>
                <w:sz w:val="24"/>
                <w:szCs w:val="24"/>
                <w:u w:val="none"/>
                <w:lang w:val="en-US" w:eastAsia="zh-CN"/>
              </w:rPr>
              <w:t>14</w:t>
            </w:r>
            <w:r>
              <w:rPr>
                <w:rFonts w:hint="default" w:ascii="Times New Roman" w:hAnsi="Times New Roman" w:eastAsia="黑体" w:cs="Times New Roman"/>
                <w:b w:val="0"/>
                <w:bCs w:val="0"/>
                <w:color w:val="auto"/>
                <w:sz w:val="24"/>
                <w:szCs w:val="24"/>
                <w:u w:val="none"/>
                <w:lang w:val="en-US" w:eastAsia="zh-CN"/>
              </w:rPr>
              <w:t xml:space="preserve">  项目分区防渗措施一览表</w:t>
            </w:r>
          </w:p>
          <w:tbl>
            <w:tblPr>
              <w:tblStyle w:val="25"/>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1278"/>
              <w:gridCol w:w="2911"/>
              <w:gridCol w:w="4000"/>
            </w:tblGrid>
            <w:tr w14:paraId="3F5031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3" w:hRule="atLeast"/>
                <w:jc w:val="center"/>
              </w:trPr>
              <w:tc>
                <w:tcPr>
                  <w:tcW w:w="780" w:type="pct"/>
                  <w:noWrap w:val="0"/>
                  <w:tcMar>
                    <w:top w:w="57" w:type="dxa"/>
                    <w:left w:w="57" w:type="dxa"/>
                    <w:bottom w:w="57" w:type="dxa"/>
                    <w:right w:w="57" w:type="dxa"/>
                  </w:tcMar>
                  <w:vAlign w:val="center"/>
                </w:tcPr>
                <w:p w14:paraId="700D0B4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default" w:cs="Times New Roman"/>
                      <w:b w:val="0"/>
                      <w:bCs w:val="0"/>
                      <w:snapToGrid w:val="0"/>
                      <w:color w:val="auto"/>
                      <w:kern w:val="0"/>
                      <w:sz w:val="21"/>
                      <w:szCs w:val="21"/>
                      <w:lang w:val="en-US" w:eastAsia="zh-CN"/>
                    </w:rPr>
                  </w:pPr>
                  <w:r>
                    <w:rPr>
                      <w:rFonts w:hint="eastAsia" w:cs="Times New Roman"/>
                      <w:b w:val="0"/>
                      <w:bCs w:val="0"/>
                      <w:snapToGrid w:val="0"/>
                      <w:color w:val="auto"/>
                      <w:kern w:val="0"/>
                      <w:sz w:val="21"/>
                      <w:szCs w:val="21"/>
                      <w:lang w:val="en-US" w:eastAsia="zh-CN"/>
                    </w:rPr>
                    <w:t>类别</w:t>
                  </w:r>
                </w:p>
              </w:tc>
              <w:tc>
                <w:tcPr>
                  <w:tcW w:w="1777" w:type="pct"/>
                  <w:noWrap w:val="0"/>
                  <w:tcMar>
                    <w:top w:w="57" w:type="dxa"/>
                    <w:left w:w="57" w:type="dxa"/>
                    <w:bottom w:w="57" w:type="dxa"/>
                    <w:right w:w="57" w:type="dxa"/>
                  </w:tcMar>
                  <w:vAlign w:val="center"/>
                </w:tcPr>
                <w:p w14:paraId="444396F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default" w:cs="Times New Roman"/>
                      <w:b w:val="0"/>
                      <w:bCs w:val="0"/>
                      <w:snapToGrid w:val="0"/>
                      <w:color w:val="auto"/>
                      <w:kern w:val="0"/>
                      <w:sz w:val="21"/>
                      <w:szCs w:val="21"/>
                      <w:lang w:val="en-US" w:eastAsia="zh-CN"/>
                    </w:rPr>
                  </w:pPr>
                  <w:r>
                    <w:rPr>
                      <w:rFonts w:hint="eastAsia" w:cs="Times New Roman"/>
                      <w:b w:val="0"/>
                      <w:bCs w:val="0"/>
                      <w:snapToGrid w:val="0"/>
                      <w:color w:val="auto"/>
                      <w:kern w:val="0"/>
                      <w:sz w:val="21"/>
                      <w:szCs w:val="21"/>
                      <w:lang w:val="en-US" w:eastAsia="zh-CN"/>
                    </w:rPr>
                    <w:t>区域</w:t>
                  </w:r>
                </w:p>
              </w:tc>
              <w:tc>
                <w:tcPr>
                  <w:tcW w:w="2442" w:type="pct"/>
                  <w:noWrap w:val="0"/>
                  <w:tcMar>
                    <w:top w:w="57" w:type="dxa"/>
                    <w:left w:w="57" w:type="dxa"/>
                    <w:bottom w:w="57" w:type="dxa"/>
                    <w:right w:w="57" w:type="dxa"/>
                  </w:tcMar>
                  <w:vAlign w:val="center"/>
                </w:tcPr>
                <w:p w14:paraId="57F7255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default" w:cs="Times New Roman"/>
                      <w:b w:val="0"/>
                      <w:bCs w:val="0"/>
                      <w:snapToGrid w:val="0"/>
                      <w:color w:val="auto"/>
                      <w:kern w:val="0"/>
                      <w:sz w:val="21"/>
                      <w:szCs w:val="21"/>
                      <w:lang w:val="en-US" w:eastAsia="zh-CN"/>
                    </w:rPr>
                  </w:pPr>
                  <w:r>
                    <w:rPr>
                      <w:rFonts w:hint="eastAsia" w:cs="Times New Roman"/>
                      <w:b w:val="0"/>
                      <w:bCs w:val="0"/>
                      <w:snapToGrid w:val="0"/>
                      <w:color w:val="auto"/>
                      <w:kern w:val="0"/>
                      <w:sz w:val="21"/>
                      <w:szCs w:val="21"/>
                      <w:lang w:val="en-US" w:eastAsia="zh-CN"/>
                    </w:rPr>
                    <w:t>措施要求</w:t>
                  </w:r>
                </w:p>
              </w:tc>
            </w:tr>
            <w:tr w14:paraId="65A42B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3" w:hRule="atLeast"/>
                <w:jc w:val="center"/>
              </w:trPr>
              <w:tc>
                <w:tcPr>
                  <w:tcW w:w="780" w:type="pct"/>
                  <w:noWrap w:val="0"/>
                  <w:tcMar>
                    <w:top w:w="57" w:type="dxa"/>
                    <w:left w:w="57" w:type="dxa"/>
                    <w:bottom w:w="57" w:type="dxa"/>
                    <w:right w:w="57" w:type="dxa"/>
                  </w:tcMar>
                  <w:vAlign w:val="center"/>
                </w:tcPr>
                <w:p w14:paraId="1850A39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default" w:cs="Times New Roman"/>
                      <w:b w:val="0"/>
                      <w:bCs w:val="0"/>
                      <w:snapToGrid w:val="0"/>
                      <w:color w:val="auto"/>
                      <w:kern w:val="0"/>
                      <w:sz w:val="21"/>
                      <w:szCs w:val="21"/>
                      <w:lang w:val="en-US" w:eastAsia="zh-CN"/>
                    </w:rPr>
                  </w:pPr>
                  <w:r>
                    <w:rPr>
                      <w:rFonts w:hint="eastAsia" w:cs="Times New Roman"/>
                      <w:b w:val="0"/>
                      <w:bCs w:val="0"/>
                      <w:snapToGrid w:val="0"/>
                      <w:color w:val="auto"/>
                      <w:kern w:val="0"/>
                      <w:sz w:val="21"/>
                      <w:szCs w:val="21"/>
                      <w:lang w:val="en-US" w:eastAsia="zh-CN"/>
                    </w:rPr>
                    <w:t>简单防渗区</w:t>
                  </w:r>
                </w:p>
              </w:tc>
              <w:tc>
                <w:tcPr>
                  <w:tcW w:w="1777" w:type="pct"/>
                  <w:noWrap w:val="0"/>
                  <w:tcMar>
                    <w:top w:w="57" w:type="dxa"/>
                    <w:left w:w="57" w:type="dxa"/>
                    <w:bottom w:w="57" w:type="dxa"/>
                    <w:right w:w="57" w:type="dxa"/>
                  </w:tcMar>
                  <w:vAlign w:val="center"/>
                </w:tcPr>
                <w:p w14:paraId="286AA4C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default" w:cs="Times New Roman"/>
                      <w:b w:val="0"/>
                      <w:bCs w:val="0"/>
                      <w:snapToGrid w:val="0"/>
                      <w:color w:val="auto"/>
                      <w:kern w:val="0"/>
                      <w:sz w:val="21"/>
                      <w:szCs w:val="21"/>
                      <w:lang w:val="en-US" w:eastAsia="zh-CN"/>
                    </w:rPr>
                  </w:pPr>
                  <w:r>
                    <w:rPr>
                      <w:rFonts w:hint="eastAsia" w:cs="Times New Roman"/>
                      <w:b w:val="0"/>
                      <w:bCs w:val="0"/>
                      <w:snapToGrid w:val="0"/>
                      <w:color w:val="auto"/>
                      <w:kern w:val="0"/>
                      <w:sz w:val="21"/>
                      <w:szCs w:val="21"/>
                      <w:lang w:val="en-US" w:eastAsia="zh-CN"/>
                    </w:rPr>
                    <w:t xml:space="preserve"> 厂区其他区域</w:t>
                  </w:r>
                </w:p>
              </w:tc>
              <w:tc>
                <w:tcPr>
                  <w:tcW w:w="2442" w:type="pct"/>
                  <w:noWrap w:val="0"/>
                  <w:tcMar>
                    <w:top w:w="57" w:type="dxa"/>
                    <w:left w:w="57" w:type="dxa"/>
                    <w:bottom w:w="57" w:type="dxa"/>
                    <w:right w:w="57" w:type="dxa"/>
                  </w:tcMar>
                  <w:vAlign w:val="center"/>
                </w:tcPr>
                <w:p w14:paraId="31C1E63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default" w:cs="Times New Roman"/>
                      <w:b w:val="0"/>
                      <w:bCs w:val="0"/>
                      <w:snapToGrid w:val="0"/>
                      <w:color w:val="auto"/>
                      <w:kern w:val="0"/>
                      <w:sz w:val="21"/>
                      <w:szCs w:val="21"/>
                      <w:lang w:val="en-US" w:eastAsia="zh-CN"/>
                    </w:rPr>
                  </w:pPr>
                  <w:r>
                    <w:rPr>
                      <w:rFonts w:hint="eastAsia" w:cs="Times New Roman"/>
                      <w:b w:val="0"/>
                      <w:bCs w:val="0"/>
                      <w:snapToGrid w:val="0"/>
                      <w:color w:val="auto"/>
                      <w:kern w:val="0"/>
                      <w:sz w:val="21"/>
                      <w:szCs w:val="21"/>
                      <w:lang w:val="en-US" w:eastAsia="zh-CN"/>
                    </w:rPr>
                    <w:t>一般地面硬化</w:t>
                  </w:r>
                </w:p>
              </w:tc>
            </w:tr>
            <w:tr w14:paraId="502CEB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3" w:hRule="atLeast"/>
                <w:jc w:val="center"/>
              </w:trPr>
              <w:tc>
                <w:tcPr>
                  <w:tcW w:w="780" w:type="pct"/>
                  <w:noWrap w:val="0"/>
                  <w:tcMar>
                    <w:top w:w="57" w:type="dxa"/>
                    <w:left w:w="57" w:type="dxa"/>
                    <w:bottom w:w="57" w:type="dxa"/>
                    <w:right w:w="57" w:type="dxa"/>
                  </w:tcMar>
                  <w:vAlign w:val="center"/>
                </w:tcPr>
                <w:p w14:paraId="4948A629">
                  <w:pPr>
                    <w:pStyle w:val="8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cs="Times New Roman"/>
                      <w:snapToGrid w:val="0"/>
                      <w:color w:val="auto"/>
                      <w:kern w:val="0"/>
                      <w:sz w:val="21"/>
                      <w:szCs w:val="21"/>
                      <w:lang w:val="en-US" w:eastAsia="zh-CN"/>
                    </w:rPr>
                  </w:pPr>
                  <w:r>
                    <w:rPr>
                      <w:rFonts w:hint="eastAsia" w:cs="Times New Roman"/>
                      <w:snapToGrid w:val="0"/>
                      <w:color w:val="auto"/>
                      <w:kern w:val="0"/>
                      <w:sz w:val="21"/>
                      <w:szCs w:val="21"/>
                      <w:lang w:val="en-US" w:eastAsia="zh-CN"/>
                    </w:rPr>
                    <w:t>一般防渗区</w:t>
                  </w:r>
                </w:p>
              </w:tc>
              <w:tc>
                <w:tcPr>
                  <w:tcW w:w="1777" w:type="pct"/>
                  <w:noWrap w:val="0"/>
                  <w:tcMar>
                    <w:top w:w="57" w:type="dxa"/>
                    <w:left w:w="57" w:type="dxa"/>
                    <w:bottom w:w="57" w:type="dxa"/>
                    <w:right w:w="57" w:type="dxa"/>
                  </w:tcMar>
                  <w:vAlign w:val="center"/>
                </w:tcPr>
                <w:p w14:paraId="411FA95A">
                  <w:pPr>
                    <w:pStyle w:val="8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宋体" w:cs="Times New Roman"/>
                      <w:snapToGrid w:val="0"/>
                      <w:color w:val="auto"/>
                      <w:kern w:val="0"/>
                      <w:sz w:val="21"/>
                      <w:szCs w:val="21"/>
                      <w:lang w:val="en-US" w:eastAsia="zh-CN"/>
                    </w:rPr>
                  </w:pPr>
                  <w:r>
                    <w:rPr>
                      <w:rFonts w:hint="eastAsia" w:cs="Times New Roman"/>
                      <w:kern w:val="2"/>
                      <w:sz w:val="21"/>
                      <w:szCs w:val="24"/>
                      <w:lang w:val="en-US" w:eastAsia="zh-CN" w:bidi="ar"/>
                    </w:rPr>
                    <w:t>循环水池</w:t>
                  </w:r>
                  <w:r>
                    <w:rPr>
                      <w:rFonts w:hint="eastAsia" w:ascii="Times New Roman" w:hAnsi="Times New Roman" w:eastAsia="宋体" w:cs="Times New Roman"/>
                      <w:kern w:val="2"/>
                      <w:sz w:val="21"/>
                      <w:szCs w:val="24"/>
                      <w:lang w:val="en-US" w:eastAsia="zh-CN" w:bidi="ar"/>
                    </w:rPr>
                    <w:t>和一般固废暂存间</w:t>
                  </w:r>
                </w:p>
              </w:tc>
              <w:tc>
                <w:tcPr>
                  <w:tcW w:w="2442" w:type="pct"/>
                  <w:noWrap w:val="0"/>
                  <w:tcMar>
                    <w:top w:w="57" w:type="dxa"/>
                    <w:left w:w="57" w:type="dxa"/>
                    <w:bottom w:w="57" w:type="dxa"/>
                    <w:right w:w="57" w:type="dxa"/>
                  </w:tcMar>
                  <w:vAlign w:val="center"/>
                </w:tcPr>
                <w:p w14:paraId="43C828E9">
                  <w:pPr>
                    <w:pStyle w:val="8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cs="Times New Roman"/>
                      <w:snapToGrid w:val="0"/>
                      <w:color w:val="auto"/>
                      <w:kern w:val="0"/>
                      <w:sz w:val="21"/>
                      <w:szCs w:val="21"/>
                      <w:lang w:val="en-US" w:eastAsia="zh-CN"/>
                    </w:rPr>
                  </w:pPr>
                  <w:r>
                    <w:rPr>
                      <w:rFonts w:hint="eastAsia" w:cs="Times New Roman"/>
                      <w:snapToGrid w:val="0"/>
                      <w:color w:val="auto"/>
                      <w:kern w:val="0"/>
                      <w:sz w:val="21"/>
                      <w:szCs w:val="21"/>
                      <w:lang w:val="en-US" w:eastAsia="zh-CN"/>
                    </w:rPr>
                    <w:t>等效黏土防渗层 Mb≥1.5m，K≤1</w:t>
                  </w:r>
                  <w:r>
                    <w:rPr>
                      <w:rFonts w:hint="default" w:ascii="Times New Roman" w:hAnsi="Times New Roman" w:cs="Times New Roman"/>
                      <w:snapToGrid w:val="0"/>
                      <w:color w:val="auto"/>
                      <w:kern w:val="0"/>
                      <w:sz w:val="21"/>
                      <w:szCs w:val="21"/>
                      <w:lang w:val="en-US" w:eastAsia="zh-CN"/>
                    </w:rPr>
                    <w:t>×</w:t>
                  </w:r>
                  <w:r>
                    <w:rPr>
                      <w:rFonts w:hint="eastAsia" w:cs="Times New Roman"/>
                      <w:snapToGrid w:val="0"/>
                      <w:color w:val="auto"/>
                      <w:kern w:val="0"/>
                      <w:sz w:val="21"/>
                      <w:szCs w:val="21"/>
                      <w:lang w:val="en-US" w:eastAsia="zh-CN"/>
                    </w:rPr>
                    <w:t>10</w:t>
                  </w:r>
                  <w:r>
                    <w:rPr>
                      <w:rFonts w:hint="eastAsia" w:cs="Times New Roman"/>
                      <w:snapToGrid w:val="0"/>
                      <w:color w:val="auto"/>
                      <w:kern w:val="0"/>
                      <w:sz w:val="21"/>
                      <w:szCs w:val="21"/>
                      <w:vertAlign w:val="superscript"/>
                      <w:lang w:val="en-US" w:eastAsia="zh-CN"/>
                    </w:rPr>
                    <w:t>-7</w:t>
                  </w:r>
                  <w:r>
                    <w:rPr>
                      <w:rFonts w:hint="eastAsia" w:cs="Times New Roman"/>
                      <w:snapToGrid w:val="0"/>
                      <w:color w:val="auto"/>
                      <w:kern w:val="0"/>
                      <w:sz w:val="21"/>
                      <w:szCs w:val="21"/>
                      <w:lang w:val="en-US" w:eastAsia="zh-CN"/>
                    </w:rPr>
                    <w:t>cm/s；或参照GB16889执行</w:t>
                  </w:r>
                </w:p>
              </w:tc>
            </w:tr>
            <w:tr w14:paraId="3D5B72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3" w:hRule="atLeast"/>
                <w:jc w:val="center"/>
              </w:trPr>
              <w:tc>
                <w:tcPr>
                  <w:tcW w:w="780" w:type="pct"/>
                  <w:noWrap w:val="0"/>
                  <w:tcMar>
                    <w:top w:w="57" w:type="dxa"/>
                    <w:left w:w="57" w:type="dxa"/>
                    <w:bottom w:w="57" w:type="dxa"/>
                    <w:right w:w="57" w:type="dxa"/>
                  </w:tcMar>
                  <w:vAlign w:val="center"/>
                </w:tcPr>
                <w:p w14:paraId="39FE43AE">
                  <w:pPr>
                    <w:pStyle w:val="8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cs="Times New Roman"/>
                      <w:snapToGrid w:val="0"/>
                      <w:color w:val="auto"/>
                      <w:kern w:val="0"/>
                      <w:sz w:val="21"/>
                      <w:szCs w:val="21"/>
                      <w:lang w:val="en-US" w:eastAsia="zh-CN"/>
                    </w:rPr>
                  </w:pPr>
                  <w:r>
                    <w:rPr>
                      <w:rFonts w:hint="eastAsia" w:cs="Times New Roman"/>
                      <w:snapToGrid w:val="0"/>
                      <w:color w:val="auto"/>
                      <w:kern w:val="0"/>
                      <w:sz w:val="21"/>
                      <w:szCs w:val="21"/>
                      <w:lang w:val="en-US" w:eastAsia="zh-CN"/>
                    </w:rPr>
                    <w:t>重点防渗区</w:t>
                  </w:r>
                </w:p>
              </w:tc>
              <w:tc>
                <w:tcPr>
                  <w:tcW w:w="2911" w:type="dxa"/>
                  <w:noWrap w:val="0"/>
                  <w:tcMar>
                    <w:top w:w="57" w:type="dxa"/>
                    <w:left w:w="57" w:type="dxa"/>
                    <w:bottom w:w="57" w:type="dxa"/>
                    <w:right w:w="57" w:type="dxa"/>
                  </w:tcMar>
                  <w:vAlign w:val="center"/>
                </w:tcPr>
                <w:p w14:paraId="211FF3C4">
                  <w:pPr>
                    <w:pStyle w:val="8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eastAsia" w:cs="Times New Roman"/>
                      <w:snapToGrid w:val="0"/>
                      <w:color w:val="auto"/>
                      <w:kern w:val="0"/>
                      <w:sz w:val="21"/>
                      <w:szCs w:val="21"/>
                      <w:lang w:val="en-US" w:eastAsia="zh-CN"/>
                    </w:rPr>
                  </w:pPr>
                  <w:r>
                    <w:rPr>
                      <w:rFonts w:hint="eastAsia" w:cs="Times New Roman"/>
                      <w:snapToGrid w:val="0"/>
                      <w:color w:val="auto"/>
                      <w:kern w:val="0"/>
                      <w:sz w:val="21"/>
                      <w:szCs w:val="21"/>
                      <w:highlight w:val="none"/>
                      <w:lang w:val="en-US" w:eastAsia="zh-CN"/>
                    </w:rPr>
                    <w:t>危废暂存间</w:t>
                  </w:r>
                </w:p>
              </w:tc>
              <w:tc>
                <w:tcPr>
                  <w:tcW w:w="4000" w:type="dxa"/>
                  <w:noWrap w:val="0"/>
                  <w:tcMar>
                    <w:top w:w="57" w:type="dxa"/>
                    <w:left w:w="57" w:type="dxa"/>
                    <w:bottom w:w="57" w:type="dxa"/>
                    <w:right w:w="57" w:type="dxa"/>
                  </w:tcMar>
                  <w:vAlign w:val="center"/>
                </w:tcPr>
                <w:p w14:paraId="5FC9A735">
                  <w:pPr>
                    <w:pStyle w:val="8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eastAsia" w:cs="Times New Roman"/>
                      <w:snapToGrid w:val="0"/>
                      <w:color w:val="auto"/>
                      <w:kern w:val="0"/>
                      <w:sz w:val="21"/>
                      <w:szCs w:val="21"/>
                      <w:lang w:val="en-US" w:eastAsia="zh-CN"/>
                    </w:rPr>
                  </w:pPr>
                  <w:r>
                    <w:rPr>
                      <w:rFonts w:hint="eastAsia" w:cs="Times New Roman"/>
                      <w:snapToGrid w:val="0"/>
                      <w:color w:val="auto"/>
                      <w:kern w:val="0"/>
                      <w:sz w:val="21"/>
                      <w:szCs w:val="21"/>
                      <w:highlight w:val="none"/>
                      <w:lang w:val="en-US" w:eastAsia="zh-CN"/>
                    </w:rPr>
                    <w:t>防渗层为至少1m厚黏土层（渗透系数不大于10</w:t>
                  </w:r>
                  <w:r>
                    <w:rPr>
                      <w:rFonts w:hint="eastAsia" w:cs="Times New Roman"/>
                      <w:snapToGrid w:val="0"/>
                      <w:color w:val="auto"/>
                      <w:kern w:val="0"/>
                      <w:sz w:val="21"/>
                      <w:szCs w:val="21"/>
                      <w:highlight w:val="none"/>
                      <w:vertAlign w:val="superscript"/>
                      <w:lang w:val="en-US" w:eastAsia="zh-CN"/>
                    </w:rPr>
                    <w:t>-7</w:t>
                  </w:r>
                  <w:r>
                    <w:rPr>
                      <w:rFonts w:hint="eastAsia" w:cs="Times New Roman"/>
                      <w:snapToGrid w:val="0"/>
                      <w:color w:val="auto"/>
                      <w:kern w:val="0"/>
                      <w:sz w:val="21"/>
                      <w:szCs w:val="21"/>
                      <w:highlight w:val="none"/>
                      <w:lang w:val="en-US" w:eastAsia="zh-CN"/>
                    </w:rPr>
                    <w:t>cm/s），或至少2mm厚高密度聚乙烯膜等人工防渗材料（渗透系数不大于10</w:t>
                  </w:r>
                  <w:r>
                    <w:rPr>
                      <w:rFonts w:hint="eastAsia" w:cs="Times New Roman"/>
                      <w:snapToGrid w:val="0"/>
                      <w:color w:val="auto"/>
                      <w:kern w:val="0"/>
                      <w:sz w:val="21"/>
                      <w:szCs w:val="21"/>
                      <w:highlight w:val="none"/>
                      <w:vertAlign w:val="superscript"/>
                      <w:lang w:val="en-US" w:eastAsia="zh-CN"/>
                    </w:rPr>
                    <w:t>-10</w:t>
                  </w:r>
                  <w:r>
                    <w:rPr>
                      <w:rFonts w:hint="eastAsia" w:cs="Times New Roman"/>
                      <w:snapToGrid w:val="0"/>
                      <w:color w:val="auto"/>
                      <w:kern w:val="0"/>
                      <w:sz w:val="21"/>
                      <w:szCs w:val="21"/>
                      <w:highlight w:val="none"/>
                      <w:lang w:val="en-US" w:eastAsia="zh-CN"/>
                    </w:rPr>
                    <w:t>cm/s），或其他防渗性能等效的材料</w:t>
                  </w:r>
                </w:p>
              </w:tc>
            </w:tr>
          </w:tbl>
          <w:p w14:paraId="1A2F9C58">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20" w:lineRule="exact"/>
              <w:ind w:left="0" w:leftChars="0" w:right="0" w:firstLine="480" w:firstLineChars="200"/>
              <w:jc w:val="both"/>
              <w:textAlignment w:val="auto"/>
              <w:rPr>
                <w:rFonts w:hint="eastAsia" w:cs="Times New Roman"/>
                <w:color w:val="auto"/>
                <w:sz w:val="24"/>
                <w:szCs w:val="24"/>
                <w:lang w:val="en-US" w:eastAsia="zh-CN"/>
              </w:rPr>
            </w:pPr>
            <w:r>
              <w:rPr>
                <w:rFonts w:hint="eastAsia" w:cs="Times New Roman"/>
                <w:color w:val="auto"/>
                <w:sz w:val="24"/>
                <w:szCs w:val="24"/>
                <w:lang w:val="en-US" w:eastAsia="zh-CN"/>
              </w:rPr>
              <w:t>采取以上措施后，可有效阻断污染物下渗途径，防范地下水、土壤污染。</w:t>
            </w:r>
          </w:p>
          <w:p w14:paraId="0672423F">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20" w:lineRule="exact"/>
              <w:ind w:left="0" w:leftChars="0" w:right="0" w:firstLine="0" w:firstLineChars="0"/>
              <w:jc w:val="left"/>
              <w:textAlignment w:val="auto"/>
              <w:rPr>
                <w:rFonts w:hint="default"/>
                <w:b/>
                <w:bCs/>
                <w:color w:val="000000" w:themeColor="text1"/>
                <w:sz w:val="24"/>
                <w:szCs w:val="24"/>
                <w:highlight w:val="none"/>
                <w:lang w:val="en-US" w:eastAsia="zh-CN"/>
                <w14:textFill>
                  <w14:solidFill>
                    <w14:schemeClr w14:val="tx1"/>
                  </w14:solidFill>
                </w14:textFill>
              </w:rPr>
            </w:pPr>
            <w:r>
              <w:rPr>
                <w:rFonts w:hint="eastAsia"/>
                <w:b/>
                <w:bCs/>
                <w:color w:val="000000" w:themeColor="text1"/>
                <w:sz w:val="24"/>
                <w:szCs w:val="24"/>
                <w:highlight w:val="none"/>
                <w:lang w:val="en-US" w:eastAsia="zh-CN"/>
                <w14:textFill>
                  <w14:solidFill>
                    <w14:schemeClr w14:val="tx1"/>
                  </w14:solidFill>
                </w14:textFill>
              </w:rPr>
              <w:t>六</w:t>
            </w:r>
            <w:r>
              <w:rPr>
                <w:rFonts w:hint="default"/>
                <w:b/>
                <w:bCs/>
                <w:color w:val="000000" w:themeColor="text1"/>
                <w:sz w:val="24"/>
                <w:szCs w:val="24"/>
                <w:highlight w:val="none"/>
                <w:lang w:val="en-US" w:eastAsia="zh-CN"/>
                <w14:textFill>
                  <w14:solidFill>
                    <w14:schemeClr w14:val="tx1"/>
                  </w14:solidFill>
                </w14:textFill>
              </w:rPr>
              <w:t>、</w:t>
            </w:r>
            <w:r>
              <w:rPr>
                <w:rFonts w:hint="eastAsia"/>
                <w:b/>
                <w:bCs/>
                <w:color w:val="000000" w:themeColor="text1"/>
                <w:sz w:val="24"/>
                <w:szCs w:val="24"/>
                <w:highlight w:val="none"/>
                <w:lang w:val="en-US" w:eastAsia="zh-CN"/>
                <w14:textFill>
                  <w14:solidFill>
                    <w14:schemeClr w14:val="tx1"/>
                  </w14:solidFill>
                </w14:textFill>
              </w:rPr>
              <w:t>生态</w:t>
            </w:r>
          </w:p>
          <w:p w14:paraId="695185AC">
            <w:pPr>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520" w:lineRule="exact"/>
              <w:ind w:left="0" w:right="0" w:firstLine="496" w:firstLineChars="200"/>
              <w:jc w:val="both"/>
              <w:textAlignment w:val="baseline"/>
              <w:rPr>
                <w:rFonts w:hint="eastAsia" w:cs="Times New Roman"/>
                <w:b/>
                <w:bCs/>
                <w:color w:val="auto"/>
                <w:spacing w:val="4"/>
                <w:position w:val="4"/>
                <w:sz w:val="24"/>
                <w:szCs w:val="24"/>
                <w:lang w:val="en-US" w:eastAsia="zh-CN"/>
              </w:rPr>
            </w:pPr>
            <w:r>
              <w:rPr>
                <w:rFonts w:hint="eastAsia" w:cs="Times New Roman"/>
                <w:color w:val="000000" w:themeColor="text1"/>
                <w:spacing w:val="4"/>
                <w:sz w:val="24"/>
                <w:szCs w:val="24"/>
                <w:highlight w:val="none"/>
                <w:lang w:val="en-US" w:eastAsia="zh-CN"/>
                <w14:textFill>
                  <w14:solidFill>
                    <w14:schemeClr w14:val="tx1"/>
                  </w14:solidFill>
                </w14:textFill>
              </w:rPr>
              <w:t>项目位于产业园区内，占地为工业用地</w:t>
            </w:r>
            <w:r>
              <w:rPr>
                <w:rFonts w:hint="eastAsia" w:ascii="Times New Roman" w:hAnsi="Times New Roman" w:eastAsia="宋体" w:cs="Times New Roman"/>
                <w:color w:val="000000" w:themeColor="text1"/>
                <w:spacing w:val="4"/>
                <w:sz w:val="24"/>
                <w:szCs w:val="24"/>
                <w:highlight w:val="none"/>
                <w:lang w:eastAsia="zh-CN"/>
                <w14:textFill>
                  <w14:solidFill>
                    <w14:schemeClr w14:val="tx1"/>
                  </w14:solidFill>
                </w14:textFill>
              </w:rPr>
              <w:t>，</w:t>
            </w:r>
            <w:r>
              <w:rPr>
                <w:rFonts w:hint="eastAsia" w:cs="Times New Roman"/>
                <w:color w:val="000000" w:themeColor="text1"/>
                <w:spacing w:val="4"/>
                <w:sz w:val="24"/>
                <w:szCs w:val="24"/>
                <w:highlight w:val="none"/>
                <w:lang w:val="en-US" w:eastAsia="zh-CN"/>
                <w14:textFill>
                  <w14:solidFill>
                    <w14:schemeClr w14:val="tx1"/>
                  </w14:solidFill>
                </w14:textFill>
              </w:rPr>
              <w:t>用地范围内无生态环境保护目标，</w:t>
            </w:r>
            <w:r>
              <w:rPr>
                <w:rFonts w:hint="eastAsia" w:cs="Times New Roman"/>
                <w:color w:val="auto"/>
                <w:sz w:val="24"/>
                <w:szCs w:val="24"/>
                <w:lang w:val="en-US" w:eastAsia="zh-CN"/>
              </w:rPr>
              <w:t>根据《建设项目环境影响报告表编制技术指南（污染影响类）（试行）》，项目不进行生态影响分析。</w:t>
            </w:r>
          </w:p>
          <w:p w14:paraId="1CFAAE93">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20" w:lineRule="exact"/>
              <w:ind w:left="0" w:leftChars="0" w:right="0" w:firstLine="0" w:firstLineChars="0"/>
              <w:jc w:val="left"/>
              <w:textAlignment w:val="auto"/>
              <w:rPr>
                <w:rFonts w:hint="default"/>
                <w:b/>
                <w:bCs/>
                <w:color w:val="000000" w:themeColor="text1"/>
                <w:sz w:val="24"/>
                <w:szCs w:val="24"/>
                <w:highlight w:val="none"/>
                <w:lang w:val="en-US" w:eastAsia="zh-CN"/>
                <w14:textFill>
                  <w14:solidFill>
                    <w14:schemeClr w14:val="tx1"/>
                  </w14:solidFill>
                </w14:textFill>
              </w:rPr>
            </w:pPr>
            <w:r>
              <w:rPr>
                <w:rFonts w:hint="eastAsia"/>
                <w:b/>
                <w:bCs/>
                <w:color w:val="000000" w:themeColor="text1"/>
                <w:sz w:val="24"/>
                <w:szCs w:val="24"/>
                <w:highlight w:val="none"/>
                <w:lang w:val="en-US" w:eastAsia="zh-CN"/>
                <w14:textFill>
                  <w14:solidFill>
                    <w14:schemeClr w14:val="tx1"/>
                  </w14:solidFill>
                </w14:textFill>
              </w:rPr>
              <w:t>七</w:t>
            </w:r>
            <w:r>
              <w:rPr>
                <w:rFonts w:hint="default"/>
                <w:b/>
                <w:bCs/>
                <w:color w:val="000000" w:themeColor="text1"/>
                <w:sz w:val="24"/>
                <w:szCs w:val="24"/>
                <w:highlight w:val="none"/>
                <w:lang w:val="en-US" w:eastAsia="zh-CN"/>
                <w14:textFill>
                  <w14:solidFill>
                    <w14:schemeClr w14:val="tx1"/>
                  </w14:solidFill>
                </w14:textFill>
              </w:rPr>
              <w:t>、环境风险</w:t>
            </w:r>
          </w:p>
          <w:p w14:paraId="30BC33B4">
            <w:pPr>
              <w:keepNext w:val="0"/>
              <w:keepLines w:val="0"/>
              <w:pageBreakBefore w:val="0"/>
              <w:widowControl w:val="0"/>
              <w:suppressLineNumbers w:val="0"/>
              <w:kinsoku/>
              <w:wordWrap/>
              <w:overflowPunct/>
              <w:topLinePunct w:val="0"/>
              <w:autoSpaceDE/>
              <w:autoSpaceDN/>
              <w:bidi w:val="0"/>
              <w:spacing w:before="0" w:beforeAutospacing="0" w:after="0" w:afterAutospacing="0" w:line="520" w:lineRule="exact"/>
              <w:ind w:left="0" w:right="0" w:firstLine="480" w:firstLineChars="200"/>
              <w:jc w:val="both"/>
              <w:textAlignment w:val="auto"/>
              <w:rPr>
                <w:rFonts w:hint="default" w:cs="Times New Roman"/>
                <w:color w:val="auto"/>
                <w:sz w:val="24"/>
                <w:szCs w:val="24"/>
                <w:lang w:val="en-US" w:eastAsia="zh-CN"/>
              </w:rPr>
            </w:pPr>
            <w:r>
              <w:rPr>
                <w:rFonts w:hint="eastAsia" w:cs="Times New Roman"/>
                <w:color w:val="auto"/>
                <w:sz w:val="24"/>
                <w:szCs w:val="24"/>
                <w:lang w:val="en-US" w:eastAsia="zh-CN"/>
              </w:rPr>
              <w:t>（1）环境风险识别</w:t>
            </w:r>
          </w:p>
          <w:p w14:paraId="089A729C">
            <w:pPr>
              <w:keepNext w:val="0"/>
              <w:keepLines w:val="0"/>
              <w:pageBreakBefore w:val="0"/>
              <w:widowControl w:val="0"/>
              <w:suppressLineNumbers w:val="0"/>
              <w:kinsoku/>
              <w:wordWrap/>
              <w:overflowPunct/>
              <w:topLinePunct w:val="0"/>
              <w:autoSpaceDE/>
              <w:autoSpaceDN/>
              <w:bidi w:val="0"/>
              <w:spacing w:before="0" w:beforeAutospacing="0" w:after="0" w:afterAutospacing="0" w:line="520" w:lineRule="exact"/>
              <w:ind w:left="0" w:right="0" w:firstLine="480" w:firstLineChars="200"/>
              <w:jc w:val="both"/>
              <w:textAlignment w:val="auto"/>
              <w:rPr>
                <w:rFonts w:hint="eastAsia" w:cs="Times New Roman"/>
                <w:color w:val="auto"/>
                <w:sz w:val="24"/>
                <w:szCs w:val="24"/>
                <w:lang w:val="en-US" w:eastAsia="zh-CN"/>
              </w:rPr>
            </w:pPr>
            <w:r>
              <w:rPr>
                <w:rFonts w:hint="eastAsia" w:cs="Times New Roman"/>
                <w:color w:val="auto"/>
                <w:sz w:val="24"/>
                <w:szCs w:val="24"/>
                <w:lang w:val="en-US" w:eastAsia="zh-CN"/>
              </w:rPr>
              <w:t>根据《建设项目环境风险评价技术导则》（HJ169-2018）</w:t>
            </w:r>
            <w:r>
              <w:rPr>
                <w:rFonts w:hint="eastAsia" w:ascii="Times New Roman" w:hAnsi="Times New Roman" w:eastAsia="宋体" w:cs="Times New Roman"/>
                <w:kern w:val="2"/>
                <w:sz w:val="24"/>
                <w:szCs w:val="24"/>
                <w:lang w:val="en-US" w:eastAsia="zh-CN" w:bidi="ar"/>
              </w:rPr>
              <w:t>附录</w:t>
            </w:r>
            <w:r>
              <w:rPr>
                <w:rFonts w:hint="default" w:ascii="Times New Roman" w:hAnsi="Times New Roman" w:eastAsia="宋体" w:cs="Times New Roman"/>
                <w:kern w:val="2"/>
                <w:sz w:val="24"/>
                <w:szCs w:val="24"/>
                <w:lang w:val="en-US" w:eastAsia="zh-CN" w:bidi="ar"/>
              </w:rPr>
              <w:t>B</w:t>
            </w:r>
            <w:r>
              <w:rPr>
                <w:rFonts w:hint="eastAsia" w:cs="Times New Roman"/>
                <w:color w:val="auto"/>
                <w:sz w:val="24"/>
                <w:szCs w:val="24"/>
                <w:lang w:val="en-US" w:eastAsia="zh-CN"/>
              </w:rPr>
              <w:t>，</w:t>
            </w:r>
            <w:r>
              <w:rPr>
                <w:rFonts w:hint="eastAsia" w:cs="Times New Roman"/>
                <w:color w:val="auto"/>
                <w:sz w:val="24"/>
                <w:szCs w:val="24"/>
                <w:highlight w:val="none"/>
                <w:lang w:val="en-US" w:eastAsia="zh-CN"/>
              </w:rPr>
              <w:t>对比项目原辅料、产品及污染物等，项目</w:t>
            </w:r>
            <w:r>
              <w:rPr>
                <w:rFonts w:hint="eastAsia" w:ascii="Times New Roman" w:hAnsi="Times New Roman" w:eastAsia="宋体" w:cs="Times New Roman"/>
                <w:kern w:val="2"/>
                <w:sz w:val="24"/>
                <w:szCs w:val="24"/>
                <w:highlight w:val="none"/>
                <w:lang w:val="en-US" w:eastAsia="zh-CN" w:bidi="ar"/>
              </w:rPr>
              <w:t>涉及风险物质、存储量及分布情况见下表。</w:t>
            </w:r>
          </w:p>
          <w:p w14:paraId="7D2479C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jc w:val="center"/>
              <w:textAlignment w:val="auto"/>
              <w:rPr>
                <w:rFonts w:hint="default" w:ascii="Times New Roman" w:hAnsi="Times New Roman" w:eastAsia="黑体" w:cs="Times New Roman"/>
                <w:b w:val="0"/>
                <w:bCs w:val="0"/>
                <w:color w:val="auto"/>
                <w:sz w:val="24"/>
                <w:szCs w:val="24"/>
                <w:highlight w:val="none"/>
                <w:u w:val="none"/>
                <w:lang w:val="en-US" w:eastAsia="zh-CN"/>
              </w:rPr>
            </w:pPr>
            <w:r>
              <w:rPr>
                <w:rFonts w:hint="default" w:ascii="Times New Roman" w:hAnsi="Times New Roman" w:eastAsia="黑体" w:cs="Times New Roman"/>
                <w:b w:val="0"/>
                <w:bCs w:val="0"/>
                <w:color w:val="auto"/>
                <w:sz w:val="24"/>
                <w:szCs w:val="24"/>
                <w:highlight w:val="none"/>
                <w:u w:val="none"/>
                <w:lang w:val="en-US" w:eastAsia="zh-CN"/>
              </w:rPr>
              <w:t>表4-</w:t>
            </w:r>
            <w:r>
              <w:rPr>
                <w:rFonts w:hint="eastAsia" w:eastAsia="黑体" w:cs="Times New Roman"/>
                <w:b w:val="0"/>
                <w:bCs w:val="0"/>
                <w:color w:val="auto"/>
                <w:sz w:val="24"/>
                <w:szCs w:val="24"/>
                <w:highlight w:val="none"/>
                <w:u w:val="none"/>
                <w:lang w:val="en-US" w:eastAsia="zh-CN"/>
              </w:rPr>
              <w:t>15</w:t>
            </w:r>
            <w:r>
              <w:rPr>
                <w:rFonts w:hint="default" w:ascii="Times New Roman" w:hAnsi="Times New Roman" w:eastAsia="黑体" w:cs="Times New Roman"/>
                <w:b w:val="0"/>
                <w:bCs w:val="0"/>
                <w:color w:val="auto"/>
                <w:sz w:val="24"/>
                <w:szCs w:val="24"/>
                <w:highlight w:val="none"/>
                <w:u w:val="none"/>
                <w:lang w:val="en-US" w:eastAsia="zh-CN"/>
              </w:rPr>
              <w:t xml:space="preserve">  企业涉及到的</w:t>
            </w:r>
            <w:r>
              <w:rPr>
                <w:rFonts w:hint="eastAsia" w:ascii="Times New Roman" w:hAnsi="Times New Roman" w:eastAsia="黑体" w:cs="Times New Roman"/>
                <w:b w:val="0"/>
                <w:bCs w:val="0"/>
                <w:color w:val="auto"/>
                <w:sz w:val="24"/>
                <w:szCs w:val="24"/>
                <w:highlight w:val="none"/>
                <w:u w:val="none"/>
                <w:lang w:val="en-US" w:eastAsia="zh-CN"/>
              </w:rPr>
              <w:t>风险</w:t>
            </w:r>
            <w:r>
              <w:rPr>
                <w:rFonts w:hint="default" w:ascii="Times New Roman" w:hAnsi="Times New Roman" w:eastAsia="黑体" w:cs="Times New Roman"/>
                <w:b w:val="0"/>
                <w:bCs w:val="0"/>
                <w:color w:val="auto"/>
                <w:sz w:val="24"/>
                <w:szCs w:val="24"/>
                <w:highlight w:val="none"/>
                <w:u w:val="none"/>
                <w:lang w:val="en-US" w:eastAsia="zh-CN"/>
              </w:rPr>
              <w:t>物质一览表</w:t>
            </w:r>
          </w:p>
          <w:tbl>
            <w:tblPr>
              <w:tblStyle w:val="25"/>
              <w:tblW w:w="4995"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42"/>
              <w:gridCol w:w="1486"/>
              <w:gridCol w:w="1125"/>
              <w:gridCol w:w="1125"/>
              <w:gridCol w:w="1156"/>
              <w:gridCol w:w="1125"/>
              <w:gridCol w:w="1125"/>
            </w:tblGrid>
            <w:tr w14:paraId="1AB9EA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37" w:type="pct"/>
                  <w:noWrap w:val="0"/>
                  <w:tcMar>
                    <w:top w:w="0" w:type="dxa"/>
                    <w:left w:w="57" w:type="dxa"/>
                    <w:bottom w:w="0" w:type="dxa"/>
                    <w:right w:w="57" w:type="dxa"/>
                  </w:tcMar>
                  <w:vAlign w:val="center"/>
                </w:tcPr>
                <w:p w14:paraId="66FFB0A7">
                  <w:pPr>
                    <w:pStyle w:val="8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b w:val="0"/>
                      <w:bCs w:val="0"/>
                      <w:color w:val="auto"/>
                      <w:highlight w:val="none"/>
                      <w:lang w:val="en-US" w:eastAsia="zh-CN"/>
                    </w:rPr>
                  </w:pPr>
                  <w:r>
                    <w:rPr>
                      <w:rFonts w:hint="eastAsia"/>
                      <w:b w:val="0"/>
                      <w:bCs w:val="0"/>
                      <w:color w:val="auto"/>
                      <w:highlight w:val="none"/>
                      <w:lang w:val="en-US" w:eastAsia="zh-CN"/>
                    </w:rPr>
                    <w:t>类别</w:t>
                  </w:r>
                </w:p>
              </w:tc>
              <w:tc>
                <w:tcPr>
                  <w:tcW w:w="908" w:type="pct"/>
                  <w:noWrap w:val="0"/>
                  <w:tcMar>
                    <w:top w:w="0" w:type="dxa"/>
                    <w:left w:w="57" w:type="dxa"/>
                    <w:bottom w:w="0" w:type="dxa"/>
                    <w:right w:w="57" w:type="dxa"/>
                  </w:tcMar>
                  <w:vAlign w:val="center"/>
                </w:tcPr>
                <w:p w14:paraId="50FB96C0">
                  <w:pPr>
                    <w:pStyle w:val="8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Times New Roman" w:hAnsi="Times New Roman" w:eastAsia="宋体" w:cs="Times New Roman"/>
                      <w:b w:val="0"/>
                      <w:bCs w:val="0"/>
                      <w:snapToGrid w:val="0"/>
                      <w:color w:val="auto"/>
                      <w:kern w:val="0"/>
                      <w:sz w:val="21"/>
                      <w:szCs w:val="21"/>
                      <w:highlight w:val="none"/>
                      <w:lang w:val="en-US" w:eastAsia="zh-CN"/>
                    </w:rPr>
                  </w:pPr>
                  <w:r>
                    <w:rPr>
                      <w:rFonts w:hint="eastAsia" w:cs="Times New Roman"/>
                      <w:b w:val="0"/>
                      <w:bCs w:val="0"/>
                      <w:snapToGrid w:val="0"/>
                      <w:color w:val="auto"/>
                      <w:kern w:val="0"/>
                      <w:sz w:val="21"/>
                      <w:szCs w:val="21"/>
                      <w:highlight w:val="none"/>
                      <w:lang w:val="en-US" w:eastAsia="zh-CN"/>
                    </w:rPr>
                    <w:t>风险物质</w:t>
                  </w:r>
                </w:p>
              </w:tc>
              <w:tc>
                <w:tcPr>
                  <w:tcW w:w="687" w:type="pct"/>
                  <w:noWrap w:val="0"/>
                  <w:tcMar>
                    <w:top w:w="0" w:type="dxa"/>
                    <w:left w:w="57" w:type="dxa"/>
                    <w:bottom w:w="0" w:type="dxa"/>
                    <w:right w:w="57" w:type="dxa"/>
                  </w:tcMar>
                  <w:vAlign w:val="center"/>
                </w:tcPr>
                <w:p w14:paraId="435BD8DF">
                  <w:pPr>
                    <w:pStyle w:val="8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cs="Times New Roman"/>
                      <w:b w:val="0"/>
                      <w:bCs w:val="0"/>
                      <w:snapToGrid w:val="0"/>
                      <w:color w:val="auto"/>
                      <w:kern w:val="0"/>
                      <w:sz w:val="21"/>
                      <w:szCs w:val="21"/>
                      <w:highlight w:val="none"/>
                      <w:lang w:val="en-US" w:eastAsia="zh-CN"/>
                    </w:rPr>
                  </w:pPr>
                  <w:r>
                    <w:rPr>
                      <w:rFonts w:hint="eastAsia" w:cs="Times New Roman"/>
                      <w:b w:val="0"/>
                      <w:bCs w:val="0"/>
                      <w:snapToGrid w:val="0"/>
                      <w:color w:val="auto"/>
                      <w:kern w:val="0"/>
                      <w:sz w:val="21"/>
                      <w:szCs w:val="21"/>
                      <w:highlight w:val="none"/>
                      <w:lang w:val="en-US" w:eastAsia="zh-CN"/>
                    </w:rPr>
                    <w:t>危险成分</w:t>
                  </w:r>
                </w:p>
              </w:tc>
              <w:tc>
                <w:tcPr>
                  <w:tcW w:w="687" w:type="pct"/>
                  <w:noWrap w:val="0"/>
                  <w:tcMar>
                    <w:top w:w="0" w:type="dxa"/>
                    <w:left w:w="57" w:type="dxa"/>
                    <w:bottom w:w="0" w:type="dxa"/>
                    <w:right w:w="57" w:type="dxa"/>
                  </w:tcMar>
                  <w:vAlign w:val="center"/>
                </w:tcPr>
                <w:p w14:paraId="6BFC5900">
                  <w:pPr>
                    <w:pStyle w:val="8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b w:val="0"/>
                      <w:bCs w:val="0"/>
                      <w:color w:val="auto"/>
                      <w:highlight w:val="none"/>
                      <w:lang w:val="en-US" w:eastAsia="zh-CN"/>
                    </w:rPr>
                  </w:pPr>
                  <w:r>
                    <w:rPr>
                      <w:rFonts w:hint="eastAsia"/>
                      <w:b w:val="0"/>
                      <w:bCs w:val="0"/>
                      <w:color w:val="auto"/>
                      <w:highlight w:val="none"/>
                      <w:lang w:val="en-US" w:eastAsia="zh-CN"/>
                    </w:rPr>
                    <w:t>存储量(t)</w:t>
                  </w:r>
                </w:p>
              </w:tc>
              <w:tc>
                <w:tcPr>
                  <w:tcW w:w="704" w:type="pct"/>
                  <w:noWrap w:val="0"/>
                  <w:tcMar>
                    <w:top w:w="0" w:type="dxa"/>
                    <w:left w:w="57" w:type="dxa"/>
                    <w:bottom w:w="0" w:type="dxa"/>
                    <w:right w:w="57" w:type="dxa"/>
                  </w:tcMar>
                  <w:vAlign w:val="center"/>
                </w:tcPr>
                <w:p w14:paraId="05BAB723">
                  <w:pPr>
                    <w:pStyle w:val="8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b w:val="0"/>
                      <w:bCs w:val="0"/>
                      <w:color w:val="auto"/>
                      <w:highlight w:val="none"/>
                      <w:lang w:val="en-US" w:eastAsia="zh-CN"/>
                    </w:rPr>
                  </w:pPr>
                  <w:r>
                    <w:rPr>
                      <w:rFonts w:hint="eastAsia"/>
                      <w:b w:val="0"/>
                      <w:bCs w:val="0"/>
                      <w:color w:val="auto"/>
                      <w:highlight w:val="none"/>
                      <w:lang w:val="en-US" w:eastAsia="zh-CN"/>
                    </w:rPr>
                    <w:t>临界量(t)</w:t>
                  </w:r>
                </w:p>
              </w:tc>
              <w:tc>
                <w:tcPr>
                  <w:tcW w:w="687" w:type="pct"/>
                  <w:noWrap w:val="0"/>
                  <w:tcMar>
                    <w:top w:w="0" w:type="dxa"/>
                    <w:left w:w="57" w:type="dxa"/>
                    <w:bottom w:w="0" w:type="dxa"/>
                    <w:right w:w="57" w:type="dxa"/>
                  </w:tcMar>
                  <w:vAlign w:val="center"/>
                </w:tcPr>
                <w:p w14:paraId="16E34EAB">
                  <w:pPr>
                    <w:pStyle w:val="8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b w:val="0"/>
                      <w:bCs w:val="0"/>
                      <w:color w:val="auto"/>
                      <w:highlight w:val="none"/>
                      <w:lang w:val="en-US" w:eastAsia="zh-CN"/>
                    </w:rPr>
                  </w:pPr>
                  <w:r>
                    <w:rPr>
                      <w:rFonts w:hint="eastAsia"/>
                      <w:b w:val="0"/>
                      <w:bCs w:val="0"/>
                      <w:color w:val="auto"/>
                      <w:highlight w:val="none"/>
                      <w:lang w:val="en-US" w:eastAsia="zh-CN"/>
                    </w:rPr>
                    <w:t>Q值</w:t>
                  </w:r>
                </w:p>
              </w:tc>
              <w:tc>
                <w:tcPr>
                  <w:tcW w:w="687" w:type="pct"/>
                  <w:noWrap w:val="0"/>
                  <w:tcMar>
                    <w:top w:w="0" w:type="dxa"/>
                    <w:left w:w="57" w:type="dxa"/>
                    <w:bottom w:w="0" w:type="dxa"/>
                    <w:right w:w="57" w:type="dxa"/>
                  </w:tcMar>
                  <w:vAlign w:val="center"/>
                </w:tcPr>
                <w:p w14:paraId="0240CE9A">
                  <w:pPr>
                    <w:pStyle w:val="8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b w:val="0"/>
                      <w:bCs w:val="0"/>
                      <w:color w:val="auto"/>
                      <w:highlight w:val="none"/>
                      <w:lang w:val="en-US" w:eastAsia="zh-CN"/>
                    </w:rPr>
                  </w:pPr>
                  <w:r>
                    <w:rPr>
                      <w:rFonts w:hint="eastAsia"/>
                      <w:b w:val="0"/>
                      <w:bCs w:val="0"/>
                      <w:color w:val="auto"/>
                      <w:highlight w:val="none"/>
                      <w:lang w:val="en-US" w:eastAsia="zh-CN"/>
                    </w:rPr>
                    <w:t>分布情况</w:t>
                  </w:r>
                </w:p>
              </w:tc>
            </w:tr>
            <w:tr w14:paraId="62F15D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37" w:type="pct"/>
                  <w:vMerge w:val="restart"/>
                  <w:noWrap w:val="0"/>
                  <w:tcMar>
                    <w:top w:w="0" w:type="dxa"/>
                    <w:left w:w="57" w:type="dxa"/>
                    <w:bottom w:w="0" w:type="dxa"/>
                    <w:right w:w="57" w:type="dxa"/>
                  </w:tcMar>
                  <w:vAlign w:val="center"/>
                </w:tcPr>
                <w:p w14:paraId="3146B2B1">
                  <w:pPr>
                    <w:pStyle w:val="8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b w:val="0"/>
                      <w:bCs w:val="0"/>
                      <w:color w:val="auto"/>
                      <w:highlight w:val="none"/>
                      <w:lang w:val="en-US" w:eastAsia="zh-CN"/>
                    </w:rPr>
                  </w:pPr>
                  <w:r>
                    <w:rPr>
                      <w:rFonts w:hint="eastAsia"/>
                      <w:b w:val="0"/>
                      <w:bCs w:val="0"/>
                      <w:color w:val="auto"/>
                      <w:highlight w:val="none"/>
                      <w:lang w:val="en-US" w:eastAsia="zh-CN"/>
                    </w:rPr>
                    <w:t>三废污染物</w:t>
                  </w:r>
                </w:p>
              </w:tc>
              <w:tc>
                <w:tcPr>
                  <w:tcW w:w="908" w:type="pct"/>
                  <w:noWrap w:val="0"/>
                  <w:tcMar>
                    <w:top w:w="0" w:type="dxa"/>
                    <w:left w:w="57" w:type="dxa"/>
                    <w:bottom w:w="0" w:type="dxa"/>
                    <w:right w:w="57" w:type="dxa"/>
                  </w:tcMar>
                  <w:vAlign w:val="center"/>
                </w:tcPr>
                <w:p w14:paraId="5372AD66">
                  <w:pPr>
                    <w:pStyle w:val="8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textAlignment w:val="auto"/>
                    <w:rPr>
                      <w:rFonts w:hint="default" w:cs="Times New Roman"/>
                      <w:b w:val="0"/>
                      <w:bCs w:val="0"/>
                      <w:snapToGrid w:val="0"/>
                      <w:color w:val="auto"/>
                      <w:kern w:val="0"/>
                      <w:sz w:val="21"/>
                      <w:szCs w:val="21"/>
                      <w:highlight w:val="none"/>
                      <w:lang w:val="en-US" w:eastAsia="zh-CN"/>
                    </w:rPr>
                  </w:pPr>
                  <w:r>
                    <w:rPr>
                      <w:rFonts w:hint="eastAsia"/>
                      <w:b w:val="0"/>
                      <w:bCs w:val="0"/>
                      <w:color w:val="auto"/>
                      <w:highlight w:val="none"/>
                      <w:lang w:val="en-US" w:eastAsia="zh-CN"/>
                    </w:rPr>
                    <w:t>废活性炭</w:t>
                  </w:r>
                </w:p>
              </w:tc>
              <w:tc>
                <w:tcPr>
                  <w:tcW w:w="687" w:type="pct"/>
                  <w:noWrap w:val="0"/>
                  <w:tcMar>
                    <w:top w:w="0" w:type="dxa"/>
                    <w:left w:w="57" w:type="dxa"/>
                    <w:bottom w:w="0" w:type="dxa"/>
                    <w:right w:w="57" w:type="dxa"/>
                  </w:tcMar>
                  <w:vAlign w:val="center"/>
                </w:tcPr>
                <w:p w14:paraId="580130A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textAlignment w:val="auto"/>
                    <w:rPr>
                      <w:rFonts w:hint="default" w:cs="Times New Roman"/>
                      <w:b w:val="0"/>
                      <w:bCs w:val="0"/>
                      <w:snapToGrid w:val="0"/>
                      <w:color w:val="auto"/>
                      <w:kern w:val="0"/>
                      <w:sz w:val="21"/>
                      <w:szCs w:val="21"/>
                      <w:highlight w:val="none"/>
                      <w:lang w:val="en-US" w:eastAsia="zh-CN"/>
                    </w:rPr>
                  </w:pPr>
                  <w:r>
                    <w:rPr>
                      <w:rFonts w:hint="eastAsia" w:cs="Times New Roman"/>
                      <w:b w:val="0"/>
                      <w:bCs w:val="0"/>
                      <w:snapToGrid w:val="0"/>
                      <w:color w:val="auto"/>
                      <w:kern w:val="0"/>
                      <w:sz w:val="21"/>
                      <w:szCs w:val="21"/>
                      <w:highlight w:val="none"/>
                      <w:lang w:val="en-US" w:eastAsia="zh-CN"/>
                    </w:rPr>
                    <w:t>危险废物</w:t>
                  </w:r>
                </w:p>
              </w:tc>
              <w:tc>
                <w:tcPr>
                  <w:tcW w:w="1125" w:type="dxa"/>
                  <w:noWrap w:val="0"/>
                  <w:tcMar>
                    <w:top w:w="0" w:type="dxa"/>
                    <w:left w:w="57" w:type="dxa"/>
                    <w:bottom w:w="0" w:type="dxa"/>
                    <w:right w:w="57" w:type="dxa"/>
                  </w:tcMar>
                  <w:vAlign w:val="center"/>
                </w:tcPr>
                <w:p w14:paraId="1212F70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textAlignment w:val="auto"/>
                    <w:rPr>
                      <w:rFonts w:hint="default"/>
                      <w:b w:val="0"/>
                      <w:bCs w:val="0"/>
                      <w:color w:val="auto"/>
                      <w:highlight w:val="none"/>
                      <w:lang w:val="en-US" w:eastAsia="zh-CN"/>
                    </w:rPr>
                  </w:pPr>
                  <w:r>
                    <w:rPr>
                      <w:rFonts w:hint="eastAsia"/>
                      <w:color w:val="auto"/>
                      <w:lang w:val="en-US" w:eastAsia="zh-CN"/>
                    </w:rPr>
                    <w:t>1.222</w:t>
                  </w:r>
                </w:p>
              </w:tc>
              <w:tc>
                <w:tcPr>
                  <w:tcW w:w="704" w:type="pct"/>
                  <w:noWrap w:val="0"/>
                  <w:tcMar>
                    <w:top w:w="0" w:type="dxa"/>
                    <w:left w:w="57" w:type="dxa"/>
                    <w:bottom w:w="0" w:type="dxa"/>
                    <w:right w:w="57" w:type="dxa"/>
                  </w:tcMar>
                  <w:vAlign w:val="center"/>
                </w:tcPr>
                <w:p w14:paraId="02F7039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textAlignment w:val="auto"/>
                    <w:rPr>
                      <w:rFonts w:hint="default"/>
                      <w:b w:val="0"/>
                      <w:bCs w:val="0"/>
                      <w:color w:val="auto"/>
                      <w:highlight w:val="none"/>
                      <w:lang w:val="en-US" w:eastAsia="zh-CN"/>
                    </w:rPr>
                  </w:pPr>
                  <w:r>
                    <w:rPr>
                      <w:rFonts w:hint="eastAsia"/>
                      <w:b w:val="0"/>
                      <w:bCs w:val="0"/>
                      <w:color w:val="auto"/>
                      <w:highlight w:val="none"/>
                      <w:lang w:val="en-US" w:eastAsia="zh-CN"/>
                    </w:rPr>
                    <w:t>50</w:t>
                  </w:r>
                </w:p>
              </w:tc>
              <w:tc>
                <w:tcPr>
                  <w:tcW w:w="687" w:type="pct"/>
                  <w:noWrap w:val="0"/>
                  <w:tcMar>
                    <w:top w:w="0" w:type="dxa"/>
                    <w:left w:w="57" w:type="dxa"/>
                    <w:bottom w:w="0" w:type="dxa"/>
                    <w:right w:w="57" w:type="dxa"/>
                  </w:tcMar>
                  <w:vAlign w:val="center"/>
                </w:tcPr>
                <w:p w14:paraId="2FCB2627">
                  <w:pPr>
                    <w:pStyle w:val="8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textAlignment w:val="auto"/>
                    <w:rPr>
                      <w:rFonts w:hint="default"/>
                      <w:b w:val="0"/>
                      <w:bCs w:val="0"/>
                      <w:color w:val="auto"/>
                      <w:highlight w:val="none"/>
                      <w:lang w:val="en-US" w:eastAsia="zh-CN"/>
                    </w:rPr>
                  </w:pPr>
                  <w:r>
                    <w:rPr>
                      <w:rFonts w:hint="eastAsia"/>
                      <w:b w:val="0"/>
                      <w:bCs w:val="0"/>
                      <w:color w:val="auto"/>
                      <w:highlight w:val="none"/>
                      <w:lang w:val="en-US" w:eastAsia="zh-CN"/>
                    </w:rPr>
                    <w:t>0.02444</w:t>
                  </w:r>
                </w:p>
              </w:tc>
              <w:tc>
                <w:tcPr>
                  <w:tcW w:w="687" w:type="pct"/>
                  <w:vMerge w:val="restart"/>
                  <w:noWrap w:val="0"/>
                  <w:tcMar>
                    <w:top w:w="0" w:type="dxa"/>
                    <w:left w:w="57" w:type="dxa"/>
                    <w:bottom w:w="0" w:type="dxa"/>
                    <w:right w:w="57" w:type="dxa"/>
                  </w:tcMar>
                  <w:vAlign w:val="center"/>
                </w:tcPr>
                <w:p w14:paraId="0EED0A9B">
                  <w:pPr>
                    <w:pStyle w:val="8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b w:val="0"/>
                      <w:bCs w:val="0"/>
                      <w:color w:val="auto"/>
                      <w:highlight w:val="none"/>
                      <w:lang w:val="en-US" w:eastAsia="zh-CN"/>
                    </w:rPr>
                  </w:pPr>
                  <w:r>
                    <w:rPr>
                      <w:rFonts w:hint="eastAsia" w:ascii="Times New Roman" w:hAnsi="Times New Roman" w:eastAsia="宋体" w:cs="Times New Roman"/>
                      <w:kern w:val="2"/>
                      <w:sz w:val="21"/>
                      <w:szCs w:val="21"/>
                      <w:highlight w:val="none"/>
                      <w:lang w:val="en-US" w:eastAsia="zh-CN" w:bidi="ar"/>
                    </w:rPr>
                    <w:t>密闭容器收集，危废间暂存</w:t>
                  </w:r>
                </w:p>
              </w:tc>
            </w:tr>
            <w:tr w14:paraId="51123DA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37" w:type="pct"/>
                  <w:vMerge w:val="continue"/>
                  <w:noWrap w:val="0"/>
                  <w:tcMar>
                    <w:top w:w="0" w:type="dxa"/>
                    <w:left w:w="57" w:type="dxa"/>
                    <w:bottom w:w="0" w:type="dxa"/>
                    <w:right w:w="57" w:type="dxa"/>
                  </w:tcMar>
                  <w:vAlign w:val="center"/>
                </w:tcPr>
                <w:p w14:paraId="238D8074">
                  <w:pPr>
                    <w:pStyle w:val="8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b w:val="0"/>
                      <w:bCs w:val="0"/>
                      <w:color w:val="auto"/>
                      <w:highlight w:val="none"/>
                      <w:lang w:val="en-US" w:eastAsia="zh-CN"/>
                    </w:rPr>
                  </w:pPr>
                </w:p>
              </w:tc>
              <w:tc>
                <w:tcPr>
                  <w:tcW w:w="908" w:type="pct"/>
                  <w:noWrap w:val="0"/>
                  <w:tcMar>
                    <w:top w:w="0" w:type="dxa"/>
                    <w:left w:w="57" w:type="dxa"/>
                    <w:bottom w:w="0" w:type="dxa"/>
                    <w:right w:w="57" w:type="dxa"/>
                  </w:tcMar>
                  <w:vAlign w:val="center"/>
                </w:tcPr>
                <w:p w14:paraId="55226B81">
                  <w:pPr>
                    <w:pStyle w:val="8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textAlignment w:val="auto"/>
                    <w:rPr>
                      <w:rFonts w:hint="default" w:cs="Times New Roman"/>
                      <w:b w:val="0"/>
                      <w:bCs w:val="0"/>
                      <w:snapToGrid w:val="0"/>
                      <w:color w:val="auto"/>
                      <w:kern w:val="0"/>
                      <w:sz w:val="21"/>
                      <w:szCs w:val="21"/>
                      <w:highlight w:val="none"/>
                      <w:lang w:val="en-US" w:eastAsia="zh-CN"/>
                    </w:rPr>
                  </w:pPr>
                  <w:r>
                    <w:rPr>
                      <w:rFonts w:hint="eastAsia"/>
                      <w:b w:val="0"/>
                      <w:bCs w:val="0"/>
                      <w:color w:val="auto"/>
                      <w:highlight w:val="none"/>
                      <w:lang w:val="en-US" w:eastAsia="zh-CN"/>
                    </w:rPr>
                    <w:t>废催化剂</w:t>
                  </w:r>
                </w:p>
              </w:tc>
              <w:tc>
                <w:tcPr>
                  <w:tcW w:w="687" w:type="pct"/>
                  <w:noWrap w:val="0"/>
                  <w:tcMar>
                    <w:top w:w="0" w:type="dxa"/>
                    <w:left w:w="57" w:type="dxa"/>
                    <w:bottom w:w="0" w:type="dxa"/>
                    <w:right w:w="57" w:type="dxa"/>
                  </w:tcMar>
                  <w:vAlign w:val="center"/>
                </w:tcPr>
                <w:p w14:paraId="2B427FA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textAlignment w:val="auto"/>
                    <w:rPr>
                      <w:rFonts w:hint="eastAsia" w:cs="Times New Roman"/>
                      <w:b w:val="0"/>
                      <w:bCs w:val="0"/>
                      <w:snapToGrid w:val="0"/>
                      <w:color w:val="auto"/>
                      <w:kern w:val="0"/>
                      <w:sz w:val="21"/>
                      <w:szCs w:val="21"/>
                      <w:highlight w:val="none"/>
                      <w:lang w:val="en-US" w:eastAsia="zh-CN"/>
                    </w:rPr>
                  </w:pPr>
                  <w:r>
                    <w:rPr>
                      <w:rFonts w:hint="eastAsia" w:cs="Times New Roman"/>
                      <w:b w:val="0"/>
                      <w:bCs w:val="0"/>
                      <w:snapToGrid w:val="0"/>
                      <w:color w:val="auto"/>
                      <w:kern w:val="0"/>
                      <w:sz w:val="21"/>
                      <w:szCs w:val="21"/>
                      <w:highlight w:val="none"/>
                      <w:lang w:val="en-US" w:eastAsia="zh-CN"/>
                    </w:rPr>
                    <w:t>危险废物</w:t>
                  </w:r>
                </w:p>
              </w:tc>
              <w:tc>
                <w:tcPr>
                  <w:tcW w:w="1125" w:type="dxa"/>
                  <w:noWrap w:val="0"/>
                  <w:tcMar>
                    <w:top w:w="0" w:type="dxa"/>
                    <w:left w:w="57" w:type="dxa"/>
                    <w:bottom w:w="0" w:type="dxa"/>
                    <w:right w:w="57" w:type="dxa"/>
                  </w:tcMar>
                  <w:vAlign w:val="center"/>
                </w:tcPr>
                <w:p w14:paraId="0C61D6E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textAlignment w:val="auto"/>
                    <w:rPr>
                      <w:rFonts w:hint="default"/>
                      <w:b w:val="0"/>
                      <w:bCs w:val="0"/>
                      <w:color w:val="auto"/>
                      <w:highlight w:val="none"/>
                      <w:lang w:val="en-US" w:eastAsia="zh-CN"/>
                    </w:rPr>
                  </w:pPr>
                  <w:r>
                    <w:rPr>
                      <w:rFonts w:hint="eastAsia"/>
                      <w:color w:val="auto"/>
                      <w:lang w:val="en-US" w:eastAsia="zh-CN"/>
                    </w:rPr>
                    <w:t>0.05</w:t>
                  </w:r>
                </w:p>
              </w:tc>
              <w:tc>
                <w:tcPr>
                  <w:tcW w:w="704" w:type="pct"/>
                  <w:noWrap w:val="0"/>
                  <w:tcMar>
                    <w:top w:w="0" w:type="dxa"/>
                    <w:left w:w="57" w:type="dxa"/>
                    <w:bottom w:w="0" w:type="dxa"/>
                    <w:right w:w="57" w:type="dxa"/>
                  </w:tcMar>
                  <w:vAlign w:val="center"/>
                </w:tcPr>
                <w:p w14:paraId="691F970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textAlignment w:val="auto"/>
                    <w:rPr>
                      <w:rFonts w:hint="default"/>
                      <w:b w:val="0"/>
                      <w:bCs w:val="0"/>
                      <w:color w:val="auto"/>
                      <w:highlight w:val="none"/>
                      <w:lang w:val="en-US" w:eastAsia="zh-CN"/>
                    </w:rPr>
                  </w:pPr>
                  <w:r>
                    <w:rPr>
                      <w:rFonts w:hint="eastAsia"/>
                      <w:b w:val="0"/>
                      <w:bCs w:val="0"/>
                      <w:color w:val="auto"/>
                      <w:highlight w:val="none"/>
                      <w:lang w:val="en-US" w:eastAsia="zh-CN"/>
                    </w:rPr>
                    <w:t>50</w:t>
                  </w:r>
                </w:p>
              </w:tc>
              <w:tc>
                <w:tcPr>
                  <w:tcW w:w="687" w:type="pct"/>
                  <w:noWrap w:val="0"/>
                  <w:tcMar>
                    <w:top w:w="0" w:type="dxa"/>
                    <w:left w:w="57" w:type="dxa"/>
                    <w:bottom w:w="0" w:type="dxa"/>
                    <w:right w:w="57" w:type="dxa"/>
                  </w:tcMar>
                  <w:vAlign w:val="center"/>
                </w:tcPr>
                <w:p w14:paraId="7A14A36F">
                  <w:pPr>
                    <w:pStyle w:val="8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textAlignment w:val="auto"/>
                    <w:rPr>
                      <w:rFonts w:hint="default"/>
                      <w:b w:val="0"/>
                      <w:bCs w:val="0"/>
                      <w:color w:val="auto"/>
                      <w:highlight w:val="none"/>
                      <w:lang w:val="en-US" w:eastAsia="zh-CN"/>
                    </w:rPr>
                  </w:pPr>
                  <w:r>
                    <w:rPr>
                      <w:rFonts w:hint="eastAsia"/>
                      <w:b w:val="0"/>
                      <w:bCs w:val="0"/>
                      <w:color w:val="auto"/>
                      <w:highlight w:val="none"/>
                      <w:lang w:val="en-US" w:eastAsia="zh-CN"/>
                    </w:rPr>
                    <w:t>0.001</w:t>
                  </w:r>
                </w:p>
              </w:tc>
              <w:tc>
                <w:tcPr>
                  <w:tcW w:w="687" w:type="pct"/>
                  <w:vMerge w:val="continue"/>
                  <w:noWrap w:val="0"/>
                  <w:tcMar>
                    <w:top w:w="0" w:type="dxa"/>
                    <w:left w:w="57" w:type="dxa"/>
                    <w:bottom w:w="0" w:type="dxa"/>
                    <w:right w:w="57" w:type="dxa"/>
                  </w:tcMar>
                  <w:vAlign w:val="center"/>
                </w:tcPr>
                <w:p w14:paraId="2BBD0E9F">
                  <w:pPr>
                    <w:pStyle w:val="8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b w:val="0"/>
                      <w:bCs w:val="0"/>
                      <w:color w:val="auto"/>
                      <w:highlight w:val="none"/>
                      <w:lang w:val="en-US" w:eastAsia="zh-CN"/>
                    </w:rPr>
                  </w:pPr>
                </w:p>
              </w:tc>
            </w:tr>
            <w:tr w14:paraId="10AD53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25" w:type="pct"/>
                  <w:gridSpan w:val="5"/>
                  <w:noWrap w:val="0"/>
                  <w:tcMar>
                    <w:top w:w="0" w:type="dxa"/>
                    <w:left w:w="57" w:type="dxa"/>
                    <w:bottom w:w="0" w:type="dxa"/>
                    <w:right w:w="57" w:type="dxa"/>
                  </w:tcMar>
                  <w:vAlign w:val="center"/>
                </w:tcPr>
                <w:p w14:paraId="6764420B">
                  <w:pPr>
                    <w:pStyle w:val="8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b w:val="0"/>
                      <w:bCs w:val="0"/>
                      <w:color w:val="auto"/>
                      <w:highlight w:val="none"/>
                      <w:lang w:val="en-US" w:eastAsia="zh-CN"/>
                    </w:rPr>
                  </w:pPr>
                  <w:r>
                    <w:rPr>
                      <w:rFonts w:hint="eastAsia"/>
                      <w:b w:val="0"/>
                      <w:bCs w:val="0"/>
                      <w:color w:val="auto"/>
                      <w:highlight w:val="none"/>
                      <w:lang w:val="en-US" w:eastAsia="zh-CN"/>
                    </w:rPr>
                    <w:t>合计</w:t>
                  </w:r>
                </w:p>
              </w:tc>
              <w:tc>
                <w:tcPr>
                  <w:tcW w:w="687" w:type="pct"/>
                  <w:noWrap w:val="0"/>
                  <w:tcMar>
                    <w:top w:w="0" w:type="dxa"/>
                    <w:left w:w="57" w:type="dxa"/>
                    <w:bottom w:w="0" w:type="dxa"/>
                    <w:right w:w="57" w:type="dxa"/>
                  </w:tcMar>
                  <w:vAlign w:val="center"/>
                </w:tcPr>
                <w:p w14:paraId="7C6EF8DA">
                  <w:pPr>
                    <w:pStyle w:val="8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b w:val="0"/>
                      <w:bCs w:val="0"/>
                      <w:color w:val="auto"/>
                      <w:highlight w:val="none"/>
                      <w:lang w:val="en-US" w:eastAsia="zh-CN"/>
                    </w:rPr>
                  </w:pPr>
                  <w:r>
                    <w:rPr>
                      <w:rFonts w:hint="eastAsia"/>
                      <w:b w:val="0"/>
                      <w:bCs w:val="0"/>
                      <w:color w:val="auto"/>
                      <w:highlight w:val="none"/>
                      <w:lang w:val="en-US" w:eastAsia="zh-CN"/>
                    </w:rPr>
                    <w:t>0.02544</w:t>
                  </w:r>
                </w:p>
              </w:tc>
              <w:tc>
                <w:tcPr>
                  <w:tcW w:w="687" w:type="pct"/>
                  <w:noWrap w:val="0"/>
                  <w:tcMar>
                    <w:top w:w="0" w:type="dxa"/>
                    <w:left w:w="57" w:type="dxa"/>
                    <w:bottom w:w="0" w:type="dxa"/>
                    <w:right w:w="57" w:type="dxa"/>
                  </w:tcMar>
                  <w:vAlign w:val="center"/>
                </w:tcPr>
                <w:p w14:paraId="7BEAFBE9">
                  <w:pPr>
                    <w:pStyle w:val="8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b w:val="0"/>
                      <w:bCs w:val="0"/>
                      <w:color w:val="auto"/>
                      <w:highlight w:val="none"/>
                      <w:lang w:val="en-US" w:eastAsia="zh-CN"/>
                    </w:rPr>
                  </w:pPr>
                  <w:r>
                    <w:rPr>
                      <w:rFonts w:hint="eastAsia"/>
                      <w:b w:val="0"/>
                      <w:bCs w:val="0"/>
                      <w:color w:val="auto"/>
                      <w:highlight w:val="none"/>
                      <w:lang w:val="en-US" w:eastAsia="zh-CN"/>
                    </w:rPr>
                    <w:t>/</w:t>
                  </w:r>
                </w:p>
              </w:tc>
            </w:tr>
          </w:tbl>
          <w:p w14:paraId="791B093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textAlignment w:val="auto"/>
              <w:rPr>
                <w:rFonts w:hint="eastAsia"/>
                <w:color w:val="auto"/>
                <w:sz w:val="24"/>
                <w:u w:val="none" w:color="auto"/>
                <w:lang w:val="en-US" w:eastAsia="zh-CN"/>
              </w:rPr>
            </w:pPr>
            <w:r>
              <w:rPr>
                <w:rFonts w:hint="eastAsia" w:cs="Times New Roman"/>
                <w:color w:val="auto"/>
                <w:sz w:val="24"/>
                <w:szCs w:val="24"/>
                <w:u w:val="none" w:color="auto"/>
                <w:lang w:val="en-US" w:eastAsia="zh-CN"/>
              </w:rPr>
              <w:t>废活性炭和废催化剂属于危险废物，</w:t>
            </w:r>
            <w:r>
              <w:rPr>
                <w:rFonts w:hint="eastAsia"/>
                <w:color w:val="auto"/>
                <w:sz w:val="24"/>
                <w:u w:val="none" w:color="auto"/>
              </w:rPr>
              <w:t>根据《国家危险废物名录》</w:t>
            </w:r>
            <w:r>
              <w:rPr>
                <w:rFonts w:hint="eastAsia" w:ascii="Times New Roman" w:hAnsi="宋体" w:eastAsia="宋体" w:cs="Times New Roman"/>
                <w:kern w:val="2"/>
                <w:sz w:val="24"/>
                <w:szCs w:val="24"/>
                <w:u w:val="none" w:color="auto"/>
                <w:lang w:val="en-US" w:eastAsia="zh-CN" w:bidi="ar"/>
              </w:rPr>
              <w:t>（</w:t>
            </w:r>
            <w:r>
              <w:rPr>
                <w:rFonts w:hint="default" w:ascii="Times New Roman" w:hAnsi="宋体" w:eastAsia="宋体" w:cs="Times New Roman"/>
                <w:kern w:val="2"/>
                <w:sz w:val="24"/>
                <w:szCs w:val="24"/>
                <w:u w:val="none" w:color="auto"/>
                <w:lang w:val="en-US" w:eastAsia="zh-CN" w:bidi="ar"/>
              </w:rPr>
              <w:t>202</w:t>
            </w:r>
            <w:r>
              <w:rPr>
                <w:rFonts w:hint="eastAsia" w:hAnsi="宋体" w:cs="Times New Roman"/>
                <w:kern w:val="2"/>
                <w:sz w:val="24"/>
                <w:szCs w:val="24"/>
                <w:u w:val="none" w:color="auto"/>
                <w:lang w:val="en-US" w:eastAsia="zh-CN" w:bidi="ar"/>
              </w:rPr>
              <w:t>5</w:t>
            </w:r>
            <w:r>
              <w:rPr>
                <w:rFonts w:hint="eastAsia" w:ascii="Times New Roman" w:hAnsi="宋体" w:eastAsia="宋体" w:cs="Times New Roman"/>
                <w:kern w:val="2"/>
                <w:sz w:val="24"/>
                <w:szCs w:val="24"/>
                <w:u w:val="none" w:color="auto"/>
                <w:lang w:val="en-US" w:eastAsia="zh-CN" w:bidi="ar"/>
              </w:rPr>
              <w:t>年版）</w:t>
            </w:r>
            <w:r>
              <w:rPr>
                <w:rFonts w:hint="eastAsia"/>
                <w:color w:val="auto"/>
                <w:sz w:val="24"/>
                <w:u w:val="none" w:color="auto"/>
                <w:lang w:eastAsia="zh-CN"/>
              </w:rPr>
              <w:t>，</w:t>
            </w:r>
            <w:r>
              <w:rPr>
                <w:rFonts w:hint="eastAsia"/>
                <w:color w:val="auto"/>
                <w:sz w:val="24"/>
                <w:u w:val="none" w:color="auto"/>
                <w:lang w:val="en-US" w:eastAsia="zh-CN"/>
              </w:rPr>
              <w:t>其危险特性为对生态环境和人体健康具有有害影响的毒性，依据《化学品分类和标签规范 第18部分：急性毒性》（GB30000.18-2013），急性毒性估计值属于类别3，临界量取50t。</w:t>
            </w:r>
          </w:p>
          <w:p w14:paraId="7914550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textAlignment w:val="auto"/>
              <w:rPr>
                <w:rFonts w:hint="eastAsia" w:cs="Times New Roman"/>
                <w:color w:val="auto"/>
                <w:sz w:val="24"/>
                <w:szCs w:val="24"/>
                <w:lang w:val="en-US" w:eastAsia="zh-CN"/>
              </w:rPr>
            </w:pPr>
            <w:r>
              <w:rPr>
                <w:rFonts w:hint="eastAsia" w:cs="Times New Roman"/>
                <w:color w:val="auto"/>
                <w:sz w:val="24"/>
                <w:szCs w:val="24"/>
                <w:lang w:val="en-US" w:eastAsia="zh-CN"/>
              </w:rPr>
              <w:t>项目涉及的环境风险主要为危险废物泄漏及厂区火灾次生衍生污染周边环境。</w:t>
            </w:r>
          </w:p>
          <w:p w14:paraId="04A9183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textAlignment w:val="auto"/>
              <w:rPr>
                <w:rFonts w:hint="default" w:cs="Times New Roman"/>
                <w:color w:val="auto"/>
                <w:sz w:val="24"/>
                <w:szCs w:val="24"/>
                <w:lang w:val="en-US" w:eastAsia="zh-CN"/>
              </w:rPr>
            </w:pPr>
            <w:r>
              <w:rPr>
                <w:rFonts w:hint="eastAsia" w:cs="Times New Roman"/>
                <w:color w:val="auto"/>
                <w:sz w:val="24"/>
                <w:szCs w:val="24"/>
                <w:lang w:val="en-US" w:eastAsia="zh-CN"/>
              </w:rPr>
              <w:t>（2）影响途径</w:t>
            </w:r>
          </w:p>
          <w:p w14:paraId="6C7238F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textAlignment w:val="auto"/>
              <w:rPr>
                <w:rFonts w:hint="default"/>
                <w:kern w:val="24"/>
                <w:sz w:val="24"/>
                <w:szCs w:val="24"/>
                <w:highlight w:val="none"/>
                <w:lang w:val="en-US"/>
              </w:rPr>
            </w:pPr>
            <w:r>
              <w:rPr>
                <w:rFonts w:hint="eastAsia" w:ascii="Times New Roman" w:hAnsi="Times New Roman" w:eastAsia="宋体" w:cs="宋体"/>
                <w:bCs/>
                <w:kern w:val="24"/>
                <w:sz w:val="24"/>
                <w:szCs w:val="24"/>
                <w:highlight w:val="none"/>
                <w:lang w:val="en-US" w:eastAsia="zh-CN" w:bidi="ar"/>
              </w:rPr>
              <w:t>厂区内危险废物泄漏</w:t>
            </w:r>
            <w:r>
              <w:rPr>
                <w:rFonts w:hint="eastAsia" w:cs="宋体"/>
                <w:bCs/>
                <w:kern w:val="24"/>
                <w:sz w:val="24"/>
                <w:szCs w:val="24"/>
                <w:highlight w:val="none"/>
                <w:lang w:val="en-US" w:eastAsia="zh-CN" w:bidi="ar"/>
              </w:rPr>
              <w:t>，或</w:t>
            </w:r>
            <w:r>
              <w:rPr>
                <w:rFonts w:hint="eastAsia" w:ascii="Times New Roman" w:hAnsi="Times New Roman" w:eastAsia="宋体" w:cs="宋体"/>
                <w:bCs/>
                <w:kern w:val="24"/>
                <w:sz w:val="24"/>
                <w:szCs w:val="24"/>
                <w:highlight w:val="none"/>
                <w:lang w:val="en-US" w:eastAsia="zh-CN" w:bidi="ar"/>
              </w:rPr>
              <w:t>防范措施失效等，进入外环境，污染土壤、水环境。</w:t>
            </w:r>
          </w:p>
          <w:p w14:paraId="52D7579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textAlignment w:val="auto"/>
              <w:rPr>
                <w:rFonts w:hint="default"/>
                <w:kern w:val="24"/>
                <w:sz w:val="24"/>
                <w:szCs w:val="24"/>
                <w:highlight w:val="none"/>
                <w:lang w:val="en-US"/>
              </w:rPr>
            </w:pPr>
            <w:r>
              <w:rPr>
                <w:rFonts w:hint="eastAsia" w:ascii="Times New Roman" w:hAnsi="Times New Roman" w:eastAsia="宋体" w:cs="宋体"/>
                <w:kern w:val="24"/>
                <w:sz w:val="24"/>
                <w:szCs w:val="24"/>
                <w:highlight w:val="none"/>
                <w:lang w:val="en-US" w:eastAsia="zh-CN" w:bidi="ar"/>
              </w:rPr>
              <w:t>厂区内可能发生火灾事件，燃烧废气会污染区域环境空气，</w:t>
            </w:r>
            <w:r>
              <w:rPr>
                <w:rFonts w:hint="eastAsia" w:ascii="Times New Roman" w:hAnsi="Times New Roman" w:eastAsia="宋体" w:cs="宋体"/>
                <w:kern w:val="2"/>
                <w:sz w:val="24"/>
                <w:szCs w:val="24"/>
                <w:highlight w:val="none"/>
                <w:lang w:val="en-US" w:eastAsia="zh-CN" w:bidi="ar"/>
              </w:rPr>
              <w:t>事故废水流出厂区污染周边水环境和土壤环境。</w:t>
            </w:r>
          </w:p>
          <w:p w14:paraId="011442C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textAlignment w:val="auto"/>
              <w:rPr>
                <w:rFonts w:hint="default" w:cs="Times New Roman"/>
                <w:color w:val="auto"/>
                <w:sz w:val="24"/>
                <w:szCs w:val="24"/>
                <w:lang w:val="en-US" w:eastAsia="zh-CN"/>
              </w:rPr>
            </w:pPr>
            <w:r>
              <w:rPr>
                <w:rFonts w:hint="eastAsia" w:cs="Times New Roman"/>
                <w:color w:val="auto"/>
                <w:sz w:val="24"/>
                <w:szCs w:val="24"/>
                <w:lang w:val="en-US" w:eastAsia="zh-CN"/>
              </w:rPr>
              <w:t>（3）环境风险防范措施</w:t>
            </w:r>
          </w:p>
          <w:p w14:paraId="2B98A23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jc w:val="both"/>
              <w:textAlignment w:val="auto"/>
              <w:rPr>
                <w:rFonts w:hint="eastAsia" w:cs="Times New Roman"/>
                <w:color w:val="auto"/>
                <w:sz w:val="24"/>
                <w:szCs w:val="24"/>
                <w:lang w:val="en-US" w:eastAsia="zh-CN"/>
              </w:rPr>
            </w:pPr>
            <w:r>
              <w:rPr>
                <w:rFonts w:hint="eastAsia" w:cs="Times New Roman"/>
                <w:color w:val="auto"/>
                <w:sz w:val="24"/>
                <w:szCs w:val="24"/>
                <w:lang w:val="en-US" w:eastAsia="zh-CN"/>
              </w:rPr>
              <w:t>危废暂存间内地面、墙面裙脚、堵截泄漏的围堰等采用坚固的材料建造，表面无裂缝；暂存间地面与裙脚采取表面防渗措施；暂存区周围设置围堰。</w:t>
            </w:r>
          </w:p>
          <w:p w14:paraId="36F22EE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both"/>
              <w:textAlignment w:val="auto"/>
              <w:rPr>
                <w:rFonts w:hint="eastAsia" w:cs="Times New Roman"/>
                <w:color w:val="auto"/>
                <w:sz w:val="24"/>
                <w:szCs w:val="24"/>
                <w:lang w:val="en-US" w:eastAsia="zh-CN"/>
              </w:rPr>
            </w:pPr>
            <w:r>
              <w:rPr>
                <w:rFonts w:hint="eastAsia" w:cs="Times New Roman"/>
                <w:color w:val="auto"/>
                <w:sz w:val="24"/>
                <w:szCs w:val="24"/>
                <w:lang w:val="en-US" w:eastAsia="zh-CN"/>
              </w:rPr>
              <w:t>厂区内发生火灾事件，立即使用消防器材进行灭火，同时上报园区请求支援，生产车间门口设置挡板防止事故废水流出车间；同时关闭雨水总排口，控制事故废水在厂区内。</w:t>
            </w:r>
          </w:p>
          <w:p w14:paraId="67FF713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both"/>
              <w:textAlignment w:val="auto"/>
              <w:rPr>
                <w:rFonts w:hint="eastAsia" w:cs="Times New Roman"/>
                <w:color w:val="auto"/>
                <w:sz w:val="24"/>
                <w:szCs w:val="24"/>
                <w:lang w:val="en-US" w:eastAsia="zh-CN"/>
              </w:rPr>
            </w:pPr>
            <w:r>
              <w:rPr>
                <w:rFonts w:hint="eastAsia" w:cs="Times New Roman"/>
                <w:color w:val="auto"/>
                <w:sz w:val="24"/>
                <w:szCs w:val="24"/>
                <w:lang w:val="en-US" w:eastAsia="zh-CN"/>
              </w:rPr>
              <w:t>车间内应配备堵漏设施、消防器材、个人防护用品等应急物资，杜绝明火，针对不同的事故情形制定相应的应急处置方案，定期组织职工培训，加强职工的防范意识，提高操作管理水平，严格遵守操作规程，避免事故发生；并对相关人员进行应急培训和演练，一旦发生突发环境事件，应迅速采取措施，避免扩大环境影响。</w:t>
            </w:r>
          </w:p>
          <w:p w14:paraId="5C717EB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both"/>
              <w:textAlignment w:val="auto"/>
              <w:rPr>
                <w:rFonts w:hint="default" w:cs="Times New Roman"/>
                <w:color w:val="auto"/>
                <w:sz w:val="24"/>
                <w:szCs w:val="24"/>
                <w:lang w:val="en-US" w:eastAsia="zh-CN"/>
              </w:rPr>
            </w:pPr>
            <w:r>
              <w:rPr>
                <w:rFonts w:hint="eastAsia" w:cs="Times New Roman"/>
                <w:color w:val="auto"/>
                <w:sz w:val="24"/>
                <w:szCs w:val="24"/>
                <w:lang w:val="en-US" w:eastAsia="zh-CN"/>
              </w:rPr>
              <w:t>（4）环保设施安全生产措施</w:t>
            </w:r>
          </w:p>
          <w:p w14:paraId="58572B8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both"/>
              <w:textAlignment w:val="auto"/>
              <w:rPr>
                <w:rFonts w:hint="eastAsia" w:cs="Times New Roman"/>
                <w:color w:val="auto"/>
                <w:sz w:val="24"/>
                <w:szCs w:val="24"/>
                <w:lang w:val="en-US" w:eastAsia="zh-CN"/>
              </w:rPr>
            </w:pPr>
            <w:r>
              <w:rPr>
                <w:rFonts w:hint="eastAsia" w:cs="Times New Roman"/>
                <w:color w:val="auto"/>
                <w:sz w:val="24"/>
                <w:szCs w:val="24"/>
                <w:lang w:val="en-US" w:eastAsia="zh-CN"/>
              </w:rPr>
              <w:t>根据安阳市生态环境局关于印发《生态环境系统安全生产治本攻坚三年行动方案（2024-2026年）》的通知的要求，建设项目环评提出落实环保设施安全生产的工作要求和环境风险防范措施，强化源头防控，防范环境风险。</w:t>
            </w:r>
          </w:p>
          <w:p w14:paraId="31A4208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both"/>
              <w:textAlignment w:val="auto"/>
              <w:rPr>
                <w:rFonts w:hint="eastAsia" w:cs="Times New Roman"/>
                <w:color w:val="auto"/>
                <w:sz w:val="24"/>
                <w:szCs w:val="24"/>
                <w:lang w:val="en-US" w:eastAsia="zh-CN"/>
              </w:rPr>
            </w:pPr>
            <w:r>
              <w:rPr>
                <w:rFonts w:hint="eastAsia" w:cs="Times New Roman"/>
                <w:color w:val="auto"/>
                <w:sz w:val="24"/>
                <w:szCs w:val="24"/>
                <w:lang w:val="en-US" w:eastAsia="zh-CN"/>
              </w:rPr>
              <w:t>①公司应制订企业环保设施安全生产制度，将环保设施安全生产纳入全厂安全生产管理制度。</w:t>
            </w:r>
          </w:p>
          <w:p w14:paraId="2CF7700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both"/>
              <w:textAlignment w:val="auto"/>
              <w:rPr>
                <w:rFonts w:hint="eastAsia" w:cs="Times New Roman"/>
                <w:color w:val="auto"/>
                <w:sz w:val="24"/>
                <w:szCs w:val="24"/>
                <w:lang w:val="en-US" w:eastAsia="zh-CN"/>
              </w:rPr>
            </w:pPr>
            <w:r>
              <w:rPr>
                <w:rFonts w:hint="eastAsia" w:cs="Times New Roman"/>
                <w:color w:val="auto"/>
                <w:sz w:val="24"/>
                <w:szCs w:val="24"/>
                <w:lang w:val="en-US" w:eastAsia="zh-CN"/>
              </w:rPr>
              <w:t>②公司应定期对员工进行环保设施安全生产培训，提高员工安全生产意识，严格按照环保设备及设施操作规程进行规范操作。</w:t>
            </w:r>
          </w:p>
          <w:p w14:paraId="7F8098F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both"/>
              <w:textAlignment w:val="auto"/>
              <w:rPr>
                <w:rFonts w:hint="eastAsia" w:cs="Times New Roman"/>
                <w:color w:val="auto"/>
                <w:sz w:val="24"/>
                <w:szCs w:val="24"/>
                <w:lang w:val="en-US" w:eastAsia="zh-CN"/>
              </w:rPr>
            </w:pPr>
            <w:r>
              <w:rPr>
                <w:rFonts w:hint="eastAsia" w:cs="Times New Roman"/>
                <w:color w:val="auto"/>
                <w:sz w:val="24"/>
                <w:szCs w:val="24"/>
                <w:lang w:val="en-US" w:eastAsia="zh-CN"/>
              </w:rPr>
              <w:t>③公司应加强对废气等环保治理设施的安全检查，定期进行维护保养，减少环保设施安全事故的发生概率。强化机械、电气、温度等方面的安全风险防范措施。加强对风机等转运设备的防护管理，并设置安全警示标识。</w:t>
            </w:r>
          </w:p>
          <w:p w14:paraId="74AE057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both"/>
              <w:textAlignment w:val="auto"/>
              <w:rPr>
                <w:rFonts w:hint="eastAsia" w:cs="Times New Roman"/>
                <w:color w:val="auto"/>
                <w:sz w:val="24"/>
                <w:szCs w:val="24"/>
                <w:lang w:val="en-US" w:eastAsia="zh-CN"/>
              </w:rPr>
            </w:pPr>
          </w:p>
          <w:p w14:paraId="3965C47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both"/>
              <w:textAlignment w:val="auto"/>
              <w:rPr>
                <w:rFonts w:hint="eastAsia" w:cs="Times New Roman"/>
                <w:color w:val="auto"/>
                <w:sz w:val="24"/>
                <w:szCs w:val="24"/>
                <w:lang w:val="en-US" w:eastAsia="zh-CN"/>
              </w:rPr>
            </w:pPr>
          </w:p>
          <w:p w14:paraId="7175BFB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both"/>
              <w:textAlignment w:val="auto"/>
              <w:rPr>
                <w:rFonts w:hint="eastAsia" w:cs="Times New Roman"/>
                <w:color w:val="auto"/>
                <w:sz w:val="24"/>
                <w:szCs w:val="24"/>
                <w:lang w:val="en-US" w:eastAsia="zh-CN"/>
              </w:rPr>
            </w:pPr>
          </w:p>
          <w:p w14:paraId="724925A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both"/>
              <w:textAlignment w:val="auto"/>
              <w:rPr>
                <w:rFonts w:hint="eastAsia" w:cs="Times New Roman"/>
                <w:color w:val="auto"/>
                <w:sz w:val="24"/>
                <w:szCs w:val="24"/>
                <w:lang w:val="en-US" w:eastAsia="zh-CN"/>
              </w:rPr>
            </w:pPr>
          </w:p>
          <w:p w14:paraId="4B0C772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both"/>
              <w:textAlignment w:val="auto"/>
              <w:rPr>
                <w:rFonts w:hint="eastAsia" w:cs="Times New Roman"/>
                <w:color w:val="auto"/>
                <w:sz w:val="24"/>
                <w:szCs w:val="24"/>
                <w:lang w:val="en-US" w:eastAsia="zh-CN"/>
              </w:rPr>
            </w:pPr>
          </w:p>
          <w:p w14:paraId="259E626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both"/>
              <w:textAlignment w:val="auto"/>
              <w:rPr>
                <w:rFonts w:hint="eastAsia" w:cs="Times New Roman"/>
                <w:color w:val="auto"/>
                <w:sz w:val="24"/>
                <w:szCs w:val="24"/>
                <w:lang w:val="en-US" w:eastAsia="zh-CN"/>
              </w:rPr>
            </w:pPr>
          </w:p>
          <w:p w14:paraId="7EF300B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both"/>
              <w:textAlignment w:val="auto"/>
              <w:rPr>
                <w:rFonts w:hint="eastAsia" w:cs="Times New Roman"/>
                <w:color w:val="auto"/>
                <w:sz w:val="24"/>
                <w:szCs w:val="24"/>
                <w:lang w:val="en-US" w:eastAsia="zh-CN"/>
              </w:rPr>
            </w:pPr>
          </w:p>
          <w:p w14:paraId="7574E9E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both"/>
              <w:textAlignment w:val="auto"/>
              <w:rPr>
                <w:rFonts w:hint="eastAsia" w:cs="Times New Roman"/>
                <w:color w:val="auto"/>
                <w:sz w:val="24"/>
                <w:szCs w:val="24"/>
                <w:lang w:val="en-US" w:eastAsia="zh-CN"/>
              </w:rPr>
            </w:pPr>
          </w:p>
          <w:p w14:paraId="767BB7A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both"/>
              <w:textAlignment w:val="auto"/>
              <w:rPr>
                <w:rFonts w:hint="eastAsia" w:cs="Times New Roman"/>
                <w:color w:val="auto"/>
                <w:sz w:val="24"/>
                <w:szCs w:val="24"/>
                <w:lang w:val="en-US" w:eastAsia="zh-CN"/>
              </w:rPr>
            </w:pPr>
          </w:p>
          <w:p w14:paraId="16368BC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both"/>
              <w:textAlignment w:val="auto"/>
              <w:rPr>
                <w:rFonts w:hint="eastAsia" w:cs="Times New Roman"/>
                <w:color w:val="auto"/>
                <w:sz w:val="24"/>
                <w:szCs w:val="24"/>
                <w:lang w:val="en-US" w:eastAsia="zh-CN"/>
              </w:rPr>
            </w:pPr>
          </w:p>
          <w:p w14:paraId="40F6100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both"/>
              <w:textAlignment w:val="auto"/>
              <w:rPr>
                <w:rFonts w:hint="eastAsia" w:cs="Times New Roman"/>
                <w:color w:val="auto"/>
                <w:sz w:val="24"/>
                <w:szCs w:val="24"/>
                <w:lang w:val="en-US" w:eastAsia="zh-CN"/>
              </w:rPr>
            </w:pPr>
          </w:p>
          <w:p w14:paraId="263D82D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both"/>
              <w:textAlignment w:val="auto"/>
              <w:rPr>
                <w:rFonts w:hint="eastAsia" w:cs="Times New Roman"/>
                <w:color w:val="auto"/>
                <w:sz w:val="24"/>
                <w:szCs w:val="24"/>
                <w:lang w:val="en-US" w:eastAsia="zh-CN"/>
              </w:rPr>
            </w:pPr>
          </w:p>
          <w:p w14:paraId="65AB1BF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both"/>
              <w:textAlignment w:val="auto"/>
              <w:rPr>
                <w:rFonts w:hint="eastAsia" w:cs="Times New Roman"/>
                <w:color w:val="auto"/>
                <w:sz w:val="24"/>
                <w:szCs w:val="24"/>
                <w:lang w:val="en-US" w:eastAsia="zh-CN"/>
              </w:rPr>
            </w:pPr>
          </w:p>
          <w:p w14:paraId="7B497D0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both"/>
              <w:textAlignment w:val="auto"/>
              <w:rPr>
                <w:rFonts w:hint="default" w:cs="Times New Roman"/>
                <w:color w:val="auto"/>
                <w:sz w:val="24"/>
                <w:szCs w:val="24"/>
                <w:lang w:val="en-US" w:eastAsia="zh-CN"/>
              </w:rPr>
            </w:pPr>
          </w:p>
        </w:tc>
      </w:tr>
    </w:tbl>
    <w:p w14:paraId="530B5328">
      <w:pPr>
        <w:adjustRightInd w:val="0"/>
        <w:snapToGrid w:val="0"/>
        <w:spacing w:line="360" w:lineRule="auto"/>
        <w:rPr>
          <w:rFonts w:hint="eastAsia" w:ascii="宋体" w:cs="宋体"/>
          <w:b/>
          <w:color w:val="000000" w:themeColor="text1"/>
          <w:kern w:val="0"/>
          <w:sz w:val="21"/>
          <w:szCs w:val="21"/>
          <w14:textFill>
            <w14:solidFill>
              <w14:schemeClr w14:val="tx1"/>
            </w14:solidFill>
          </w14:textFill>
        </w:rPr>
        <w:sectPr>
          <w:pgSz w:w="11907" w:h="16840"/>
          <w:pgMar w:top="1701" w:right="1531" w:bottom="2127" w:left="1531" w:header="851" w:footer="851" w:gutter="0"/>
          <w:pgBorders>
            <w:top w:val="none" w:sz="0" w:space="0"/>
            <w:left w:val="none" w:sz="0" w:space="0"/>
            <w:bottom w:val="none" w:sz="0" w:space="0"/>
            <w:right w:val="none" w:sz="0" w:space="0"/>
          </w:pgBorders>
          <w:pgNumType w:fmt="decimal"/>
          <w:cols w:space="720" w:num="1"/>
          <w:docGrid w:linePitch="312" w:charSpace="0"/>
        </w:sectPr>
      </w:pPr>
    </w:p>
    <w:p w14:paraId="5853430D">
      <w:pPr>
        <w:pStyle w:val="21"/>
        <w:jc w:val="center"/>
        <w:outlineLvl w:val="0"/>
        <w:rPr>
          <w:rFonts w:hint="eastAsia" w:ascii="黑体" w:hAnsi="黑体" w:eastAsia="黑体" w:cs="Times New Roman"/>
          <w:snapToGrid w:val="0"/>
          <w:color w:val="000000" w:themeColor="text1"/>
          <w:sz w:val="30"/>
          <w:szCs w:val="30"/>
          <w14:textFill>
            <w14:solidFill>
              <w14:schemeClr w14:val="tx1"/>
            </w14:solidFill>
          </w14:textFill>
        </w:rPr>
      </w:pPr>
      <w:bookmarkStart w:id="36" w:name="_Toc9388"/>
      <w:bookmarkStart w:id="37" w:name="_Toc13412"/>
      <w:r>
        <w:rPr>
          <w:rFonts w:hint="eastAsia" w:ascii="黑体" w:hAnsi="黑体" w:eastAsia="黑体" w:cs="Times New Roman"/>
          <w:snapToGrid w:val="0"/>
          <w:color w:val="000000" w:themeColor="text1"/>
          <w:sz w:val="30"/>
          <w:szCs w:val="30"/>
          <w14:textFill>
            <w14:solidFill>
              <w14:schemeClr w14:val="tx1"/>
            </w14:solidFill>
          </w14:textFill>
        </w:rPr>
        <w:t>五、</w:t>
      </w:r>
      <w:bookmarkStart w:id="38" w:name="_Hlk54167917"/>
      <w:r>
        <w:rPr>
          <w:rFonts w:hint="eastAsia" w:ascii="黑体" w:hAnsi="黑体" w:eastAsia="黑体" w:cs="Times New Roman"/>
          <w:snapToGrid w:val="0"/>
          <w:color w:val="000000" w:themeColor="text1"/>
          <w:sz w:val="30"/>
          <w:szCs w:val="30"/>
          <w14:textFill>
            <w14:solidFill>
              <w14:schemeClr w14:val="tx1"/>
            </w14:solidFill>
          </w14:textFill>
        </w:rPr>
        <w:t>环境保护措施监督检查清单</w:t>
      </w:r>
      <w:bookmarkEnd w:id="36"/>
      <w:bookmarkEnd w:id="37"/>
      <w:bookmarkEnd w:id="38"/>
    </w:p>
    <w:tbl>
      <w:tblPr>
        <w:tblStyle w:val="25"/>
        <w:tblW w:w="4997"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85" w:type="dxa"/>
          <w:bottom w:w="0" w:type="dxa"/>
          <w:right w:w="85" w:type="dxa"/>
        </w:tblCellMar>
      </w:tblPr>
      <w:tblGrid>
        <w:gridCol w:w="1396"/>
        <w:gridCol w:w="1860"/>
        <w:gridCol w:w="1453"/>
        <w:gridCol w:w="2154"/>
        <w:gridCol w:w="2146"/>
      </w:tblGrid>
      <w:tr w14:paraId="4E0CE7A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85" w:type="dxa"/>
            <w:bottom w:w="0" w:type="dxa"/>
            <w:right w:w="85" w:type="dxa"/>
          </w:tblCellMar>
        </w:tblPrEx>
        <w:trPr>
          <w:cantSplit/>
          <w:trHeight w:val="0" w:hRule="atLeast"/>
          <w:jc w:val="center"/>
        </w:trPr>
        <w:tc>
          <w:tcPr>
            <w:tcW w:w="774" w:type="pct"/>
            <w:tcBorders>
              <w:tl2br w:val="single" w:color="auto" w:sz="4" w:space="0"/>
            </w:tcBorders>
            <w:noWrap w:val="0"/>
            <w:vAlign w:val="top"/>
          </w:tcPr>
          <w:p w14:paraId="528DD27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firstLine="0" w:firstLineChars="0"/>
              <w:jc w:val="right"/>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内容</w:t>
            </w:r>
          </w:p>
          <w:p w14:paraId="6F1284D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要素</w:t>
            </w:r>
          </w:p>
        </w:tc>
        <w:tc>
          <w:tcPr>
            <w:tcW w:w="1032" w:type="pct"/>
            <w:noWrap w:val="0"/>
            <w:vAlign w:val="center"/>
          </w:tcPr>
          <w:p w14:paraId="5ECC9EE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排放口(编号、</w:t>
            </w:r>
          </w:p>
          <w:p w14:paraId="12C9687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名称)/污染源</w:t>
            </w:r>
          </w:p>
        </w:tc>
        <w:tc>
          <w:tcPr>
            <w:tcW w:w="806" w:type="pct"/>
            <w:noWrap w:val="0"/>
            <w:vAlign w:val="center"/>
          </w:tcPr>
          <w:p w14:paraId="51922FF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污染物项目</w:t>
            </w:r>
          </w:p>
        </w:tc>
        <w:tc>
          <w:tcPr>
            <w:tcW w:w="1195" w:type="pct"/>
            <w:noWrap w:val="0"/>
            <w:vAlign w:val="center"/>
          </w:tcPr>
          <w:p w14:paraId="5FD7D2A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环境保护措施</w:t>
            </w:r>
          </w:p>
        </w:tc>
        <w:tc>
          <w:tcPr>
            <w:tcW w:w="1191" w:type="pct"/>
            <w:noWrap w:val="0"/>
            <w:vAlign w:val="center"/>
          </w:tcPr>
          <w:p w14:paraId="4DB2021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执行标准</w:t>
            </w:r>
          </w:p>
        </w:tc>
      </w:tr>
      <w:tr w14:paraId="198D4D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85" w:type="dxa"/>
            <w:bottom w:w="0" w:type="dxa"/>
            <w:right w:w="85" w:type="dxa"/>
          </w:tblCellMar>
        </w:tblPrEx>
        <w:trPr>
          <w:cantSplit/>
          <w:trHeight w:val="0" w:hRule="atLeast"/>
          <w:jc w:val="center"/>
        </w:trPr>
        <w:tc>
          <w:tcPr>
            <w:tcW w:w="774" w:type="pct"/>
            <w:noWrap w:val="0"/>
            <w:vAlign w:val="center"/>
          </w:tcPr>
          <w:p w14:paraId="1BFCD44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cs="Times New Roman"/>
                <w:color w:val="000000" w:themeColor="text1"/>
                <w:sz w:val="24"/>
                <w:szCs w:val="24"/>
                <w:lang w:eastAsia="zh-CN"/>
                <w14:textFill>
                  <w14:solidFill>
                    <w14:schemeClr w14:val="tx1"/>
                  </w14:solidFill>
                </w14:textFill>
              </w:rPr>
              <w:t>大气环境</w:t>
            </w:r>
          </w:p>
        </w:tc>
        <w:tc>
          <w:tcPr>
            <w:tcW w:w="1032" w:type="pct"/>
            <w:noWrap w:val="0"/>
            <w:vAlign w:val="center"/>
          </w:tcPr>
          <w:p w14:paraId="4E492BCF">
            <w:pPr>
              <w:keepNext w:val="0"/>
              <w:keepLines w:val="0"/>
              <w:pageBreakBefore w:val="0"/>
              <w:widowControl/>
              <w:suppressLineNumbers w:val="0"/>
              <w:kinsoku/>
              <w:wordWrap/>
              <w:overflowPunct w:val="0"/>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default" w:ascii="Times New Roman" w:hAnsi="Times New Roman" w:cs="Times New Roman"/>
                <w:b w:val="0"/>
                <w:bCs/>
                <w:color w:val="000000" w:themeColor="text1"/>
                <w:kern w:val="0"/>
                <w:sz w:val="24"/>
                <w:szCs w:val="24"/>
                <w:lang w:val="en-US" w:eastAsia="zh-CN"/>
                <w14:textFill>
                  <w14:solidFill>
                    <w14:schemeClr w14:val="tx1"/>
                  </w14:solidFill>
                </w14:textFill>
              </w:rPr>
            </w:pPr>
            <w:r>
              <w:rPr>
                <w:rFonts w:hint="eastAsia" w:cs="Times New Roman"/>
                <w:b w:val="0"/>
                <w:bCs w:val="0"/>
                <w:color w:val="000000" w:themeColor="text1"/>
                <w:kern w:val="2"/>
                <w:sz w:val="24"/>
                <w:szCs w:val="24"/>
                <w:lang w:val="en-US" w:eastAsia="zh-CN" w:bidi="ar-SA"/>
                <w14:textFill>
                  <w14:solidFill>
                    <w14:schemeClr w14:val="tx1"/>
                  </w14:solidFill>
                </w14:textFill>
              </w:rPr>
              <w:t>有机废气排放口DA001</w:t>
            </w:r>
          </w:p>
        </w:tc>
        <w:tc>
          <w:tcPr>
            <w:tcW w:w="806" w:type="pct"/>
            <w:noWrap w:val="0"/>
            <w:vAlign w:val="center"/>
          </w:tcPr>
          <w:p w14:paraId="0C6BC7B8">
            <w:pPr>
              <w:keepNext w:val="0"/>
              <w:keepLines w:val="0"/>
              <w:pageBreakBefore w:val="0"/>
              <w:widowControl/>
              <w:suppressLineNumbers w:val="0"/>
              <w:kinsoku/>
              <w:wordWrap/>
              <w:overflowPunct w:val="0"/>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default" w:ascii="Times New Roman" w:hAnsi="Times New Roman" w:eastAsia="宋体" w:cs="Times New Roman"/>
                <w:b w:val="0"/>
                <w:bCs w:val="0"/>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kern w:val="2"/>
                <w:sz w:val="24"/>
                <w:szCs w:val="24"/>
                <w:lang w:val="en-US" w:eastAsia="zh-CN" w:bidi="ar-SA"/>
                <w14:textFill>
                  <w14:solidFill>
                    <w14:schemeClr w14:val="tx1"/>
                  </w14:solidFill>
                </w14:textFill>
              </w:rPr>
              <w:t>非甲烷总烃</w:t>
            </w:r>
          </w:p>
        </w:tc>
        <w:tc>
          <w:tcPr>
            <w:tcW w:w="1195" w:type="pct"/>
            <w:noWrap w:val="0"/>
            <w:vAlign w:val="center"/>
          </w:tcPr>
          <w:p w14:paraId="6AC48C14">
            <w:pPr>
              <w:keepNext w:val="0"/>
              <w:keepLines w:val="0"/>
              <w:pageBreakBefore w:val="0"/>
              <w:widowControl/>
              <w:suppressLineNumbers w:val="0"/>
              <w:kinsoku/>
              <w:wordWrap/>
              <w:overflowPunct w:val="0"/>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default" w:ascii="Times New Roman" w:hAnsi="Times New Roman" w:eastAsia="宋体" w:cs="Times New Roman"/>
                <w:b w:val="0"/>
                <w:bCs w:val="0"/>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kern w:val="2"/>
                <w:sz w:val="24"/>
                <w:szCs w:val="24"/>
                <w:lang w:val="en-US" w:eastAsia="zh-CN" w:bidi="ar-SA"/>
                <w14:textFill>
                  <w14:solidFill>
                    <w14:schemeClr w14:val="tx1"/>
                  </w14:solidFill>
                </w14:textFill>
              </w:rPr>
              <w:t>挤出拉丝、覆膜工序设置</w:t>
            </w:r>
            <w:r>
              <w:rPr>
                <w:rFonts w:hint="eastAsia" w:cs="Times New Roman"/>
                <w:b w:val="0"/>
                <w:bCs w:val="0"/>
                <w:color w:val="000000" w:themeColor="text1"/>
                <w:kern w:val="2"/>
                <w:sz w:val="24"/>
                <w:szCs w:val="24"/>
                <w:lang w:val="en-US" w:eastAsia="zh-CN" w:bidi="ar-SA"/>
                <w14:textFill>
                  <w14:solidFill>
                    <w14:schemeClr w14:val="tx1"/>
                  </w14:solidFill>
                </w14:textFill>
              </w:rPr>
              <w:t>4套</w:t>
            </w:r>
            <w:r>
              <w:rPr>
                <w:rFonts w:hint="eastAsia" w:ascii="Times New Roman" w:hAnsi="Times New Roman" w:eastAsia="宋体" w:cs="Times New Roman"/>
                <w:b w:val="0"/>
                <w:bCs w:val="0"/>
                <w:color w:val="000000" w:themeColor="text1"/>
                <w:kern w:val="2"/>
                <w:sz w:val="24"/>
                <w:szCs w:val="24"/>
                <w:lang w:val="en-US" w:eastAsia="zh-CN" w:bidi="ar-SA"/>
                <w14:textFill>
                  <w14:solidFill>
                    <w14:schemeClr w14:val="tx1"/>
                  </w14:solidFill>
                </w14:textFill>
              </w:rPr>
              <w:t>密闭罩，经引风机引至一套活性炭吸附浓缩+催化燃烧装置处理后，通过</w:t>
            </w:r>
            <w:r>
              <w:rPr>
                <w:rFonts w:hint="default" w:ascii="Times New Roman" w:hAnsi="Times New Roman" w:eastAsia="宋体" w:cs="Times New Roman"/>
                <w:b w:val="0"/>
                <w:bCs w:val="0"/>
                <w:color w:val="000000" w:themeColor="text1"/>
                <w:kern w:val="2"/>
                <w:sz w:val="24"/>
                <w:szCs w:val="24"/>
                <w:lang w:val="en-US" w:eastAsia="zh-CN" w:bidi="ar-SA"/>
                <w14:textFill>
                  <w14:solidFill>
                    <w14:schemeClr w14:val="tx1"/>
                  </w14:solidFill>
                </w14:textFill>
              </w:rPr>
              <w:t>1</w:t>
            </w:r>
            <w:r>
              <w:rPr>
                <w:rFonts w:hint="eastAsia" w:ascii="Times New Roman" w:hAnsi="Times New Roman" w:eastAsia="宋体" w:cs="Times New Roman"/>
                <w:b w:val="0"/>
                <w:bCs w:val="0"/>
                <w:color w:val="000000" w:themeColor="text1"/>
                <w:kern w:val="2"/>
                <w:sz w:val="24"/>
                <w:szCs w:val="24"/>
                <w:lang w:val="en-US" w:eastAsia="zh-CN" w:bidi="ar-SA"/>
                <w14:textFill>
                  <w14:solidFill>
                    <w14:schemeClr w14:val="tx1"/>
                  </w14:solidFill>
                </w14:textFill>
              </w:rPr>
              <w:t>根</w:t>
            </w:r>
            <w:r>
              <w:rPr>
                <w:rFonts w:hint="default" w:ascii="Times New Roman" w:hAnsi="Times New Roman" w:eastAsia="宋体" w:cs="Times New Roman"/>
                <w:b w:val="0"/>
                <w:bCs w:val="0"/>
                <w:color w:val="000000" w:themeColor="text1"/>
                <w:kern w:val="2"/>
                <w:sz w:val="24"/>
                <w:szCs w:val="24"/>
                <w:lang w:val="en-US" w:eastAsia="zh-CN" w:bidi="ar-SA"/>
                <w14:textFill>
                  <w14:solidFill>
                    <w14:schemeClr w14:val="tx1"/>
                  </w14:solidFill>
                </w14:textFill>
              </w:rPr>
              <w:t>15m</w:t>
            </w:r>
            <w:r>
              <w:rPr>
                <w:rFonts w:hint="eastAsia" w:ascii="Times New Roman" w:hAnsi="Times New Roman" w:eastAsia="宋体" w:cs="Times New Roman"/>
                <w:b w:val="0"/>
                <w:bCs w:val="0"/>
                <w:color w:val="000000" w:themeColor="text1"/>
                <w:kern w:val="2"/>
                <w:sz w:val="24"/>
                <w:szCs w:val="24"/>
                <w:lang w:val="en-US" w:eastAsia="zh-CN" w:bidi="ar-SA"/>
                <w14:textFill>
                  <w14:solidFill>
                    <w14:schemeClr w14:val="tx1"/>
                  </w14:solidFill>
                </w14:textFill>
              </w:rPr>
              <w:t>高排气筒外排</w:t>
            </w:r>
          </w:p>
        </w:tc>
        <w:tc>
          <w:tcPr>
            <w:tcW w:w="1191" w:type="pct"/>
            <w:noWrap w:val="0"/>
            <w:vAlign w:val="center"/>
          </w:tcPr>
          <w:p w14:paraId="1127A39A">
            <w:pPr>
              <w:keepNext w:val="0"/>
              <w:keepLines w:val="0"/>
              <w:pageBreakBefore w:val="0"/>
              <w:widowControl/>
              <w:suppressLineNumbers w:val="0"/>
              <w:kinsoku/>
              <w:wordWrap/>
              <w:overflowPunct w:val="0"/>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default" w:ascii="Times New Roman" w:hAnsi="Times New Roman" w:eastAsia="宋体" w:cs="Times New Roman"/>
                <w:b w:val="0"/>
                <w:bCs w:val="0"/>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kern w:val="2"/>
                <w:sz w:val="24"/>
                <w:szCs w:val="24"/>
                <w:lang w:val="en-US" w:eastAsia="zh-CN" w:bidi="ar-SA"/>
                <w14:textFill>
                  <w14:solidFill>
                    <w14:schemeClr w14:val="tx1"/>
                  </w14:solidFill>
                </w14:textFill>
              </w:rPr>
              <w:t>《合成树脂工业污染物排放标准》（</w:t>
            </w:r>
            <w:r>
              <w:rPr>
                <w:rFonts w:hint="default" w:ascii="Times New Roman" w:hAnsi="Times New Roman" w:eastAsia="宋体" w:cs="Times New Roman"/>
                <w:b w:val="0"/>
                <w:bCs w:val="0"/>
                <w:color w:val="000000" w:themeColor="text1"/>
                <w:kern w:val="2"/>
                <w:sz w:val="24"/>
                <w:szCs w:val="24"/>
                <w:lang w:val="en-US" w:eastAsia="zh-CN" w:bidi="ar-SA"/>
                <w14:textFill>
                  <w14:solidFill>
                    <w14:schemeClr w14:val="tx1"/>
                  </w14:solidFill>
                </w14:textFill>
              </w:rPr>
              <w:t>GB31572-2015</w:t>
            </w:r>
            <w:r>
              <w:rPr>
                <w:rFonts w:hint="eastAsia" w:ascii="Times New Roman" w:hAnsi="Times New Roman" w:eastAsia="宋体" w:cs="Times New Roman"/>
                <w:b w:val="0"/>
                <w:bCs w:val="0"/>
                <w:color w:val="000000" w:themeColor="text1"/>
                <w:kern w:val="2"/>
                <w:sz w:val="24"/>
                <w:szCs w:val="24"/>
                <w:lang w:val="en-US" w:eastAsia="zh-CN" w:bidi="ar-SA"/>
                <w14:textFill>
                  <w14:solidFill>
                    <w14:schemeClr w14:val="tx1"/>
                  </w14:solidFill>
                </w14:textFill>
              </w:rPr>
              <w:t>）及塑料制品行业</w:t>
            </w:r>
            <w:r>
              <w:rPr>
                <w:rFonts w:hint="default" w:ascii="Times New Roman" w:hAnsi="Times New Roman" w:eastAsia="宋体" w:cs="Times New Roman"/>
                <w:b w:val="0"/>
                <w:bCs w:val="0"/>
                <w:color w:val="000000" w:themeColor="text1"/>
                <w:kern w:val="2"/>
                <w:sz w:val="24"/>
                <w:szCs w:val="24"/>
                <w:lang w:val="en-US" w:eastAsia="zh-CN" w:bidi="ar-SA"/>
                <w14:textFill>
                  <w14:solidFill>
                    <w14:schemeClr w14:val="tx1"/>
                  </w14:solidFill>
                </w14:textFill>
              </w:rPr>
              <w:t>A</w:t>
            </w:r>
            <w:r>
              <w:rPr>
                <w:rFonts w:hint="eastAsia" w:ascii="Times New Roman" w:hAnsi="Times New Roman" w:eastAsia="宋体" w:cs="Times New Roman"/>
                <w:b w:val="0"/>
                <w:bCs w:val="0"/>
                <w:color w:val="000000" w:themeColor="text1"/>
                <w:kern w:val="2"/>
                <w:sz w:val="24"/>
                <w:szCs w:val="24"/>
                <w:lang w:val="en-US" w:eastAsia="zh-CN" w:bidi="ar-SA"/>
                <w14:textFill>
                  <w14:solidFill>
                    <w14:schemeClr w14:val="tx1"/>
                  </w14:solidFill>
                </w14:textFill>
              </w:rPr>
              <w:t>级绩效分级指标</w:t>
            </w:r>
          </w:p>
        </w:tc>
      </w:tr>
      <w:tr w14:paraId="1B6ACCD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85" w:type="dxa"/>
            <w:bottom w:w="0" w:type="dxa"/>
            <w:right w:w="85" w:type="dxa"/>
          </w:tblCellMar>
        </w:tblPrEx>
        <w:trPr>
          <w:cantSplit/>
          <w:trHeight w:val="0" w:hRule="atLeast"/>
          <w:jc w:val="center"/>
        </w:trPr>
        <w:tc>
          <w:tcPr>
            <w:tcW w:w="774" w:type="pct"/>
            <w:vMerge w:val="restart"/>
            <w:noWrap w:val="0"/>
            <w:vAlign w:val="center"/>
          </w:tcPr>
          <w:p w14:paraId="4557B74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地表水</w:t>
            </w:r>
          </w:p>
          <w:p w14:paraId="72F4468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环境</w:t>
            </w:r>
          </w:p>
        </w:tc>
        <w:tc>
          <w:tcPr>
            <w:tcW w:w="1032" w:type="pct"/>
            <w:noWrap w:val="0"/>
            <w:vAlign w:val="center"/>
          </w:tcPr>
          <w:p w14:paraId="54A27161">
            <w:pPr>
              <w:pStyle w:val="8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textAlignment w:val="auto"/>
              <w:rPr>
                <w:rFonts w:hint="default" w:ascii="Times New Roman" w:hAnsi="Times New Roman" w:cs="Times New Roman"/>
                <w:color w:val="000000" w:themeColor="text1"/>
                <w:sz w:val="24"/>
                <w:szCs w:val="24"/>
                <w:lang w:val="en-US"/>
                <w14:textFill>
                  <w14:solidFill>
                    <w14:schemeClr w14:val="tx1"/>
                  </w14:solidFill>
                </w14:textFill>
              </w:rPr>
            </w:pPr>
            <w:r>
              <w:rPr>
                <w:rFonts w:hint="eastAsia" w:cs="Times New Roman"/>
                <w:b w:val="0"/>
                <w:bCs w:val="0"/>
                <w:snapToGrid w:val="0"/>
                <w:color w:val="000000"/>
                <w:kern w:val="0"/>
                <w:sz w:val="24"/>
                <w:szCs w:val="24"/>
                <w:lang w:val="en-US" w:eastAsia="zh-CN"/>
              </w:rPr>
              <w:t>设备冷却</w:t>
            </w:r>
          </w:p>
        </w:tc>
        <w:tc>
          <w:tcPr>
            <w:tcW w:w="806" w:type="pct"/>
            <w:noWrap w:val="0"/>
            <w:vAlign w:val="center"/>
          </w:tcPr>
          <w:p w14:paraId="39FF8E83">
            <w:pPr>
              <w:pStyle w:val="8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textAlignment w:val="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cs="Times New Roman"/>
                <w:color w:val="000000" w:themeColor="text1"/>
                <w:sz w:val="24"/>
                <w:szCs w:val="24"/>
                <w:lang w:val="en-US" w:eastAsia="zh-CN"/>
                <w14:textFill>
                  <w14:solidFill>
                    <w14:schemeClr w14:val="tx1"/>
                  </w14:solidFill>
                </w14:textFill>
              </w:rPr>
              <w:t>冷却废水</w:t>
            </w:r>
          </w:p>
        </w:tc>
        <w:tc>
          <w:tcPr>
            <w:tcW w:w="1195" w:type="pct"/>
            <w:noWrap w:val="0"/>
            <w:vAlign w:val="center"/>
          </w:tcPr>
          <w:p w14:paraId="405AE0A8">
            <w:pPr>
              <w:pStyle w:val="8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textAlignment w:val="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1座冷却塔</w:t>
            </w:r>
            <w:r>
              <w:rPr>
                <w:rFonts w:hint="eastAsia" w:cs="Times New Roman"/>
                <w:color w:val="000000" w:themeColor="text1"/>
                <w:sz w:val="24"/>
                <w:szCs w:val="24"/>
                <w:lang w:val="en-US" w:eastAsia="zh-CN"/>
                <w14:textFill>
                  <w14:solidFill>
                    <w14:schemeClr w14:val="tx1"/>
                  </w14:solidFill>
                </w14:textFill>
              </w:rPr>
              <w:t>+循环水池</w:t>
            </w:r>
          </w:p>
        </w:tc>
        <w:tc>
          <w:tcPr>
            <w:tcW w:w="1191" w:type="pct"/>
            <w:noWrap w:val="0"/>
            <w:vAlign w:val="center"/>
          </w:tcPr>
          <w:p w14:paraId="25B9F1E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cs="Times New Roman"/>
                <w:color w:val="000000" w:themeColor="text1"/>
                <w:sz w:val="24"/>
                <w:szCs w:val="24"/>
                <w:lang w:val="en-US" w:eastAsia="zh-CN"/>
                <w14:textFill>
                  <w14:solidFill>
                    <w14:schemeClr w14:val="tx1"/>
                  </w14:solidFill>
                </w14:textFill>
              </w:rPr>
              <w:t>循环使用，不外排</w:t>
            </w:r>
          </w:p>
        </w:tc>
      </w:tr>
      <w:tr w14:paraId="7ED6119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85" w:type="dxa"/>
            <w:bottom w:w="0" w:type="dxa"/>
            <w:right w:w="85" w:type="dxa"/>
          </w:tblCellMar>
        </w:tblPrEx>
        <w:trPr>
          <w:cantSplit/>
          <w:trHeight w:val="0" w:hRule="atLeast"/>
          <w:jc w:val="center"/>
        </w:trPr>
        <w:tc>
          <w:tcPr>
            <w:tcW w:w="774" w:type="pct"/>
            <w:vMerge w:val="continue"/>
            <w:noWrap w:val="0"/>
            <w:vAlign w:val="center"/>
          </w:tcPr>
          <w:p w14:paraId="03CB115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cs="Times New Roman"/>
                <w:color w:val="000000" w:themeColor="text1"/>
                <w:sz w:val="24"/>
                <w:szCs w:val="24"/>
                <w14:textFill>
                  <w14:solidFill>
                    <w14:schemeClr w14:val="tx1"/>
                  </w14:solidFill>
                </w14:textFill>
              </w:rPr>
            </w:pPr>
          </w:p>
        </w:tc>
        <w:tc>
          <w:tcPr>
            <w:tcW w:w="1032" w:type="pct"/>
            <w:noWrap w:val="0"/>
            <w:vAlign w:val="center"/>
          </w:tcPr>
          <w:p w14:paraId="4ED860E9">
            <w:pPr>
              <w:pStyle w:val="8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textAlignment w:val="auto"/>
              <w:rPr>
                <w:rFonts w:hint="default" w:cs="Times New Roman"/>
                <w:color w:val="000000" w:themeColor="text1"/>
                <w:sz w:val="24"/>
                <w:szCs w:val="24"/>
                <w:highlight w:val="none"/>
                <w:lang w:val="en-US" w:eastAsia="zh-CN"/>
                <w14:textFill>
                  <w14:solidFill>
                    <w14:schemeClr w14:val="tx1"/>
                  </w14:solidFill>
                </w14:textFill>
              </w:rPr>
            </w:pPr>
            <w:r>
              <w:rPr>
                <w:rFonts w:hint="eastAsia" w:cs="Times New Roman"/>
                <w:b w:val="0"/>
                <w:bCs w:val="0"/>
                <w:snapToGrid w:val="0"/>
                <w:color w:val="000000"/>
                <w:kern w:val="0"/>
                <w:sz w:val="24"/>
                <w:szCs w:val="24"/>
                <w:lang w:val="en-US" w:eastAsia="zh-CN" w:bidi="ar-SA"/>
              </w:rPr>
              <w:t>职工生活</w:t>
            </w:r>
          </w:p>
        </w:tc>
        <w:tc>
          <w:tcPr>
            <w:tcW w:w="806" w:type="pct"/>
            <w:noWrap w:val="0"/>
            <w:vAlign w:val="center"/>
          </w:tcPr>
          <w:p w14:paraId="28FB3550">
            <w:pPr>
              <w:pStyle w:val="8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textAlignment w:val="auto"/>
              <w:rPr>
                <w:rFonts w:hint="default" w:cs="Times New Roman"/>
                <w:color w:val="000000" w:themeColor="text1"/>
                <w:sz w:val="24"/>
                <w:szCs w:val="24"/>
                <w:lang w:val="en-US" w:eastAsia="zh-CN"/>
                <w14:textFill>
                  <w14:solidFill>
                    <w14:schemeClr w14:val="tx1"/>
                  </w14:solidFill>
                </w14:textFill>
              </w:rPr>
            </w:pPr>
            <w:r>
              <w:rPr>
                <w:rFonts w:hint="eastAsia" w:cs="Times New Roman"/>
                <w:b w:val="0"/>
                <w:bCs w:val="0"/>
                <w:snapToGrid w:val="0"/>
                <w:color w:val="000000"/>
                <w:kern w:val="0"/>
                <w:sz w:val="24"/>
                <w:szCs w:val="24"/>
                <w:lang w:val="en-US" w:eastAsia="zh-CN" w:bidi="ar-SA"/>
              </w:rPr>
              <w:t>职工生活废水</w:t>
            </w:r>
          </w:p>
        </w:tc>
        <w:tc>
          <w:tcPr>
            <w:tcW w:w="1195" w:type="pct"/>
            <w:noWrap w:val="0"/>
            <w:vAlign w:val="center"/>
          </w:tcPr>
          <w:p w14:paraId="1B9AEABE">
            <w:pPr>
              <w:pStyle w:val="8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textAlignment w:val="auto"/>
              <w:rPr>
                <w:rFonts w:hint="eastAsia" w:cs="Times New Roman"/>
                <w:color w:val="000000" w:themeColor="text1"/>
                <w:sz w:val="24"/>
                <w:szCs w:val="24"/>
                <w:highlight w:val="none"/>
                <w:lang w:val="en-US" w:eastAsia="zh-CN"/>
                <w14:textFill>
                  <w14:solidFill>
                    <w14:schemeClr w14:val="tx1"/>
                  </w14:solidFill>
                </w14:textFill>
              </w:rPr>
            </w:pPr>
            <w:r>
              <w:rPr>
                <w:rFonts w:hint="eastAsia"/>
                <w:b w:val="0"/>
                <w:bCs w:val="0"/>
                <w:sz w:val="24"/>
                <w:szCs w:val="24"/>
                <w:lang w:val="en-US" w:eastAsia="zh-CN"/>
              </w:rPr>
              <w:t>依托现有1座化粪池</w:t>
            </w:r>
          </w:p>
        </w:tc>
        <w:tc>
          <w:tcPr>
            <w:tcW w:w="1191" w:type="pct"/>
            <w:noWrap w:val="0"/>
            <w:vAlign w:val="center"/>
          </w:tcPr>
          <w:p w14:paraId="4B47AE2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default" w:cs="Times New Roman"/>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sz w:val="24"/>
                <w:szCs w:val="24"/>
                <w:lang w:val="en-US" w:eastAsia="zh-CN" w:bidi="ar"/>
              </w:rPr>
              <w:t>《污水综合排放标准》（</w:t>
            </w:r>
            <w:r>
              <w:rPr>
                <w:rFonts w:hint="default" w:ascii="Times New Roman" w:hAnsi="Times New Roman" w:eastAsia="宋体" w:cs="Times New Roman"/>
                <w:sz w:val="24"/>
                <w:szCs w:val="24"/>
                <w:lang w:val="en-US" w:eastAsia="zh-CN" w:bidi="ar"/>
              </w:rPr>
              <w:t>GB8978-1996</w:t>
            </w:r>
            <w:r>
              <w:rPr>
                <w:rFonts w:hint="eastAsia" w:ascii="Times New Roman" w:hAnsi="Times New Roman" w:eastAsia="宋体" w:cs="Times New Roman"/>
                <w:sz w:val="24"/>
                <w:szCs w:val="24"/>
                <w:lang w:val="en-US" w:eastAsia="zh-CN" w:bidi="ar"/>
              </w:rPr>
              <w:t>）表</w:t>
            </w:r>
            <w:r>
              <w:rPr>
                <w:rFonts w:hint="default" w:ascii="Times New Roman" w:hAnsi="Times New Roman" w:eastAsia="宋体" w:cs="Times New Roman"/>
                <w:sz w:val="24"/>
                <w:szCs w:val="24"/>
                <w:lang w:val="en-US" w:eastAsia="zh-CN" w:bidi="ar"/>
              </w:rPr>
              <w:t>4</w:t>
            </w:r>
            <w:r>
              <w:rPr>
                <w:rFonts w:hint="eastAsia" w:ascii="Times New Roman" w:hAnsi="Times New Roman" w:eastAsia="宋体" w:cs="Times New Roman"/>
                <w:sz w:val="24"/>
                <w:szCs w:val="24"/>
                <w:lang w:val="en-US" w:eastAsia="zh-CN" w:bidi="ar"/>
              </w:rPr>
              <w:t>三级标准，同时满足</w:t>
            </w:r>
            <w:r>
              <w:rPr>
                <w:rFonts w:hint="eastAsia" w:ascii="Times New Roman" w:hAnsi="Times New Roman" w:eastAsia="宋体" w:cs="Times New Roman"/>
                <w:bCs/>
                <w:sz w:val="24"/>
                <w:szCs w:val="24"/>
                <w:lang w:val="en-US" w:eastAsia="zh-CN" w:bidi="ar"/>
              </w:rPr>
              <w:t>汤阴东方环宇污水处理有限公司</w:t>
            </w:r>
            <w:r>
              <w:rPr>
                <w:rFonts w:hint="eastAsia" w:ascii="Times New Roman" w:hAnsi="Times New Roman" w:eastAsia="宋体" w:cs="Times New Roman"/>
                <w:sz w:val="24"/>
                <w:szCs w:val="24"/>
                <w:lang w:val="en-US" w:eastAsia="zh-CN" w:bidi="ar"/>
              </w:rPr>
              <w:t>进水水质要求</w:t>
            </w:r>
          </w:p>
        </w:tc>
      </w:tr>
      <w:tr w14:paraId="2DFC910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85" w:type="dxa"/>
            <w:bottom w:w="0" w:type="dxa"/>
            <w:right w:w="85" w:type="dxa"/>
          </w:tblCellMar>
        </w:tblPrEx>
        <w:trPr>
          <w:cantSplit/>
          <w:trHeight w:val="0" w:hRule="atLeast"/>
          <w:jc w:val="center"/>
        </w:trPr>
        <w:tc>
          <w:tcPr>
            <w:tcW w:w="774" w:type="pct"/>
            <w:noWrap w:val="0"/>
            <w:vAlign w:val="center"/>
          </w:tcPr>
          <w:p w14:paraId="0FBD2FF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声环境</w:t>
            </w:r>
          </w:p>
        </w:tc>
        <w:tc>
          <w:tcPr>
            <w:tcW w:w="1032" w:type="pct"/>
            <w:noWrap w:val="0"/>
            <w:vAlign w:val="center"/>
          </w:tcPr>
          <w:p w14:paraId="56760AA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cs="Times New Roman"/>
                <w:color w:val="000000" w:themeColor="text1"/>
                <w:sz w:val="24"/>
                <w:szCs w:val="24"/>
                <w:lang w:val="en-US"/>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设备运行及废气污染治理设施风机运行噪声</w:t>
            </w:r>
          </w:p>
        </w:tc>
        <w:tc>
          <w:tcPr>
            <w:tcW w:w="806" w:type="pct"/>
            <w:noWrap w:val="0"/>
            <w:vAlign w:val="center"/>
          </w:tcPr>
          <w:p w14:paraId="25CE739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eastAsia"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cs="Times New Roman"/>
                <w:color w:val="000000" w:themeColor="text1"/>
                <w:sz w:val="24"/>
                <w:szCs w:val="24"/>
                <w:lang w:val="en-US" w:eastAsia="zh-CN"/>
                <w14:textFill>
                  <w14:solidFill>
                    <w14:schemeClr w14:val="tx1"/>
                  </w14:solidFill>
                </w14:textFill>
              </w:rPr>
              <w:t>等效声级</w:t>
            </w:r>
          </w:p>
        </w:tc>
        <w:tc>
          <w:tcPr>
            <w:tcW w:w="1195" w:type="pct"/>
            <w:noWrap w:val="0"/>
            <w:vAlign w:val="center"/>
          </w:tcPr>
          <w:p w14:paraId="6AE6620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eastAsia"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选用低噪声设备，并采取基础减振、隔声、距离衰减等降噪措施</w:t>
            </w:r>
          </w:p>
        </w:tc>
        <w:tc>
          <w:tcPr>
            <w:tcW w:w="1191" w:type="pct"/>
            <w:noWrap w:val="0"/>
            <w:vAlign w:val="center"/>
          </w:tcPr>
          <w:p w14:paraId="7B06DBD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《工业企业厂界环境噪声排放标准》（GB12348-</w:t>
            </w:r>
            <w:r>
              <w:rPr>
                <w:rFonts w:hint="eastAsia" w:cs="Times New Roman"/>
                <w:color w:val="000000" w:themeColor="text1"/>
                <w:sz w:val="24"/>
                <w:szCs w:val="24"/>
                <w:lang w:val="en-US" w:eastAsia="zh-CN"/>
                <w14:textFill>
                  <w14:solidFill>
                    <w14:schemeClr w14:val="tx1"/>
                  </w14:solidFill>
                </w14:textFill>
              </w:rPr>
              <w:t xml:space="preserve"> </w:t>
            </w:r>
            <w:r>
              <w:rPr>
                <w:rFonts w:hint="default" w:ascii="Times New Roman" w:hAnsi="Times New Roman" w:cs="Times New Roman"/>
                <w:color w:val="000000" w:themeColor="text1"/>
                <w:sz w:val="24"/>
                <w:szCs w:val="24"/>
                <w14:textFill>
                  <w14:solidFill>
                    <w14:schemeClr w14:val="tx1"/>
                  </w14:solidFill>
                </w14:textFill>
              </w:rPr>
              <w:t>2008）</w:t>
            </w:r>
            <w:r>
              <w:rPr>
                <w:rFonts w:hint="eastAsia" w:cs="Times New Roman"/>
                <w:color w:val="000000" w:themeColor="text1"/>
                <w:sz w:val="24"/>
                <w:szCs w:val="24"/>
                <w:lang w:val="en-US" w:eastAsia="zh-CN"/>
                <w14:textFill>
                  <w14:solidFill>
                    <w14:schemeClr w14:val="tx1"/>
                  </w14:solidFill>
                </w14:textFill>
              </w:rPr>
              <w:t>3</w:t>
            </w:r>
            <w:r>
              <w:rPr>
                <w:rFonts w:hint="default" w:ascii="Times New Roman" w:hAnsi="Times New Roman" w:cs="Times New Roman"/>
                <w:color w:val="000000" w:themeColor="text1"/>
                <w:sz w:val="24"/>
                <w:szCs w:val="24"/>
                <w14:textFill>
                  <w14:solidFill>
                    <w14:schemeClr w14:val="tx1"/>
                  </w14:solidFill>
                </w14:textFill>
              </w:rPr>
              <w:t>类</w:t>
            </w:r>
          </w:p>
        </w:tc>
      </w:tr>
      <w:tr w14:paraId="14B2AC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85" w:type="dxa"/>
            <w:bottom w:w="0" w:type="dxa"/>
            <w:right w:w="85" w:type="dxa"/>
          </w:tblCellMar>
        </w:tblPrEx>
        <w:trPr>
          <w:cantSplit/>
          <w:trHeight w:val="926" w:hRule="atLeast"/>
          <w:jc w:val="center"/>
        </w:trPr>
        <w:tc>
          <w:tcPr>
            <w:tcW w:w="774" w:type="pct"/>
            <w:noWrap w:val="0"/>
            <w:vAlign w:val="center"/>
          </w:tcPr>
          <w:p w14:paraId="6BA1860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电磁辐射</w:t>
            </w:r>
          </w:p>
        </w:tc>
        <w:tc>
          <w:tcPr>
            <w:tcW w:w="1032" w:type="pct"/>
            <w:noWrap w:val="0"/>
            <w:vAlign w:val="center"/>
          </w:tcPr>
          <w:p w14:paraId="495A871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color w:val="000000" w:themeColor="text1"/>
                <w:sz w:val="24"/>
                <w:szCs w:val="24"/>
                <w:lang w:val="en-US" w:eastAsia="zh-CN"/>
                <w14:textFill>
                  <w14:solidFill>
                    <w14:schemeClr w14:val="tx1"/>
                  </w14:solidFill>
                </w14:textFill>
              </w:rPr>
              <w:t>/</w:t>
            </w:r>
          </w:p>
        </w:tc>
        <w:tc>
          <w:tcPr>
            <w:tcW w:w="806" w:type="pct"/>
            <w:noWrap w:val="0"/>
            <w:vAlign w:val="center"/>
          </w:tcPr>
          <w:p w14:paraId="6EF9411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lang w:val="en-US" w:eastAsia="zh-CN"/>
                <w14:textFill>
                  <w14:solidFill>
                    <w14:schemeClr w14:val="tx1"/>
                  </w14:solidFill>
                </w14:textFill>
              </w:rPr>
              <w:t>/</w:t>
            </w:r>
          </w:p>
        </w:tc>
        <w:tc>
          <w:tcPr>
            <w:tcW w:w="1195" w:type="pct"/>
            <w:noWrap w:val="0"/>
            <w:vAlign w:val="center"/>
          </w:tcPr>
          <w:p w14:paraId="261ED54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lang w:val="en-US" w:eastAsia="zh-CN"/>
                <w14:textFill>
                  <w14:solidFill>
                    <w14:schemeClr w14:val="tx1"/>
                  </w14:solidFill>
                </w14:textFill>
              </w:rPr>
              <w:t>/</w:t>
            </w:r>
          </w:p>
        </w:tc>
        <w:tc>
          <w:tcPr>
            <w:tcW w:w="1191" w:type="pct"/>
            <w:noWrap w:val="0"/>
            <w:vAlign w:val="center"/>
          </w:tcPr>
          <w:p w14:paraId="4D2BDF6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lang w:val="en-US" w:eastAsia="zh-CN"/>
                <w14:textFill>
                  <w14:solidFill>
                    <w14:schemeClr w14:val="tx1"/>
                  </w14:solidFill>
                </w14:textFill>
              </w:rPr>
              <w:t>/</w:t>
            </w:r>
          </w:p>
        </w:tc>
      </w:tr>
      <w:tr w14:paraId="1C53A3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85" w:type="dxa"/>
            <w:bottom w:w="0" w:type="dxa"/>
            <w:right w:w="85" w:type="dxa"/>
          </w:tblCellMar>
        </w:tblPrEx>
        <w:trPr>
          <w:cantSplit/>
          <w:trHeight w:val="2434" w:hRule="atLeast"/>
          <w:jc w:val="center"/>
        </w:trPr>
        <w:tc>
          <w:tcPr>
            <w:tcW w:w="774" w:type="pct"/>
            <w:noWrap w:val="0"/>
            <w:vAlign w:val="center"/>
          </w:tcPr>
          <w:p w14:paraId="0364E33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固体废物</w:t>
            </w:r>
          </w:p>
        </w:tc>
        <w:tc>
          <w:tcPr>
            <w:tcW w:w="4225" w:type="pct"/>
            <w:gridSpan w:val="4"/>
            <w:noWrap w:val="0"/>
            <w:vAlign w:val="center"/>
          </w:tcPr>
          <w:p w14:paraId="4E1DE79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firstLine="480" w:firstLineChars="200"/>
              <w:jc w:val="both"/>
              <w:textAlignment w:val="auto"/>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color w:val="auto"/>
                <w:sz w:val="24"/>
                <w:highlight w:val="none"/>
                <w:lang w:val="en-US" w:eastAsia="zh-CN"/>
              </w:rPr>
              <w:t>一般固废（废弃包装）在车间内1座10m</w:t>
            </w:r>
            <w:r>
              <w:rPr>
                <w:rFonts w:hint="eastAsia"/>
                <w:color w:val="auto"/>
                <w:sz w:val="24"/>
                <w:highlight w:val="none"/>
                <w:vertAlign w:val="superscript"/>
                <w:lang w:val="en-US" w:eastAsia="zh-CN"/>
              </w:rPr>
              <w:t>2</w:t>
            </w:r>
            <w:r>
              <w:rPr>
                <w:rFonts w:hint="eastAsia"/>
                <w:color w:val="auto"/>
                <w:sz w:val="24"/>
                <w:highlight w:val="none"/>
                <w:lang w:val="en-US" w:eastAsia="zh-CN"/>
              </w:rPr>
              <w:t>一般固废间，危险废物（废活性炭、废催化剂）建设1座5m</w:t>
            </w:r>
            <w:r>
              <w:rPr>
                <w:rFonts w:hint="eastAsia"/>
                <w:color w:val="auto"/>
                <w:sz w:val="24"/>
                <w:highlight w:val="none"/>
                <w:vertAlign w:val="superscript"/>
                <w:lang w:val="en-US" w:eastAsia="zh-CN"/>
              </w:rPr>
              <w:t>2</w:t>
            </w:r>
            <w:r>
              <w:rPr>
                <w:rFonts w:hint="eastAsia"/>
                <w:color w:val="auto"/>
                <w:sz w:val="24"/>
                <w:highlight w:val="none"/>
                <w:lang w:val="en-US" w:eastAsia="zh-CN"/>
              </w:rPr>
              <w:t>危废暂存间；在厂区暂存后均能够得到综合利用或合理处置</w:t>
            </w:r>
            <w:r>
              <w:rPr>
                <w:rFonts w:hint="eastAsia" w:cs="Times New Roman"/>
                <w:b w:val="0"/>
                <w:bCs w:val="0"/>
                <w:color w:val="000000" w:themeColor="text1"/>
                <w:kern w:val="2"/>
                <w:sz w:val="24"/>
                <w:szCs w:val="24"/>
                <w:highlight w:val="none"/>
                <w:lang w:val="en-US" w:eastAsia="zh-CN" w:bidi="ar-SA"/>
                <w14:textFill>
                  <w14:solidFill>
                    <w14:schemeClr w14:val="tx1"/>
                  </w14:solidFill>
                </w14:textFill>
              </w:rPr>
              <w:t>；职工生活垃圾收集后由环卫工人定期清运。</w:t>
            </w:r>
          </w:p>
        </w:tc>
      </w:tr>
      <w:tr w14:paraId="24E2AAF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85" w:type="dxa"/>
            <w:bottom w:w="0" w:type="dxa"/>
            <w:right w:w="85" w:type="dxa"/>
          </w:tblCellMar>
        </w:tblPrEx>
        <w:trPr>
          <w:cantSplit/>
          <w:trHeight w:val="2004" w:hRule="atLeast"/>
          <w:jc w:val="center"/>
        </w:trPr>
        <w:tc>
          <w:tcPr>
            <w:tcW w:w="774" w:type="pct"/>
            <w:noWrap w:val="0"/>
            <w:vAlign w:val="center"/>
          </w:tcPr>
          <w:p w14:paraId="5FA3F0F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土壤及地下水污染防治措施</w:t>
            </w:r>
          </w:p>
        </w:tc>
        <w:tc>
          <w:tcPr>
            <w:tcW w:w="4225" w:type="pct"/>
            <w:gridSpan w:val="4"/>
            <w:noWrap w:val="0"/>
            <w:vAlign w:val="center"/>
          </w:tcPr>
          <w:p w14:paraId="3C2F5D0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firstLine="480" w:firstLineChars="200"/>
              <w:jc w:val="both"/>
              <w:textAlignment w:val="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cs="Times New Roman"/>
                <w:color w:val="000000" w:themeColor="text1"/>
                <w:sz w:val="24"/>
                <w:szCs w:val="24"/>
                <w:lang w:val="en-US" w:eastAsia="zh-CN"/>
                <w14:textFill>
                  <w14:solidFill>
                    <w14:schemeClr w14:val="tx1"/>
                  </w14:solidFill>
                </w14:textFill>
              </w:rPr>
              <w:t>厂区内进行分区防渗。危废暂存间采取重点防渗，循环水池和一般固废暂存间采取一般防渗，厂区其他区域采取简单防渗。</w:t>
            </w:r>
          </w:p>
        </w:tc>
      </w:tr>
      <w:tr w14:paraId="6DEF4AD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85" w:type="dxa"/>
            <w:bottom w:w="0" w:type="dxa"/>
            <w:right w:w="85" w:type="dxa"/>
          </w:tblCellMar>
        </w:tblPrEx>
        <w:trPr>
          <w:cantSplit/>
          <w:trHeight w:val="967" w:hRule="atLeast"/>
          <w:jc w:val="center"/>
        </w:trPr>
        <w:tc>
          <w:tcPr>
            <w:tcW w:w="774" w:type="pct"/>
            <w:noWrap w:val="0"/>
            <w:vAlign w:val="center"/>
          </w:tcPr>
          <w:p w14:paraId="7888D20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生态保护措施</w:t>
            </w:r>
          </w:p>
        </w:tc>
        <w:tc>
          <w:tcPr>
            <w:tcW w:w="4225" w:type="pct"/>
            <w:gridSpan w:val="4"/>
            <w:noWrap w:val="0"/>
            <w:vAlign w:val="center"/>
          </w:tcPr>
          <w:p w14:paraId="6326D44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firstLine="496" w:firstLineChars="200"/>
              <w:jc w:val="both"/>
              <w:textAlignment w:val="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cs="Times New Roman"/>
                <w:color w:val="000000" w:themeColor="text1"/>
                <w:spacing w:val="4"/>
                <w:sz w:val="24"/>
                <w:szCs w:val="24"/>
                <w:highlight w:val="none"/>
                <w:lang w:val="en-US" w:eastAsia="zh-CN"/>
                <w14:textFill>
                  <w14:solidFill>
                    <w14:schemeClr w14:val="tx1"/>
                  </w14:solidFill>
                </w14:textFill>
              </w:rPr>
              <w:t>项目位于产业园区内，占地为工业用地</w:t>
            </w:r>
            <w:r>
              <w:rPr>
                <w:rFonts w:hint="eastAsia" w:ascii="Times New Roman" w:hAnsi="Times New Roman" w:eastAsia="宋体" w:cs="Times New Roman"/>
                <w:color w:val="000000" w:themeColor="text1"/>
                <w:spacing w:val="4"/>
                <w:sz w:val="24"/>
                <w:szCs w:val="24"/>
                <w:highlight w:val="none"/>
                <w:lang w:eastAsia="zh-CN"/>
                <w14:textFill>
                  <w14:solidFill>
                    <w14:schemeClr w14:val="tx1"/>
                  </w14:solidFill>
                </w14:textFill>
              </w:rPr>
              <w:t>，</w:t>
            </w:r>
            <w:r>
              <w:rPr>
                <w:rFonts w:hint="eastAsia" w:cs="Times New Roman"/>
                <w:color w:val="000000" w:themeColor="text1"/>
                <w:spacing w:val="4"/>
                <w:sz w:val="24"/>
                <w:szCs w:val="24"/>
                <w:highlight w:val="none"/>
                <w:lang w:val="en-US" w:eastAsia="zh-CN"/>
                <w14:textFill>
                  <w14:solidFill>
                    <w14:schemeClr w14:val="tx1"/>
                  </w14:solidFill>
                </w14:textFill>
              </w:rPr>
              <w:t>用地范围内无生态环境保护目标</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p>
        </w:tc>
      </w:tr>
      <w:tr w14:paraId="24184C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85" w:type="dxa"/>
            <w:bottom w:w="0" w:type="dxa"/>
            <w:right w:w="85" w:type="dxa"/>
          </w:tblCellMar>
        </w:tblPrEx>
        <w:trPr>
          <w:cantSplit/>
          <w:trHeight w:val="3359" w:hRule="atLeast"/>
          <w:jc w:val="center"/>
        </w:trPr>
        <w:tc>
          <w:tcPr>
            <w:tcW w:w="774" w:type="pct"/>
            <w:noWrap w:val="0"/>
            <w:vAlign w:val="center"/>
          </w:tcPr>
          <w:p w14:paraId="68142AC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cs="Times New Roman"/>
                <w:color w:val="000000" w:themeColor="text1"/>
                <w:spacing w:val="-8"/>
                <w:sz w:val="24"/>
                <w:szCs w:val="24"/>
                <w14:textFill>
                  <w14:solidFill>
                    <w14:schemeClr w14:val="tx1"/>
                  </w14:solidFill>
                </w14:textFill>
              </w:rPr>
            </w:pPr>
            <w:r>
              <w:rPr>
                <w:rFonts w:hint="default" w:ascii="Times New Roman" w:hAnsi="Times New Roman" w:cs="Times New Roman"/>
                <w:color w:val="000000" w:themeColor="text1"/>
                <w:spacing w:val="-8"/>
                <w:sz w:val="24"/>
                <w:szCs w:val="24"/>
                <w14:textFill>
                  <w14:solidFill>
                    <w14:schemeClr w14:val="tx1"/>
                  </w14:solidFill>
                </w14:textFill>
              </w:rPr>
              <w:t>环境风险</w:t>
            </w:r>
          </w:p>
          <w:p w14:paraId="66E259B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cs="Times New Roman"/>
                <w:color w:val="000000" w:themeColor="text1"/>
                <w:spacing w:val="-8"/>
                <w:sz w:val="24"/>
                <w:szCs w:val="24"/>
                <w14:textFill>
                  <w14:solidFill>
                    <w14:schemeClr w14:val="tx1"/>
                  </w14:solidFill>
                </w14:textFill>
              </w:rPr>
            </w:pPr>
            <w:r>
              <w:rPr>
                <w:rFonts w:hint="default" w:ascii="Times New Roman" w:hAnsi="Times New Roman" w:cs="Times New Roman"/>
                <w:color w:val="000000" w:themeColor="text1"/>
                <w:spacing w:val="-8"/>
                <w:sz w:val="24"/>
                <w:szCs w:val="24"/>
                <w14:textFill>
                  <w14:solidFill>
                    <w14:schemeClr w14:val="tx1"/>
                  </w14:solidFill>
                </w14:textFill>
              </w:rPr>
              <w:t>防范措施</w:t>
            </w:r>
          </w:p>
        </w:tc>
        <w:tc>
          <w:tcPr>
            <w:tcW w:w="4225" w:type="pct"/>
            <w:gridSpan w:val="4"/>
            <w:noWrap w:val="0"/>
            <w:vAlign w:val="center"/>
          </w:tcPr>
          <w:p w14:paraId="020A760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firstLine="480" w:firstLineChars="200"/>
              <w:jc w:val="left"/>
              <w:textAlignment w:val="auto"/>
              <w:rPr>
                <w:rFonts w:hint="default" w:ascii="Times New Roman" w:hAnsi="Times New Roman"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color w:val="000000" w:themeColor="text1"/>
                <w:sz w:val="24"/>
                <w:szCs w:val="24"/>
                <w:lang w:val="en-US" w:eastAsia="zh-CN"/>
                <w14:textFill>
                  <w14:solidFill>
                    <w14:schemeClr w14:val="tx1"/>
                  </w14:solidFill>
                </w14:textFill>
              </w:rPr>
              <w:t>严格按照《危险废物贮存污染控制标准》（GB18597-2023）中相关要求建设危险废物暂存间；</w:t>
            </w:r>
          </w:p>
          <w:p w14:paraId="1B3E0F4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firstLine="480" w:firstLineChars="200"/>
              <w:jc w:val="left"/>
              <w:textAlignment w:val="auto"/>
              <w:rPr>
                <w:rFonts w:hint="default" w:ascii="Times New Roman" w:hAnsi="Times New Roman"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color w:val="000000" w:themeColor="text1"/>
                <w:sz w:val="24"/>
                <w:szCs w:val="24"/>
                <w:lang w:val="en-US" w:eastAsia="zh-CN"/>
                <w14:textFill>
                  <w14:solidFill>
                    <w14:schemeClr w14:val="tx1"/>
                  </w14:solidFill>
                </w14:textFill>
              </w:rPr>
              <w:t>厂区内发生火灾事件，生产车间门口设置挡板防止事故废水流出车间；同时关闭雨水总排口，控制事故废水在厂区内。</w:t>
            </w:r>
          </w:p>
          <w:p w14:paraId="02820C5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firstLine="480" w:firstLineChars="200"/>
              <w:jc w:val="left"/>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lang w:val="en-US" w:eastAsia="zh-CN"/>
                <w14:textFill>
                  <w14:solidFill>
                    <w14:schemeClr w14:val="tx1"/>
                  </w14:solidFill>
                </w14:textFill>
              </w:rPr>
              <w:t>车间内应配备堵漏设施、消防器材、个人防护用品等应急物资，杜绝明火，针对不同的事故情形制定相应的应急处置方案，一旦发生突发环境事件，应迅速采取措施，避免扩大环境影响。</w:t>
            </w:r>
          </w:p>
        </w:tc>
      </w:tr>
      <w:tr w14:paraId="7CE9692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85" w:type="dxa"/>
            <w:bottom w:w="0" w:type="dxa"/>
            <w:right w:w="85" w:type="dxa"/>
          </w:tblCellMar>
        </w:tblPrEx>
        <w:trPr>
          <w:cantSplit/>
          <w:trHeight w:val="1391" w:hRule="atLeast"/>
          <w:jc w:val="center"/>
        </w:trPr>
        <w:tc>
          <w:tcPr>
            <w:tcW w:w="774" w:type="pct"/>
            <w:noWrap w:val="0"/>
            <w:vAlign w:val="center"/>
          </w:tcPr>
          <w:p w14:paraId="7AFC8E9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cs="Times New Roman"/>
                <w:color w:val="000000" w:themeColor="text1"/>
                <w:spacing w:val="-8"/>
                <w:sz w:val="24"/>
                <w:szCs w:val="24"/>
                <w14:textFill>
                  <w14:solidFill>
                    <w14:schemeClr w14:val="tx1"/>
                  </w14:solidFill>
                </w14:textFill>
              </w:rPr>
            </w:pPr>
            <w:r>
              <w:rPr>
                <w:rFonts w:hint="default" w:ascii="Times New Roman" w:hAnsi="Times New Roman" w:cs="Times New Roman"/>
                <w:color w:val="000000" w:themeColor="text1"/>
                <w:spacing w:val="-8"/>
                <w:sz w:val="24"/>
                <w:szCs w:val="24"/>
                <w14:textFill>
                  <w14:solidFill>
                    <w14:schemeClr w14:val="tx1"/>
                  </w14:solidFill>
                </w14:textFill>
              </w:rPr>
              <w:t>其他环境</w:t>
            </w:r>
          </w:p>
          <w:p w14:paraId="1A6296B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cs="Times New Roman"/>
                <w:color w:val="000000" w:themeColor="text1"/>
                <w:spacing w:val="-8"/>
                <w:sz w:val="24"/>
                <w:szCs w:val="24"/>
                <w14:textFill>
                  <w14:solidFill>
                    <w14:schemeClr w14:val="tx1"/>
                  </w14:solidFill>
                </w14:textFill>
              </w:rPr>
            </w:pPr>
            <w:r>
              <w:rPr>
                <w:rFonts w:hint="default" w:ascii="Times New Roman" w:hAnsi="Times New Roman" w:cs="Times New Roman"/>
                <w:color w:val="000000" w:themeColor="text1"/>
                <w:spacing w:val="-8"/>
                <w:sz w:val="24"/>
                <w:szCs w:val="24"/>
                <w14:textFill>
                  <w14:solidFill>
                    <w14:schemeClr w14:val="tx1"/>
                  </w14:solidFill>
                </w14:textFill>
              </w:rPr>
              <w:t>管理要求</w:t>
            </w:r>
          </w:p>
        </w:tc>
        <w:tc>
          <w:tcPr>
            <w:tcW w:w="4225" w:type="pct"/>
            <w:gridSpan w:val="4"/>
            <w:noWrap w:val="0"/>
            <w:vAlign w:val="center"/>
          </w:tcPr>
          <w:p w14:paraId="64C039A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lang w:val="en-US" w:eastAsia="zh-CN"/>
                <w14:textFill>
                  <w14:solidFill>
                    <w14:schemeClr w14:val="tx1"/>
                  </w14:solidFill>
                </w14:textFill>
              </w:rPr>
              <w:t>/</w:t>
            </w:r>
          </w:p>
        </w:tc>
      </w:tr>
    </w:tbl>
    <w:p w14:paraId="6281919B">
      <w:pPr>
        <w:pStyle w:val="21"/>
        <w:jc w:val="both"/>
        <w:outlineLvl w:val="0"/>
        <w:rPr>
          <w:snapToGrid w:val="0"/>
          <w:color w:val="000000" w:themeColor="text1"/>
          <w:sz w:val="21"/>
          <w:szCs w:val="21"/>
          <w14:textFill>
            <w14:solidFill>
              <w14:schemeClr w14:val="tx1"/>
            </w14:solidFill>
          </w14:textFill>
        </w:rPr>
        <w:sectPr>
          <w:pgSz w:w="11906" w:h="16838"/>
          <w:pgMar w:top="1701" w:right="1531" w:bottom="1701" w:left="1531" w:header="851" w:footer="851" w:gutter="0"/>
          <w:pgBorders>
            <w:top w:val="none" w:sz="0" w:space="0"/>
            <w:left w:val="none" w:sz="0" w:space="0"/>
            <w:bottom w:val="none" w:sz="0" w:space="0"/>
            <w:right w:val="none" w:sz="0" w:space="0"/>
          </w:pgBorders>
          <w:pgNumType w:fmt="decimal"/>
          <w:cols w:space="720" w:num="1"/>
          <w:docGrid w:linePitch="312" w:charSpace="0"/>
        </w:sectPr>
      </w:pPr>
    </w:p>
    <w:p w14:paraId="4E8CC694">
      <w:pPr>
        <w:pStyle w:val="21"/>
        <w:jc w:val="center"/>
        <w:outlineLvl w:val="0"/>
        <w:rPr>
          <w:rFonts w:hint="eastAsia" w:ascii="黑体" w:hAnsi="黑体" w:eastAsia="黑体" w:cs="Times New Roman"/>
          <w:snapToGrid w:val="0"/>
          <w:color w:val="000000" w:themeColor="text1"/>
          <w:sz w:val="30"/>
          <w:szCs w:val="30"/>
          <w14:textFill>
            <w14:solidFill>
              <w14:schemeClr w14:val="tx1"/>
            </w14:solidFill>
          </w14:textFill>
        </w:rPr>
      </w:pPr>
      <w:bookmarkStart w:id="39" w:name="_Toc30397"/>
      <w:bookmarkStart w:id="40" w:name="_Toc19261"/>
      <w:r>
        <w:rPr>
          <w:rFonts w:hint="eastAsia" w:ascii="黑体" w:hAnsi="黑体" w:eastAsia="黑体" w:cs="Times New Roman"/>
          <w:snapToGrid w:val="0"/>
          <w:color w:val="000000" w:themeColor="text1"/>
          <w:sz w:val="30"/>
          <w:szCs w:val="30"/>
          <w14:textFill>
            <w14:solidFill>
              <w14:schemeClr w14:val="tx1"/>
            </w14:solidFill>
          </w14:textFill>
        </w:rPr>
        <w:t>六、结论</w:t>
      </w:r>
      <w:bookmarkEnd w:id="39"/>
      <w:bookmarkEnd w:id="40"/>
    </w:p>
    <w:tbl>
      <w:tblPr>
        <w:tblStyle w:val="25"/>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14:paraId="2922D6C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329" w:hRule="atLeast"/>
          <w:jc w:val="center"/>
        </w:trPr>
        <w:tc>
          <w:tcPr>
            <w:tcW w:w="8865" w:type="dxa"/>
            <w:noWrap w:val="0"/>
            <w:vAlign w:val="top"/>
          </w:tcPr>
          <w:p w14:paraId="4198883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20" w:lineRule="exact"/>
              <w:ind w:left="0" w:right="0" w:firstLine="480" w:firstLineChars="200"/>
              <w:textAlignment w:val="auto"/>
              <w:rPr>
                <w:rFonts w:hint="eastAsia" w:ascii="Times New Roman" w:hAnsi="Times New Roman" w:eastAsia="宋体" w:cs="Times New Roman"/>
                <w:b w:val="0"/>
                <w:bCs w:val="0"/>
                <w:snapToGrid w:val="0"/>
                <w:color w:val="000000" w:themeColor="text1"/>
                <w:kern w:val="0"/>
                <w:sz w:val="24"/>
                <w:szCs w:val="24"/>
                <w:lang w:val="en-US" w:eastAsia="zh-CN"/>
                <w14:textFill>
                  <w14:solidFill>
                    <w14:schemeClr w14:val="tx1"/>
                  </w14:solidFill>
                </w14:textFill>
              </w:rPr>
            </w:pPr>
            <w:r>
              <w:rPr>
                <w:rFonts w:hint="default"/>
                <w:b w:val="0"/>
                <w:bCs w:val="0"/>
                <w:color w:val="auto"/>
                <w:sz w:val="24"/>
                <w:lang w:val="en-US" w:eastAsia="zh-CN"/>
              </w:rPr>
              <w:t>安阳秦老吉灌溉设备有限公司聚乙烯复合材料华北生产基地项目</w:t>
            </w:r>
            <w:r>
              <w:rPr>
                <w:rFonts w:hint="default"/>
                <w:b w:val="0"/>
                <w:bCs w:val="0"/>
                <w:color w:val="auto"/>
                <w:sz w:val="24"/>
              </w:rPr>
              <w:t>，</w:t>
            </w:r>
            <w:r>
              <w:rPr>
                <w:rFonts w:hint="eastAsia"/>
                <w:b w:val="0"/>
                <w:bCs w:val="0"/>
                <w:color w:val="auto"/>
                <w:sz w:val="24"/>
              </w:rPr>
              <w:t>符合国家产业政策，地方相关规划、“三线一单”要求及当地环境管理要求</w:t>
            </w:r>
            <w:r>
              <w:rPr>
                <w:rFonts w:hint="eastAsia"/>
                <w:b w:val="0"/>
                <w:bCs w:val="0"/>
                <w:color w:val="auto"/>
                <w:sz w:val="24"/>
                <w:lang w:eastAsia="zh-CN"/>
              </w:rPr>
              <w:t>。</w:t>
            </w:r>
            <w:r>
              <w:rPr>
                <w:rFonts w:hint="eastAsia"/>
                <w:b w:val="0"/>
                <w:bCs w:val="0"/>
                <w:color w:val="auto"/>
                <w:sz w:val="24"/>
                <w:lang w:val="en-US" w:eastAsia="zh-CN"/>
              </w:rPr>
              <w:t>项目选址可行。在采取评价提出的污染防治措施及充分落实评价建议的基础上，项目产生的污染物实现达标排放，对周围环境影响较小，项目</w:t>
            </w:r>
            <w:r>
              <w:rPr>
                <w:rFonts w:hint="eastAsia"/>
                <w:b w:val="0"/>
                <w:bCs w:val="0"/>
                <w:color w:val="auto"/>
                <w:sz w:val="24"/>
              </w:rPr>
              <w:t>建设不涉及</w:t>
            </w:r>
            <w:r>
              <w:rPr>
                <w:rFonts w:hint="eastAsia"/>
                <w:b w:val="0"/>
                <w:bCs w:val="0"/>
                <w:color w:val="auto"/>
                <w:sz w:val="24"/>
                <w:lang w:val="en-US" w:eastAsia="zh-CN"/>
              </w:rPr>
              <w:t>自然保护区、</w:t>
            </w:r>
            <w:r>
              <w:rPr>
                <w:rFonts w:hint="eastAsia"/>
                <w:b w:val="0"/>
                <w:bCs w:val="0"/>
                <w:color w:val="auto"/>
                <w:sz w:val="24"/>
              </w:rPr>
              <w:t>世界自然和文化遗产地、风景名胜区、森林公园等环境敏感区</w:t>
            </w:r>
            <w:r>
              <w:rPr>
                <w:rFonts w:hint="eastAsia"/>
                <w:b w:val="0"/>
                <w:bCs w:val="0"/>
                <w:color w:val="auto"/>
                <w:sz w:val="24"/>
                <w:lang w:val="en-US" w:eastAsia="zh-CN"/>
              </w:rPr>
              <w:t>，</w:t>
            </w:r>
            <w:r>
              <w:rPr>
                <w:rFonts w:hint="eastAsia"/>
                <w:b w:val="0"/>
                <w:bCs w:val="0"/>
                <w:color w:val="auto"/>
                <w:sz w:val="24"/>
              </w:rPr>
              <w:t>不存在环境制约因素。从环境保护角度分析，本项目建设可行。</w:t>
            </w:r>
          </w:p>
          <w:p w14:paraId="489342CB">
            <w:pPr>
              <w:keepNext w:val="0"/>
              <w:keepLines w:val="0"/>
              <w:suppressLineNumbers w:val="0"/>
              <w:spacing w:before="0" w:beforeAutospacing="0" w:after="0" w:afterAutospacing="0" w:line="360" w:lineRule="auto"/>
              <w:ind w:left="0" w:right="0"/>
              <w:jc w:val="both"/>
              <w:rPr>
                <w:rFonts w:hint="default" w:ascii="宋体" w:cs="宋体"/>
                <w:color w:val="000000" w:themeColor="text1"/>
                <w:sz w:val="21"/>
                <w:szCs w:val="21"/>
                <w14:textFill>
                  <w14:solidFill>
                    <w14:schemeClr w14:val="tx1"/>
                  </w14:solidFill>
                </w14:textFill>
              </w:rPr>
            </w:pPr>
          </w:p>
        </w:tc>
      </w:tr>
    </w:tbl>
    <w:p w14:paraId="6E004F4F">
      <w:pPr>
        <w:rPr>
          <w:rFonts w:hint="eastAsia"/>
          <w:color w:val="000000" w:themeColor="text1"/>
          <w:lang w:val="en-US" w:eastAsia="zh-CN"/>
          <w14:textFill>
            <w14:solidFill>
              <w14:schemeClr w14:val="tx1"/>
            </w14:solidFill>
          </w14:textFill>
        </w:rPr>
      </w:pPr>
    </w:p>
    <w:tbl>
      <w:tblPr>
        <w:tblStyle w:val="25"/>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14:paraId="0AF2C26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329" w:hRule="atLeast"/>
          <w:jc w:val="center"/>
        </w:trPr>
        <w:tc>
          <w:tcPr>
            <w:tcW w:w="8865" w:type="dxa"/>
            <w:noWrap w:val="0"/>
            <w:vAlign w:val="top"/>
          </w:tcPr>
          <w:p w14:paraId="7F31C40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both"/>
              <w:textAlignment w:val="auto"/>
              <w:rPr>
                <w:rFonts w:hint="eastAsia" w:ascii="Times New Roman" w:hAnsi="Times New Roman" w:eastAsia="宋体" w:cs="Times New Roman"/>
                <w:b w:val="0"/>
                <w:bCs w:val="0"/>
                <w:snapToGrid w:val="0"/>
                <w:color w:val="000000" w:themeColor="text1"/>
                <w:kern w:val="0"/>
                <w:sz w:val="24"/>
                <w:szCs w:val="24"/>
                <w:highlight w:val="none"/>
                <w:lang w:val="en-US" w:eastAsia="zh-CN"/>
                <w14:textFill>
                  <w14:solidFill>
                    <w14:schemeClr w14:val="tx1"/>
                  </w14:solidFill>
                </w14:textFill>
              </w:rPr>
            </w:pPr>
            <w:r>
              <w:rPr>
                <w:rFonts w:hint="eastAsia" w:ascii="Times New Roman" w:hAnsi="Times New Roman" w:eastAsia="宋体" w:cs="Times New Roman"/>
                <w:b w:val="0"/>
                <w:bCs w:val="0"/>
                <w:snapToGrid w:val="0"/>
                <w:color w:val="000000" w:themeColor="text1"/>
                <w:kern w:val="0"/>
                <w:sz w:val="24"/>
                <w:szCs w:val="24"/>
                <w:highlight w:val="none"/>
                <w:lang w:val="en-US" w:eastAsia="zh-CN"/>
                <w14:textFill>
                  <w14:solidFill>
                    <w14:schemeClr w14:val="tx1"/>
                  </w14:solidFill>
                </w14:textFill>
              </w:rPr>
              <w:t>附表：建设项目污染物排放量汇总表</w:t>
            </w:r>
          </w:p>
          <w:p w14:paraId="466F2BD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both"/>
              <w:textAlignment w:val="auto"/>
              <w:rPr>
                <w:rFonts w:hint="eastAsia" w:cs="Times New Roman"/>
                <w:b w:val="0"/>
                <w:bCs w:val="0"/>
                <w:snapToGrid w:val="0"/>
                <w:color w:val="000000" w:themeColor="text1"/>
                <w:kern w:val="0"/>
                <w:sz w:val="24"/>
                <w:szCs w:val="24"/>
                <w:highlight w:val="none"/>
                <w:lang w:val="en-US" w:eastAsia="zh-CN"/>
                <w14:textFill>
                  <w14:solidFill>
                    <w14:schemeClr w14:val="tx1"/>
                  </w14:solidFill>
                </w14:textFill>
              </w:rPr>
            </w:pPr>
            <w:r>
              <w:rPr>
                <w:rFonts w:hint="eastAsia" w:cs="Times New Roman"/>
                <w:b w:val="0"/>
                <w:bCs w:val="0"/>
                <w:snapToGrid w:val="0"/>
                <w:color w:val="000000" w:themeColor="text1"/>
                <w:kern w:val="0"/>
                <w:sz w:val="24"/>
                <w:szCs w:val="24"/>
                <w:highlight w:val="none"/>
                <w:lang w:val="en-US" w:eastAsia="zh-CN"/>
                <w14:textFill>
                  <w14:solidFill>
                    <w14:schemeClr w14:val="tx1"/>
                  </w14:solidFill>
                </w14:textFill>
              </w:rPr>
              <w:t>附图一：项目地理位置图</w:t>
            </w:r>
          </w:p>
          <w:p w14:paraId="10577C3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both"/>
              <w:textAlignment w:val="auto"/>
              <w:rPr>
                <w:rFonts w:hint="default" w:cs="Times New Roman"/>
                <w:b w:val="0"/>
                <w:bCs w:val="0"/>
                <w:snapToGrid w:val="0"/>
                <w:color w:val="000000" w:themeColor="text1"/>
                <w:kern w:val="0"/>
                <w:sz w:val="24"/>
                <w:szCs w:val="24"/>
                <w:highlight w:val="none"/>
                <w:lang w:val="en-US" w:eastAsia="zh-CN"/>
                <w14:textFill>
                  <w14:solidFill>
                    <w14:schemeClr w14:val="tx1"/>
                  </w14:solidFill>
                </w14:textFill>
              </w:rPr>
            </w:pPr>
            <w:r>
              <w:rPr>
                <w:rFonts w:hint="eastAsia" w:cs="Times New Roman"/>
                <w:b w:val="0"/>
                <w:bCs w:val="0"/>
                <w:snapToGrid w:val="0"/>
                <w:color w:val="000000" w:themeColor="text1"/>
                <w:kern w:val="0"/>
                <w:sz w:val="24"/>
                <w:szCs w:val="24"/>
                <w:highlight w:val="none"/>
                <w:lang w:val="en-US" w:eastAsia="zh-CN"/>
                <w14:textFill>
                  <w14:solidFill>
                    <w14:schemeClr w14:val="tx1"/>
                  </w14:solidFill>
                </w14:textFill>
              </w:rPr>
              <w:t>附图二：项目周边环境卫星图</w:t>
            </w:r>
          </w:p>
          <w:p w14:paraId="58D1712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both"/>
              <w:textAlignment w:val="auto"/>
              <w:rPr>
                <w:rFonts w:hint="eastAsia" w:cs="Times New Roman"/>
                <w:b w:val="0"/>
                <w:bCs w:val="0"/>
                <w:snapToGrid w:val="0"/>
                <w:color w:val="000000" w:themeColor="text1"/>
                <w:kern w:val="0"/>
                <w:sz w:val="24"/>
                <w:szCs w:val="24"/>
                <w:highlight w:val="none"/>
                <w:lang w:val="en-US" w:eastAsia="zh-CN"/>
                <w14:textFill>
                  <w14:solidFill>
                    <w14:schemeClr w14:val="tx1"/>
                  </w14:solidFill>
                </w14:textFill>
              </w:rPr>
            </w:pPr>
            <w:r>
              <w:rPr>
                <w:rFonts w:hint="eastAsia" w:cs="Times New Roman"/>
                <w:b w:val="0"/>
                <w:bCs w:val="0"/>
                <w:snapToGrid w:val="0"/>
                <w:color w:val="000000" w:themeColor="text1"/>
                <w:kern w:val="0"/>
                <w:sz w:val="24"/>
                <w:szCs w:val="24"/>
                <w:highlight w:val="none"/>
                <w:lang w:val="en-US" w:eastAsia="zh-CN"/>
                <w14:textFill>
                  <w14:solidFill>
                    <w14:schemeClr w14:val="tx1"/>
                  </w14:solidFill>
                </w14:textFill>
              </w:rPr>
              <w:t>附图三：厂区平面布置示意图</w:t>
            </w:r>
          </w:p>
          <w:p w14:paraId="6228D2D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both"/>
              <w:textAlignment w:val="auto"/>
              <w:rPr>
                <w:rFonts w:hint="eastAsia" w:cs="Times New Roman"/>
                <w:b w:val="0"/>
                <w:bCs w:val="0"/>
                <w:snapToGrid w:val="0"/>
                <w:color w:val="000000" w:themeColor="text1"/>
                <w:kern w:val="0"/>
                <w:sz w:val="24"/>
                <w:szCs w:val="24"/>
                <w:highlight w:val="none"/>
                <w:lang w:val="en-US" w:eastAsia="zh-CN"/>
                <w14:textFill>
                  <w14:solidFill>
                    <w14:schemeClr w14:val="tx1"/>
                  </w14:solidFill>
                </w14:textFill>
              </w:rPr>
            </w:pPr>
            <w:r>
              <w:rPr>
                <w:rFonts w:hint="eastAsia" w:cs="Times New Roman"/>
                <w:b w:val="0"/>
                <w:bCs w:val="0"/>
                <w:snapToGrid w:val="0"/>
                <w:color w:val="000000" w:themeColor="text1"/>
                <w:kern w:val="0"/>
                <w:sz w:val="24"/>
                <w:szCs w:val="24"/>
                <w:highlight w:val="none"/>
                <w:lang w:val="en-US" w:eastAsia="zh-CN"/>
                <w14:textFill>
                  <w14:solidFill>
                    <w14:schemeClr w14:val="tx1"/>
                  </w14:solidFill>
                </w14:textFill>
              </w:rPr>
              <w:t>附图四：项目在三线一单环境管控单元位置图</w:t>
            </w:r>
          </w:p>
          <w:p w14:paraId="6CAA424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both"/>
              <w:textAlignment w:val="auto"/>
              <w:rPr>
                <w:rFonts w:hint="default" w:cs="Times New Roman"/>
                <w:b w:val="0"/>
                <w:bCs w:val="0"/>
                <w:snapToGrid w:val="0"/>
                <w:color w:val="000000" w:themeColor="text1"/>
                <w:kern w:val="0"/>
                <w:sz w:val="24"/>
                <w:szCs w:val="24"/>
                <w:highlight w:val="none"/>
                <w:lang w:val="en-US" w:eastAsia="zh-CN"/>
                <w14:textFill>
                  <w14:solidFill>
                    <w14:schemeClr w14:val="tx1"/>
                  </w14:solidFill>
                </w14:textFill>
              </w:rPr>
            </w:pPr>
            <w:r>
              <w:rPr>
                <w:rFonts w:hint="eastAsia" w:cs="Times New Roman"/>
                <w:b w:val="0"/>
                <w:bCs w:val="0"/>
                <w:snapToGrid w:val="0"/>
                <w:color w:val="000000" w:themeColor="text1"/>
                <w:kern w:val="0"/>
                <w:sz w:val="24"/>
                <w:szCs w:val="24"/>
                <w:highlight w:val="none"/>
                <w:lang w:val="en-US" w:eastAsia="zh-CN"/>
                <w14:textFill>
                  <w14:solidFill>
                    <w14:schemeClr w14:val="tx1"/>
                  </w14:solidFill>
                </w14:textFill>
              </w:rPr>
              <w:t>附图五：车间照片及工程师现场勘查照片</w:t>
            </w:r>
          </w:p>
          <w:p w14:paraId="07F3340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both"/>
              <w:textAlignment w:val="auto"/>
              <w:rPr>
                <w:rFonts w:hint="eastAsia" w:cs="Times New Roman"/>
                <w:b w:val="0"/>
                <w:bCs w:val="0"/>
                <w:snapToGrid w:val="0"/>
                <w:color w:val="000000" w:themeColor="text1"/>
                <w:kern w:val="0"/>
                <w:sz w:val="24"/>
                <w:szCs w:val="24"/>
                <w:highlight w:val="none"/>
                <w:lang w:val="en-US" w:eastAsia="zh-CN"/>
                <w14:textFill>
                  <w14:solidFill>
                    <w14:schemeClr w14:val="tx1"/>
                  </w14:solidFill>
                </w14:textFill>
              </w:rPr>
            </w:pPr>
            <w:r>
              <w:rPr>
                <w:rFonts w:hint="eastAsia" w:cs="Times New Roman"/>
                <w:b w:val="0"/>
                <w:bCs w:val="0"/>
                <w:snapToGrid w:val="0"/>
                <w:color w:val="000000" w:themeColor="text1"/>
                <w:kern w:val="0"/>
                <w:sz w:val="24"/>
                <w:szCs w:val="24"/>
                <w:highlight w:val="none"/>
                <w:lang w:val="en-US" w:eastAsia="zh-CN"/>
                <w14:textFill>
                  <w14:solidFill>
                    <w14:schemeClr w14:val="tx1"/>
                  </w14:solidFill>
                </w14:textFill>
              </w:rPr>
              <w:t>附件一：委托书</w:t>
            </w:r>
          </w:p>
          <w:p w14:paraId="18E98A1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both"/>
              <w:textAlignment w:val="auto"/>
              <w:rPr>
                <w:rFonts w:hint="default" w:cs="Times New Roman"/>
                <w:b w:val="0"/>
                <w:bCs w:val="0"/>
                <w:snapToGrid w:val="0"/>
                <w:color w:val="000000" w:themeColor="text1"/>
                <w:kern w:val="0"/>
                <w:sz w:val="24"/>
                <w:szCs w:val="24"/>
                <w:highlight w:val="none"/>
                <w:lang w:val="en-US" w:eastAsia="zh-CN"/>
                <w14:textFill>
                  <w14:solidFill>
                    <w14:schemeClr w14:val="tx1"/>
                  </w14:solidFill>
                </w14:textFill>
              </w:rPr>
            </w:pPr>
            <w:r>
              <w:rPr>
                <w:rFonts w:hint="eastAsia" w:cs="Times New Roman"/>
                <w:b w:val="0"/>
                <w:bCs w:val="0"/>
                <w:snapToGrid w:val="0"/>
                <w:color w:val="000000" w:themeColor="text1"/>
                <w:kern w:val="0"/>
                <w:sz w:val="24"/>
                <w:szCs w:val="24"/>
                <w:highlight w:val="none"/>
                <w:lang w:val="en-US" w:eastAsia="zh-CN"/>
                <w14:textFill>
                  <w14:solidFill>
                    <w14:schemeClr w14:val="tx1"/>
                  </w14:solidFill>
                </w14:textFill>
              </w:rPr>
              <w:t>附件二：备案证明</w:t>
            </w:r>
          </w:p>
          <w:p w14:paraId="3DD5F64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both"/>
              <w:textAlignment w:val="auto"/>
              <w:rPr>
                <w:rFonts w:hint="eastAsia" w:cs="Times New Roman"/>
                <w:b w:val="0"/>
                <w:bCs w:val="0"/>
                <w:snapToGrid w:val="0"/>
                <w:color w:val="000000" w:themeColor="text1"/>
                <w:kern w:val="0"/>
                <w:sz w:val="24"/>
                <w:szCs w:val="24"/>
                <w:highlight w:val="none"/>
                <w:lang w:val="en-US" w:eastAsia="zh-CN"/>
                <w14:textFill>
                  <w14:solidFill>
                    <w14:schemeClr w14:val="tx1"/>
                  </w14:solidFill>
                </w14:textFill>
              </w:rPr>
            </w:pPr>
            <w:r>
              <w:rPr>
                <w:rFonts w:hint="eastAsia" w:cs="Times New Roman"/>
                <w:b w:val="0"/>
                <w:bCs w:val="0"/>
                <w:snapToGrid w:val="0"/>
                <w:color w:val="000000" w:themeColor="text1"/>
                <w:kern w:val="0"/>
                <w:sz w:val="24"/>
                <w:szCs w:val="24"/>
                <w:highlight w:val="none"/>
                <w:lang w:val="en-US" w:eastAsia="zh-CN"/>
                <w14:textFill>
                  <w14:solidFill>
                    <w14:schemeClr w14:val="tx1"/>
                  </w14:solidFill>
                </w14:textFill>
              </w:rPr>
              <w:t>附件三：营业执照</w:t>
            </w:r>
          </w:p>
          <w:p w14:paraId="3DE030C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both"/>
              <w:textAlignment w:val="auto"/>
              <w:rPr>
                <w:rFonts w:hint="default" w:cs="Times New Roman"/>
                <w:b w:val="0"/>
                <w:bCs w:val="0"/>
                <w:snapToGrid w:val="0"/>
                <w:color w:val="000000" w:themeColor="text1"/>
                <w:kern w:val="0"/>
                <w:sz w:val="24"/>
                <w:szCs w:val="24"/>
                <w:highlight w:val="none"/>
                <w:lang w:val="en-US" w:eastAsia="zh-CN"/>
                <w14:textFill>
                  <w14:solidFill>
                    <w14:schemeClr w14:val="tx1"/>
                  </w14:solidFill>
                </w14:textFill>
              </w:rPr>
            </w:pPr>
            <w:r>
              <w:rPr>
                <w:rFonts w:hint="eastAsia" w:cs="Times New Roman"/>
                <w:b w:val="0"/>
                <w:bCs w:val="0"/>
                <w:snapToGrid w:val="0"/>
                <w:color w:val="000000" w:themeColor="text1"/>
                <w:kern w:val="0"/>
                <w:sz w:val="24"/>
                <w:szCs w:val="24"/>
                <w:highlight w:val="none"/>
                <w:lang w:val="en-US" w:eastAsia="zh-CN"/>
                <w14:textFill>
                  <w14:solidFill>
                    <w14:schemeClr w14:val="tx1"/>
                  </w14:solidFill>
                </w14:textFill>
              </w:rPr>
              <w:t>附件四：法人代表身份证</w:t>
            </w:r>
          </w:p>
          <w:p w14:paraId="55F74EA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both"/>
              <w:textAlignment w:val="auto"/>
              <w:rPr>
                <w:rFonts w:hint="default" w:cs="Times New Roman"/>
                <w:b w:val="0"/>
                <w:bCs w:val="0"/>
                <w:snapToGrid w:val="0"/>
                <w:color w:val="000000" w:themeColor="text1"/>
                <w:kern w:val="0"/>
                <w:sz w:val="24"/>
                <w:szCs w:val="24"/>
                <w:highlight w:val="none"/>
                <w:lang w:val="en-US" w:eastAsia="zh-CN"/>
                <w14:textFill>
                  <w14:solidFill>
                    <w14:schemeClr w14:val="tx1"/>
                  </w14:solidFill>
                </w14:textFill>
              </w:rPr>
            </w:pPr>
            <w:r>
              <w:rPr>
                <w:rFonts w:hint="eastAsia" w:cs="Times New Roman"/>
                <w:b w:val="0"/>
                <w:bCs w:val="0"/>
                <w:snapToGrid w:val="0"/>
                <w:color w:val="000000" w:themeColor="text1"/>
                <w:kern w:val="0"/>
                <w:sz w:val="24"/>
                <w:szCs w:val="24"/>
                <w:highlight w:val="none"/>
                <w:lang w:val="en-US" w:eastAsia="zh-CN"/>
                <w14:textFill>
                  <w14:solidFill>
                    <w14:schemeClr w14:val="tx1"/>
                  </w14:solidFill>
                </w14:textFill>
              </w:rPr>
              <w:t>附件五：土地证</w:t>
            </w:r>
          </w:p>
          <w:p w14:paraId="64B2261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both"/>
              <w:textAlignment w:val="auto"/>
              <w:rPr>
                <w:rFonts w:hint="default" w:cs="Times New Roman"/>
                <w:b w:val="0"/>
                <w:bCs w:val="0"/>
                <w:snapToGrid w:val="0"/>
                <w:color w:val="000000" w:themeColor="text1"/>
                <w:kern w:val="0"/>
                <w:sz w:val="24"/>
                <w:szCs w:val="24"/>
                <w:highlight w:val="none"/>
                <w:lang w:val="en-US" w:eastAsia="zh-CN"/>
                <w14:textFill>
                  <w14:solidFill>
                    <w14:schemeClr w14:val="tx1"/>
                  </w14:solidFill>
                </w14:textFill>
              </w:rPr>
            </w:pPr>
            <w:r>
              <w:rPr>
                <w:rFonts w:hint="eastAsia" w:cs="Times New Roman"/>
                <w:b w:val="0"/>
                <w:bCs w:val="0"/>
                <w:snapToGrid w:val="0"/>
                <w:color w:val="000000" w:themeColor="text1"/>
                <w:kern w:val="0"/>
                <w:sz w:val="24"/>
                <w:szCs w:val="24"/>
                <w:highlight w:val="none"/>
                <w:lang w:val="en-US" w:eastAsia="zh-CN"/>
                <w14:textFill>
                  <w14:solidFill>
                    <w14:schemeClr w14:val="tx1"/>
                  </w14:solidFill>
                </w14:textFill>
              </w:rPr>
              <w:t>附件六：厂房租赁协议</w:t>
            </w:r>
          </w:p>
          <w:p w14:paraId="15A3BAC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both"/>
              <w:textAlignment w:val="auto"/>
              <w:rPr>
                <w:rFonts w:hint="default" w:cs="Times New Roman"/>
                <w:b w:val="0"/>
                <w:bCs w:val="0"/>
                <w:snapToGrid w:val="0"/>
                <w:color w:val="000000" w:themeColor="text1"/>
                <w:kern w:val="0"/>
                <w:sz w:val="24"/>
                <w:szCs w:val="24"/>
                <w:highlight w:val="none"/>
                <w:lang w:val="en-US" w:eastAsia="zh-CN"/>
                <w14:textFill>
                  <w14:solidFill>
                    <w14:schemeClr w14:val="tx1"/>
                  </w14:solidFill>
                </w14:textFill>
              </w:rPr>
            </w:pPr>
            <w:r>
              <w:rPr>
                <w:rFonts w:hint="eastAsia" w:cs="Times New Roman"/>
                <w:b w:val="0"/>
                <w:bCs w:val="0"/>
                <w:snapToGrid w:val="0"/>
                <w:color w:val="000000" w:themeColor="text1"/>
                <w:kern w:val="0"/>
                <w:sz w:val="24"/>
                <w:szCs w:val="24"/>
                <w:highlight w:val="none"/>
                <w:lang w:val="en-US" w:eastAsia="zh-CN"/>
                <w14:textFill>
                  <w14:solidFill>
                    <w14:schemeClr w14:val="tx1"/>
                  </w14:solidFill>
                </w14:textFill>
              </w:rPr>
              <w:t>附件七：汤阴县人民政府协议书</w:t>
            </w:r>
          </w:p>
          <w:p w14:paraId="6D66206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both"/>
              <w:textAlignment w:val="auto"/>
              <w:rPr>
                <w:rFonts w:hint="eastAsia" w:cs="Times New Roman"/>
                <w:b w:val="0"/>
                <w:bCs w:val="0"/>
                <w:snapToGrid w:val="0"/>
                <w:color w:val="000000" w:themeColor="text1"/>
                <w:kern w:val="0"/>
                <w:sz w:val="24"/>
                <w:szCs w:val="24"/>
                <w:highlight w:val="none"/>
                <w:lang w:val="en-US" w:eastAsia="zh-CN"/>
                <w14:textFill>
                  <w14:solidFill>
                    <w14:schemeClr w14:val="tx1"/>
                  </w14:solidFill>
                </w14:textFill>
              </w:rPr>
            </w:pPr>
            <w:r>
              <w:rPr>
                <w:rFonts w:hint="eastAsia" w:cs="Times New Roman"/>
                <w:b w:val="0"/>
                <w:bCs w:val="0"/>
                <w:snapToGrid w:val="0"/>
                <w:color w:val="000000" w:themeColor="text1"/>
                <w:kern w:val="0"/>
                <w:sz w:val="24"/>
                <w:szCs w:val="24"/>
                <w:highlight w:val="none"/>
                <w:lang w:val="en-US" w:eastAsia="zh-CN"/>
                <w14:textFill>
                  <w14:solidFill>
                    <w14:schemeClr w14:val="tx1"/>
                  </w14:solidFill>
                </w14:textFill>
              </w:rPr>
              <w:t>附件八：确认书</w:t>
            </w:r>
          </w:p>
          <w:p w14:paraId="2320AB8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right="0" w:firstLine="480" w:firstLineChars="200"/>
              <w:jc w:val="both"/>
              <w:textAlignment w:val="auto"/>
              <w:rPr>
                <w:rFonts w:hint="default" w:cs="Times New Roman"/>
                <w:b w:val="0"/>
                <w:bCs w:val="0"/>
                <w:snapToGrid w:val="0"/>
                <w:color w:val="000000" w:themeColor="text1"/>
                <w:kern w:val="0"/>
                <w:sz w:val="24"/>
                <w:szCs w:val="24"/>
                <w:highlight w:val="none"/>
                <w:lang w:val="en-US" w:eastAsia="zh-CN"/>
                <w14:textFill>
                  <w14:solidFill>
                    <w14:schemeClr w14:val="tx1"/>
                  </w14:solidFill>
                </w14:textFill>
              </w:rPr>
            </w:pPr>
            <w:r>
              <w:rPr>
                <w:rFonts w:hint="eastAsia" w:cs="Times New Roman"/>
                <w:b w:val="0"/>
                <w:bCs w:val="0"/>
                <w:snapToGrid w:val="0"/>
                <w:color w:val="000000" w:themeColor="text1"/>
                <w:kern w:val="0"/>
                <w:sz w:val="24"/>
                <w:szCs w:val="24"/>
                <w:highlight w:val="none"/>
                <w:lang w:val="en-US" w:eastAsia="zh-CN"/>
                <w14:textFill>
                  <w14:solidFill>
                    <w14:schemeClr w14:val="tx1"/>
                  </w14:solidFill>
                </w14:textFill>
              </w:rPr>
              <w:t>附件九：环评公示</w:t>
            </w:r>
          </w:p>
          <w:p w14:paraId="48BD98A6">
            <w:pPr>
              <w:pStyle w:val="8"/>
              <w:keepNext w:val="0"/>
              <w:keepLines w:val="0"/>
              <w:suppressLineNumbers w:val="0"/>
              <w:spacing w:beforeAutospacing="0" w:afterAutospacing="0"/>
              <w:ind w:left="0"/>
              <w:rPr>
                <w:rFonts w:hint="default"/>
                <w:highlight w:val="none"/>
                <w:lang w:val="en-US" w:eastAsia="zh-CN"/>
              </w:rPr>
            </w:pPr>
          </w:p>
          <w:p w14:paraId="49B377AD">
            <w:pPr>
              <w:pStyle w:val="8"/>
              <w:keepNext w:val="0"/>
              <w:keepLines w:val="0"/>
              <w:suppressLineNumbers w:val="0"/>
              <w:spacing w:beforeAutospacing="0" w:afterAutospacing="0"/>
              <w:ind w:left="0"/>
              <w:rPr>
                <w:rFonts w:hint="default"/>
                <w:lang w:val="en-US" w:eastAsia="zh-CN"/>
              </w:rPr>
            </w:pPr>
          </w:p>
        </w:tc>
      </w:tr>
    </w:tbl>
    <w:p w14:paraId="67D0FBD2">
      <w:pPr>
        <w:pStyle w:val="2"/>
        <w:bidi w:val="0"/>
        <w:rPr>
          <w:rFonts w:hint="default"/>
          <w:color w:val="000000" w:themeColor="text1"/>
          <w:lang w:val="en-US" w:eastAsia="zh-CN"/>
          <w14:textFill>
            <w14:solidFill>
              <w14:schemeClr w14:val="tx1"/>
            </w14:solidFill>
          </w14:textFill>
        </w:rPr>
        <w:sectPr>
          <w:pgSz w:w="11906" w:h="16838"/>
          <w:pgMar w:top="1701" w:right="1531" w:bottom="1701" w:left="1531" w:header="851" w:footer="851" w:gutter="0"/>
          <w:pgBorders>
            <w:top w:val="none" w:sz="0" w:space="0"/>
            <w:left w:val="none" w:sz="0" w:space="0"/>
            <w:bottom w:val="none" w:sz="0" w:space="0"/>
            <w:right w:val="none" w:sz="0" w:space="0"/>
          </w:pgBorders>
          <w:pgNumType w:fmt="decimal"/>
          <w:cols w:space="720" w:num="1"/>
          <w:docGrid w:linePitch="312" w:charSpace="0"/>
        </w:sectPr>
      </w:pPr>
    </w:p>
    <w:p w14:paraId="3175903D">
      <w:pPr>
        <w:pStyle w:val="21"/>
        <w:keepNext w:val="0"/>
        <w:keepLines w:val="0"/>
        <w:pageBreakBefore w:val="0"/>
        <w:widowControl/>
        <w:kinsoku/>
        <w:wordWrap/>
        <w:overflowPunct/>
        <w:topLinePunct w:val="0"/>
        <w:autoSpaceDE/>
        <w:autoSpaceDN/>
        <w:bidi w:val="0"/>
        <w:adjustRightInd w:val="0"/>
        <w:snapToGrid w:val="0"/>
        <w:spacing w:before="0" w:beforeAutospacing="0" w:after="0" w:afterAutospacing="0" w:line="360" w:lineRule="auto"/>
        <w:textAlignment w:val="auto"/>
        <w:outlineLvl w:val="0"/>
        <w:rPr>
          <w:rFonts w:ascii="黑体" w:hAnsi="黑体" w:eastAsia="黑体"/>
          <w:snapToGrid w:val="0"/>
          <w:color w:val="000000" w:themeColor="text1"/>
          <w:sz w:val="32"/>
          <w:szCs w:val="32"/>
          <w14:textFill>
            <w14:solidFill>
              <w14:schemeClr w14:val="tx1"/>
            </w14:solidFill>
          </w14:textFill>
        </w:rPr>
      </w:pPr>
      <w:bookmarkStart w:id="41" w:name="_Toc24270"/>
      <w:bookmarkStart w:id="42" w:name="_Toc13922"/>
      <w:r>
        <w:rPr>
          <w:rFonts w:hint="eastAsia" w:ascii="黑体" w:hAnsi="黑体" w:eastAsia="黑体"/>
          <w:snapToGrid w:val="0"/>
          <w:color w:val="000000" w:themeColor="text1"/>
          <w:sz w:val="32"/>
          <w:szCs w:val="32"/>
          <w14:textFill>
            <w14:solidFill>
              <w14:schemeClr w14:val="tx1"/>
            </w14:solidFill>
          </w14:textFill>
        </w:rPr>
        <w:t>附表</w:t>
      </w:r>
      <w:bookmarkEnd w:id="41"/>
      <w:bookmarkEnd w:id="42"/>
    </w:p>
    <w:p w14:paraId="28D2F40E">
      <w:pPr>
        <w:pStyle w:val="21"/>
        <w:keepNext w:val="0"/>
        <w:keepLines w:val="0"/>
        <w:pageBreakBefore w:val="0"/>
        <w:widowControl/>
        <w:kinsoku/>
        <w:wordWrap/>
        <w:overflowPunct/>
        <w:topLinePunct w:val="0"/>
        <w:autoSpaceDE/>
        <w:autoSpaceDN/>
        <w:bidi w:val="0"/>
        <w:adjustRightInd w:val="0"/>
        <w:snapToGrid w:val="0"/>
        <w:spacing w:before="0" w:beforeAutospacing="0" w:after="0" w:afterAutospacing="0" w:line="360" w:lineRule="auto"/>
        <w:jc w:val="center"/>
        <w:textAlignment w:val="auto"/>
        <w:outlineLvl w:val="0"/>
        <w:rPr>
          <w:rFonts w:hint="eastAsia" w:ascii="方正大标宋_GBK" w:hAnsi="黑体" w:eastAsia="方正大标宋_GBK" w:cs="Times New Roman"/>
          <w:snapToGrid w:val="0"/>
          <w:color w:val="000000" w:themeColor="text1"/>
          <w:sz w:val="38"/>
          <w:szCs w:val="38"/>
          <w14:textFill>
            <w14:solidFill>
              <w14:schemeClr w14:val="tx1"/>
            </w14:solidFill>
          </w14:textFill>
        </w:rPr>
      </w:pPr>
      <w:bookmarkStart w:id="43" w:name="_Toc3362"/>
      <w:bookmarkStart w:id="44" w:name="_Toc12376"/>
      <w:r>
        <w:rPr>
          <w:rFonts w:hint="eastAsia" w:ascii="方正大标宋_GBK" w:hAnsi="黑体" w:eastAsia="方正大标宋_GBK" w:cs="Times New Roman"/>
          <w:snapToGrid w:val="0"/>
          <w:color w:val="000000" w:themeColor="text1"/>
          <w:sz w:val="38"/>
          <w:szCs w:val="38"/>
          <w14:textFill>
            <w14:solidFill>
              <w14:schemeClr w14:val="tx1"/>
            </w14:solidFill>
          </w14:textFill>
        </w:rPr>
        <w:t>建设项目污染物排放量汇总表</w:t>
      </w:r>
      <w:bookmarkEnd w:id="43"/>
      <w:bookmarkEnd w:id="44"/>
    </w:p>
    <w:tbl>
      <w:tblPr>
        <w:tblStyle w:val="25"/>
        <w:tblW w:w="4998"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57" w:type="dxa"/>
          <w:bottom w:w="0" w:type="dxa"/>
          <w:right w:w="57" w:type="dxa"/>
        </w:tblCellMar>
      </w:tblPr>
      <w:tblGrid>
        <w:gridCol w:w="1444"/>
        <w:gridCol w:w="1463"/>
        <w:gridCol w:w="1644"/>
        <w:gridCol w:w="1234"/>
        <w:gridCol w:w="1644"/>
        <w:gridCol w:w="1509"/>
        <w:gridCol w:w="1703"/>
        <w:gridCol w:w="1717"/>
        <w:gridCol w:w="1129"/>
      </w:tblGrid>
      <w:tr w14:paraId="623392C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54" w:hRule="atLeast"/>
        </w:trPr>
        <w:tc>
          <w:tcPr>
            <w:tcW w:w="535" w:type="pct"/>
            <w:tcBorders>
              <w:tl2br w:val="single" w:color="auto" w:sz="4" w:space="0"/>
            </w:tcBorders>
            <w:noWrap w:val="0"/>
            <w:tcMar>
              <w:left w:w="28" w:type="dxa"/>
              <w:right w:w="28" w:type="dxa"/>
            </w:tcMar>
            <w:vAlign w:val="center"/>
          </w:tcPr>
          <w:p w14:paraId="26765C49">
            <w:pPr>
              <w:pStyle w:val="48"/>
              <w:keepNext w:val="0"/>
              <w:keepLines w:val="0"/>
              <w:pageBreakBefore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jc w:val="right"/>
              <w:textAlignment w:val="auto"/>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pP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t>项目</w:t>
            </w:r>
          </w:p>
          <w:p w14:paraId="07B27481">
            <w:pPr>
              <w:pStyle w:val="48"/>
              <w:keepNext w:val="0"/>
              <w:keepLines w:val="0"/>
              <w:pageBreakBefore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jc w:val="left"/>
              <w:textAlignment w:val="auto"/>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pP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t>分类</w:t>
            </w:r>
          </w:p>
        </w:tc>
        <w:tc>
          <w:tcPr>
            <w:tcW w:w="542" w:type="pct"/>
            <w:noWrap w:val="0"/>
            <w:tcMar>
              <w:left w:w="28" w:type="dxa"/>
              <w:right w:w="28" w:type="dxa"/>
            </w:tcMar>
            <w:vAlign w:val="center"/>
          </w:tcPr>
          <w:p w14:paraId="2388C8F7">
            <w:pPr>
              <w:pStyle w:val="48"/>
              <w:keepNext w:val="0"/>
              <w:keepLines w:val="0"/>
              <w:pageBreakBefore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jc w:val="center"/>
              <w:textAlignment w:val="auto"/>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pP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t>污染物名称</w:t>
            </w:r>
          </w:p>
        </w:tc>
        <w:tc>
          <w:tcPr>
            <w:tcW w:w="609" w:type="pct"/>
            <w:noWrap w:val="0"/>
            <w:tcMar>
              <w:left w:w="28" w:type="dxa"/>
              <w:right w:w="28" w:type="dxa"/>
            </w:tcMar>
            <w:vAlign w:val="center"/>
          </w:tcPr>
          <w:p w14:paraId="13A106A3">
            <w:pPr>
              <w:pStyle w:val="48"/>
              <w:keepNext w:val="0"/>
              <w:keepLines w:val="0"/>
              <w:pageBreakBefore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jc w:val="center"/>
              <w:textAlignment w:val="auto"/>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pP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t>现有工程</w:t>
            </w:r>
          </w:p>
          <w:p w14:paraId="32DF4BE5">
            <w:pPr>
              <w:pStyle w:val="48"/>
              <w:keepNext w:val="0"/>
              <w:keepLines w:val="0"/>
              <w:pageBreakBefore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jc w:val="center"/>
              <w:textAlignment w:val="auto"/>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pP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t>排放量（固体废物产生量）</w:t>
            </w: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fldChar w:fldCharType="begin"/>
            </w: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instrText xml:space="preserve"> = 1 \* GB3 \* MERGEFORMAT </w:instrText>
            </w: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fldChar w:fldCharType="separate"/>
            </w:r>
            <w:r>
              <w:rPr>
                <w:rFonts w:hint="default" w:ascii="Times New Roman" w:hAnsi="Times New Roman" w:eastAsia="黑体" w:cs="Times New Roman"/>
                <w:color w:val="000000" w:themeColor="text1"/>
                <w:kern w:val="2"/>
                <w:sz w:val="21"/>
                <w:szCs w:val="21"/>
                <w14:textFill>
                  <w14:solidFill>
                    <w14:schemeClr w14:val="tx1"/>
                  </w14:solidFill>
                </w14:textFill>
              </w:rPr>
              <w:t>①</w:t>
            </w: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fldChar w:fldCharType="end"/>
            </w:r>
          </w:p>
        </w:tc>
        <w:tc>
          <w:tcPr>
            <w:tcW w:w="457" w:type="pct"/>
            <w:noWrap w:val="0"/>
            <w:tcMar>
              <w:left w:w="28" w:type="dxa"/>
              <w:right w:w="28" w:type="dxa"/>
            </w:tcMar>
            <w:vAlign w:val="center"/>
          </w:tcPr>
          <w:p w14:paraId="326559F1">
            <w:pPr>
              <w:pStyle w:val="48"/>
              <w:keepNext w:val="0"/>
              <w:keepLines w:val="0"/>
              <w:pageBreakBefore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jc w:val="center"/>
              <w:textAlignment w:val="auto"/>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pP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t>现有工程</w:t>
            </w:r>
          </w:p>
          <w:p w14:paraId="16A87191">
            <w:pPr>
              <w:pStyle w:val="48"/>
              <w:keepNext w:val="0"/>
              <w:keepLines w:val="0"/>
              <w:pageBreakBefore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jc w:val="center"/>
              <w:textAlignment w:val="auto"/>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pP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t>许可排放量</w:t>
            </w:r>
          </w:p>
          <w:p w14:paraId="322920BE">
            <w:pPr>
              <w:pStyle w:val="48"/>
              <w:keepNext w:val="0"/>
              <w:keepLines w:val="0"/>
              <w:pageBreakBefore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jc w:val="center"/>
              <w:textAlignment w:val="auto"/>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pP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fldChar w:fldCharType="begin"/>
            </w: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instrText xml:space="preserve"> = 2 \* GB3 \* MERGEFORMAT </w:instrText>
            </w: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fldChar w:fldCharType="separate"/>
            </w: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t>②</w:t>
            </w: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fldChar w:fldCharType="end"/>
            </w:r>
          </w:p>
        </w:tc>
        <w:tc>
          <w:tcPr>
            <w:tcW w:w="609" w:type="pct"/>
            <w:noWrap w:val="0"/>
            <w:tcMar>
              <w:left w:w="28" w:type="dxa"/>
              <w:right w:w="28" w:type="dxa"/>
            </w:tcMar>
            <w:vAlign w:val="center"/>
          </w:tcPr>
          <w:p w14:paraId="5FBD3AF5">
            <w:pPr>
              <w:pStyle w:val="48"/>
              <w:keepNext w:val="0"/>
              <w:keepLines w:val="0"/>
              <w:pageBreakBefore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jc w:val="center"/>
              <w:textAlignment w:val="auto"/>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pP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t>在建工程</w:t>
            </w:r>
          </w:p>
          <w:p w14:paraId="42C81CF3">
            <w:pPr>
              <w:pStyle w:val="48"/>
              <w:keepNext w:val="0"/>
              <w:keepLines w:val="0"/>
              <w:pageBreakBefore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jc w:val="center"/>
              <w:textAlignment w:val="auto"/>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pP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t>排放量（固体废物产生量）</w:t>
            </w: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fldChar w:fldCharType="begin"/>
            </w: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instrText xml:space="preserve"> = 3 \* GB3 \* MERGEFORMAT </w:instrText>
            </w: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fldChar w:fldCharType="separate"/>
            </w:r>
            <w:r>
              <w:rPr>
                <w:rFonts w:hint="default" w:ascii="Times New Roman" w:hAnsi="Times New Roman" w:eastAsia="黑体" w:cs="Times New Roman"/>
                <w:color w:val="000000" w:themeColor="text1"/>
                <w:kern w:val="2"/>
                <w:sz w:val="21"/>
                <w:szCs w:val="21"/>
                <w14:textFill>
                  <w14:solidFill>
                    <w14:schemeClr w14:val="tx1"/>
                  </w14:solidFill>
                </w14:textFill>
              </w:rPr>
              <w:t>③</w:t>
            </w: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fldChar w:fldCharType="end"/>
            </w:r>
          </w:p>
        </w:tc>
        <w:tc>
          <w:tcPr>
            <w:tcW w:w="559" w:type="pct"/>
            <w:noWrap w:val="0"/>
            <w:tcMar>
              <w:left w:w="28" w:type="dxa"/>
              <w:right w:w="28" w:type="dxa"/>
            </w:tcMar>
            <w:vAlign w:val="center"/>
          </w:tcPr>
          <w:p w14:paraId="2EFBB527">
            <w:pPr>
              <w:pStyle w:val="48"/>
              <w:keepNext w:val="0"/>
              <w:keepLines w:val="0"/>
              <w:pageBreakBefore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jc w:val="center"/>
              <w:textAlignment w:val="auto"/>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pP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t>本项目</w:t>
            </w:r>
          </w:p>
          <w:p w14:paraId="522FE78F">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pP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t>排放量（固体废物产生量）</w:t>
            </w: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fldChar w:fldCharType="begin"/>
            </w: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instrText xml:space="preserve"> = 4 \* GB3 \* MERGEFORMAT </w:instrText>
            </w: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fldChar w:fldCharType="separate"/>
            </w:r>
            <w:r>
              <w:rPr>
                <w:rFonts w:hint="default" w:ascii="Times New Roman" w:hAnsi="Times New Roman" w:eastAsia="黑体" w:cs="Times New Roman"/>
                <w:color w:val="000000" w:themeColor="text1"/>
                <w:kern w:val="2"/>
                <w:sz w:val="21"/>
                <w:szCs w:val="21"/>
                <w14:textFill>
                  <w14:solidFill>
                    <w14:schemeClr w14:val="tx1"/>
                  </w14:solidFill>
                </w14:textFill>
              </w:rPr>
              <w:t>④</w:t>
            </w: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fldChar w:fldCharType="end"/>
            </w:r>
          </w:p>
        </w:tc>
        <w:tc>
          <w:tcPr>
            <w:tcW w:w="631" w:type="pct"/>
            <w:noWrap w:val="0"/>
            <w:tcMar>
              <w:left w:w="28" w:type="dxa"/>
              <w:right w:w="28" w:type="dxa"/>
            </w:tcMar>
            <w:vAlign w:val="center"/>
          </w:tcPr>
          <w:p w14:paraId="00046488">
            <w:pPr>
              <w:pStyle w:val="48"/>
              <w:keepNext w:val="0"/>
              <w:keepLines w:val="0"/>
              <w:pageBreakBefore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jc w:val="center"/>
              <w:textAlignment w:val="auto"/>
              <w:rPr>
                <w:rFonts w:hint="default" w:ascii="Times New Roman" w:hAnsi="Times New Roman" w:eastAsia="黑体" w:cs="Times New Roman"/>
                <w:snapToGrid w:val="0"/>
                <w:color w:val="000000" w:themeColor="text1"/>
                <w:spacing w:val="-16"/>
                <w:kern w:val="21"/>
                <w:sz w:val="21"/>
                <w:szCs w:val="21"/>
                <w14:textFill>
                  <w14:solidFill>
                    <w14:schemeClr w14:val="tx1"/>
                  </w14:solidFill>
                </w14:textFill>
              </w:rPr>
            </w:pPr>
            <w:r>
              <w:rPr>
                <w:rFonts w:hint="default" w:ascii="Times New Roman" w:hAnsi="Times New Roman" w:eastAsia="黑体" w:cs="Times New Roman"/>
                <w:snapToGrid w:val="0"/>
                <w:color w:val="000000" w:themeColor="text1"/>
                <w:spacing w:val="-16"/>
                <w:kern w:val="21"/>
                <w:sz w:val="21"/>
                <w:szCs w:val="21"/>
                <w14:textFill>
                  <w14:solidFill>
                    <w14:schemeClr w14:val="tx1"/>
                  </w14:solidFill>
                </w14:textFill>
              </w:rPr>
              <w:t>以新带老削减量</w:t>
            </w:r>
          </w:p>
          <w:p w14:paraId="0F4CAB96">
            <w:pPr>
              <w:pStyle w:val="48"/>
              <w:keepNext w:val="0"/>
              <w:keepLines w:val="0"/>
              <w:pageBreakBefore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jc w:val="center"/>
              <w:textAlignment w:val="auto"/>
              <w:rPr>
                <w:rFonts w:hint="default" w:ascii="Times New Roman" w:hAnsi="Times New Roman" w:eastAsia="黑体" w:cs="Times New Roman"/>
                <w:snapToGrid w:val="0"/>
                <w:color w:val="000000" w:themeColor="text1"/>
                <w:spacing w:val="-16"/>
                <w:kern w:val="21"/>
                <w:sz w:val="21"/>
                <w:szCs w:val="21"/>
                <w14:textFill>
                  <w14:solidFill>
                    <w14:schemeClr w14:val="tx1"/>
                  </w14:solidFill>
                </w14:textFill>
              </w:rPr>
            </w:pPr>
            <w:r>
              <w:rPr>
                <w:rFonts w:hint="default" w:ascii="Times New Roman" w:hAnsi="Times New Roman" w:eastAsia="黑体" w:cs="Times New Roman"/>
                <w:snapToGrid w:val="0"/>
                <w:color w:val="000000" w:themeColor="text1"/>
                <w:spacing w:val="-16"/>
                <w:kern w:val="21"/>
                <w:sz w:val="21"/>
                <w:szCs w:val="21"/>
                <w14:textFill>
                  <w14:solidFill>
                    <w14:schemeClr w14:val="tx1"/>
                  </w14:solidFill>
                </w14:textFill>
              </w:rPr>
              <w:t>（新建项目不填）</w:t>
            </w:r>
            <w:r>
              <w:rPr>
                <w:rFonts w:hint="default" w:ascii="Times New Roman" w:hAnsi="Times New Roman" w:eastAsia="黑体" w:cs="Times New Roman"/>
                <w:snapToGrid w:val="0"/>
                <w:color w:val="000000" w:themeColor="text1"/>
                <w:spacing w:val="-16"/>
                <w:kern w:val="21"/>
                <w:sz w:val="21"/>
                <w:szCs w:val="21"/>
                <w14:textFill>
                  <w14:solidFill>
                    <w14:schemeClr w14:val="tx1"/>
                  </w14:solidFill>
                </w14:textFill>
              </w:rPr>
              <w:fldChar w:fldCharType="begin"/>
            </w:r>
            <w:r>
              <w:rPr>
                <w:rFonts w:hint="default" w:ascii="Times New Roman" w:hAnsi="Times New Roman" w:eastAsia="黑体" w:cs="Times New Roman"/>
                <w:snapToGrid w:val="0"/>
                <w:color w:val="000000" w:themeColor="text1"/>
                <w:spacing w:val="-16"/>
                <w:kern w:val="21"/>
                <w:sz w:val="21"/>
                <w:szCs w:val="21"/>
                <w14:textFill>
                  <w14:solidFill>
                    <w14:schemeClr w14:val="tx1"/>
                  </w14:solidFill>
                </w14:textFill>
              </w:rPr>
              <w:instrText xml:space="preserve"> = 5 \* GB3 \* MERGEFORMAT </w:instrText>
            </w:r>
            <w:r>
              <w:rPr>
                <w:rFonts w:hint="default" w:ascii="Times New Roman" w:hAnsi="Times New Roman" w:eastAsia="黑体" w:cs="Times New Roman"/>
                <w:snapToGrid w:val="0"/>
                <w:color w:val="000000" w:themeColor="text1"/>
                <w:spacing w:val="-16"/>
                <w:kern w:val="21"/>
                <w:sz w:val="21"/>
                <w:szCs w:val="21"/>
                <w14:textFill>
                  <w14:solidFill>
                    <w14:schemeClr w14:val="tx1"/>
                  </w14:solidFill>
                </w14:textFill>
              </w:rPr>
              <w:fldChar w:fldCharType="separate"/>
            </w:r>
            <w:r>
              <w:rPr>
                <w:rFonts w:hint="default" w:ascii="Times New Roman" w:hAnsi="Times New Roman" w:eastAsia="黑体" w:cs="Times New Roman"/>
                <w:color w:val="000000" w:themeColor="text1"/>
                <w:kern w:val="2"/>
                <w:sz w:val="21"/>
                <w:szCs w:val="21"/>
                <w14:textFill>
                  <w14:solidFill>
                    <w14:schemeClr w14:val="tx1"/>
                  </w14:solidFill>
                </w14:textFill>
              </w:rPr>
              <w:t>⑤</w:t>
            </w:r>
            <w:r>
              <w:rPr>
                <w:rFonts w:hint="default" w:ascii="Times New Roman" w:hAnsi="Times New Roman" w:eastAsia="黑体" w:cs="Times New Roman"/>
                <w:snapToGrid w:val="0"/>
                <w:color w:val="000000" w:themeColor="text1"/>
                <w:spacing w:val="-16"/>
                <w:kern w:val="21"/>
                <w:sz w:val="21"/>
                <w:szCs w:val="21"/>
                <w14:textFill>
                  <w14:solidFill>
                    <w14:schemeClr w14:val="tx1"/>
                  </w14:solidFill>
                </w14:textFill>
              </w:rPr>
              <w:fldChar w:fldCharType="end"/>
            </w:r>
          </w:p>
        </w:tc>
        <w:tc>
          <w:tcPr>
            <w:tcW w:w="636" w:type="pct"/>
            <w:noWrap w:val="0"/>
            <w:tcMar>
              <w:left w:w="28" w:type="dxa"/>
              <w:right w:w="28" w:type="dxa"/>
            </w:tcMar>
            <w:vAlign w:val="center"/>
          </w:tcPr>
          <w:p w14:paraId="1E8971FC">
            <w:pPr>
              <w:pStyle w:val="48"/>
              <w:keepNext w:val="0"/>
              <w:keepLines w:val="0"/>
              <w:pageBreakBefore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jc w:val="center"/>
              <w:textAlignment w:val="auto"/>
              <w:rPr>
                <w:rFonts w:hint="default" w:ascii="Times New Roman" w:hAnsi="Times New Roman" w:eastAsia="黑体" w:cs="Times New Roman"/>
                <w:snapToGrid w:val="0"/>
                <w:color w:val="000000" w:themeColor="text1"/>
                <w:spacing w:val="-16"/>
                <w:kern w:val="21"/>
                <w:sz w:val="21"/>
                <w:szCs w:val="21"/>
                <w14:textFill>
                  <w14:solidFill>
                    <w14:schemeClr w14:val="tx1"/>
                  </w14:solidFill>
                </w14:textFill>
              </w:rPr>
            </w:pPr>
            <w:r>
              <w:rPr>
                <w:rFonts w:hint="default" w:ascii="Times New Roman" w:hAnsi="Times New Roman" w:eastAsia="黑体" w:cs="Times New Roman"/>
                <w:snapToGrid w:val="0"/>
                <w:color w:val="000000" w:themeColor="text1"/>
                <w:spacing w:val="-16"/>
                <w:kern w:val="21"/>
                <w:sz w:val="21"/>
                <w:szCs w:val="21"/>
                <w14:textFill>
                  <w14:solidFill>
                    <w14:schemeClr w14:val="tx1"/>
                  </w14:solidFill>
                </w14:textFill>
              </w:rPr>
              <w:t>本项目建成后</w:t>
            </w:r>
          </w:p>
          <w:p w14:paraId="4E687524">
            <w:pPr>
              <w:pStyle w:val="48"/>
              <w:keepNext w:val="0"/>
              <w:keepLines w:val="0"/>
              <w:pageBreakBefore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jc w:val="center"/>
              <w:textAlignment w:val="auto"/>
              <w:rPr>
                <w:rFonts w:hint="default" w:ascii="Times New Roman" w:hAnsi="Times New Roman" w:eastAsia="黑体" w:cs="Times New Roman"/>
                <w:snapToGrid w:val="0"/>
                <w:color w:val="000000" w:themeColor="text1"/>
                <w:spacing w:val="-16"/>
                <w:kern w:val="21"/>
                <w:sz w:val="21"/>
                <w:szCs w:val="21"/>
                <w14:textFill>
                  <w14:solidFill>
                    <w14:schemeClr w14:val="tx1"/>
                  </w14:solidFill>
                </w14:textFill>
              </w:rPr>
            </w:pPr>
            <w:r>
              <w:rPr>
                <w:rFonts w:hint="default" w:ascii="Times New Roman" w:hAnsi="Times New Roman" w:eastAsia="黑体" w:cs="Times New Roman"/>
                <w:snapToGrid w:val="0"/>
                <w:color w:val="000000" w:themeColor="text1"/>
                <w:spacing w:val="-16"/>
                <w:kern w:val="21"/>
                <w:sz w:val="21"/>
                <w:szCs w:val="21"/>
                <w14:textFill>
                  <w14:solidFill>
                    <w14:schemeClr w14:val="tx1"/>
                  </w14:solidFill>
                </w14:textFill>
              </w:rPr>
              <w:t>全厂排放量（固体废物产生量）</w:t>
            </w:r>
            <w:r>
              <w:rPr>
                <w:rFonts w:hint="default" w:ascii="Times New Roman" w:hAnsi="Times New Roman" w:eastAsia="黑体" w:cs="Times New Roman"/>
                <w:snapToGrid w:val="0"/>
                <w:color w:val="000000" w:themeColor="text1"/>
                <w:spacing w:val="-16"/>
                <w:kern w:val="21"/>
                <w:sz w:val="21"/>
                <w:szCs w:val="21"/>
                <w14:textFill>
                  <w14:solidFill>
                    <w14:schemeClr w14:val="tx1"/>
                  </w14:solidFill>
                </w14:textFill>
              </w:rPr>
              <w:fldChar w:fldCharType="begin"/>
            </w:r>
            <w:r>
              <w:rPr>
                <w:rFonts w:hint="default" w:ascii="Times New Roman" w:hAnsi="Times New Roman" w:eastAsia="黑体" w:cs="Times New Roman"/>
                <w:snapToGrid w:val="0"/>
                <w:color w:val="000000" w:themeColor="text1"/>
                <w:spacing w:val="-16"/>
                <w:kern w:val="21"/>
                <w:sz w:val="21"/>
                <w:szCs w:val="21"/>
                <w14:textFill>
                  <w14:solidFill>
                    <w14:schemeClr w14:val="tx1"/>
                  </w14:solidFill>
                </w14:textFill>
              </w:rPr>
              <w:instrText xml:space="preserve"> = 6 \* GB3 \* MERGEFORMAT </w:instrText>
            </w:r>
            <w:r>
              <w:rPr>
                <w:rFonts w:hint="default" w:ascii="Times New Roman" w:hAnsi="Times New Roman" w:eastAsia="黑体" w:cs="Times New Roman"/>
                <w:snapToGrid w:val="0"/>
                <w:color w:val="000000" w:themeColor="text1"/>
                <w:spacing w:val="-16"/>
                <w:kern w:val="21"/>
                <w:sz w:val="21"/>
                <w:szCs w:val="21"/>
                <w14:textFill>
                  <w14:solidFill>
                    <w14:schemeClr w14:val="tx1"/>
                  </w14:solidFill>
                </w14:textFill>
              </w:rPr>
              <w:fldChar w:fldCharType="separate"/>
            </w:r>
            <w:r>
              <w:rPr>
                <w:rFonts w:hint="default" w:ascii="Times New Roman" w:hAnsi="Times New Roman" w:eastAsia="黑体" w:cs="Times New Roman"/>
                <w:color w:val="000000" w:themeColor="text1"/>
                <w:kern w:val="2"/>
                <w:sz w:val="21"/>
                <w:szCs w:val="21"/>
                <w14:textFill>
                  <w14:solidFill>
                    <w14:schemeClr w14:val="tx1"/>
                  </w14:solidFill>
                </w14:textFill>
              </w:rPr>
              <w:t>⑥</w:t>
            </w:r>
            <w:r>
              <w:rPr>
                <w:rFonts w:hint="default" w:ascii="Times New Roman" w:hAnsi="Times New Roman" w:eastAsia="黑体" w:cs="Times New Roman"/>
                <w:snapToGrid w:val="0"/>
                <w:color w:val="000000" w:themeColor="text1"/>
                <w:spacing w:val="-16"/>
                <w:kern w:val="21"/>
                <w:sz w:val="21"/>
                <w:szCs w:val="21"/>
                <w14:textFill>
                  <w14:solidFill>
                    <w14:schemeClr w14:val="tx1"/>
                  </w14:solidFill>
                </w14:textFill>
              </w:rPr>
              <w:fldChar w:fldCharType="end"/>
            </w:r>
          </w:p>
        </w:tc>
        <w:tc>
          <w:tcPr>
            <w:tcW w:w="418" w:type="pct"/>
            <w:noWrap w:val="0"/>
            <w:tcMar>
              <w:left w:w="28" w:type="dxa"/>
              <w:right w:w="28" w:type="dxa"/>
            </w:tcMar>
            <w:vAlign w:val="center"/>
          </w:tcPr>
          <w:p w14:paraId="327CAFCF">
            <w:pPr>
              <w:pStyle w:val="48"/>
              <w:keepNext w:val="0"/>
              <w:keepLines w:val="0"/>
              <w:pageBreakBefore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jc w:val="center"/>
              <w:textAlignment w:val="auto"/>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pP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t>变化量</w:t>
            </w:r>
          </w:p>
          <w:p w14:paraId="2AF59812">
            <w:pPr>
              <w:pStyle w:val="48"/>
              <w:keepNext w:val="0"/>
              <w:keepLines w:val="0"/>
              <w:pageBreakBefore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jc w:val="center"/>
              <w:textAlignment w:val="auto"/>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pP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fldChar w:fldCharType="begin"/>
            </w: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instrText xml:space="preserve"> = 7 \* GB3 \* MERGEFORMAT </w:instrText>
            </w: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fldChar w:fldCharType="separate"/>
            </w:r>
            <w:r>
              <w:rPr>
                <w:rFonts w:hint="default" w:ascii="Times New Roman" w:hAnsi="Times New Roman" w:eastAsia="黑体" w:cs="Times New Roman"/>
                <w:color w:val="000000" w:themeColor="text1"/>
                <w:kern w:val="2"/>
                <w:sz w:val="21"/>
                <w:szCs w:val="21"/>
                <w14:textFill>
                  <w14:solidFill>
                    <w14:schemeClr w14:val="tx1"/>
                  </w14:solidFill>
                </w14:textFill>
              </w:rPr>
              <w:t>⑦</w:t>
            </w: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fldChar w:fldCharType="end"/>
            </w:r>
          </w:p>
        </w:tc>
      </w:tr>
      <w:tr w14:paraId="1A7114A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67" w:hRule="atLeast"/>
        </w:trPr>
        <w:tc>
          <w:tcPr>
            <w:tcW w:w="535" w:type="pct"/>
            <w:noWrap w:val="0"/>
            <w:vAlign w:val="center"/>
          </w:tcPr>
          <w:p w14:paraId="32DBF72C">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360" w:lineRule="exact"/>
              <w:ind w:left="0" w:right="0"/>
              <w:jc w:val="center"/>
              <w:textAlignment w:val="auto"/>
              <w:rPr>
                <w:rFonts w:hint="default" w:ascii="Times New Roman" w:hAnsi="Times New Roman" w:cs="Times New Roman"/>
                <w:snapToGrid w:val="0"/>
                <w:color w:val="000000" w:themeColor="text1"/>
                <w:kern w:val="21"/>
                <w:sz w:val="21"/>
                <w:szCs w:val="21"/>
                <w14:textFill>
                  <w14:solidFill>
                    <w14:schemeClr w14:val="tx1"/>
                  </w14:solidFill>
                </w14:textFill>
              </w:rPr>
            </w:pPr>
            <w:r>
              <w:rPr>
                <w:rFonts w:hint="default" w:ascii="Times New Roman" w:hAnsi="Times New Roman" w:cs="Times New Roman"/>
                <w:snapToGrid w:val="0"/>
                <w:color w:val="000000" w:themeColor="text1"/>
                <w:kern w:val="21"/>
                <w:sz w:val="21"/>
                <w:szCs w:val="21"/>
                <w14:textFill>
                  <w14:solidFill>
                    <w14:schemeClr w14:val="tx1"/>
                  </w14:solidFill>
                </w14:textFill>
              </w:rPr>
              <w:t>废气</w:t>
            </w:r>
          </w:p>
        </w:tc>
        <w:tc>
          <w:tcPr>
            <w:tcW w:w="542" w:type="pct"/>
            <w:noWrap w:val="0"/>
            <w:vAlign w:val="center"/>
          </w:tcPr>
          <w:p w14:paraId="1A47AA97">
            <w:pPr>
              <w:pStyle w:val="7"/>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宋体" w:cs="Times New Roman"/>
                <w:snapToGrid w:val="0"/>
                <w:color w:val="000000" w:themeColor="text1"/>
                <w:kern w:val="21"/>
                <w:sz w:val="21"/>
                <w:szCs w:val="21"/>
                <w:lang w:val="en-US" w:eastAsia="zh-CN"/>
                <w14:textFill>
                  <w14:solidFill>
                    <w14:schemeClr w14:val="tx1"/>
                  </w14:solidFill>
                </w14:textFill>
              </w:rPr>
            </w:pPr>
            <w:r>
              <w:rPr>
                <w:rFonts w:hint="eastAsia" w:cs="Times New Roman"/>
                <w:snapToGrid w:val="0"/>
                <w:color w:val="000000" w:themeColor="text1"/>
                <w:kern w:val="21"/>
                <w:sz w:val="21"/>
                <w:szCs w:val="21"/>
                <w:highlight w:val="none"/>
                <w:lang w:val="en-US" w:eastAsia="zh-CN"/>
                <w14:textFill>
                  <w14:solidFill>
                    <w14:schemeClr w14:val="tx1"/>
                  </w14:solidFill>
                </w14:textFill>
              </w:rPr>
              <w:t>非甲烷总烃</w:t>
            </w:r>
          </w:p>
        </w:tc>
        <w:tc>
          <w:tcPr>
            <w:tcW w:w="609" w:type="pct"/>
            <w:noWrap w:val="0"/>
            <w:vAlign w:val="center"/>
          </w:tcPr>
          <w:p w14:paraId="5AEBD6F6">
            <w:pPr>
              <w:pStyle w:val="48"/>
              <w:keepNext w:val="0"/>
              <w:keepLines w:val="0"/>
              <w:pageBreakBefore w:val="0"/>
              <w:suppressLineNumbers w:val="0"/>
              <w:kinsoku/>
              <w:wordWrap/>
              <w:overflowPunct/>
              <w:topLinePunct w:val="0"/>
              <w:autoSpaceDE/>
              <w:autoSpaceDN/>
              <w:bidi w:val="0"/>
              <w:adjustRightInd w:val="0"/>
              <w:snapToGrid w:val="0"/>
              <w:spacing w:before="0" w:beforeLines="0" w:beforeAutospacing="0" w:after="0" w:afterLines="0" w:afterAutospacing="0" w:line="360" w:lineRule="exact"/>
              <w:ind w:left="0" w:leftChars="0" w:right="0" w:rightChars="0" w:firstLine="0" w:firstLineChars="0"/>
              <w:textAlignment w:val="auto"/>
              <w:rPr>
                <w:rFonts w:hint="default" w:ascii="Times New Roman" w:hAnsi="Times New Roman" w:eastAsia="宋体" w:cs="Times New Roman"/>
                <w:snapToGrid w:val="0"/>
                <w:color w:val="000000" w:themeColor="text1"/>
                <w:kern w:val="21"/>
                <w:sz w:val="21"/>
                <w:szCs w:val="21"/>
                <w:lang w:val="en-US" w:eastAsia="zh-CN" w:bidi="ar-SA"/>
                <w14:textFill>
                  <w14:solidFill>
                    <w14:schemeClr w14:val="tx1"/>
                  </w14:solidFill>
                </w14:textFill>
              </w:rPr>
            </w:pPr>
          </w:p>
        </w:tc>
        <w:tc>
          <w:tcPr>
            <w:tcW w:w="457" w:type="pct"/>
            <w:noWrap w:val="0"/>
            <w:vAlign w:val="center"/>
          </w:tcPr>
          <w:p w14:paraId="5774388E">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360" w:lineRule="exact"/>
              <w:ind w:left="420" w:leftChars="0" w:right="0" w:hanging="420" w:hangingChars="200"/>
              <w:jc w:val="center"/>
              <w:textAlignment w:val="auto"/>
              <w:rPr>
                <w:rFonts w:hint="eastAsia" w:ascii="Times New Roman" w:hAnsi="Times New Roman" w:cs="Times New Roman"/>
                <w:snapToGrid w:val="0"/>
                <w:color w:val="000000" w:themeColor="text1"/>
                <w:kern w:val="21"/>
                <w:sz w:val="21"/>
                <w:szCs w:val="21"/>
                <w14:textFill>
                  <w14:solidFill>
                    <w14:schemeClr w14:val="tx1"/>
                  </w14:solidFill>
                </w14:textFill>
              </w:rPr>
            </w:pPr>
          </w:p>
        </w:tc>
        <w:tc>
          <w:tcPr>
            <w:tcW w:w="609" w:type="pct"/>
            <w:noWrap w:val="0"/>
            <w:vAlign w:val="center"/>
          </w:tcPr>
          <w:p w14:paraId="3F13F8BD">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360" w:lineRule="exact"/>
              <w:ind w:left="420" w:leftChars="0" w:right="0" w:hanging="420" w:hangingChars="200"/>
              <w:jc w:val="center"/>
              <w:textAlignment w:val="auto"/>
              <w:rPr>
                <w:rFonts w:hint="eastAsia" w:ascii="Times New Roman" w:hAnsi="Times New Roman" w:cs="Times New Roman"/>
                <w:snapToGrid w:val="0"/>
                <w:color w:val="000000" w:themeColor="text1"/>
                <w:kern w:val="21"/>
                <w:sz w:val="21"/>
                <w:szCs w:val="21"/>
                <w14:textFill>
                  <w14:solidFill>
                    <w14:schemeClr w14:val="tx1"/>
                  </w14:solidFill>
                </w14:textFill>
              </w:rPr>
            </w:pPr>
          </w:p>
        </w:tc>
        <w:tc>
          <w:tcPr>
            <w:tcW w:w="559" w:type="pct"/>
            <w:noWrap w:val="0"/>
            <w:vAlign w:val="center"/>
          </w:tcPr>
          <w:p w14:paraId="2138C09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jc w:val="center"/>
              <w:textAlignment w:val="auto"/>
              <w:rPr>
                <w:rFonts w:hint="default" w:ascii="Times New Roman" w:hAnsi="Times New Roman" w:eastAsia="宋体" w:cs="Times New Roman"/>
                <w:snapToGrid w:val="0"/>
                <w:color w:val="000000" w:themeColor="text1"/>
                <w:kern w:val="21"/>
                <w:sz w:val="21"/>
                <w:szCs w:val="21"/>
                <w:lang w:val="en-US" w:eastAsia="zh-CN"/>
                <w14:textFill>
                  <w14:solidFill>
                    <w14:schemeClr w14:val="tx1"/>
                  </w14:solidFill>
                </w14:textFill>
              </w:rPr>
            </w:pPr>
            <w:r>
              <w:rPr>
                <w:rFonts w:hint="eastAsia" w:cs="Times New Roman"/>
                <w:b w:val="0"/>
                <w:bCs/>
                <w:snapToGrid w:val="0"/>
                <w:color w:val="auto"/>
                <w:kern w:val="21"/>
                <w:sz w:val="21"/>
                <w:szCs w:val="21"/>
                <w:lang w:val="en-US" w:eastAsia="zh-CN"/>
              </w:rPr>
              <w:t>0.5075t/a</w:t>
            </w:r>
          </w:p>
        </w:tc>
        <w:tc>
          <w:tcPr>
            <w:tcW w:w="631" w:type="pct"/>
            <w:noWrap w:val="0"/>
            <w:vAlign w:val="center"/>
          </w:tcPr>
          <w:p w14:paraId="1D7D85B7">
            <w:pPr>
              <w:pStyle w:val="48"/>
              <w:keepNext w:val="0"/>
              <w:keepLines w:val="0"/>
              <w:pageBreakBefore w:val="0"/>
              <w:suppressLineNumbers w:val="0"/>
              <w:kinsoku/>
              <w:wordWrap/>
              <w:overflowPunct/>
              <w:topLinePunct w:val="0"/>
              <w:autoSpaceDE/>
              <w:autoSpaceDN/>
              <w:bidi w:val="0"/>
              <w:adjustRightInd w:val="0"/>
              <w:snapToGrid w:val="0"/>
              <w:spacing w:before="0" w:beforeLines="0" w:beforeAutospacing="0" w:after="0" w:afterLines="0" w:afterAutospacing="0" w:line="360" w:lineRule="exact"/>
              <w:ind w:left="0" w:leftChars="0" w:right="0" w:rightChars="0" w:firstLine="0" w:firstLineChars="0"/>
              <w:textAlignment w:val="auto"/>
              <w:rPr>
                <w:rFonts w:hint="default" w:ascii="Times New Roman" w:hAnsi="Times New Roman" w:eastAsia="宋体" w:cs="Times New Roman"/>
                <w:snapToGrid w:val="0"/>
                <w:color w:val="000000" w:themeColor="text1"/>
                <w:kern w:val="21"/>
                <w:sz w:val="21"/>
                <w:szCs w:val="21"/>
                <w:lang w:val="en-US" w:eastAsia="zh-CN"/>
                <w14:textFill>
                  <w14:solidFill>
                    <w14:schemeClr w14:val="tx1"/>
                  </w14:solidFill>
                </w14:textFill>
              </w:rPr>
            </w:pPr>
          </w:p>
        </w:tc>
        <w:tc>
          <w:tcPr>
            <w:tcW w:w="636" w:type="pct"/>
            <w:noWrap w:val="0"/>
            <w:vAlign w:val="center"/>
          </w:tcPr>
          <w:p w14:paraId="7021DB3B">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jc w:val="center"/>
              <w:textAlignment w:val="auto"/>
              <w:rPr>
                <w:rFonts w:hint="default" w:ascii="Times New Roman" w:hAnsi="Times New Roman" w:eastAsia="宋体" w:cs="Times New Roman"/>
                <w:snapToGrid w:val="0"/>
                <w:color w:val="000000" w:themeColor="text1"/>
                <w:kern w:val="21"/>
                <w:sz w:val="21"/>
                <w:szCs w:val="21"/>
                <w:lang w:val="en-US" w:eastAsia="zh-CN"/>
                <w14:textFill>
                  <w14:solidFill>
                    <w14:schemeClr w14:val="tx1"/>
                  </w14:solidFill>
                </w14:textFill>
              </w:rPr>
            </w:pPr>
            <w:r>
              <w:rPr>
                <w:rFonts w:hint="eastAsia" w:cs="Times New Roman"/>
                <w:b w:val="0"/>
                <w:bCs/>
                <w:snapToGrid w:val="0"/>
                <w:color w:val="auto"/>
                <w:kern w:val="21"/>
                <w:sz w:val="21"/>
                <w:szCs w:val="21"/>
                <w:lang w:val="en-US" w:eastAsia="zh-CN"/>
              </w:rPr>
              <w:t>0.5075t/a</w:t>
            </w:r>
          </w:p>
        </w:tc>
        <w:tc>
          <w:tcPr>
            <w:tcW w:w="418" w:type="pct"/>
            <w:noWrap w:val="0"/>
            <w:vAlign w:val="center"/>
          </w:tcPr>
          <w:p w14:paraId="3F9E8D65">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60" w:lineRule="exact"/>
              <w:ind w:left="0" w:right="0"/>
              <w:jc w:val="center"/>
              <w:textAlignment w:val="auto"/>
              <w:rPr>
                <w:rFonts w:hint="default" w:ascii="Times New Roman" w:hAnsi="Times New Roman" w:eastAsia="宋体" w:cs="Times New Roman"/>
                <w:snapToGrid w:val="0"/>
                <w:color w:val="000000" w:themeColor="text1"/>
                <w:kern w:val="21"/>
                <w:sz w:val="21"/>
                <w:szCs w:val="21"/>
                <w:lang w:val="en-US" w:eastAsia="zh-CN"/>
                <w14:textFill>
                  <w14:solidFill>
                    <w14:schemeClr w14:val="tx1"/>
                  </w14:solidFill>
                </w14:textFill>
              </w:rPr>
            </w:pPr>
            <w:r>
              <w:rPr>
                <w:rFonts w:hint="eastAsia" w:ascii="Times New Roman" w:hAnsi="Times New Roman" w:cs="Times New Roman"/>
                <w:color w:val="000000" w:themeColor="text1"/>
                <w:kern w:val="0"/>
                <w:sz w:val="21"/>
                <w:szCs w:val="21"/>
                <w:highlight w:val="none"/>
                <w:u w:val="none"/>
                <w:lang w:val="en-US" w:eastAsia="zh-CN"/>
                <w14:textFill>
                  <w14:solidFill>
                    <w14:schemeClr w14:val="tx1"/>
                  </w14:solidFill>
                </w14:textFill>
              </w:rPr>
              <w:t>+</w:t>
            </w:r>
            <w:r>
              <w:rPr>
                <w:rFonts w:hint="eastAsia" w:cs="Times New Roman"/>
                <w:color w:val="000000" w:themeColor="text1"/>
                <w:kern w:val="0"/>
                <w:sz w:val="21"/>
                <w:szCs w:val="21"/>
                <w:highlight w:val="none"/>
                <w:u w:val="none"/>
                <w:lang w:val="en-US" w:eastAsia="zh-CN"/>
                <w14:textFill>
                  <w14:solidFill>
                    <w14:schemeClr w14:val="tx1"/>
                  </w14:solidFill>
                </w14:textFill>
              </w:rPr>
              <w:t>0.5075t/a</w:t>
            </w:r>
          </w:p>
        </w:tc>
      </w:tr>
      <w:tr w14:paraId="6373C3F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535" w:type="pct"/>
            <w:vMerge w:val="restart"/>
            <w:noWrap w:val="0"/>
            <w:vAlign w:val="center"/>
          </w:tcPr>
          <w:p w14:paraId="73F8AEAE">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360" w:lineRule="exact"/>
              <w:ind w:left="0" w:right="0"/>
              <w:jc w:val="center"/>
              <w:textAlignment w:val="auto"/>
              <w:rPr>
                <w:rFonts w:hint="default" w:ascii="Times New Roman" w:hAnsi="Times New Roman" w:cs="Times New Roman"/>
                <w:snapToGrid w:val="0"/>
                <w:color w:val="000000" w:themeColor="text1"/>
                <w:kern w:val="21"/>
                <w:sz w:val="21"/>
                <w:szCs w:val="21"/>
                <w14:textFill>
                  <w14:solidFill>
                    <w14:schemeClr w14:val="tx1"/>
                  </w14:solidFill>
                </w14:textFill>
              </w:rPr>
            </w:pPr>
            <w:r>
              <w:rPr>
                <w:rFonts w:hint="default" w:ascii="Times New Roman" w:hAnsi="Times New Roman" w:cs="Times New Roman"/>
                <w:snapToGrid w:val="0"/>
                <w:color w:val="000000" w:themeColor="text1"/>
                <w:kern w:val="21"/>
                <w:sz w:val="21"/>
                <w:szCs w:val="21"/>
                <w14:textFill>
                  <w14:solidFill>
                    <w14:schemeClr w14:val="tx1"/>
                  </w14:solidFill>
                </w14:textFill>
              </w:rPr>
              <w:t>废水</w:t>
            </w:r>
          </w:p>
        </w:tc>
        <w:tc>
          <w:tcPr>
            <w:tcW w:w="542" w:type="pct"/>
            <w:noWrap w:val="0"/>
            <w:vAlign w:val="center"/>
          </w:tcPr>
          <w:p w14:paraId="04C34A30">
            <w:pPr>
              <w:keepNext w:val="0"/>
              <w:keepLines w:val="0"/>
              <w:widowControl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snapToGrid w:val="0"/>
                <w:color w:val="000000" w:themeColor="text1"/>
                <w:kern w:val="21"/>
                <w:sz w:val="21"/>
                <w:szCs w:val="21"/>
                <w:lang w:eastAsia="zh-CN"/>
                <w14:textFill>
                  <w14:solidFill>
                    <w14:schemeClr w14:val="tx1"/>
                  </w14:solidFill>
                </w14:textFill>
              </w:rPr>
            </w:pPr>
            <w:r>
              <w:rPr>
                <w:rFonts w:hint="default" w:ascii="Times New Roman" w:hAnsi="Times New Roman" w:eastAsia="宋体" w:cs="Times New Roman"/>
                <w:kern w:val="2"/>
                <w:sz w:val="21"/>
                <w:szCs w:val="24"/>
                <w:lang w:val="en-US" w:eastAsia="zh-CN" w:bidi="ar"/>
              </w:rPr>
              <w:t>COD</w:t>
            </w:r>
          </w:p>
        </w:tc>
        <w:tc>
          <w:tcPr>
            <w:tcW w:w="609" w:type="pct"/>
            <w:noWrap w:val="0"/>
            <w:vAlign w:val="center"/>
          </w:tcPr>
          <w:p w14:paraId="2690C3D7">
            <w:pPr>
              <w:pStyle w:val="21"/>
              <w:keepNext w:val="0"/>
              <w:keepLines w:val="0"/>
              <w:widowControl w:val="0"/>
              <w:suppressLineNumbers w:val="0"/>
              <w:adjustRightInd w:val="0"/>
              <w:snapToGrid w:val="0"/>
              <w:spacing w:before="24" w:beforeLines="10" w:beforeAutospacing="0" w:after="0" w:afterAutospacing="0" w:line="240" w:lineRule="auto"/>
              <w:ind w:left="0" w:leftChars="0" w:right="0" w:rightChars="0"/>
              <w:jc w:val="center"/>
              <w:rPr>
                <w:rFonts w:hint="default" w:ascii="Times New Roman" w:hAnsi="Times New Roman" w:eastAsia="宋体" w:cs="Times New Roman"/>
                <w:snapToGrid w:val="0"/>
                <w:color w:val="000000" w:themeColor="text1"/>
                <w:kern w:val="21"/>
                <w:sz w:val="21"/>
                <w:szCs w:val="21"/>
                <w:lang w:val="en-US" w:eastAsia="zh-CN" w:bidi="ar-SA"/>
                <w14:textFill>
                  <w14:solidFill>
                    <w14:schemeClr w14:val="tx1"/>
                  </w14:solidFill>
                </w14:textFill>
              </w:rPr>
            </w:pPr>
          </w:p>
        </w:tc>
        <w:tc>
          <w:tcPr>
            <w:tcW w:w="457" w:type="pct"/>
            <w:noWrap w:val="0"/>
            <w:vAlign w:val="center"/>
          </w:tcPr>
          <w:p w14:paraId="0AAE173B">
            <w:pPr>
              <w:pStyle w:val="21"/>
              <w:keepNext w:val="0"/>
              <w:keepLines w:val="0"/>
              <w:widowControl w:val="0"/>
              <w:suppressLineNumbers w:val="0"/>
              <w:adjustRightInd w:val="0"/>
              <w:snapToGrid w:val="0"/>
              <w:spacing w:before="24" w:beforeLines="10" w:beforeAutospacing="0" w:after="0" w:afterAutospacing="0" w:line="240" w:lineRule="auto"/>
              <w:ind w:left="0" w:leftChars="0" w:right="0" w:rightChars="0"/>
              <w:jc w:val="center"/>
              <w:rPr>
                <w:rFonts w:hint="default" w:ascii="Times New Roman" w:hAnsi="Times New Roman" w:cs="Times New Roman"/>
                <w:snapToGrid w:val="0"/>
                <w:color w:val="000000" w:themeColor="text1"/>
                <w:kern w:val="21"/>
                <w:sz w:val="21"/>
                <w:szCs w:val="21"/>
                <w14:textFill>
                  <w14:solidFill>
                    <w14:schemeClr w14:val="tx1"/>
                  </w14:solidFill>
                </w14:textFill>
              </w:rPr>
            </w:pPr>
          </w:p>
        </w:tc>
        <w:tc>
          <w:tcPr>
            <w:tcW w:w="609" w:type="pct"/>
            <w:noWrap w:val="0"/>
            <w:vAlign w:val="center"/>
          </w:tcPr>
          <w:p w14:paraId="467A73DA">
            <w:pPr>
              <w:pStyle w:val="21"/>
              <w:keepNext w:val="0"/>
              <w:keepLines w:val="0"/>
              <w:widowControl w:val="0"/>
              <w:suppressLineNumbers w:val="0"/>
              <w:adjustRightInd w:val="0"/>
              <w:snapToGrid w:val="0"/>
              <w:spacing w:before="24" w:beforeLines="10" w:beforeAutospacing="0" w:after="0" w:afterAutospacing="0" w:line="240" w:lineRule="auto"/>
              <w:ind w:left="0" w:leftChars="0" w:right="0" w:rightChars="0"/>
              <w:jc w:val="center"/>
              <w:rPr>
                <w:rFonts w:hint="default" w:ascii="Times New Roman" w:hAnsi="Times New Roman" w:cs="Times New Roman"/>
                <w:snapToGrid w:val="0"/>
                <w:color w:val="000000" w:themeColor="text1"/>
                <w:kern w:val="21"/>
                <w:sz w:val="21"/>
                <w:szCs w:val="21"/>
                <w14:textFill>
                  <w14:solidFill>
                    <w14:schemeClr w14:val="tx1"/>
                  </w14:solidFill>
                </w14:textFill>
              </w:rPr>
            </w:pPr>
          </w:p>
        </w:tc>
        <w:tc>
          <w:tcPr>
            <w:tcW w:w="559" w:type="pct"/>
            <w:noWrap w:val="0"/>
            <w:vAlign w:val="center"/>
          </w:tcPr>
          <w:p w14:paraId="5FC98F3B">
            <w:pPr>
              <w:pStyle w:val="21"/>
              <w:keepNext w:val="0"/>
              <w:keepLines w:val="0"/>
              <w:widowControl w:val="0"/>
              <w:suppressLineNumbers w:val="0"/>
              <w:adjustRightInd w:val="0"/>
              <w:snapToGrid w:val="0"/>
              <w:spacing w:before="24" w:beforeLines="10" w:beforeAutospacing="0" w:after="0" w:afterAutospacing="0" w:line="240" w:lineRule="auto"/>
              <w:ind w:left="0" w:leftChars="0" w:right="0" w:rightChars="0"/>
              <w:jc w:val="center"/>
              <w:rPr>
                <w:rFonts w:hint="default" w:ascii="Times New Roman" w:hAnsi="Times New Roman" w:cs="Times New Roman"/>
                <w:snapToGrid w:val="0"/>
                <w:color w:val="000000" w:themeColor="text1"/>
                <w:kern w:val="21"/>
                <w:sz w:val="21"/>
                <w:szCs w:val="21"/>
                <w14:textFill>
                  <w14:solidFill>
                    <w14:schemeClr w14:val="tx1"/>
                  </w14:solidFill>
                </w14:textFill>
              </w:rPr>
            </w:pPr>
            <w:r>
              <w:rPr>
                <w:rFonts w:hint="eastAsia" w:ascii="Times New Roman" w:hAnsi="Times New Roman" w:eastAsia="Times New Roman" w:cs="Times New Roman"/>
                <w:snapToGrid w:val="0"/>
                <w:kern w:val="21"/>
                <w:sz w:val="21"/>
                <w:szCs w:val="21"/>
                <w:lang w:val="en-US" w:eastAsia="zh-CN" w:bidi="ar"/>
              </w:rPr>
              <w:t>0.0096</w:t>
            </w:r>
            <w:r>
              <w:rPr>
                <w:rFonts w:hint="default" w:ascii="Times New Roman" w:hAnsi="Times New Roman" w:eastAsia="Times New Roman" w:cs="Times New Roman"/>
                <w:snapToGrid w:val="0"/>
                <w:kern w:val="21"/>
                <w:sz w:val="21"/>
                <w:szCs w:val="21"/>
                <w:lang w:val="en-US" w:eastAsia="zh-CN" w:bidi="ar"/>
              </w:rPr>
              <w:t>t/a</w:t>
            </w:r>
          </w:p>
        </w:tc>
        <w:tc>
          <w:tcPr>
            <w:tcW w:w="631" w:type="pct"/>
            <w:noWrap w:val="0"/>
            <w:vAlign w:val="center"/>
          </w:tcPr>
          <w:p w14:paraId="7999FC4D">
            <w:pPr>
              <w:pStyle w:val="21"/>
              <w:keepNext w:val="0"/>
              <w:keepLines w:val="0"/>
              <w:widowControl w:val="0"/>
              <w:suppressLineNumbers w:val="0"/>
              <w:adjustRightInd w:val="0"/>
              <w:snapToGrid w:val="0"/>
              <w:spacing w:before="24" w:beforeLines="10" w:beforeAutospacing="0" w:after="0" w:afterAutospacing="0" w:line="240" w:lineRule="auto"/>
              <w:ind w:left="0" w:leftChars="0" w:right="0" w:rightChars="0"/>
              <w:jc w:val="center"/>
              <w:rPr>
                <w:rFonts w:hint="default" w:ascii="Times New Roman" w:hAnsi="Times New Roman" w:cs="Times New Roman"/>
                <w:snapToGrid w:val="0"/>
                <w:color w:val="000000" w:themeColor="text1"/>
                <w:kern w:val="21"/>
                <w:sz w:val="21"/>
                <w:szCs w:val="21"/>
                <w14:textFill>
                  <w14:solidFill>
                    <w14:schemeClr w14:val="tx1"/>
                  </w14:solidFill>
                </w14:textFill>
              </w:rPr>
            </w:pPr>
          </w:p>
        </w:tc>
        <w:tc>
          <w:tcPr>
            <w:tcW w:w="636" w:type="pct"/>
            <w:noWrap w:val="0"/>
            <w:vAlign w:val="center"/>
          </w:tcPr>
          <w:p w14:paraId="7818E969">
            <w:pPr>
              <w:pStyle w:val="21"/>
              <w:keepNext w:val="0"/>
              <w:keepLines w:val="0"/>
              <w:widowControl w:val="0"/>
              <w:suppressLineNumbers w:val="0"/>
              <w:adjustRightInd w:val="0"/>
              <w:snapToGrid w:val="0"/>
              <w:spacing w:before="24" w:beforeLines="10" w:beforeAutospacing="0" w:after="0" w:afterAutospacing="0" w:line="240" w:lineRule="auto"/>
              <w:ind w:left="0" w:leftChars="0" w:right="0" w:rightChars="0"/>
              <w:jc w:val="center"/>
              <w:rPr>
                <w:rFonts w:hint="default" w:ascii="Times New Roman" w:hAnsi="Times New Roman" w:cs="Times New Roman"/>
                <w:snapToGrid w:val="0"/>
                <w:color w:val="000000" w:themeColor="text1"/>
                <w:kern w:val="21"/>
                <w:sz w:val="21"/>
                <w:szCs w:val="21"/>
                <w14:textFill>
                  <w14:solidFill>
                    <w14:schemeClr w14:val="tx1"/>
                  </w14:solidFill>
                </w14:textFill>
              </w:rPr>
            </w:pPr>
            <w:r>
              <w:rPr>
                <w:rFonts w:hint="eastAsia" w:ascii="Times New Roman" w:hAnsi="Times New Roman" w:eastAsia="Times New Roman" w:cs="Times New Roman"/>
                <w:snapToGrid w:val="0"/>
                <w:kern w:val="21"/>
                <w:sz w:val="21"/>
                <w:szCs w:val="21"/>
                <w:lang w:val="en-US" w:eastAsia="zh-CN" w:bidi="ar"/>
              </w:rPr>
              <w:t>0.0096</w:t>
            </w:r>
            <w:r>
              <w:rPr>
                <w:rFonts w:hint="default" w:ascii="Times New Roman" w:hAnsi="Times New Roman" w:eastAsia="Times New Roman" w:cs="Times New Roman"/>
                <w:snapToGrid w:val="0"/>
                <w:kern w:val="21"/>
                <w:sz w:val="21"/>
                <w:szCs w:val="21"/>
                <w:lang w:val="en-US" w:eastAsia="zh-CN" w:bidi="ar"/>
              </w:rPr>
              <w:t>t/a</w:t>
            </w:r>
          </w:p>
        </w:tc>
        <w:tc>
          <w:tcPr>
            <w:tcW w:w="418" w:type="pct"/>
            <w:noWrap w:val="0"/>
            <w:vAlign w:val="center"/>
          </w:tcPr>
          <w:p w14:paraId="1EAF9CB6">
            <w:pPr>
              <w:pStyle w:val="21"/>
              <w:keepNext w:val="0"/>
              <w:keepLines w:val="0"/>
              <w:widowControl w:val="0"/>
              <w:suppressLineNumbers w:val="0"/>
              <w:adjustRightInd w:val="0"/>
              <w:snapToGrid w:val="0"/>
              <w:spacing w:before="24" w:beforeLines="10" w:beforeAutospacing="0" w:after="0" w:afterAutospacing="0" w:line="240" w:lineRule="auto"/>
              <w:ind w:left="0" w:leftChars="0" w:right="0" w:rightChars="0"/>
              <w:jc w:val="center"/>
              <w:rPr>
                <w:rFonts w:hint="default" w:ascii="Times New Roman" w:hAnsi="Times New Roman" w:cs="Times New Roman"/>
                <w:snapToGrid w:val="0"/>
                <w:color w:val="000000" w:themeColor="text1"/>
                <w:kern w:val="21"/>
                <w:sz w:val="21"/>
                <w:szCs w:val="21"/>
                <w14:textFill>
                  <w14:solidFill>
                    <w14:schemeClr w14:val="tx1"/>
                  </w14:solidFill>
                </w14:textFill>
              </w:rPr>
            </w:pPr>
            <w:r>
              <w:rPr>
                <w:rFonts w:hint="default" w:ascii="Times New Roman" w:hAnsi="Times New Roman" w:eastAsia="Times New Roman" w:cs="Times New Roman"/>
                <w:snapToGrid w:val="0"/>
                <w:kern w:val="21"/>
                <w:sz w:val="21"/>
                <w:szCs w:val="21"/>
                <w:lang w:val="en-US" w:eastAsia="zh-CN" w:bidi="ar"/>
              </w:rPr>
              <w:t>+0.0</w:t>
            </w:r>
            <w:r>
              <w:rPr>
                <w:rFonts w:hint="eastAsia" w:ascii="Times New Roman" w:hAnsi="Times New Roman" w:eastAsia="Times New Roman" w:cs="Times New Roman"/>
                <w:snapToGrid w:val="0"/>
                <w:kern w:val="21"/>
                <w:sz w:val="21"/>
                <w:szCs w:val="21"/>
                <w:lang w:val="en-US" w:eastAsia="zh-CN" w:bidi="ar"/>
              </w:rPr>
              <w:t>09</w:t>
            </w:r>
            <w:r>
              <w:rPr>
                <w:rFonts w:hint="default" w:ascii="Times New Roman" w:hAnsi="Times New Roman" w:eastAsia="Times New Roman" w:cs="Times New Roman"/>
                <w:snapToGrid w:val="0"/>
                <w:kern w:val="21"/>
                <w:sz w:val="21"/>
                <w:szCs w:val="21"/>
                <w:lang w:val="en-US" w:eastAsia="zh-CN" w:bidi="ar"/>
              </w:rPr>
              <w:t>6t/a</w:t>
            </w:r>
          </w:p>
        </w:tc>
      </w:tr>
      <w:tr w14:paraId="5446B41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535" w:type="pct"/>
            <w:vMerge w:val="continue"/>
            <w:noWrap w:val="0"/>
            <w:vAlign w:val="center"/>
          </w:tcPr>
          <w:p w14:paraId="6FFE1337">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360" w:lineRule="exact"/>
              <w:ind w:left="0" w:right="0"/>
              <w:jc w:val="center"/>
              <w:textAlignment w:val="auto"/>
              <w:rPr>
                <w:rFonts w:hint="default" w:ascii="Times New Roman" w:hAnsi="Times New Roman" w:cs="Times New Roman"/>
                <w:snapToGrid w:val="0"/>
                <w:color w:val="000000" w:themeColor="text1"/>
                <w:kern w:val="21"/>
                <w:sz w:val="21"/>
                <w:szCs w:val="21"/>
                <w14:textFill>
                  <w14:solidFill>
                    <w14:schemeClr w14:val="tx1"/>
                  </w14:solidFill>
                </w14:textFill>
              </w:rPr>
            </w:pPr>
          </w:p>
        </w:tc>
        <w:tc>
          <w:tcPr>
            <w:tcW w:w="542" w:type="pct"/>
            <w:noWrap w:val="0"/>
            <w:vAlign w:val="center"/>
          </w:tcPr>
          <w:p w14:paraId="5C74BF23">
            <w:pPr>
              <w:keepNext w:val="0"/>
              <w:keepLines w:val="0"/>
              <w:widowControl w:val="0"/>
              <w:suppressLineNumbers w:val="0"/>
              <w:adjustRightInd w:val="0"/>
              <w:snapToGrid w:val="0"/>
              <w:spacing w:before="0" w:beforeAutospacing="0" w:after="0" w:afterAutospacing="0"/>
              <w:ind w:left="0" w:leftChars="0" w:right="0" w:rightChars="0"/>
              <w:jc w:val="center"/>
              <w:rPr>
                <w:rFonts w:hint="eastAsia"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宋体"/>
                <w:kern w:val="2"/>
                <w:sz w:val="21"/>
                <w:szCs w:val="24"/>
                <w:lang w:val="en-US" w:eastAsia="zh-CN" w:bidi="ar"/>
              </w:rPr>
              <w:t>氨氮</w:t>
            </w:r>
          </w:p>
        </w:tc>
        <w:tc>
          <w:tcPr>
            <w:tcW w:w="609" w:type="pct"/>
            <w:noWrap w:val="0"/>
            <w:vAlign w:val="center"/>
          </w:tcPr>
          <w:p w14:paraId="782A5C52">
            <w:pPr>
              <w:pStyle w:val="21"/>
              <w:keepNext w:val="0"/>
              <w:keepLines w:val="0"/>
              <w:widowControl w:val="0"/>
              <w:suppressLineNumbers w:val="0"/>
              <w:adjustRightInd w:val="0"/>
              <w:snapToGrid w:val="0"/>
              <w:spacing w:before="24" w:beforeLines="10" w:beforeAutospacing="0" w:after="0" w:afterAutospacing="0" w:line="240" w:lineRule="auto"/>
              <w:ind w:left="0" w:leftChars="0" w:right="0" w:rightChars="0"/>
              <w:jc w:val="center"/>
              <w:rPr>
                <w:rFonts w:hint="default" w:ascii="Times New Roman" w:hAnsi="Times New Roman" w:eastAsia="宋体" w:cs="Times New Roman"/>
                <w:snapToGrid w:val="0"/>
                <w:color w:val="000000" w:themeColor="text1"/>
                <w:kern w:val="21"/>
                <w:sz w:val="21"/>
                <w:szCs w:val="21"/>
                <w:lang w:val="en-US" w:eastAsia="zh-CN" w:bidi="ar-SA"/>
                <w14:textFill>
                  <w14:solidFill>
                    <w14:schemeClr w14:val="tx1"/>
                  </w14:solidFill>
                </w14:textFill>
              </w:rPr>
            </w:pPr>
          </w:p>
        </w:tc>
        <w:tc>
          <w:tcPr>
            <w:tcW w:w="457" w:type="pct"/>
            <w:noWrap w:val="0"/>
            <w:vAlign w:val="center"/>
          </w:tcPr>
          <w:p w14:paraId="22189D1F">
            <w:pPr>
              <w:pStyle w:val="21"/>
              <w:keepNext w:val="0"/>
              <w:keepLines w:val="0"/>
              <w:widowControl w:val="0"/>
              <w:suppressLineNumbers w:val="0"/>
              <w:adjustRightInd w:val="0"/>
              <w:snapToGrid w:val="0"/>
              <w:spacing w:before="24" w:beforeLines="10" w:beforeAutospacing="0" w:after="0" w:afterAutospacing="0" w:line="240" w:lineRule="auto"/>
              <w:ind w:left="0" w:leftChars="0" w:right="0" w:rightChars="0"/>
              <w:jc w:val="center"/>
              <w:rPr>
                <w:rFonts w:hint="default" w:ascii="Times New Roman" w:hAnsi="Times New Roman" w:cs="Times New Roman"/>
                <w:snapToGrid w:val="0"/>
                <w:color w:val="000000" w:themeColor="text1"/>
                <w:kern w:val="21"/>
                <w:sz w:val="21"/>
                <w:szCs w:val="21"/>
                <w14:textFill>
                  <w14:solidFill>
                    <w14:schemeClr w14:val="tx1"/>
                  </w14:solidFill>
                </w14:textFill>
              </w:rPr>
            </w:pPr>
          </w:p>
        </w:tc>
        <w:tc>
          <w:tcPr>
            <w:tcW w:w="609" w:type="pct"/>
            <w:noWrap w:val="0"/>
            <w:vAlign w:val="center"/>
          </w:tcPr>
          <w:p w14:paraId="5C7091B5">
            <w:pPr>
              <w:pStyle w:val="21"/>
              <w:keepNext w:val="0"/>
              <w:keepLines w:val="0"/>
              <w:widowControl w:val="0"/>
              <w:suppressLineNumbers w:val="0"/>
              <w:adjustRightInd w:val="0"/>
              <w:snapToGrid w:val="0"/>
              <w:spacing w:before="24" w:beforeLines="10" w:beforeAutospacing="0" w:after="0" w:afterAutospacing="0" w:line="240" w:lineRule="auto"/>
              <w:ind w:left="0" w:leftChars="0" w:right="0" w:rightChars="0"/>
              <w:jc w:val="center"/>
              <w:rPr>
                <w:rFonts w:hint="default" w:ascii="Times New Roman" w:hAnsi="Times New Roman" w:cs="Times New Roman"/>
                <w:snapToGrid w:val="0"/>
                <w:color w:val="000000" w:themeColor="text1"/>
                <w:kern w:val="21"/>
                <w:sz w:val="21"/>
                <w:szCs w:val="21"/>
                <w14:textFill>
                  <w14:solidFill>
                    <w14:schemeClr w14:val="tx1"/>
                  </w14:solidFill>
                </w14:textFill>
              </w:rPr>
            </w:pPr>
          </w:p>
        </w:tc>
        <w:tc>
          <w:tcPr>
            <w:tcW w:w="559" w:type="pct"/>
            <w:noWrap w:val="0"/>
            <w:vAlign w:val="center"/>
          </w:tcPr>
          <w:p w14:paraId="0837E292">
            <w:pPr>
              <w:pStyle w:val="21"/>
              <w:keepNext w:val="0"/>
              <w:keepLines w:val="0"/>
              <w:widowControl w:val="0"/>
              <w:suppressLineNumbers w:val="0"/>
              <w:adjustRightInd w:val="0"/>
              <w:snapToGrid w:val="0"/>
              <w:spacing w:before="24" w:beforeLines="10" w:beforeAutospacing="0" w:after="0" w:afterAutospacing="0" w:line="240" w:lineRule="auto"/>
              <w:ind w:left="0" w:leftChars="0" w:right="0" w:rightChars="0"/>
              <w:jc w:val="center"/>
              <w:rPr>
                <w:rFonts w:hint="default" w:ascii="Times New Roman" w:hAnsi="Times New Roman" w:cs="Times New Roman"/>
                <w:snapToGrid w:val="0"/>
                <w:color w:val="000000" w:themeColor="text1"/>
                <w:kern w:val="21"/>
                <w:sz w:val="21"/>
                <w:szCs w:val="21"/>
                <w14:textFill>
                  <w14:solidFill>
                    <w14:schemeClr w14:val="tx1"/>
                  </w14:solidFill>
                </w14:textFill>
              </w:rPr>
            </w:pPr>
            <w:r>
              <w:rPr>
                <w:rFonts w:hint="eastAsia" w:ascii="Times New Roman" w:hAnsi="Times New Roman" w:eastAsia="Times New Roman" w:cs="Times New Roman"/>
                <w:snapToGrid w:val="0"/>
                <w:kern w:val="21"/>
                <w:sz w:val="21"/>
                <w:szCs w:val="21"/>
                <w:lang w:val="en-US" w:eastAsia="zh-CN" w:bidi="ar"/>
              </w:rPr>
              <w:t>0.001</w:t>
            </w:r>
            <w:r>
              <w:rPr>
                <w:rFonts w:hint="default" w:ascii="Times New Roman" w:hAnsi="Times New Roman" w:eastAsia="Times New Roman" w:cs="Times New Roman"/>
                <w:snapToGrid w:val="0"/>
                <w:kern w:val="21"/>
                <w:sz w:val="21"/>
                <w:szCs w:val="21"/>
                <w:lang w:val="en-US" w:eastAsia="zh-CN" w:bidi="ar"/>
              </w:rPr>
              <w:t>t/a</w:t>
            </w:r>
          </w:p>
        </w:tc>
        <w:tc>
          <w:tcPr>
            <w:tcW w:w="631" w:type="pct"/>
            <w:noWrap w:val="0"/>
            <w:vAlign w:val="center"/>
          </w:tcPr>
          <w:p w14:paraId="0F8DAC48">
            <w:pPr>
              <w:pStyle w:val="21"/>
              <w:keepNext w:val="0"/>
              <w:keepLines w:val="0"/>
              <w:widowControl w:val="0"/>
              <w:suppressLineNumbers w:val="0"/>
              <w:adjustRightInd w:val="0"/>
              <w:snapToGrid w:val="0"/>
              <w:spacing w:before="24" w:beforeLines="10" w:beforeAutospacing="0" w:after="0" w:afterAutospacing="0" w:line="240" w:lineRule="auto"/>
              <w:ind w:left="0" w:leftChars="0" w:right="0" w:rightChars="0"/>
              <w:jc w:val="center"/>
              <w:rPr>
                <w:rFonts w:hint="default" w:ascii="Times New Roman" w:hAnsi="Times New Roman" w:cs="Times New Roman"/>
                <w:snapToGrid w:val="0"/>
                <w:color w:val="000000" w:themeColor="text1"/>
                <w:kern w:val="21"/>
                <w:sz w:val="21"/>
                <w:szCs w:val="21"/>
                <w14:textFill>
                  <w14:solidFill>
                    <w14:schemeClr w14:val="tx1"/>
                  </w14:solidFill>
                </w14:textFill>
              </w:rPr>
            </w:pPr>
          </w:p>
        </w:tc>
        <w:tc>
          <w:tcPr>
            <w:tcW w:w="636" w:type="pct"/>
            <w:noWrap w:val="0"/>
            <w:vAlign w:val="center"/>
          </w:tcPr>
          <w:p w14:paraId="128E01EA">
            <w:pPr>
              <w:pStyle w:val="21"/>
              <w:keepNext w:val="0"/>
              <w:keepLines w:val="0"/>
              <w:widowControl w:val="0"/>
              <w:suppressLineNumbers w:val="0"/>
              <w:adjustRightInd w:val="0"/>
              <w:snapToGrid w:val="0"/>
              <w:spacing w:before="24" w:beforeLines="10" w:beforeAutospacing="0" w:after="0" w:afterAutospacing="0" w:line="240" w:lineRule="auto"/>
              <w:ind w:left="0" w:leftChars="0" w:right="0" w:rightChars="0"/>
              <w:jc w:val="center"/>
              <w:rPr>
                <w:rFonts w:hint="default" w:ascii="Times New Roman" w:hAnsi="Times New Roman" w:cs="Times New Roman"/>
                <w:snapToGrid w:val="0"/>
                <w:color w:val="000000" w:themeColor="text1"/>
                <w:kern w:val="21"/>
                <w:sz w:val="21"/>
                <w:szCs w:val="21"/>
                <w14:textFill>
                  <w14:solidFill>
                    <w14:schemeClr w14:val="tx1"/>
                  </w14:solidFill>
                </w14:textFill>
              </w:rPr>
            </w:pPr>
            <w:r>
              <w:rPr>
                <w:rFonts w:hint="default" w:ascii="Times New Roman" w:hAnsi="Times New Roman" w:eastAsia="Times New Roman" w:cs="Times New Roman"/>
                <w:snapToGrid w:val="0"/>
                <w:kern w:val="21"/>
                <w:sz w:val="21"/>
                <w:szCs w:val="21"/>
                <w:lang w:val="en-US" w:eastAsia="zh-CN" w:bidi="ar"/>
              </w:rPr>
              <w:t>0.00</w:t>
            </w:r>
            <w:r>
              <w:rPr>
                <w:rFonts w:hint="eastAsia" w:ascii="Times New Roman" w:hAnsi="Times New Roman" w:eastAsia="Times New Roman" w:cs="Times New Roman"/>
                <w:snapToGrid w:val="0"/>
                <w:kern w:val="21"/>
                <w:sz w:val="21"/>
                <w:szCs w:val="21"/>
                <w:lang w:val="en-US" w:eastAsia="zh-CN" w:bidi="ar"/>
              </w:rPr>
              <w:t>1</w:t>
            </w:r>
            <w:r>
              <w:rPr>
                <w:rFonts w:hint="default" w:ascii="Times New Roman" w:hAnsi="Times New Roman" w:eastAsia="Times New Roman" w:cs="Times New Roman"/>
                <w:snapToGrid w:val="0"/>
                <w:kern w:val="21"/>
                <w:sz w:val="21"/>
                <w:szCs w:val="21"/>
                <w:lang w:val="en-US" w:eastAsia="zh-CN" w:bidi="ar"/>
              </w:rPr>
              <w:t>t/a</w:t>
            </w:r>
          </w:p>
        </w:tc>
        <w:tc>
          <w:tcPr>
            <w:tcW w:w="418" w:type="pct"/>
            <w:noWrap w:val="0"/>
            <w:vAlign w:val="center"/>
          </w:tcPr>
          <w:p w14:paraId="24D249E8">
            <w:pPr>
              <w:pStyle w:val="21"/>
              <w:keepNext w:val="0"/>
              <w:keepLines w:val="0"/>
              <w:widowControl w:val="0"/>
              <w:suppressLineNumbers w:val="0"/>
              <w:adjustRightInd w:val="0"/>
              <w:snapToGrid w:val="0"/>
              <w:spacing w:before="24" w:beforeLines="10" w:beforeAutospacing="0" w:after="0" w:afterAutospacing="0" w:line="240" w:lineRule="auto"/>
              <w:ind w:left="0" w:leftChars="0" w:right="0" w:rightChars="0"/>
              <w:jc w:val="center"/>
              <w:rPr>
                <w:rFonts w:hint="default" w:ascii="Times New Roman" w:hAnsi="Times New Roman" w:cs="Times New Roman"/>
                <w:snapToGrid w:val="0"/>
                <w:color w:val="000000" w:themeColor="text1"/>
                <w:kern w:val="21"/>
                <w:sz w:val="21"/>
                <w:szCs w:val="21"/>
                <w14:textFill>
                  <w14:solidFill>
                    <w14:schemeClr w14:val="tx1"/>
                  </w14:solidFill>
                </w14:textFill>
              </w:rPr>
            </w:pPr>
            <w:r>
              <w:rPr>
                <w:rFonts w:hint="default" w:ascii="Times New Roman" w:hAnsi="Times New Roman" w:eastAsia="Times New Roman" w:cs="Times New Roman"/>
                <w:snapToGrid w:val="0"/>
                <w:kern w:val="21"/>
                <w:sz w:val="21"/>
                <w:szCs w:val="21"/>
                <w:lang w:val="en-US" w:eastAsia="zh-CN" w:bidi="ar"/>
              </w:rPr>
              <w:t>+0.00</w:t>
            </w:r>
            <w:r>
              <w:rPr>
                <w:rFonts w:hint="eastAsia" w:ascii="Times New Roman" w:hAnsi="Times New Roman" w:eastAsia="Times New Roman" w:cs="Times New Roman"/>
                <w:snapToGrid w:val="0"/>
                <w:kern w:val="21"/>
                <w:sz w:val="21"/>
                <w:szCs w:val="21"/>
                <w:lang w:val="en-US" w:eastAsia="zh-CN" w:bidi="ar"/>
              </w:rPr>
              <w:t>1</w:t>
            </w:r>
            <w:r>
              <w:rPr>
                <w:rFonts w:hint="default" w:ascii="Times New Roman" w:hAnsi="Times New Roman" w:eastAsia="Times New Roman" w:cs="Times New Roman"/>
                <w:snapToGrid w:val="0"/>
                <w:kern w:val="21"/>
                <w:sz w:val="21"/>
                <w:szCs w:val="21"/>
                <w:lang w:val="en-US" w:eastAsia="zh-CN" w:bidi="ar"/>
              </w:rPr>
              <w:t>t/a</w:t>
            </w:r>
          </w:p>
        </w:tc>
      </w:tr>
      <w:tr w14:paraId="50CA2AE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535" w:type="pct"/>
            <w:vMerge w:val="continue"/>
            <w:noWrap w:val="0"/>
            <w:vAlign w:val="center"/>
          </w:tcPr>
          <w:p w14:paraId="5BF35F72">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360" w:lineRule="exact"/>
              <w:ind w:left="0" w:right="0"/>
              <w:jc w:val="center"/>
              <w:textAlignment w:val="auto"/>
              <w:rPr>
                <w:rFonts w:hint="default" w:ascii="Times New Roman" w:hAnsi="Times New Roman" w:cs="Times New Roman"/>
                <w:snapToGrid w:val="0"/>
                <w:color w:val="000000" w:themeColor="text1"/>
                <w:kern w:val="21"/>
                <w:sz w:val="21"/>
                <w:szCs w:val="21"/>
                <w14:textFill>
                  <w14:solidFill>
                    <w14:schemeClr w14:val="tx1"/>
                  </w14:solidFill>
                </w14:textFill>
              </w:rPr>
            </w:pPr>
          </w:p>
        </w:tc>
        <w:tc>
          <w:tcPr>
            <w:tcW w:w="542" w:type="pct"/>
            <w:noWrap w:val="0"/>
            <w:vAlign w:val="center"/>
          </w:tcPr>
          <w:p w14:paraId="280824D2">
            <w:pPr>
              <w:keepNext w:val="0"/>
              <w:keepLines w:val="0"/>
              <w:widowControl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宋体"/>
                <w:kern w:val="2"/>
                <w:sz w:val="21"/>
                <w:szCs w:val="24"/>
                <w:vertAlign w:val="subscript"/>
                <w:lang w:val="en-US" w:eastAsia="zh-CN" w:bidi="ar"/>
              </w:rPr>
            </w:pPr>
            <w:r>
              <w:rPr>
                <w:rFonts w:hint="eastAsia" w:cs="宋体"/>
                <w:kern w:val="2"/>
                <w:sz w:val="21"/>
                <w:szCs w:val="24"/>
                <w:lang w:val="en-US" w:eastAsia="zh-CN" w:bidi="ar"/>
              </w:rPr>
              <w:t>BOD</w:t>
            </w:r>
            <w:r>
              <w:rPr>
                <w:rFonts w:hint="eastAsia" w:cs="宋体"/>
                <w:kern w:val="2"/>
                <w:sz w:val="21"/>
                <w:szCs w:val="24"/>
                <w:vertAlign w:val="subscript"/>
                <w:lang w:val="en-US" w:eastAsia="zh-CN" w:bidi="ar"/>
              </w:rPr>
              <w:t>5</w:t>
            </w:r>
          </w:p>
        </w:tc>
        <w:tc>
          <w:tcPr>
            <w:tcW w:w="609" w:type="pct"/>
            <w:noWrap w:val="0"/>
            <w:vAlign w:val="center"/>
          </w:tcPr>
          <w:p w14:paraId="23E5C64D">
            <w:pPr>
              <w:pStyle w:val="21"/>
              <w:keepNext w:val="0"/>
              <w:keepLines w:val="0"/>
              <w:widowControl w:val="0"/>
              <w:suppressLineNumbers w:val="0"/>
              <w:adjustRightInd w:val="0"/>
              <w:snapToGrid w:val="0"/>
              <w:spacing w:before="24" w:beforeLines="10" w:beforeAutospacing="0" w:after="0" w:afterAutospacing="0" w:line="240" w:lineRule="auto"/>
              <w:ind w:left="0" w:leftChars="0" w:right="0" w:rightChars="0"/>
              <w:jc w:val="center"/>
              <w:rPr>
                <w:rFonts w:hint="default" w:ascii="Times New Roman" w:hAnsi="Times New Roman" w:eastAsia="宋体" w:cs="Times New Roman"/>
                <w:snapToGrid w:val="0"/>
                <w:color w:val="000000" w:themeColor="text1"/>
                <w:kern w:val="21"/>
                <w:sz w:val="21"/>
                <w:szCs w:val="21"/>
                <w:lang w:val="en-US" w:eastAsia="zh-CN" w:bidi="ar-SA"/>
                <w14:textFill>
                  <w14:solidFill>
                    <w14:schemeClr w14:val="tx1"/>
                  </w14:solidFill>
                </w14:textFill>
              </w:rPr>
            </w:pPr>
          </w:p>
        </w:tc>
        <w:tc>
          <w:tcPr>
            <w:tcW w:w="457" w:type="pct"/>
            <w:noWrap w:val="0"/>
            <w:vAlign w:val="center"/>
          </w:tcPr>
          <w:p w14:paraId="3EC43207">
            <w:pPr>
              <w:pStyle w:val="21"/>
              <w:keepNext w:val="0"/>
              <w:keepLines w:val="0"/>
              <w:widowControl w:val="0"/>
              <w:suppressLineNumbers w:val="0"/>
              <w:adjustRightInd w:val="0"/>
              <w:snapToGrid w:val="0"/>
              <w:spacing w:before="24" w:beforeLines="10" w:beforeAutospacing="0" w:after="0" w:afterAutospacing="0" w:line="240" w:lineRule="auto"/>
              <w:ind w:left="0" w:leftChars="0" w:right="0" w:rightChars="0"/>
              <w:jc w:val="center"/>
              <w:rPr>
                <w:rFonts w:hint="default" w:ascii="Times New Roman" w:hAnsi="Times New Roman" w:cs="Times New Roman"/>
                <w:snapToGrid w:val="0"/>
                <w:color w:val="000000" w:themeColor="text1"/>
                <w:kern w:val="21"/>
                <w:sz w:val="21"/>
                <w:szCs w:val="21"/>
                <w14:textFill>
                  <w14:solidFill>
                    <w14:schemeClr w14:val="tx1"/>
                  </w14:solidFill>
                </w14:textFill>
              </w:rPr>
            </w:pPr>
          </w:p>
        </w:tc>
        <w:tc>
          <w:tcPr>
            <w:tcW w:w="609" w:type="pct"/>
            <w:noWrap w:val="0"/>
            <w:vAlign w:val="center"/>
          </w:tcPr>
          <w:p w14:paraId="054834CD">
            <w:pPr>
              <w:pStyle w:val="21"/>
              <w:keepNext w:val="0"/>
              <w:keepLines w:val="0"/>
              <w:widowControl w:val="0"/>
              <w:suppressLineNumbers w:val="0"/>
              <w:adjustRightInd w:val="0"/>
              <w:snapToGrid w:val="0"/>
              <w:spacing w:before="24" w:beforeLines="10" w:beforeAutospacing="0" w:after="0" w:afterAutospacing="0" w:line="240" w:lineRule="auto"/>
              <w:ind w:left="0" w:leftChars="0" w:right="0" w:rightChars="0"/>
              <w:jc w:val="center"/>
              <w:rPr>
                <w:rFonts w:hint="default" w:ascii="Times New Roman" w:hAnsi="Times New Roman" w:cs="Times New Roman"/>
                <w:snapToGrid w:val="0"/>
                <w:color w:val="000000" w:themeColor="text1"/>
                <w:kern w:val="21"/>
                <w:sz w:val="21"/>
                <w:szCs w:val="21"/>
                <w14:textFill>
                  <w14:solidFill>
                    <w14:schemeClr w14:val="tx1"/>
                  </w14:solidFill>
                </w14:textFill>
              </w:rPr>
            </w:pPr>
          </w:p>
        </w:tc>
        <w:tc>
          <w:tcPr>
            <w:tcW w:w="559" w:type="pct"/>
            <w:noWrap w:val="0"/>
            <w:vAlign w:val="center"/>
          </w:tcPr>
          <w:p w14:paraId="55BFCB6B">
            <w:pPr>
              <w:pStyle w:val="21"/>
              <w:keepNext w:val="0"/>
              <w:keepLines w:val="0"/>
              <w:widowControl w:val="0"/>
              <w:suppressLineNumbers w:val="0"/>
              <w:adjustRightInd w:val="0"/>
              <w:snapToGrid w:val="0"/>
              <w:spacing w:before="24" w:beforeLines="10" w:beforeAutospacing="0" w:after="0" w:afterAutospacing="0" w:line="240" w:lineRule="auto"/>
              <w:ind w:left="0" w:leftChars="0" w:right="0" w:rightChars="0"/>
              <w:jc w:val="center"/>
              <w:rPr>
                <w:rFonts w:hint="default" w:ascii="Times New Roman" w:hAnsi="Times New Roman" w:eastAsia="Times New Roman" w:cs="Times New Roman"/>
                <w:snapToGrid w:val="0"/>
                <w:kern w:val="21"/>
                <w:sz w:val="21"/>
                <w:szCs w:val="21"/>
                <w:lang w:val="en-US" w:eastAsia="zh-CN" w:bidi="ar"/>
              </w:rPr>
            </w:pPr>
            <w:r>
              <w:rPr>
                <w:rFonts w:hint="eastAsia" w:ascii="Times New Roman" w:hAnsi="Times New Roman" w:eastAsia="Times New Roman" w:cs="Times New Roman"/>
                <w:snapToGrid w:val="0"/>
                <w:kern w:val="21"/>
                <w:sz w:val="21"/>
                <w:szCs w:val="21"/>
                <w:lang w:val="en-US" w:eastAsia="zh-CN" w:bidi="ar"/>
              </w:rPr>
              <w:t>0.0019t/a</w:t>
            </w:r>
          </w:p>
        </w:tc>
        <w:tc>
          <w:tcPr>
            <w:tcW w:w="631" w:type="pct"/>
            <w:noWrap w:val="0"/>
            <w:vAlign w:val="center"/>
          </w:tcPr>
          <w:p w14:paraId="7F7C8FB1">
            <w:pPr>
              <w:pStyle w:val="21"/>
              <w:keepNext w:val="0"/>
              <w:keepLines w:val="0"/>
              <w:widowControl w:val="0"/>
              <w:suppressLineNumbers w:val="0"/>
              <w:adjustRightInd w:val="0"/>
              <w:snapToGrid w:val="0"/>
              <w:spacing w:before="24" w:beforeLines="10" w:beforeAutospacing="0" w:after="0" w:afterAutospacing="0" w:line="240" w:lineRule="auto"/>
              <w:ind w:left="0" w:leftChars="0" w:right="0" w:rightChars="0"/>
              <w:jc w:val="center"/>
              <w:rPr>
                <w:rFonts w:hint="default" w:ascii="Times New Roman" w:hAnsi="Times New Roman" w:eastAsia="Times New Roman" w:cs="Times New Roman"/>
                <w:snapToGrid w:val="0"/>
                <w:kern w:val="21"/>
                <w:sz w:val="21"/>
                <w:szCs w:val="21"/>
                <w:lang w:val="en-US" w:eastAsia="zh-CN" w:bidi="ar"/>
              </w:rPr>
            </w:pPr>
          </w:p>
        </w:tc>
        <w:tc>
          <w:tcPr>
            <w:tcW w:w="636" w:type="pct"/>
            <w:noWrap w:val="0"/>
            <w:vAlign w:val="center"/>
          </w:tcPr>
          <w:p w14:paraId="16F79C0E">
            <w:pPr>
              <w:keepNext w:val="0"/>
              <w:keepLines w:val="0"/>
              <w:widowControl w:val="0"/>
              <w:suppressLineNumbers w:val="0"/>
              <w:adjustRightInd w:val="0"/>
              <w:snapToGrid w:val="0"/>
              <w:spacing w:before="24" w:beforeLines="10" w:beforeAutospacing="0" w:after="0" w:afterAutospacing="0" w:line="240" w:lineRule="auto"/>
              <w:ind w:left="0" w:leftChars="0" w:right="0" w:rightChars="0"/>
              <w:jc w:val="center"/>
              <w:rPr>
                <w:rFonts w:hint="default" w:ascii="Times New Roman" w:hAnsi="Times New Roman" w:eastAsia="Times New Roman" w:cs="Times New Roman"/>
                <w:snapToGrid w:val="0"/>
                <w:kern w:val="21"/>
                <w:sz w:val="21"/>
                <w:szCs w:val="21"/>
                <w:lang w:val="en-US" w:eastAsia="zh-CN" w:bidi="ar"/>
              </w:rPr>
            </w:pPr>
            <w:r>
              <w:rPr>
                <w:rFonts w:hint="eastAsia" w:ascii="Times New Roman" w:hAnsi="Times New Roman" w:eastAsia="Times New Roman" w:cs="Times New Roman"/>
                <w:snapToGrid w:val="0"/>
                <w:kern w:val="21"/>
                <w:sz w:val="21"/>
                <w:szCs w:val="21"/>
                <w:lang w:val="en-US" w:eastAsia="zh-CN" w:bidi="ar"/>
              </w:rPr>
              <w:t>0.0019t/a</w:t>
            </w:r>
          </w:p>
        </w:tc>
        <w:tc>
          <w:tcPr>
            <w:tcW w:w="418" w:type="pct"/>
            <w:noWrap w:val="0"/>
            <w:vAlign w:val="center"/>
          </w:tcPr>
          <w:p w14:paraId="19C292CF">
            <w:pPr>
              <w:keepNext w:val="0"/>
              <w:keepLines w:val="0"/>
              <w:widowControl w:val="0"/>
              <w:suppressLineNumbers w:val="0"/>
              <w:adjustRightInd w:val="0"/>
              <w:snapToGrid w:val="0"/>
              <w:spacing w:before="24" w:beforeLines="10" w:beforeAutospacing="0" w:after="0" w:afterAutospacing="0" w:line="240" w:lineRule="auto"/>
              <w:ind w:left="0" w:leftChars="0" w:right="0" w:rightChars="0"/>
              <w:jc w:val="center"/>
              <w:rPr>
                <w:rFonts w:hint="default" w:ascii="Times New Roman" w:hAnsi="Times New Roman" w:eastAsia="Times New Roman" w:cs="Times New Roman"/>
                <w:snapToGrid w:val="0"/>
                <w:kern w:val="21"/>
                <w:sz w:val="21"/>
                <w:szCs w:val="21"/>
                <w:lang w:val="en-US" w:eastAsia="zh-CN" w:bidi="ar"/>
              </w:rPr>
            </w:pPr>
            <w:r>
              <w:rPr>
                <w:rFonts w:hint="eastAsia" w:ascii="Times New Roman" w:hAnsi="Times New Roman" w:eastAsia="Times New Roman" w:cs="Times New Roman"/>
                <w:snapToGrid w:val="0"/>
                <w:kern w:val="21"/>
                <w:sz w:val="21"/>
                <w:szCs w:val="21"/>
                <w:lang w:val="en-US" w:eastAsia="zh-CN" w:bidi="ar"/>
              </w:rPr>
              <w:t>+0.0019t/a</w:t>
            </w:r>
          </w:p>
        </w:tc>
      </w:tr>
      <w:tr w14:paraId="66F1CF9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535" w:type="pct"/>
            <w:vMerge w:val="continue"/>
            <w:noWrap w:val="0"/>
            <w:vAlign w:val="center"/>
          </w:tcPr>
          <w:p w14:paraId="1CD6C04C">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360" w:lineRule="exact"/>
              <w:ind w:left="0" w:right="0"/>
              <w:jc w:val="center"/>
              <w:textAlignment w:val="auto"/>
              <w:rPr>
                <w:rFonts w:hint="default" w:ascii="Times New Roman" w:hAnsi="Times New Roman" w:cs="Times New Roman"/>
                <w:snapToGrid w:val="0"/>
                <w:color w:val="000000" w:themeColor="text1"/>
                <w:kern w:val="21"/>
                <w:sz w:val="21"/>
                <w:szCs w:val="21"/>
                <w14:textFill>
                  <w14:solidFill>
                    <w14:schemeClr w14:val="tx1"/>
                  </w14:solidFill>
                </w14:textFill>
              </w:rPr>
            </w:pPr>
          </w:p>
        </w:tc>
        <w:tc>
          <w:tcPr>
            <w:tcW w:w="542" w:type="pct"/>
            <w:noWrap w:val="0"/>
            <w:vAlign w:val="center"/>
          </w:tcPr>
          <w:p w14:paraId="63028500">
            <w:pPr>
              <w:keepNext w:val="0"/>
              <w:keepLines w:val="0"/>
              <w:widowControl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宋体"/>
                <w:kern w:val="2"/>
                <w:sz w:val="21"/>
                <w:szCs w:val="24"/>
                <w:lang w:val="en-US" w:eastAsia="zh-CN" w:bidi="ar"/>
              </w:rPr>
            </w:pPr>
            <w:r>
              <w:rPr>
                <w:rFonts w:hint="eastAsia" w:cs="宋体"/>
                <w:kern w:val="2"/>
                <w:sz w:val="21"/>
                <w:szCs w:val="24"/>
                <w:lang w:val="en-US" w:eastAsia="zh-CN" w:bidi="ar"/>
              </w:rPr>
              <w:t>SS</w:t>
            </w:r>
          </w:p>
        </w:tc>
        <w:tc>
          <w:tcPr>
            <w:tcW w:w="609" w:type="pct"/>
            <w:noWrap w:val="0"/>
            <w:vAlign w:val="center"/>
          </w:tcPr>
          <w:p w14:paraId="1941482A">
            <w:pPr>
              <w:pStyle w:val="21"/>
              <w:keepNext w:val="0"/>
              <w:keepLines w:val="0"/>
              <w:widowControl w:val="0"/>
              <w:suppressLineNumbers w:val="0"/>
              <w:adjustRightInd w:val="0"/>
              <w:snapToGrid w:val="0"/>
              <w:spacing w:before="24" w:beforeLines="10" w:beforeAutospacing="0" w:after="0" w:afterAutospacing="0" w:line="240" w:lineRule="auto"/>
              <w:ind w:left="0" w:leftChars="0" w:right="0" w:rightChars="0"/>
              <w:jc w:val="center"/>
              <w:rPr>
                <w:rFonts w:hint="default" w:ascii="Times New Roman" w:hAnsi="Times New Roman" w:eastAsia="宋体" w:cs="Times New Roman"/>
                <w:snapToGrid w:val="0"/>
                <w:color w:val="000000" w:themeColor="text1"/>
                <w:kern w:val="21"/>
                <w:sz w:val="21"/>
                <w:szCs w:val="21"/>
                <w:lang w:val="en-US" w:eastAsia="zh-CN" w:bidi="ar-SA"/>
                <w14:textFill>
                  <w14:solidFill>
                    <w14:schemeClr w14:val="tx1"/>
                  </w14:solidFill>
                </w14:textFill>
              </w:rPr>
            </w:pPr>
          </w:p>
        </w:tc>
        <w:tc>
          <w:tcPr>
            <w:tcW w:w="457" w:type="pct"/>
            <w:noWrap w:val="0"/>
            <w:vAlign w:val="center"/>
          </w:tcPr>
          <w:p w14:paraId="4058E26D">
            <w:pPr>
              <w:pStyle w:val="21"/>
              <w:keepNext w:val="0"/>
              <w:keepLines w:val="0"/>
              <w:widowControl w:val="0"/>
              <w:suppressLineNumbers w:val="0"/>
              <w:adjustRightInd w:val="0"/>
              <w:snapToGrid w:val="0"/>
              <w:spacing w:before="24" w:beforeLines="10" w:beforeAutospacing="0" w:after="0" w:afterAutospacing="0" w:line="240" w:lineRule="auto"/>
              <w:ind w:left="0" w:leftChars="0" w:right="0" w:rightChars="0"/>
              <w:jc w:val="center"/>
              <w:rPr>
                <w:rFonts w:hint="default" w:ascii="Times New Roman" w:hAnsi="Times New Roman" w:cs="Times New Roman"/>
                <w:snapToGrid w:val="0"/>
                <w:color w:val="000000" w:themeColor="text1"/>
                <w:kern w:val="21"/>
                <w:sz w:val="21"/>
                <w:szCs w:val="21"/>
                <w14:textFill>
                  <w14:solidFill>
                    <w14:schemeClr w14:val="tx1"/>
                  </w14:solidFill>
                </w14:textFill>
              </w:rPr>
            </w:pPr>
          </w:p>
        </w:tc>
        <w:tc>
          <w:tcPr>
            <w:tcW w:w="609" w:type="pct"/>
            <w:noWrap w:val="0"/>
            <w:vAlign w:val="center"/>
          </w:tcPr>
          <w:p w14:paraId="1387E226">
            <w:pPr>
              <w:pStyle w:val="21"/>
              <w:keepNext w:val="0"/>
              <w:keepLines w:val="0"/>
              <w:widowControl w:val="0"/>
              <w:suppressLineNumbers w:val="0"/>
              <w:adjustRightInd w:val="0"/>
              <w:snapToGrid w:val="0"/>
              <w:spacing w:before="24" w:beforeLines="10" w:beforeAutospacing="0" w:after="0" w:afterAutospacing="0" w:line="240" w:lineRule="auto"/>
              <w:ind w:left="0" w:leftChars="0" w:right="0" w:rightChars="0"/>
              <w:jc w:val="center"/>
              <w:rPr>
                <w:rFonts w:hint="default" w:ascii="Times New Roman" w:hAnsi="Times New Roman" w:cs="Times New Roman"/>
                <w:snapToGrid w:val="0"/>
                <w:color w:val="000000" w:themeColor="text1"/>
                <w:kern w:val="21"/>
                <w:sz w:val="21"/>
                <w:szCs w:val="21"/>
                <w14:textFill>
                  <w14:solidFill>
                    <w14:schemeClr w14:val="tx1"/>
                  </w14:solidFill>
                </w14:textFill>
              </w:rPr>
            </w:pPr>
          </w:p>
        </w:tc>
        <w:tc>
          <w:tcPr>
            <w:tcW w:w="1509" w:type="dxa"/>
            <w:noWrap w:val="0"/>
            <w:vAlign w:val="center"/>
          </w:tcPr>
          <w:p w14:paraId="66E6602D">
            <w:pPr>
              <w:pStyle w:val="21"/>
              <w:keepNext w:val="0"/>
              <w:keepLines w:val="0"/>
              <w:widowControl w:val="0"/>
              <w:suppressLineNumbers w:val="0"/>
              <w:adjustRightInd w:val="0"/>
              <w:snapToGrid w:val="0"/>
              <w:spacing w:before="24" w:beforeLines="10" w:beforeAutospacing="0" w:after="0" w:afterAutospacing="0" w:line="240" w:lineRule="auto"/>
              <w:ind w:left="0" w:leftChars="0" w:right="0" w:rightChars="0"/>
              <w:jc w:val="center"/>
              <w:rPr>
                <w:rFonts w:hint="default" w:ascii="Times New Roman" w:hAnsi="Times New Roman" w:eastAsia="Times New Roman" w:cs="Times New Roman"/>
                <w:snapToGrid w:val="0"/>
                <w:kern w:val="21"/>
                <w:sz w:val="21"/>
                <w:szCs w:val="21"/>
                <w:lang w:val="en-US" w:eastAsia="zh-CN" w:bidi="ar"/>
              </w:rPr>
            </w:pPr>
            <w:r>
              <w:rPr>
                <w:rFonts w:hint="eastAsia" w:ascii="Times New Roman" w:hAnsi="Times New Roman" w:eastAsia="Times New Roman" w:cs="Times New Roman"/>
                <w:snapToGrid w:val="0"/>
                <w:kern w:val="21"/>
                <w:sz w:val="21"/>
                <w:szCs w:val="21"/>
                <w:lang w:val="en-US" w:eastAsia="zh-CN" w:bidi="ar"/>
              </w:rPr>
              <w:t>0.0019t/a</w:t>
            </w:r>
          </w:p>
        </w:tc>
        <w:tc>
          <w:tcPr>
            <w:tcW w:w="1703" w:type="dxa"/>
            <w:noWrap w:val="0"/>
            <w:vAlign w:val="center"/>
          </w:tcPr>
          <w:p w14:paraId="5AEF72DC">
            <w:pPr>
              <w:pStyle w:val="21"/>
              <w:keepNext w:val="0"/>
              <w:keepLines w:val="0"/>
              <w:widowControl w:val="0"/>
              <w:suppressLineNumbers w:val="0"/>
              <w:adjustRightInd w:val="0"/>
              <w:snapToGrid w:val="0"/>
              <w:spacing w:before="24" w:beforeLines="10" w:beforeAutospacing="0" w:after="0" w:afterAutospacing="0" w:line="240" w:lineRule="auto"/>
              <w:ind w:left="0" w:leftChars="0" w:right="0" w:rightChars="0"/>
              <w:jc w:val="center"/>
              <w:rPr>
                <w:rFonts w:hint="default" w:ascii="Times New Roman" w:hAnsi="Times New Roman" w:eastAsia="Times New Roman" w:cs="Times New Roman"/>
                <w:snapToGrid w:val="0"/>
                <w:kern w:val="21"/>
                <w:sz w:val="21"/>
                <w:szCs w:val="21"/>
                <w:lang w:val="en-US" w:eastAsia="zh-CN" w:bidi="ar"/>
              </w:rPr>
            </w:pPr>
          </w:p>
        </w:tc>
        <w:tc>
          <w:tcPr>
            <w:tcW w:w="1717" w:type="dxa"/>
            <w:noWrap w:val="0"/>
            <w:vAlign w:val="center"/>
          </w:tcPr>
          <w:p w14:paraId="64437292">
            <w:pPr>
              <w:keepNext w:val="0"/>
              <w:keepLines w:val="0"/>
              <w:widowControl w:val="0"/>
              <w:suppressLineNumbers w:val="0"/>
              <w:adjustRightInd w:val="0"/>
              <w:snapToGrid w:val="0"/>
              <w:spacing w:before="24" w:beforeLines="10" w:beforeAutospacing="0" w:after="0" w:afterAutospacing="0" w:line="240" w:lineRule="auto"/>
              <w:ind w:left="0" w:leftChars="0" w:right="0" w:rightChars="0"/>
              <w:jc w:val="center"/>
              <w:rPr>
                <w:rFonts w:hint="default" w:ascii="Times New Roman" w:hAnsi="Times New Roman" w:eastAsia="Times New Roman" w:cs="Times New Roman"/>
                <w:snapToGrid w:val="0"/>
                <w:kern w:val="21"/>
                <w:sz w:val="21"/>
                <w:szCs w:val="21"/>
                <w:lang w:val="en-US" w:eastAsia="zh-CN" w:bidi="ar"/>
              </w:rPr>
            </w:pPr>
            <w:r>
              <w:rPr>
                <w:rFonts w:hint="eastAsia" w:ascii="Times New Roman" w:hAnsi="Times New Roman" w:eastAsia="Times New Roman" w:cs="Times New Roman"/>
                <w:snapToGrid w:val="0"/>
                <w:kern w:val="21"/>
                <w:sz w:val="21"/>
                <w:szCs w:val="21"/>
                <w:lang w:val="en-US" w:eastAsia="zh-CN" w:bidi="ar"/>
              </w:rPr>
              <w:t>0.0019t/a</w:t>
            </w:r>
          </w:p>
        </w:tc>
        <w:tc>
          <w:tcPr>
            <w:tcW w:w="1129" w:type="dxa"/>
            <w:noWrap w:val="0"/>
            <w:vAlign w:val="center"/>
          </w:tcPr>
          <w:p w14:paraId="16CB5A26">
            <w:pPr>
              <w:keepNext w:val="0"/>
              <w:keepLines w:val="0"/>
              <w:widowControl w:val="0"/>
              <w:suppressLineNumbers w:val="0"/>
              <w:adjustRightInd w:val="0"/>
              <w:snapToGrid w:val="0"/>
              <w:spacing w:before="24" w:beforeLines="10" w:beforeAutospacing="0" w:after="0" w:afterAutospacing="0" w:line="240" w:lineRule="auto"/>
              <w:ind w:left="0" w:leftChars="0" w:right="0" w:rightChars="0"/>
              <w:jc w:val="center"/>
              <w:rPr>
                <w:rFonts w:hint="default" w:ascii="Times New Roman" w:hAnsi="Times New Roman" w:eastAsia="Times New Roman" w:cs="Times New Roman"/>
                <w:snapToGrid w:val="0"/>
                <w:kern w:val="21"/>
                <w:sz w:val="21"/>
                <w:szCs w:val="21"/>
                <w:lang w:val="en-US" w:eastAsia="zh-CN" w:bidi="ar"/>
              </w:rPr>
            </w:pPr>
            <w:r>
              <w:rPr>
                <w:rFonts w:hint="eastAsia" w:ascii="Times New Roman" w:hAnsi="Times New Roman" w:eastAsia="Times New Roman" w:cs="Times New Roman"/>
                <w:snapToGrid w:val="0"/>
                <w:kern w:val="21"/>
                <w:sz w:val="21"/>
                <w:szCs w:val="21"/>
                <w:lang w:val="en-US" w:eastAsia="zh-CN" w:bidi="ar"/>
              </w:rPr>
              <w:t>+0.0019t/a</w:t>
            </w:r>
          </w:p>
        </w:tc>
      </w:tr>
      <w:tr w14:paraId="554D175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535" w:type="pct"/>
            <w:vMerge w:val="continue"/>
            <w:noWrap w:val="0"/>
            <w:vAlign w:val="center"/>
          </w:tcPr>
          <w:p w14:paraId="13373BCC">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360" w:lineRule="exact"/>
              <w:ind w:left="0" w:right="0"/>
              <w:jc w:val="center"/>
              <w:textAlignment w:val="auto"/>
              <w:rPr>
                <w:rFonts w:hint="default" w:ascii="Times New Roman" w:hAnsi="Times New Roman" w:cs="Times New Roman"/>
                <w:snapToGrid w:val="0"/>
                <w:color w:val="000000" w:themeColor="text1"/>
                <w:kern w:val="21"/>
                <w:sz w:val="21"/>
                <w:szCs w:val="21"/>
                <w14:textFill>
                  <w14:solidFill>
                    <w14:schemeClr w14:val="tx1"/>
                  </w14:solidFill>
                </w14:textFill>
              </w:rPr>
            </w:pPr>
          </w:p>
        </w:tc>
        <w:tc>
          <w:tcPr>
            <w:tcW w:w="542" w:type="pct"/>
            <w:noWrap w:val="0"/>
            <w:vAlign w:val="center"/>
          </w:tcPr>
          <w:p w14:paraId="067E76C4">
            <w:pPr>
              <w:keepNext w:val="0"/>
              <w:keepLines w:val="0"/>
              <w:widowControl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宋体"/>
                <w:kern w:val="2"/>
                <w:sz w:val="21"/>
                <w:szCs w:val="24"/>
                <w:lang w:val="en-US" w:eastAsia="zh-CN" w:bidi="ar"/>
              </w:rPr>
            </w:pPr>
            <w:r>
              <w:rPr>
                <w:rFonts w:hint="eastAsia" w:cs="宋体"/>
                <w:kern w:val="2"/>
                <w:sz w:val="21"/>
                <w:szCs w:val="24"/>
                <w:lang w:val="en-US" w:eastAsia="zh-CN" w:bidi="ar"/>
              </w:rPr>
              <w:t>总磷</w:t>
            </w:r>
          </w:p>
        </w:tc>
        <w:tc>
          <w:tcPr>
            <w:tcW w:w="609" w:type="pct"/>
            <w:noWrap w:val="0"/>
            <w:vAlign w:val="center"/>
          </w:tcPr>
          <w:p w14:paraId="44E362A8">
            <w:pPr>
              <w:pStyle w:val="21"/>
              <w:keepNext w:val="0"/>
              <w:keepLines w:val="0"/>
              <w:widowControl w:val="0"/>
              <w:suppressLineNumbers w:val="0"/>
              <w:adjustRightInd w:val="0"/>
              <w:snapToGrid w:val="0"/>
              <w:spacing w:before="24" w:beforeLines="10" w:beforeAutospacing="0" w:after="0" w:afterAutospacing="0" w:line="240" w:lineRule="auto"/>
              <w:ind w:left="0" w:leftChars="0" w:right="0" w:rightChars="0"/>
              <w:jc w:val="center"/>
              <w:rPr>
                <w:rFonts w:hint="default" w:ascii="Times New Roman" w:hAnsi="Times New Roman" w:eastAsia="宋体" w:cs="Times New Roman"/>
                <w:snapToGrid w:val="0"/>
                <w:color w:val="000000" w:themeColor="text1"/>
                <w:kern w:val="21"/>
                <w:sz w:val="21"/>
                <w:szCs w:val="21"/>
                <w:lang w:val="en-US" w:eastAsia="zh-CN" w:bidi="ar-SA"/>
                <w14:textFill>
                  <w14:solidFill>
                    <w14:schemeClr w14:val="tx1"/>
                  </w14:solidFill>
                </w14:textFill>
              </w:rPr>
            </w:pPr>
          </w:p>
        </w:tc>
        <w:tc>
          <w:tcPr>
            <w:tcW w:w="457" w:type="pct"/>
            <w:noWrap w:val="0"/>
            <w:vAlign w:val="center"/>
          </w:tcPr>
          <w:p w14:paraId="1DB4C3D5">
            <w:pPr>
              <w:pStyle w:val="21"/>
              <w:keepNext w:val="0"/>
              <w:keepLines w:val="0"/>
              <w:widowControl w:val="0"/>
              <w:suppressLineNumbers w:val="0"/>
              <w:adjustRightInd w:val="0"/>
              <w:snapToGrid w:val="0"/>
              <w:spacing w:before="24" w:beforeLines="10" w:beforeAutospacing="0" w:after="0" w:afterAutospacing="0" w:line="240" w:lineRule="auto"/>
              <w:ind w:left="0" w:leftChars="0" w:right="0" w:rightChars="0"/>
              <w:jc w:val="center"/>
              <w:rPr>
                <w:rFonts w:hint="default" w:ascii="Times New Roman" w:hAnsi="Times New Roman" w:cs="Times New Roman"/>
                <w:snapToGrid w:val="0"/>
                <w:color w:val="000000" w:themeColor="text1"/>
                <w:kern w:val="21"/>
                <w:sz w:val="21"/>
                <w:szCs w:val="21"/>
                <w14:textFill>
                  <w14:solidFill>
                    <w14:schemeClr w14:val="tx1"/>
                  </w14:solidFill>
                </w14:textFill>
              </w:rPr>
            </w:pPr>
          </w:p>
        </w:tc>
        <w:tc>
          <w:tcPr>
            <w:tcW w:w="609" w:type="pct"/>
            <w:noWrap w:val="0"/>
            <w:vAlign w:val="center"/>
          </w:tcPr>
          <w:p w14:paraId="5BA09574">
            <w:pPr>
              <w:pStyle w:val="21"/>
              <w:keepNext w:val="0"/>
              <w:keepLines w:val="0"/>
              <w:widowControl w:val="0"/>
              <w:suppressLineNumbers w:val="0"/>
              <w:adjustRightInd w:val="0"/>
              <w:snapToGrid w:val="0"/>
              <w:spacing w:before="24" w:beforeLines="10" w:beforeAutospacing="0" w:after="0" w:afterAutospacing="0" w:line="240" w:lineRule="auto"/>
              <w:ind w:left="0" w:leftChars="0" w:right="0" w:rightChars="0"/>
              <w:jc w:val="center"/>
              <w:rPr>
                <w:rFonts w:hint="default" w:ascii="Times New Roman" w:hAnsi="Times New Roman" w:cs="Times New Roman"/>
                <w:snapToGrid w:val="0"/>
                <w:color w:val="000000" w:themeColor="text1"/>
                <w:kern w:val="21"/>
                <w:sz w:val="21"/>
                <w:szCs w:val="21"/>
                <w14:textFill>
                  <w14:solidFill>
                    <w14:schemeClr w14:val="tx1"/>
                  </w14:solidFill>
                </w14:textFill>
              </w:rPr>
            </w:pPr>
          </w:p>
        </w:tc>
        <w:tc>
          <w:tcPr>
            <w:tcW w:w="559" w:type="pct"/>
            <w:noWrap w:val="0"/>
            <w:vAlign w:val="center"/>
          </w:tcPr>
          <w:p w14:paraId="48A7C762">
            <w:pPr>
              <w:pStyle w:val="21"/>
              <w:keepNext w:val="0"/>
              <w:keepLines w:val="0"/>
              <w:widowControl w:val="0"/>
              <w:suppressLineNumbers w:val="0"/>
              <w:adjustRightInd w:val="0"/>
              <w:snapToGrid w:val="0"/>
              <w:spacing w:before="24" w:beforeLines="10" w:beforeAutospacing="0" w:after="0" w:afterAutospacing="0" w:line="240" w:lineRule="auto"/>
              <w:ind w:left="0" w:leftChars="0" w:right="0" w:rightChars="0"/>
              <w:jc w:val="center"/>
              <w:rPr>
                <w:rFonts w:hint="default" w:ascii="Times New Roman" w:hAnsi="Times New Roman" w:eastAsia="Times New Roman" w:cs="Times New Roman"/>
                <w:snapToGrid w:val="0"/>
                <w:kern w:val="21"/>
                <w:sz w:val="21"/>
                <w:szCs w:val="21"/>
                <w:lang w:val="en-US" w:eastAsia="zh-CN" w:bidi="ar"/>
              </w:rPr>
            </w:pPr>
            <w:r>
              <w:rPr>
                <w:rFonts w:hint="eastAsia" w:ascii="Times New Roman" w:hAnsi="Times New Roman" w:eastAsia="Times New Roman" w:cs="Times New Roman"/>
                <w:snapToGrid w:val="0"/>
                <w:kern w:val="21"/>
                <w:sz w:val="21"/>
                <w:szCs w:val="21"/>
                <w:lang w:val="en-US" w:eastAsia="zh-CN" w:bidi="ar"/>
              </w:rPr>
              <w:t>0.0001t/a</w:t>
            </w:r>
          </w:p>
        </w:tc>
        <w:tc>
          <w:tcPr>
            <w:tcW w:w="631" w:type="pct"/>
            <w:noWrap w:val="0"/>
            <w:vAlign w:val="center"/>
          </w:tcPr>
          <w:p w14:paraId="0811A242">
            <w:pPr>
              <w:pStyle w:val="21"/>
              <w:keepNext w:val="0"/>
              <w:keepLines w:val="0"/>
              <w:widowControl w:val="0"/>
              <w:suppressLineNumbers w:val="0"/>
              <w:adjustRightInd w:val="0"/>
              <w:snapToGrid w:val="0"/>
              <w:spacing w:before="24" w:beforeLines="10" w:beforeAutospacing="0" w:after="0" w:afterAutospacing="0" w:line="240" w:lineRule="auto"/>
              <w:ind w:left="0" w:leftChars="0" w:right="0" w:rightChars="0"/>
              <w:jc w:val="center"/>
              <w:rPr>
                <w:rFonts w:hint="default" w:ascii="Times New Roman" w:hAnsi="Times New Roman" w:eastAsia="Times New Roman" w:cs="Times New Roman"/>
                <w:snapToGrid w:val="0"/>
                <w:kern w:val="21"/>
                <w:sz w:val="21"/>
                <w:szCs w:val="21"/>
                <w:lang w:val="en-US" w:eastAsia="zh-CN" w:bidi="ar"/>
              </w:rPr>
            </w:pPr>
          </w:p>
        </w:tc>
        <w:tc>
          <w:tcPr>
            <w:tcW w:w="636" w:type="pct"/>
            <w:noWrap w:val="0"/>
            <w:vAlign w:val="center"/>
          </w:tcPr>
          <w:p w14:paraId="1304A5CF">
            <w:pPr>
              <w:keepNext w:val="0"/>
              <w:keepLines w:val="0"/>
              <w:widowControl w:val="0"/>
              <w:suppressLineNumbers w:val="0"/>
              <w:adjustRightInd w:val="0"/>
              <w:snapToGrid w:val="0"/>
              <w:spacing w:before="24" w:beforeLines="10" w:beforeAutospacing="0" w:after="0" w:afterAutospacing="0" w:line="240" w:lineRule="auto"/>
              <w:ind w:left="0" w:leftChars="0" w:right="0" w:rightChars="0"/>
              <w:jc w:val="center"/>
              <w:rPr>
                <w:rFonts w:hint="default" w:ascii="Times New Roman" w:hAnsi="Times New Roman" w:eastAsia="Times New Roman" w:cs="Times New Roman"/>
                <w:snapToGrid w:val="0"/>
                <w:kern w:val="21"/>
                <w:sz w:val="21"/>
                <w:szCs w:val="21"/>
                <w:lang w:val="en-US" w:eastAsia="zh-CN" w:bidi="ar"/>
              </w:rPr>
            </w:pPr>
            <w:r>
              <w:rPr>
                <w:rFonts w:hint="eastAsia" w:ascii="Times New Roman" w:hAnsi="Times New Roman" w:eastAsia="Times New Roman" w:cs="Times New Roman"/>
                <w:snapToGrid w:val="0"/>
                <w:kern w:val="21"/>
                <w:sz w:val="21"/>
                <w:szCs w:val="21"/>
                <w:lang w:val="en-US" w:eastAsia="zh-CN" w:bidi="ar"/>
              </w:rPr>
              <w:t>0.0001t/a</w:t>
            </w:r>
          </w:p>
        </w:tc>
        <w:tc>
          <w:tcPr>
            <w:tcW w:w="418" w:type="pct"/>
            <w:noWrap w:val="0"/>
            <w:vAlign w:val="center"/>
          </w:tcPr>
          <w:p w14:paraId="3A776BA2">
            <w:pPr>
              <w:keepNext w:val="0"/>
              <w:keepLines w:val="0"/>
              <w:widowControl w:val="0"/>
              <w:suppressLineNumbers w:val="0"/>
              <w:adjustRightInd w:val="0"/>
              <w:snapToGrid w:val="0"/>
              <w:spacing w:before="24" w:beforeLines="10" w:beforeAutospacing="0" w:after="0" w:afterAutospacing="0" w:line="240" w:lineRule="auto"/>
              <w:ind w:left="0" w:leftChars="0" w:right="0" w:rightChars="0"/>
              <w:jc w:val="center"/>
              <w:rPr>
                <w:rFonts w:hint="default" w:ascii="Times New Roman" w:hAnsi="Times New Roman" w:eastAsia="Times New Roman" w:cs="Times New Roman"/>
                <w:snapToGrid w:val="0"/>
                <w:kern w:val="21"/>
                <w:sz w:val="21"/>
                <w:szCs w:val="21"/>
                <w:lang w:val="en-US" w:eastAsia="zh-CN" w:bidi="ar"/>
              </w:rPr>
            </w:pPr>
            <w:r>
              <w:rPr>
                <w:rFonts w:hint="eastAsia" w:ascii="Times New Roman" w:hAnsi="Times New Roman" w:eastAsia="Times New Roman" w:cs="Times New Roman"/>
                <w:snapToGrid w:val="0"/>
                <w:kern w:val="21"/>
                <w:sz w:val="21"/>
                <w:szCs w:val="21"/>
                <w:lang w:val="en-US" w:eastAsia="zh-CN" w:bidi="ar"/>
              </w:rPr>
              <w:t>+0.0001t/a</w:t>
            </w:r>
          </w:p>
        </w:tc>
      </w:tr>
      <w:tr w14:paraId="07C1BE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535" w:type="pct"/>
            <w:vMerge w:val="continue"/>
            <w:noWrap w:val="0"/>
            <w:vAlign w:val="center"/>
          </w:tcPr>
          <w:p w14:paraId="11719F86">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360" w:lineRule="exact"/>
              <w:ind w:left="0" w:right="0"/>
              <w:jc w:val="center"/>
              <w:textAlignment w:val="auto"/>
              <w:rPr>
                <w:rFonts w:hint="default" w:ascii="Times New Roman" w:hAnsi="Times New Roman" w:cs="Times New Roman"/>
                <w:snapToGrid w:val="0"/>
                <w:color w:val="000000" w:themeColor="text1"/>
                <w:kern w:val="21"/>
                <w:sz w:val="21"/>
                <w:szCs w:val="21"/>
                <w14:textFill>
                  <w14:solidFill>
                    <w14:schemeClr w14:val="tx1"/>
                  </w14:solidFill>
                </w14:textFill>
              </w:rPr>
            </w:pPr>
          </w:p>
        </w:tc>
        <w:tc>
          <w:tcPr>
            <w:tcW w:w="542" w:type="pct"/>
            <w:noWrap w:val="0"/>
            <w:vAlign w:val="center"/>
          </w:tcPr>
          <w:p w14:paraId="54003417">
            <w:pPr>
              <w:keepNext w:val="0"/>
              <w:keepLines w:val="0"/>
              <w:widowControl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宋体"/>
                <w:kern w:val="2"/>
                <w:sz w:val="21"/>
                <w:szCs w:val="24"/>
                <w:lang w:val="en-US" w:eastAsia="zh-CN" w:bidi="ar"/>
              </w:rPr>
            </w:pPr>
            <w:r>
              <w:rPr>
                <w:rFonts w:hint="eastAsia" w:cs="宋体"/>
                <w:kern w:val="2"/>
                <w:sz w:val="21"/>
                <w:szCs w:val="24"/>
                <w:lang w:val="en-US" w:eastAsia="zh-CN" w:bidi="ar"/>
              </w:rPr>
              <w:t>总氮</w:t>
            </w:r>
          </w:p>
        </w:tc>
        <w:tc>
          <w:tcPr>
            <w:tcW w:w="609" w:type="pct"/>
            <w:noWrap w:val="0"/>
            <w:vAlign w:val="center"/>
          </w:tcPr>
          <w:p w14:paraId="3BC9F439">
            <w:pPr>
              <w:pStyle w:val="21"/>
              <w:keepNext w:val="0"/>
              <w:keepLines w:val="0"/>
              <w:widowControl w:val="0"/>
              <w:suppressLineNumbers w:val="0"/>
              <w:adjustRightInd w:val="0"/>
              <w:snapToGrid w:val="0"/>
              <w:spacing w:before="24" w:beforeLines="10" w:beforeAutospacing="0" w:after="0" w:afterAutospacing="0" w:line="240" w:lineRule="auto"/>
              <w:ind w:left="0" w:leftChars="0" w:right="0" w:rightChars="0"/>
              <w:jc w:val="center"/>
              <w:rPr>
                <w:rFonts w:hint="default" w:ascii="Times New Roman" w:hAnsi="Times New Roman" w:eastAsia="宋体" w:cs="Times New Roman"/>
                <w:snapToGrid w:val="0"/>
                <w:color w:val="000000" w:themeColor="text1"/>
                <w:kern w:val="21"/>
                <w:sz w:val="21"/>
                <w:szCs w:val="21"/>
                <w:lang w:val="en-US" w:eastAsia="zh-CN" w:bidi="ar-SA"/>
                <w14:textFill>
                  <w14:solidFill>
                    <w14:schemeClr w14:val="tx1"/>
                  </w14:solidFill>
                </w14:textFill>
              </w:rPr>
            </w:pPr>
          </w:p>
        </w:tc>
        <w:tc>
          <w:tcPr>
            <w:tcW w:w="457" w:type="pct"/>
            <w:noWrap w:val="0"/>
            <w:vAlign w:val="center"/>
          </w:tcPr>
          <w:p w14:paraId="76513EE5">
            <w:pPr>
              <w:pStyle w:val="21"/>
              <w:keepNext w:val="0"/>
              <w:keepLines w:val="0"/>
              <w:widowControl w:val="0"/>
              <w:suppressLineNumbers w:val="0"/>
              <w:adjustRightInd w:val="0"/>
              <w:snapToGrid w:val="0"/>
              <w:spacing w:before="24" w:beforeLines="10" w:beforeAutospacing="0" w:after="0" w:afterAutospacing="0" w:line="240" w:lineRule="auto"/>
              <w:ind w:left="0" w:leftChars="0" w:right="0" w:rightChars="0"/>
              <w:jc w:val="center"/>
              <w:rPr>
                <w:rFonts w:hint="default" w:ascii="Times New Roman" w:hAnsi="Times New Roman" w:cs="Times New Roman"/>
                <w:snapToGrid w:val="0"/>
                <w:color w:val="000000" w:themeColor="text1"/>
                <w:kern w:val="21"/>
                <w:sz w:val="21"/>
                <w:szCs w:val="21"/>
                <w14:textFill>
                  <w14:solidFill>
                    <w14:schemeClr w14:val="tx1"/>
                  </w14:solidFill>
                </w14:textFill>
              </w:rPr>
            </w:pPr>
          </w:p>
        </w:tc>
        <w:tc>
          <w:tcPr>
            <w:tcW w:w="609" w:type="pct"/>
            <w:noWrap w:val="0"/>
            <w:vAlign w:val="center"/>
          </w:tcPr>
          <w:p w14:paraId="0CE1BED3">
            <w:pPr>
              <w:pStyle w:val="21"/>
              <w:keepNext w:val="0"/>
              <w:keepLines w:val="0"/>
              <w:widowControl w:val="0"/>
              <w:suppressLineNumbers w:val="0"/>
              <w:adjustRightInd w:val="0"/>
              <w:snapToGrid w:val="0"/>
              <w:spacing w:before="24" w:beforeLines="10" w:beforeAutospacing="0" w:after="0" w:afterAutospacing="0" w:line="240" w:lineRule="auto"/>
              <w:ind w:left="0" w:leftChars="0" w:right="0" w:rightChars="0"/>
              <w:jc w:val="center"/>
              <w:rPr>
                <w:rFonts w:hint="default" w:ascii="Times New Roman" w:hAnsi="Times New Roman" w:cs="Times New Roman"/>
                <w:snapToGrid w:val="0"/>
                <w:color w:val="000000" w:themeColor="text1"/>
                <w:kern w:val="21"/>
                <w:sz w:val="21"/>
                <w:szCs w:val="21"/>
                <w14:textFill>
                  <w14:solidFill>
                    <w14:schemeClr w14:val="tx1"/>
                  </w14:solidFill>
                </w14:textFill>
              </w:rPr>
            </w:pPr>
          </w:p>
        </w:tc>
        <w:tc>
          <w:tcPr>
            <w:tcW w:w="559" w:type="pct"/>
            <w:noWrap w:val="0"/>
            <w:vAlign w:val="center"/>
          </w:tcPr>
          <w:p w14:paraId="5268F526">
            <w:pPr>
              <w:pStyle w:val="21"/>
              <w:keepNext w:val="0"/>
              <w:keepLines w:val="0"/>
              <w:widowControl w:val="0"/>
              <w:suppressLineNumbers w:val="0"/>
              <w:adjustRightInd w:val="0"/>
              <w:snapToGrid w:val="0"/>
              <w:spacing w:before="24" w:beforeLines="10" w:beforeAutospacing="0" w:after="0" w:afterAutospacing="0" w:line="240" w:lineRule="auto"/>
              <w:ind w:left="0" w:leftChars="0" w:right="0" w:rightChars="0"/>
              <w:jc w:val="center"/>
              <w:rPr>
                <w:rFonts w:hint="default" w:ascii="Times New Roman" w:hAnsi="Times New Roman" w:eastAsia="Times New Roman" w:cs="Times New Roman"/>
                <w:snapToGrid w:val="0"/>
                <w:kern w:val="21"/>
                <w:sz w:val="21"/>
                <w:szCs w:val="21"/>
                <w:lang w:val="en-US" w:eastAsia="zh-CN" w:bidi="ar"/>
              </w:rPr>
            </w:pPr>
            <w:r>
              <w:rPr>
                <w:rFonts w:hint="eastAsia" w:ascii="Times New Roman" w:hAnsi="Times New Roman" w:eastAsia="Times New Roman" w:cs="Times New Roman"/>
                <w:snapToGrid w:val="0"/>
                <w:kern w:val="21"/>
                <w:sz w:val="21"/>
                <w:szCs w:val="21"/>
                <w:lang w:val="en-US" w:eastAsia="zh-CN" w:bidi="ar"/>
              </w:rPr>
              <w:t>0.0029t/a</w:t>
            </w:r>
          </w:p>
        </w:tc>
        <w:tc>
          <w:tcPr>
            <w:tcW w:w="631" w:type="pct"/>
            <w:noWrap w:val="0"/>
            <w:vAlign w:val="center"/>
          </w:tcPr>
          <w:p w14:paraId="65358EFC">
            <w:pPr>
              <w:pStyle w:val="21"/>
              <w:keepNext w:val="0"/>
              <w:keepLines w:val="0"/>
              <w:widowControl w:val="0"/>
              <w:suppressLineNumbers w:val="0"/>
              <w:adjustRightInd w:val="0"/>
              <w:snapToGrid w:val="0"/>
              <w:spacing w:before="24" w:beforeLines="10" w:beforeAutospacing="0" w:after="0" w:afterAutospacing="0" w:line="240" w:lineRule="auto"/>
              <w:ind w:left="0" w:leftChars="0" w:right="0" w:rightChars="0"/>
              <w:jc w:val="center"/>
              <w:rPr>
                <w:rFonts w:hint="default" w:ascii="Times New Roman" w:hAnsi="Times New Roman" w:eastAsia="Times New Roman" w:cs="Times New Roman"/>
                <w:snapToGrid w:val="0"/>
                <w:kern w:val="21"/>
                <w:sz w:val="21"/>
                <w:szCs w:val="21"/>
                <w:lang w:val="en-US" w:eastAsia="zh-CN" w:bidi="ar"/>
              </w:rPr>
            </w:pPr>
          </w:p>
        </w:tc>
        <w:tc>
          <w:tcPr>
            <w:tcW w:w="636" w:type="pct"/>
            <w:noWrap w:val="0"/>
            <w:vAlign w:val="center"/>
          </w:tcPr>
          <w:p w14:paraId="179F81DE">
            <w:pPr>
              <w:keepNext w:val="0"/>
              <w:keepLines w:val="0"/>
              <w:widowControl w:val="0"/>
              <w:suppressLineNumbers w:val="0"/>
              <w:adjustRightInd w:val="0"/>
              <w:snapToGrid w:val="0"/>
              <w:spacing w:before="24" w:beforeLines="10" w:beforeAutospacing="0" w:after="0" w:afterAutospacing="0" w:line="240" w:lineRule="auto"/>
              <w:ind w:left="0" w:leftChars="0" w:right="0" w:rightChars="0"/>
              <w:jc w:val="center"/>
              <w:rPr>
                <w:rFonts w:hint="default" w:ascii="Times New Roman" w:hAnsi="Times New Roman" w:eastAsia="Times New Roman" w:cs="Times New Roman"/>
                <w:snapToGrid w:val="0"/>
                <w:kern w:val="21"/>
                <w:sz w:val="21"/>
                <w:szCs w:val="21"/>
                <w:lang w:val="en-US" w:eastAsia="zh-CN" w:bidi="ar"/>
              </w:rPr>
            </w:pPr>
            <w:r>
              <w:rPr>
                <w:rFonts w:hint="eastAsia" w:ascii="Times New Roman" w:hAnsi="Times New Roman" w:eastAsia="Times New Roman" w:cs="Times New Roman"/>
                <w:snapToGrid w:val="0"/>
                <w:kern w:val="21"/>
                <w:sz w:val="21"/>
                <w:szCs w:val="21"/>
                <w:lang w:val="en-US" w:eastAsia="zh-CN" w:bidi="ar"/>
              </w:rPr>
              <w:t>0.0029t/a</w:t>
            </w:r>
          </w:p>
        </w:tc>
        <w:tc>
          <w:tcPr>
            <w:tcW w:w="418" w:type="pct"/>
            <w:noWrap w:val="0"/>
            <w:vAlign w:val="center"/>
          </w:tcPr>
          <w:p w14:paraId="6DC9ADFB">
            <w:pPr>
              <w:keepNext w:val="0"/>
              <w:keepLines w:val="0"/>
              <w:widowControl w:val="0"/>
              <w:suppressLineNumbers w:val="0"/>
              <w:adjustRightInd w:val="0"/>
              <w:snapToGrid w:val="0"/>
              <w:spacing w:before="24" w:beforeLines="10" w:beforeAutospacing="0" w:after="0" w:afterAutospacing="0" w:line="240" w:lineRule="auto"/>
              <w:ind w:left="0" w:leftChars="0" w:right="0" w:rightChars="0"/>
              <w:jc w:val="center"/>
              <w:rPr>
                <w:rFonts w:hint="default" w:ascii="Times New Roman" w:hAnsi="Times New Roman" w:eastAsia="Times New Roman" w:cs="Times New Roman"/>
                <w:snapToGrid w:val="0"/>
                <w:kern w:val="21"/>
                <w:sz w:val="21"/>
                <w:szCs w:val="21"/>
                <w:lang w:val="en-US" w:eastAsia="zh-CN" w:bidi="ar"/>
              </w:rPr>
            </w:pPr>
            <w:r>
              <w:rPr>
                <w:rFonts w:hint="eastAsia" w:ascii="Times New Roman" w:hAnsi="Times New Roman" w:eastAsia="Times New Roman" w:cs="Times New Roman"/>
                <w:snapToGrid w:val="0"/>
                <w:kern w:val="21"/>
                <w:sz w:val="21"/>
                <w:szCs w:val="21"/>
                <w:lang w:val="en-US" w:eastAsia="zh-CN" w:bidi="ar"/>
              </w:rPr>
              <w:t>+0.0029t/a</w:t>
            </w:r>
          </w:p>
        </w:tc>
      </w:tr>
      <w:tr w14:paraId="68F1D9D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535" w:type="pct"/>
            <w:vMerge w:val="restart"/>
            <w:noWrap w:val="0"/>
            <w:vAlign w:val="center"/>
          </w:tcPr>
          <w:p w14:paraId="7B6FBD01">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360" w:lineRule="exact"/>
              <w:ind w:left="0" w:right="0" w:firstLine="0" w:firstLineChars="0"/>
              <w:jc w:val="center"/>
              <w:textAlignment w:val="auto"/>
              <w:rPr>
                <w:rFonts w:hint="eastAsia" w:ascii="Times New Roman" w:hAnsi="Times New Roman" w:eastAsia="宋体" w:cs="Times New Roman"/>
                <w:snapToGrid w:val="0"/>
                <w:color w:val="000000" w:themeColor="text1"/>
                <w:kern w:val="21"/>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21"/>
                <w:sz w:val="21"/>
                <w:szCs w:val="21"/>
                <w14:textFill>
                  <w14:solidFill>
                    <w14:schemeClr w14:val="tx1"/>
                  </w14:solidFill>
                </w14:textFill>
              </w:rPr>
              <w:t>一般工业</w:t>
            </w:r>
            <w:r>
              <w:rPr>
                <w:rFonts w:hint="eastAsia" w:ascii="Times New Roman" w:cs="Times New Roman"/>
                <w:snapToGrid w:val="0"/>
                <w:color w:val="000000" w:themeColor="text1"/>
                <w:kern w:val="21"/>
                <w:sz w:val="21"/>
                <w:szCs w:val="21"/>
                <w:lang w:val="en-US" w:eastAsia="zh-CN"/>
                <w14:textFill>
                  <w14:solidFill>
                    <w14:schemeClr w14:val="tx1"/>
                  </w14:solidFill>
                </w14:textFill>
              </w:rPr>
              <w:t>固体废物</w:t>
            </w:r>
          </w:p>
        </w:tc>
        <w:tc>
          <w:tcPr>
            <w:tcW w:w="542" w:type="pct"/>
            <w:noWrap w:val="0"/>
            <w:vAlign w:val="center"/>
          </w:tcPr>
          <w:p w14:paraId="22BE4CF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0" w:firstLineChars="0"/>
              <w:jc w:val="center"/>
              <w:textAlignment w:val="auto"/>
              <w:outlineLvl w:val="9"/>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废弃包装</w:t>
            </w:r>
          </w:p>
        </w:tc>
        <w:tc>
          <w:tcPr>
            <w:tcW w:w="609" w:type="pct"/>
            <w:noWrap w:val="0"/>
            <w:vAlign w:val="center"/>
          </w:tcPr>
          <w:p w14:paraId="15E1E6CD">
            <w:pPr>
              <w:pStyle w:val="7"/>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457" w:type="pct"/>
            <w:noWrap w:val="0"/>
            <w:vAlign w:val="center"/>
          </w:tcPr>
          <w:p w14:paraId="4DDED640">
            <w:pPr>
              <w:pStyle w:val="7"/>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609" w:type="pct"/>
            <w:noWrap w:val="0"/>
            <w:vAlign w:val="center"/>
          </w:tcPr>
          <w:p w14:paraId="340CBC34">
            <w:pPr>
              <w:pStyle w:val="7"/>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559" w:type="pct"/>
            <w:noWrap w:val="0"/>
            <w:vAlign w:val="center"/>
          </w:tcPr>
          <w:p w14:paraId="019B448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5t/a</w:t>
            </w:r>
          </w:p>
        </w:tc>
        <w:tc>
          <w:tcPr>
            <w:tcW w:w="631" w:type="pct"/>
            <w:noWrap w:val="0"/>
            <w:vAlign w:val="center"/>
          </w:tcPr>
          <w:p w14:paraId="24AEC206">
            <w:pPr>
              <w:pStyle w:val="7"/>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636" w:type="pct"/>
            <w:noWrap w:val="0"/>
            <w:vAlign w:val="center"/>
          </w:tcPr>
          <w:p w14:paraId="0FC5068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5t/a</w:t>
            </w:r>
          </w:p>
        </w:tc>
        <w:tc>
          <w:tcPr>
            <w:tcW w:w="418" w:type="pct"/>
            <w:noWrap w:val="0"/>
            <w:vAlign w:val="center"/>
          </w:tcPr>
          <w:p w14:paraId="4809A9B5">
            <w:pPr>
              <w:pStyle w:val="7"/>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+5t/a</w:t>
            </w:r>
          </w:p>
        </w:tc>
      </w:tr>
      <w:tr w14:paraId="3A139E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535" w:type="pct"/>
            <w:vMerge w:val="continue"/>
            <w:noWrap w:val="0"/>
            <w:vAlign w:val="center"/>
          </w:tcPr>
          <w:p w14:paraId="0ADCDB61">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360" w:lineRule="exact"/>
              <w:ind w:left="0" w:right="0"/>
              <w:jc w:val="center"/>
              <w:textAlignment w:val="auto"/>
              <w:rPr>
                <w:rFonts w:hint="eastAsia" w:ascii="Times New Roman" w:cs="Times New Roman"/>
                <w:snapToGrid w:val="0"/>
                <w:color w:val="000000" w:themeColor="text1"/>
                <w:kern w:val="21"/>
                <w:sz w:val="21"/>
                <w:szCs w:val="21"/>
                <w:lang w:val="en-US" w:eastAsia="zh-CN"/>
                <w14:textFill>
                  <w14:solidFill>
                    <w14:schemeClr w14:val="tx1"/>
                  </w14:solidFill>
                </w14:textFill>
              </w:rPr>
            </w:pPr>
          </w:p>
        </w:tc>
        <w:tc>
          <w:tcPr>
            <w:tcW w:w="542" w:type="pct"/>
            <w:noWrap w:val="0"/>
            <w:vAlign w:val="center"/>
          </w:tcPr>
          <w:p w14:paraId="31CC1D9F">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60" w:lineRule="exact"/>
              <w:ind w:left="0" w:leftChars="0" w:right="0" w:rightChars="0"/>
              <w:jc w:val="center"/>
              <w:textAlignment w:val="auto"/>
              <w:rPr>
                <w:rFonts w:hint="default"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生活垃圾</w:t>
            </w:r>
          </w:p>
        </w:tc>
        <w:tc>
          <w:tcPr>
            <w:tcW w:w="609" w:type="pct"/>
            <w:noWrap w:val="0"/>
            <w:vAlign w:val="center"/>
          </w:tcPr>
          <w:p w14:paraId="7248872D">
            <w:pPr>
              <w:pStyle w:val="7"/>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default" w:cs="Times New Roman"/>
                <w:color w:val="000000" w:themeColor="text1"/>
                <w:sz w:val="21"/>
                <w:szCs w:val="21"/>
                <w:lang w:val="en-US" w:eastAsia="zh-CN"/>
                <w14:textFill>
                  <w14:solidFill>
                    <w14:schemeClr w14:val="tx1"/>
                  </w14:solidFill>
                </w14:textFill>
              </w:rPr>
            </w:pPr>
          </w:p>
        </w:tc>
        <w:tc>
          <w:tcPr>
            <w:tcW w:w="457" w:type="pct"/>
            <w:noWrap w:val="0"/>
            <w:vAlign w:val="center"/>
          </w:tcPr>
          <w:p w14:paraId="74907077">
            <w:pPr>
              <w:pStyle w:val="7"/>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eastAsia" w:cs="Times New Roman"/>
                <w:color w:val="000000" w:themeColor="text1"/>
                <w:sz w:val="21"/>
                <w:szCs w:val="21"/>
                <w:lang w:val="en-US" w:eastAsia="zh-CN"/>
                <w14:textFill>
                  <w14:solidFill>
                    <w14:schemeClr w14:val="tx1"/>
                  </w14:solidFill>
                </w14:textFill>
              </w:rPr>
            </w:pPr>
          </w:p>
        </w:tc>
        <w:tc>
          <w:tcPr>
            <w:tcW w:w="609" w:type="pct"/>
            <w:noWrap w:val="0"/>
            <w:vAlign w:val="center"/>
          </w:tcPr>
          <w:p w14:paraId="771FAE44">
            <w:pPr>
              <w:pStyle w:val="7"/>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eastAsia" w:cs="Times New Roman"/>
                <w:color w:val="000000" w:themeColor="text1"/>
                <w:sz w:val="21"/>
                <w:szCs w:val="21"/>
                <w:lang w:val="en-US" w:eastAsia="zh-CN"/>
                <w14:textFill>
                  <w14:solidFill>
                    <w14:schemeClr w14:val="tx1"/>
                  </w14:solidFill>
                </w14:textFill>
              </w:rPr>
            </w:pPr>
          </w:p>
        </w:tc>
        <w:tc>
          <w:tcPr>
            <w:tcW w:w="559" w:type="pct"/>
            <w:noWrap w:val="0"/>
            <w:vAlign w:val="center"/>
          </w:tcPr>
          <w:p w14:paraId="28A6A3D5">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60" w:lineRule="exact"/>
              <w:ind w:left="0" w:leftChars="0" w:right="0" w:rightChars="0"/>
              <w:jc w:val="center"/>
              <w:textAlignment w:val="auto"/>
              <w:rPr>
                <w:rFonts w:hint="default"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4.5t/a</w:t>
            </w:r>
          </w:p>
        </w:tc>
        <w:tc>
          <w:tcPr>
            <w:tcW w:w="631" w:type="pct"/>
            <w:noWrap w:val="0"/>
            <w:vAlign w:val="center"/>
          </w:tcPr>
          <w:p w14:paraId="6015039D">
            <w:pPr>
              <w:pStyle w:val="7"/>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eastAsia" w:cs="Times New Roman"/>
                <w:color w:val="000000" w:themeColor="text1"/>
                <w:sz w:val="21"/>
                <w:szCs w:val="21"/>
                <w:lang w:val="en-US" w:eastAsia="zh-CN"/>
                <w14:textFill>
                  <w14:solidFill>
                    <w14:schemeClr w14:val="tx1"/>
                  </w14:solidFill>
                </w14:textFill>
              </w:rPr>
            </w:pPr>
          </w:p>
        </w:tc>
        <w:tc>
          <w:tcPr>
            <w:tcW w:w="636" w:type="pct"/>
            <w:noWrap w:val="0"/>
            <w:vAlign w:val="center"/>
          </w:tcPr>
          <w:p w14:paraId="7A5B2D67">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60" w:lineRule="exact"/>
              <w:ind w:left="0" w:leftChars="0" w:right="0" w:rightChars="0"/>
              <w:jc w:val="center"/>
              <w:textAlignment w:val="auto"/>
              <w:rPr>
                <w:rFonts w:hint="default"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4.5t/a</w:t>
            </w:r>
          </w:p>
        </w:tc>
        <w:tc>
          <w:tcPr>
            <w:tcW w:w="418" w:type="pct"/>
            <w:noWrap w:val="0"/>
            <w:vAlign w:val="center"/>
          </w:tcPr>
          <w:p w14:paraId="24AA612F">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60" w:lineRule="exact"/>
              <w:ind w:left="0" w:leftChars="0" w:right="0" w:rightChars="0"/>
              <w:jc w:val="center"/>
              <w:textAlignment w:val="auto"/>
              <w:rPr>
                <w:rFonts w:hint="default"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+4.5t/a</w:t>
            </w:r>
          </w:p>
        </w:tc>
      </w:tr>
      <w:tr w14:paraId="24862EF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535" w:type="pct"/>
            <w:vMerge w:val="restart"/>
            <w:noWrap w:val="0"/>
            <w:vAlign w:val="center"/>
          </w:tcPr>
          <w:p w14:paraId="4BAB96DE">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360" w:lineRule="exact"/>
              <w:ind w:left="0" w:right="0"/>
              <w:jc w:val="center"/>
              <w:textAlignment w:val="auto"/>
              <w:rPr>
                <w:rFonts w:hint="default" w:ascii="Times New Roman" w:cs="Times New Roman"/>
                <w:snapToGrid w:val="0"/>
                <w:color w:val="000000" w:themeColor="text1"/>
                <w:kern w:val="21"/>
                <w:sz w:val="21"/>
                <w:szCs w:val="21"/>
                <w:lang w:val="en-US" w:eastAsia="zh-CN"/>
                <w14:textFill>
                  <w14:solidFill>
                    <w14:schemeClr w14:val="tx1"/>
                  </w14:solidFill>
                </w14:textFill>
              </w:rPr>
            </w:pPr>
            <w:r>
              <w:rPr>
                <w:rFonts w:hint="eastAsia" w:ascii="Times New Roman" w:cs="Times New Roman"/>
                <w:snapToGrid w:val="0"/>
                <w:color w:val="000000" w:themeColor="text1"/>
                <w:kern w:val="21"/>
                <w:sz w:val="21"/>
                <w:szCs w:val="21"/>
                <w:lang w:val="en-US" w:eastAsia="zh-CN"/>
                <w14:textFill>
                  <w14:solidFill>
                    <w14:schemeClr w14:val="tx1"/>
                  </w14:solidFill>
                </w14:textFill>
              </w:rPr>
              <w:t>危险废物</w:t>
            </w:r>
          </w:p>
        </w:tc>
        <w:tc>
          <w:tcPr>
            <w:tcW w:w="542" w:type="pct"/>
            <w:noWrap w:val="0"/>
            <w:vAlign w:val="center"/>
          </w:tcPr>
          <w:p w14:paraId="37CBA6F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textAlignment w:val="auto"/>
              <w:rPr>
                <w:rFonts w:hint="eastAsia" w:cs="Times New Roman"/>
                <w:color w:val="000000" w:themeColor="text1"/>
                <w:szCs w:val="21"/>
                <w:highlight w:val="none"/>
                <w:lang w:val="en-US" w:eastAsia="zh-CN"/>
                <w14:textFill>
                  <w14:solidFill>
                    <w14:schemeClr w14:val="tx1"/>
                  </w14:solidFill>
                </w14:textFill>
              </w:rPr>
            </w:pPr>
            <w:r>
              <w:rPr>
                <w:rFonts w:hint="eastAsia"/>
                <w:color w:val="auto"/>
              </w:rPr>
              <w:t>废活性炭</w:t>
            </w:r>
          </w:p>
        </w:tc>
        <w:tc>
          <w:tcPr>
            <w:tcW w:w="609" w:type="pct"/>
            <w:noWrap w:val="0"/>
            <w:vAlign w:val="center"/>
          </w:tcPr>
          <w:p w14:paraId="7AFC41C9">
            <w:pPr>
              <w:pStyle w:val="7"/>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default" w:cs="Times New Roman"/>
                <w:color w:val="000000" w:themeColor="text1"/>
                <w:sz w:val="21"/>
                <w:szCs w:val="21"/>
                <w:lang w:val="en-US" w:eastAsia="zh-CN"/>
                <w14:textFill>
                  <w14:solidFill>
                    <w14:schemeClr w14:val="tx1"/>
                  </w14:solidFill>
                </w14:textFill>
              </w:rPr>
            </w:pPr>
          </w:p>
        </w:tc>
        <w:tc>
          <w:tcPr>
            <w:tcW w:w="457" w:type="pct"/>
            <w:noWrap w:val="0"/>
            <w:vAlign w:val="center"/>
          </w:tcPr>
          <w:p w14:paraId="4C1A0776">
            <w:pPr>
              <w:pStyle w:val="7"/>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eastAsia" w:cs="Times New Roman"/>
                <w:color w:val="000000" w:themeColor="text1"/>
                <w:sz w:val="21"/>
                <w:szCs w:val="21"/>
                <w:lang w:val="en-US" w:eastAsia="zh-CN"/>
                <w14:textFill>
                  <w14:solidFill>
                    <w14:schemeClr w14:val="tx1"/>
                  </w14:solidFill>
                </w14:textFill>
              </w:rPr>
            </w:pPr>
          </w:p>
        </w:tc>
        <w:tc>
          <w:tcPr>
            <w:tcW w:w="609" w:type="pct"/>
            <w:noWrap w:val="0"/>
            <w:vAlign w:val="center"/>
          </w:tcPr>
          <w:p w14:paraId="4BBF8154">
            <w:pPr>
              <w:pStyle w:val="7"/>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eastAsia" w:cs="Times New Roman"/>
                <w:color w:val="000000" w:themeColor="text1"/>
                <w:sz w:val="21"/>
                <w:szCs w:val="21"/>
                <w:lang w:val="en-US" w:eastAsia="zh-CN"/>
                <w14:textFill>
                  <w14:solidFill>
                    <w14:schemeClr w14:val="tx1"/>
                  </w14:solidFill>
                </w14:textFill>
              </w:rPr>
            </w:pPr>
          </w:p>
        </w:tc>
        <w:tc>
          <w:tcPr>
            <w:tcW w:w="559" w:type="pct"/>
            <w:noWrap w:val="0"/>
            <w:vAlign w:val="center"/>
          </w:tcPr>
          <w:p w14:paraId="6A790422">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60" w:lineRule="exact"/>
              <w:ind w:left="0" w:leftChars="0" w:right="0" w:rightChars="0"/>
              <w:jc w:val="center"/>
              <w:textAlignment w:val="auto"/>
              <w:rPr>
                <w:rFonts w:hint="default"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1.222t/a</w:t>
            </w:r>
          </w:p>
        </w:tc>
        <w:tc>
          <w:tcPr>
            <w:tcW w:w="631" w:type="pct"/>
            <w:noWrap w:val="0"/>
            <w:vAlign w:val="center"/>
          </w:tcPr>
          <w:p w14:paraId="5A539F99">
            <w:pPr>
              <w:pStyle w:val="7"/>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eastAsia" w:cs="Times New Roman"/>
                <w:color w:val="000000" w:themeColor="text1"/>
                <w:sz w:val="21"/>
                <w:szCs w:val="21"/>
                <w:lang w:val="en-US" w:eastAsia="zh-CN"/>
                <w14:textFill>
                  <w14:solidFill>
                    <w14:schemeClr w14:val="tx1"/>
                  </w14:solidFill>
                </w14:textFill>
              </w:rPr>
            </w:pPr>
          </w:p>
        </w:tc>
        <w:tc>
          <w:tcPr>
            <w:tcW w:w="636" w:type="pct"/>
            <w:noWrap w:val="0"/>
            <w:vAlign w:val="center"/>
          </w:tcPr>
          <w:p w14:paraId="6FC82643">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60" w:lineRule="exact"/>
              <w:ind w:left="0" w:leftChars="0" w:right="0" w:rightChars="0"/>
              <w:jc w:val="center"/>
              <w:textAlignment w:val="auto"/>
              <w:rPr>
                <w:rFonts w:hint="eastAsia"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1.222t/a</w:t>
            </w:r>
          </w:p>
        </w:tc>
        <w:tc>
          <w:tcPr>
            <w:tcW w:w="418" w:type="pct"/>
            <w:noWrap w:val="0"/>
            <w:vAlign w:val="center"/>
          </w:tcPr>
          <w:p w14:paraId="1EFA0C14">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60" w:lineRule="exact"/>
              <w:ind w:left="0" w:leftChars="0" w:right="0" w:rightChars="0"/>
              <w:jc w:val="center"/>
              <w:textAlignment w:val="auto"/>
              <w:rPr>
                <w:rFonts w:hint="eastAsia"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+1.222t/a</w:t>
            </w:r>
          </w:p>
        </w:tc>
      </w:tr>
      <w:tr w14:paraId="7FD4626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535" w:type="pct"/>
            <w:vMerge w:val="continue"/>
            <w:noWrap w:val="0"/>
            <w:vAlign w:val="center"/>
          </w:tcPr>
          <w:p w14:paraId="282022AB">
            <w:pPr>
              <w:pStyle w:val="4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360" w:lineRule="exact"/>
              <w:ind w:left="0" w:right="0"/>
              <w:jc w:val="center"/>
              <w:textAlignment w:val="auto"/>
              <w:rPr>
                <w:rFonts w:hint="eastAsia" w:ascii="Times New Roman" w:cs="Times New Roman"/>
                <w:snapToGrid w:val="0"/>
                <w:color w:val="000000" w:themeColor="text1"/>
                <w:kern w:val="21"/>
                <w:sz w:val="21"/>
                <w:szCs w:val="21"/>
                <w:lang w:val="en-US" w:eastAsia="zh-CN"/>
                <w14:textFill>
                  <w14:solidFill>
                    <w14:schemeClr w14:val="tx1"/>
                  </w14:solidFill>
                </w14:textFill>
              </w:rPr>
            </w:pPr>
          </w:p>
        </w:tc>
        <w:tc>
          <w:tcPr>
            <w:tcW w:w="542" w:type="pct"/>
            <w:noWrap w:val="0"/>
            <w:vAlign w:val="center"/>
          </w:tcPr>
          <w:p w14:paraId="0D534E8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textAlignment w:val="auto"/>
              <w:rPr>
                <w:rFonts w:hint="eastAsia" w:cs="Times New Roman"/>
                <w:color w:val="000000" w:themeColor="text1"/>
                <w:szCs w:val="21"/>
                <w:highlight w:val="none"/>
                <w:lang w:val="en-US" w:eastAsia="zh-CN"/>
                <w14:textFill>
                  <w14:solidFill>
                    <w14:schemeClr w14:val="tx1"/>
                  </w14:solidFill>
                </w14:textFill>
              </w:rPr>
            </w:pPr>
            <w:r>
              <w:rPr>
                <w:rFonts w:hint="eastAsia"/>
                <w:color w:val="auto"/>
                <w:lang w:val="en-US" w:eastAsia="zh-CN"/>
              </w:rPr>
              <w:t>废催化剂</w:t>
            </w:r>
          </w:p>
        </w:tc>
        <w:tc>
          <w:tcPr>
            <w:tcW w:w="609" w:type="pct"/>
            <w:noWrap w:val="0"/>
            <w:vAlign w:val="center"/>
          </w:tcPr>
          <w:p w14:paraId="6B85B538">
            <w:pPr>
              <w:pStyle w:val="7"/>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default" w:cs="Times New Roman"/>
                <w:color w:val="000000" w:themeColor="text1"/>
                <w:sz w:val="21"/>
                <w:szCs w:val="21"/>
                <w:lang w:val="en-US" w:eastAsia="zh-CN"/>
                <w14:textFill>
                  <w14:solidFill>
                    <w14:schemeClr w14:val="tx1"/>
                  </w14:solidFill>
                </w14:textFill>
              </w:rPr>
            </w:pPr>
          </w:p>
        </w:tc>
        <w:tc>
          <w:tcPr>
            <w:tcW w:w="457" w:type="pct"/>
            <w:noWrap w:val="0"/>
            <w:vAlign w:val="center"/>
          </w:tcPr>
          <w:p w14:paraId="40E113AC">
            <w:pPr>
              <w:pStyle w:val="7"/>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eastAsia" w:cs="Times New Roman"/>
                <w:color w:val="000000" w:themeColor="text1"/>
                <w:sz w:val="21"/>
                <w:szCs w:val="21"/>
                <w:lang w:val="en-US" w:eastAsia="zh-CN"/>
                <w14:textFill>
                  <w14:solidFill>
                    <w14:schemeClr w14:val="tx1"/>
                  </w14:solidFill>
                </w14:textFill>
              </w:rPr>
            </w:pPr>
          </w:p>
        </w:tc>
        <w:tc>
          <w:tcPr>
            <w:tcW w:w="609" w:type="pct"/>
            <w:noWrap w:val="0"/>
            <w:vAlign w:val="center"/>
          </w:tcPr>
          <w:p w14:paraId="3368B555">
            <w:pPr>
              <w:pStyle w:val="7"/>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eastAsia" w:cs="Times New Roman"/>
                <w:color w:val="000000" w:themeColor="text1"/>
                <w:sz w:val="21"/>
                <w:szCs w:val="21"/>
                <w:lang w:val="en-US" w:eastAsia="zh-CN"/>
                <w14:textFill>
                  <w14:solidFill>
                    <w14:schemeClr w14:val="tx1"/>
                  </w14:solidFill>
                </w14:textFill>
              </w:rPr>
            </w:pPr>
          </w:p>
        </w:tc>
        <w:tc>
          <w:tcPr>
            <w:tcW w:w="559" w:type="pct"/>
            <w:noWrap w:val="0"/>
            <w:vAlign w:val="center"/>
          </w:tcPr>
          <w:p w14:paraId="53090895">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60" w:lineRule="exact"/>
              <w:ind w:left="0" w:leftChars="0" w:right="0" w:rightChars="0"/>
              <w:jc w:val="center"/>
              <w:textAlignment w:val="auto"/>
              <w:rPr>
                <w:rFonts w:hint="default"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0.05t/3a</w:t>
            </w:r>
          </w:p>
        </w:tc>
        <w:tc>
          <w:tcPr>
            <w:tcW w:w="631" w:type="pct"/>
            <w:noWrap w:val="0"/>
            <w:vAlign w:val="center"/>
          </w:tcPr>
          <w:p w14:paraId="42874DB3">
            <w:pPr>
              <w:pStyle w:val="7"/>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eastAsia" w:cs="Times New Roman"/>
                <w:color w:val="000000" w:themeColor="text1"/>
                <w:sz w:val="21"/>
                <w:szCs w:val="21"/>
                <w:lang w:val="en-US" w:eastAsia="zh-CN"/>
                <w14:textFill>
                  <w14:solidFill>
                    <w14:schemeClr w14:val="tx1"/>
                  </w14:solidFill>
                </w14:textFill>
              </w:rPr>
            </w:pPr>
          </w:p>
        </w:tc>
        <w:tc>
          <w:tcPr>
            <w:tcW w:w="636" w:type="pct"/>
            <w:noWrap w:val="0"/>
            <w:vAlign w:val="center"/>
          </w:tcPr>
          <w:p w14:paraId="552EFC21">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60" w:lineRule="exact"/>
              <w:ind w:left="0" w:leftChars="0" w:right="0" w:rightChars="0"/>
              <w:jc w:val="center"/>
              <w:textAlignment w:val="auto"/>
              <w:rPr>
                <w:rFonts w:hint="eastAsia"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0.05t/3a</w:t>
            </w:r>
          </w:p>
        </w:tc>
        <w:tc>
          <w:tcPr>
            <w:tcW w:w="418" w:type="pct"/>
            <w:noWrap w:val="0"/>
            <w:vAlign w:val="center"/>
          </w:tcPr>
          <w:p w14:paraId="0C9A6D69">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60" w:lineRule="exact"/>
              <w:ind w:left="0" w:leftChars="0" w:right="0" w:rightChars="0"/>
              <w:jc w:val="center"/>
              <w:textAlignment w:val="auto"/>
              <w:rPr>
                <w:rFonts w:hint="eastAsia"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+0.05t/3a</w:t>
            </w:r>
          </w:p>
        </w:tc>
      </w:tr>
    </w:tbl>
    <w:p w14:paraId="19DA3980">
      <w:pPr>
        <w:pStyle w:val="48"/>
        <w:spacing w:before="192" w:beforeLines="80" w:after="24"/>
        <w:jc w:val="left"/>
        <w:rPr>
          <w:rFonts w:ascii="宋体" w:hAnsi="宋体" w:eastAsia="黑体"/>
          <w:color w:val="000000" w:themeColor="text1"/>
          <w:szCs w:val="21"/>
          <w14:textFill>
            <w14:solidFill>
              <w14:schemeClr w14:val="tx1"/>
            </w14:solidFill>
          </w14:textFill>
        </w:rPr>
      </w:pPr>
      <w:r>
        <w:rPr>
          <w:rFonts w:hAnsi="宋体"/>
          <w:snapToGrid w:val="0"/>
          <w:color w:val="000000" w:themeColor="text1"/>
          <w:kern w:val="21"/>
          <w:szCs w:val="21"/>
          <w14:textFill>
            <w14:solidFill>
              <w14:schemeClr w14:val="tx1"/>
            </w14:solidFill>
          </w14:textFill>
        </w:rPr>
        <w:t>注：</w:t>
      </w:r>
      <w:r>
        <w:rPr>
          <w:rFonts w:hAnsi="宋体"/>
          <w:snapToGrid w:val="0"/>
          <w:color w:val="000000" w:themeColor="text1"/>
          <w:spacing w:val="-16"/>
          <w:kern w:val="21"/>
          <w:szCs w:val="21"/>
          <w14:textFill>
            <w14:solidFill>
              <w14:schemeClr w14:val="tx1"/>
            </w14:solidFill>
          </w14:textFill>
        </w:rPr>
        <w:fldChar w:fldCharType="begin"/>
      </w:r>
      <w:r>
        <w:rPr>
          <w:rFonts w:hAnsi="宋体"/>
          <w:snapToGrid w:val="0"/>
          <w:color w:val="000000" w:themeColor="text1"/>
          <w:spacing w:val="-16"/>
          <w:kern w:val="21"/>
          <w:szCs w:val="21"/>
          <w14:textFill>
            <w14:solidFill>
              <w14:schemeClr w14:val="tx1"/>
            </w14:solidFill>
          </w14:textFill>
        </w:rPr>
        <w:instrText xml:space="preserve"> = 6 \* GB3 \* MERGEFORMAT </w:instrText>
      </w:r>
      <w:r>
        <w:rPr>
          <w:rFonts w:hAnsi="宋体"/>
          <w:snapToGrid w:val="0"/>
          <w:color w:val="000000" w:themeColor="text1"/>
          <w:spacing w:val="-16"/>
          <w:kern w:val="21"/>
          <w:szCs w:val="21"/>
          <w14:textFill>
            <w14:solidFill>
              <w14:schemeClr w14:val="tx1"/>
            </w14:solidFill>
          </w14:textFill>
        </w:rPr>
        <w:fldChar w:fldCharType="separate"/>
      </w:r>
      <w:r>
        <w:rPr>
          <w:rFonts w:hint="eastAsia" w:hAnsi="宋体"/>
          <w:color w:val="000000" w:themeColor="text1"/>
          <w:szCs w:val="21"/>
          <w14:textFill>
            <w14:solidFill>
              <w14:schemeClr w14:val="tx1"/>
            </w14:solidFill>
          </w14:textFill>
        </w:rPr>
        <w:t>⑥</w:t>
      </w:r>
      <w:r>
        <w:rPr>
          <w:rFonts w:hAnsi="宋体"/>
          <w:snapToGrid w:val="0"/>
          <w:color w:val="000000" w:themeColor="text1"/>
          <w:spacing w:val="-16"/>
          <w:kern w:val="21"/>
          <w:szCs w:val="21"/>
          <w14:textFill>
            <w14:solidFill>
              <w14:schemeClr w14:val="tx1"/>
            </w14:solidFill>
          </w14:textFill>
        </w:rPr>
        <w:fldChar w:fldCharType="end"/>
      </w:r>
      <w:r>
        <w:rPr>
          <w:rFonts w:hAnsi="宋体"/>
          <w:snapToGrid w:val="0"/>
          <w:color w:val="000000" w:themeColor="text1"/>
          <w:spacing w:val="-16"/>
          <w:kern w:val="21"/>
          <w:szCs w:val="21"/>
          <w14:textFill>
            <w14:solidFill>
              <w14:schemeClr w14:val="tx1"/>
            </w14:solidFill>
          </w14:textFill>
        </w:rPr>
        <w:t>=</w:t>
      </w:r>
      <w:r>
        <w:rPr>
          <w:rFonts w:hAnsi="宋体"/>
          <w:snapToGrid w:val="0"/>
          <w:color w:val="000000" w:themeColor="text1"/>
          <w:spacing w:val="-6"/>
          <w:kern w:val="21"/>
          <w:szCs w:val="21"/>
          <w14:textFill>
            <w14:solidFill>
              <w14:schemeClr w14:val="tx1"/>
            </w14:solidFill>
          </w14:textFill>
        </w:rPr>
        <w:fldChar w:fldCharType="begin"/>
      </w:r>
      <w:r>
        <w:rPr>
          <w:rFonts w:hAnsi="宋体"/>
          <w:snapToGrid w:val="0"/>
          <w:color w:val="000000" w:themeColor="text1"/>
          <w:spacing w:val="-6"/>
          <w:kern w:val="21"/>
          <w:szCs w:val="21"/>
          <w14:textFill>
            <w14:solidFill>
              <w14:schemeClr w14:val="tx1"/>
            </w14:solidFill>
          </w14:textFill>
        </w:rPr>
        <w:instrText xml:space="preserve"> = 1 \* GB3 \* MERGEFORMAT </w:instrText>
      </w:r>
      <w:r>
        <w:rPr>
          <w:rFonts w:hAnsi="宋体"/>
          <w:snapToGrid w:val="0"/>
          <w:color w:val="000000" w:themeColor="text1"/>
          <w:spacing w:val="-6"/>
          <w:kern w:val="21"/>
          <w:szCs w:val="21"/>
          <w14:textFill>
            <w14:solidFill>
              <w14:schemeClr w14:val="tx1"/>
            </w14:solidFill>
          </w14:textFill>
        </w:rPr>
        <w:fldChar w:fldCharType="separate"/>
      </w:r>
      <w:r>
        <w:rPr>
          <w:rFonts w:hint="eastAsia" w:hAnsi="宋体"/>
          <w:color w:val="000000" w:themeColor="text1"/>
          <w:szCs w:val="21"/>
          <w14:textFill>
            <w14:solidFill>
              <w14:schemeClr w14:val="tx1"/>
            </w14:solidFill>
          </w14:textFill>
        </w:rPr>
        <w:t>①</w:t>
      </w:r>
      <w:r>
        <w:rPr>
          <w:rFonts w:hAnsi="宋体"/>
          <w:snapToGrid w:val="0"/>
          <w:color w:val="000000" w:themeColor="text1"/>
          <w:spacing w:val="-6"/>
          <w:kern w:val="21"/>
          <w:szCs w:val="21"/>
          <w14:textFill>
            <w14:solidFill>
              <w14:schemeClr w14:val="tx1"/>
            </w14:solidFill>
          </w14:textFill>
        </w:rPr>
        <w:fldChar w:fldCharType="end"/>
      </w:r>
      <w:r>
        <w:rPr>
          <w:rFonts w:hAnsi="宋体"/>
          <w:snapToGrid w:val="0"/>
          <w:color w:val="000000" w:themeColor="text1"/>
          <w:spacing w:val="-6"/>
          <w:kern w:val="21"/>
          <w:szCs w:val="21"/>
          <w14:textFill>
            <w14:solidFill>
              <w14:schemeClr w14:val="tx1"/>
            </w14:solidFill>
          </w14:textFill>
        </w:rPr>
        <w:t>+</w:t>
      </w:r>
      <w:r>
        <w:rPr>
          <w:rFonts w:hAnsi="宋体"/>
          <w:snapToGrid w:val="0"/>
          <w:color w:val="000000" w:themeColor="text1"/>
          <w:spacing w:val="-6"/>
          <w:kern w:val="21"/>
          <w:szCs w:val="21"/>
          <w14:textFill>
            <w14:solidFill>
              <w14:schemeClr w14:val="tx1"/>
            </w14:solidFill>
          </w14:textFill>
        </w:rPr>
        <w:fldChar w:fldCharType="begin"/>
      </w:r>
      <w:r>
        <w:rPr>
          <w:rFonts w:hAnsi="宋体"/>
          <w:snapToGrid w:val="0"/>
          <w:color w:val="000000" w:themeColor="text1"/>
          <w:spacing w:val="-6"/>
          <w:kern w:val="21"/>
          <w:szCs w:val="21"/>
          <w14:textFill>
            <w14:solidFill>
              <w14:schemeClr w14:val="tx1"/>
            </w14:solidFill>
          </w14:textFill>
        </w:rPr>
        <w:instrText xml:space="preserve"> = 3 \* GB3 \* MERGEFORMAT </w:instrText>
      </w:r>
      <w:r>
        <w:rPr>
          <w:rFonts w:hAnsi="宋体"/>
          <w:snapToGrid w:val="0"/>
          <w:color w:val="000000" w:themeColor="text1"/>
          <w:spacing w:val="-6"/>
          <w:kern w:val="21"/>
          <w:szCs w:val="21"/>
          <w14:textFill>
            <w14:solidFill>
              <w14:schemeClr w14:val="tx1"/>
            </w14:solidFill>
          </w14:textFill>
        </w:rPr>
        <w:fldChar w:fldCharType="separate"/>
      </w:r>
      <w:r>
        <w:rPr>
          <w:rFonts w:hint="eastAsia" w:hAnsi="宋体"/>
          <w:color w:val="000000" w:themeColor="text1"/>
          <w:szCs w:val="21"/>
          <w14:textFill>
            <w14:solidFill>
              <w14:schemeClr w14:val="tx1"/>
            </w14:solidFill>
          </w14:textFill>
        </w:rPr>
        <w:t>③</w:t>
      </w:r>
      <w:r>
        <w:rPr>
          <w:rFonts w:hAnsi="宋体"/>
          <w:snapToGrid w:val="0"/>
          <w:color w:val="000000" w:themeColor="text1"/>
          <w:spacing w:val="-6"/>
          <w:kern w:val="21"/>
          <w:szCs w:val="21"/>
          <w14:textFill>
            <w14:solidFill>
              <w14:schemeClr w14:val="tx1"/>
            </w14:solidFill>
          </w14:textFill>
        </w:rPr>
        <w:fldChar w:fldCharType="end"/>
      </w:r>
      <w:r>
        <w:rPr>
          <w:rFonts w:hAnsi="宋体"/>
          <w:snapToGrid w:val="0"/>
          <w:color w:val="000000" w:themeColor="text1"/>
          <w:spacing w:val="-6"/>
          <w:kern w:val="21"/>
          <w:szCs w:val="21"/>
          <w14:textFill>
            <w14:solidFill>
              <w14:schemeClr w14:val="tx1"/>
            </w14:solidFill>
          </w14:textFill>
        </w:rPr>
        <w:t>+</w:t>
      </w:r>
      <w:r>
        <w:rPr>
          <w:rFonts w:hAnsi="宋体"/>
          <w:snapToGrid w:val="0"/>
          <w:color w:val="000000" w:themeColor="text1"/>
          <w:spacing w:val="-6"/>
          <w:kern w:val="21"/>
          <w:szCs w:val="21"/>
          <w14:textFill>
            <w14:solidFill>
              <w14:schemeClr w14:val="tx1"/>
            </w14:solidFill>
          </w14:textFill>
        </w:rPr>
        <w:fldChar w:fldCharType="begin"/>
      </w:r>
      <w:r>
        <w:rPr>
          <w:rFonts w:hAnsi="宋体"/>
          <w:snapToGrid w:val="0"/>
          <w:color w:val="000000" w:themeColor="text1"/>
          <w:spacing w:val="-6"/>
          <w:kern w:val="21"/>
          <w:szCs w:val="21"/>
          <w14:textFill>
            <w14:solidFill>
              <w14:schemeClr w14:val="tx1"/>
            </w14:solidFill>
          </w14:textFill>
        </w:rPr>
        <w:instrText xml:space="preserve"> = 4 \* GB3 \* MERGEFORMAT </w:instrText>
      </w:r>
      <w:r>
        <w:rPr>
          <w:rFonts w:hAnsi="宋体"/>
          <w:snapToGrid w:val="0"/>
          <w:color w:val="000000" w:themeColor="text1"/>
          <w:spacing w:val="-6"/>
          <w:kern w:val="21"/>
          <w:szCs w:val="21"/>
          <w14:textFill>
            <w14:solidFill>
              <w14:schemeClr w14:val="tx1"/>
            </w14:solidFill>
          </w14:textFill>
        </w:rPr>
        <w:fldChar w:fldCharType="separate"/>
      </w:r>
      <w:r>
        <w:rPr>
          <w:rFonts w:hint="eastAsia" w:hAnsi="宋体"/>
          <w:color w:val="000000" w:themeColor="text1"/>
          <w:szCs w:val="21"/>
          <w14:textFill>
            <w14:solidFill>
              <w14:schemeClr w14:val="tx1"/>
            </w14:solidFill>
          </w14:textFill>
        </w:rPr>
        <w:t>④</w:t>
      </w:r>
      <w:r>
        <w:rPr>
          <w:rFonts w:hAnsi="宋体"/>
          <w:snapToGrid w:val="0"/>
          <w:color w:val="000000" w:themeColor="text1"/>
          <w:spacing w:val="-6"/>
          <w:kern w:val="21"/>
          <w:szCs w:val="21"/>
          <w14:textFill>
            <w14:solidFill>
              <w14:schemeClr w14:val="tx1"/>
            </w14:solidFill>
          </w14:textFill>
        </w:rPr>
        <w:fldChar w:fldCharType="end"/>
      </w:r>
      <w:r>
        <w:rPr>
          <w:rFonts w:hAnsi="宋体"/>
          <w:snapToGrid w:val="0"/>
          <w:color w:val="000000" w:themeColor="text1"/>
          <w:spacing w:val="-6"/>
          <w:kern w:val="21"/>
          <w:szCs w:val="21"/>
          <w14:textFill>
            <w14:solidFill>
              <w14:schemeClr w14:val="tx1"/>
            </w14:solidFill>
          </w14:textFill>
        </w:rPr>
        <w:t>-</w:t>
      </w:r>
      <w:r>
        <w:rPr>
          <w:rFonts w:hAnsi="宋体"/>
          <w:snapToGrid w:val="0"/>
          <w:color w:val="000000" w:themeColor="text1"/>
          <w:spacing w:val="-16"/>
          <w:kern w:val="21"/>
          <w:szCs w:val="21"/>
          <w14:textFill>
            <w14:solidFill>
              <w14:schemeClr w14:val="tx1"/>
            </w14:solidFill>
          </w14:textFill>
        </w:rPr>
        <w:fldChar w:fldCharType="begin"/>
      </w:r>
      <w:r>
        <w:rPr>
          <w:rFonts w:hAnsi="宋体"/>
          <w:snapToGrid w:val="0"/>
          <w:color w:val="000000" w:themeColor="text1"/>
          <w:spacing w:val="-16"/>
          <w:kern w:val="21"/>
          <w:szCs w:val="21"/>
          <w14:textFill>
            <w14:solidFill>
              <w14:schemeClr w14:val="tx1"/>
            </w14:solidFill>
          </w14:textFill>
        </w:rPr>
        <w:instrText xml:space="preserve"> = 5 \* GB3 \* MERGEFORMAT </w:instrText>
      </w:r>
      <w:r>
        <w:rPr>
          <w:rFonts w:hAnsi="宋体"/>
          <w:snapToGrid w:val="0"/>
          <w:color w:val="000000" w:themeColor="text1"/>
          <w:spacing w:val="-16"/>
          <w:kern w:val="21"/>
          <w:szCs w:val="21"/>
          <w14:textFill>
            <w14:solidFill>
              <w14:schemeClr w14:val="tx1"/>
            </w14:solidFill>
          </w14:textFill>
        </w:rPr>
        <w:fldChar w:fldCharType="separate"/>
      </w:r>
      <w:r>
        <w:rPr>
          <w:rFonts w:hint="eastAsia" w:hAnsi="宋体"/>
          <w:color w:val="000000" w:themeColor="text1"/>
          <w:szCs w:val="21"/>
          <w14:textFill>
            <w14:solidFill>
              <w14:schemeClr w14:val="tx1"/>
            </w14:solidFill>
          </w14:textFill>
        </w:rPr>
        <w:t>⑤</w:t>
      </w:r>
      <w:r>
        <w:rPr>
          <w:rFonts w:hAnsi="宋体"/>
          <w:snapToGrid w:val="0"/>
          <w:color w:val="000000" w:themeColor="text1"/>
          <w:spacing w:val="-16"/>
          <w:kern w:val="21"/>
          <w:szCs w:val="21"/>
          <w14:textFill>
            <w14:solidFill>
              <w14:schemeClr w14:val="tx1"/>
            </w14:solidFill>
          </w14:textFill>
        </w:rPr>
        <w:fldChar w:fldCharType="end"/>
      </w:r>
      <w:r>
        <w:rPr>
          <w:rFonts w:hAnsi="宋体"/>
          <w:snapToGrid w:val="0"/>
          <w:color w:val="000000" w:themeColor="text1"/>
          <w:spacing w:val="-16"/>
          <w:kern w:val="21"/>
          <w:szCs w:val="21"/>
          <w14:textFill>
            <w14:solidFill>
              <w14:schemeClr w14:val="tx1"/>
            </w14:solidFill>
          </w14:textFill>
        </w:rPr>
        <w:t>；</w:t>
      </w:r>
      <w:r>
        <w:rPr>
          <w:rFonts w:hAnsi="宋体"/>
          <w:snapToGrid w:val="0"/>
          <w:color w:val="000000" w:themeColor="text1"/>
          <w:spacing w:val="-6"/>
          <w:kern w:val="21"/>
          <w:szCs w:val="21"/>
          <w14:textFill>
            <w14:solidFill>
              <w14:schemeClr w14:val="tx1"/>
            </w14:solidFill>
          </w14:textFill>
        </w:rPr>
        <w:fldChar w:fldCharType="begin"/>
      </w:r>
      <w:r>
        <w:rPr>
          <w:rFonts w:hAnsi="宋体"/>
          <w:snapToGrid w:val="0"/>
          <w:color w:val="000000" w:themeColor="text1"/>
          <w:spacing w:val="-6"/>
          <w:kern w:val="21"/>
          <w:szCs w:val="21"/>
          <w14:textFill>
            <w14:solidFill>
              <w14:schemeClr w14:val="tx1"/>
            </w14:solidFill>
          </w14:textFill>
        </w:rPr>
        <w:instrText xml:space="preserve"> = 7 \* GB3 \* MERGEFORMAT </w:instrText>
      </w:r>
      <w:r>
        <w:rPr>
          <w:rFonts w:hAnsi="宋体"/>
          <w:snapToGrid w:val="0"/>
          <w:color w:val="000000" w:themeColor="text1"/>
          <w:spacing w:val="-6"/>
          <w:kern w:val="21"/>
          <w:szCs w:val="21"/>
          <w14:textFill>
            <w14:solidFill>
              <w14:schemeClr w14:val="tx1"/>
            </w14:solidFill>
          </w14:textFill>
        </w:rPr>
        <w:fldChar w:fldCharType="separate"/>
      </w:r>
      <w:r>
        <w:rPr>
          <w:rFonts w:hint="eastAsia" w:hAnsi="宋体"/>
          <w:color w:val="000000" w:themeColor="text1"/>
          <w:szCs w:val="21"/>
          <w14:textFill>
            <w14:solidFill>
              <w14:schemeClr w14:val="tx1"/>
            </w14:solidFill>
          </w14:textFill>
        </w:rPr>
        <w:t>⑦</w:t>
      </w:r>
      <w:r>
        <w:rPr>
          <w:rFonts w:hAnsi="宋体"/>
          <w:snapToGrid w:val="0"/>
          <w:color w:val="000000" w:themeColor="text1"/>
          <w:spacing w:val="-6"/>
          <w:kern w:val="21"/>
          <w:szCs w:val="21"/>
          <w14:textFill>
            <w14:solidFill>
              <w14:schemeClr w14:val="tx1"/>
            </w14:solidFill>
          </w14:textFill>
        </w:rPr>
        <w:fldChar w:fldCharType="end"/>
      </w:r>
      <w:r>
        <w:rPr>
          <w:rFonts w:hAnsi="宋体"/>
          <w:snapToGrid w:val="0"/>
          <w:color w:val="000000" w:themeColor="text1"/>
          <w:spacing w:val="-6"/>
          <w:kern w:val="21"/>
          <w:szCs w:val="21"/>
          <w14:textFill>
            <w14:solidFill>
              <w14:schemeClr w14:val="tx1"/>
            </w14:solidFill>
          </w14:textFill>
        </w:rPr>
        <w:t>=</w:t>
      </w:r>
      <w:r>
        <w:rPr>
          <w:rFonts w:hAnsi="宋体"/>
          <w:snapToGrid w:val="0"/>
          <w:color w:val="000000" w:themeColor="text1"/>
          <w:spacing w:val="-16"/>
          <w:kern w:val="21"/>
          <w:szCs w:val="21"/>
          <w14:textFill>
            <w14:solidFill>
              <w14:schemeClr w14:val="tx1"/>
            </w14:solidFill>
          </w14:textFill>
        </w:rPr>
        <w:fldChar w:fldCharType="begin"/>
      </w:r>
      <w:r>
        <w:rPr>
          <w:rFonts w:hAnsi="宋体"/>
          <w:snapToGrid w:val="0"/>
          <w:color w:val="000000" w:themeColor="text1"/>
          <w:spacing w:val="-16"/>
          <w:kern w:val="21"/>
          <w:szCs w:val="21"/>
          <w14:textFill>
            <w14:solidFill>
              <w14:schemeClr w14:val="tx1"/>
            </w14:solidFill>
          </w14:textFill>
        </w:rPr>
        <w:instrText xml:space="preserve"> = 6 \* GB3 \* MERGEFORMAT </w:instrText>
      </w:r>
      <w:r>
        <w:rPr>
          <w:rFonts w:hAnsi="宋体"/>
          <w:snapToGrid w:val="0"/>
          <w:color w:val="000000" w:themeColor="text1"/>
          <w:spacing w:val="-16"/>
          <w:kern w:val="21"/>
          <w:szCs w:val="21"/>
          <w14:textFill>
            <w14:solidFill>
              <w14:schemeClr w14:val="tx1"/>
            </w14:solidFill>
          </w14:textFill>
        </w:rPr>
        <w:fldChar w:fldCharType="separate"/>
      </w:r>
      <w:r>
        <w:rPr>
          <w:rFonts w:hint="eastAsia" w:hAnsi="宋体"/>
          <w:color w:val="000000" w:themeColor="text1"/>
          <w:szCs w:val="21"/>
          <w14:textFill>
            <w14:solidFill>
              <w14:schemeClr w14:val="tx1"/>
            </w14:solidFill>
          </w14:textFill>
        </w:rPr>
        <w:t>⑥</w:t>
      </w:r>
      <w:r>
        <w:rPr>
          <w:rFonts w:hAnsi="宋体"/>
          <w:snapToGrid w:val="0"/>
          <w:color w:val="000000" w:themeColor="text1"/>
          <w:spacing w:val="-16"/>
          <w:kern w:val="21"/>
          <w:szCs w:val="21"/>
          <w14:textFill>
            <w14:solidFill>
              <w14:schemeClr w14:val="tx1"/>
            </w14:solidFill>
          </w14:textFill>
        </w:rPr>
        <w:fldChar w:fldCharType="end"/>
      </w:r>
      <w:r>
        <w:rPr>
          <w:rFonts w:hAnsi="宋体"/>
          <w:snapToGrid w:val="0"/>
          <w:color w:val="000000" w:themeColor="text1"/>
          <w:spacing w:val="-16"/>
          <w:kern w:val="21"/>
          <w:szCs w:val="21"/>
          <w14:textFill>
            <w14:solidFill>
              <w14:schemeClr w14:val="tx1"/>
            </w14:solidFill>
          </w14:textFill>
        </w:rPr>
        <w:t>-</w:t>
      </w:r>
      <w:r>
        <w:rPr>
          <w:rFonts w:hAnsi="宋体"/>
          <w:snapToGrid w:val="0"/>
          <w:color w:val="000000" w:themeColor="text1"/>
          <w:spacing w:val="-6"/>
          <w:kern w:val="21"/>
          <w:szCs w:val="21"/>
          <w14:textFill>
            <w14:solidFill>
              <w14:schemeClr w14:val="tx1"/>
            </w14:solidFill>
          </w14:textFill>
        </w:rPr>
        <w:fldChar w:fldCharType="begin"/>
      </w:r>
      <w:r>
        <w:rPr>
          <w:rFonts w:hAnsi="宋体"/>
          <w:snapToGrid w:val="0"/>
          <w:color w:val="000000" w:themeColor="text1"/>
          <w:spacing w:val="-6"/>
          <w:kern w:val="21"/>
          <w:szCs w:val="21"/>
          <w14:textFill>
            <w14:solidFill>
              <w14:schemeClr w14:val="tx1"/>
            </w14:solidFill>
          </w14:textFill>
        </w:rPr>
        <w:instrText xml:space="preserve"> = 1 \* GB3 \* MERGEFORMAT </w:instrText>
      </w:r>
      <w:r>
        <w:rPr>
          <w:rFonts w:hAnsi="宋体"/>
          <w:snapToGrid w:val="0"/>
          <w:color w:val="000000" w:themeColor="text1"/>
          <w:spacing w:val="-6"/>
          <w:kern w:val="21"/>
          <w:szCs w:val="21"/>
          <w14:textFill>
            <w14:solidFill>
              <w14:schemeClr w14:val="tx1"/>
            </w14:solidFill>
          </w14:textFill>
        </w:rPr>
        <w:fldChar w:fldCharType="separate"/>
      </w:r>
      <w:r>
        <w:rPr>
          <w:rFonts w:hint="eastAsia" w:hAnsi="宋体"/>
          <w:color w:val="000000" w:themeColor="text1"/>
          <w:szCs w:val="21"/>
          <w14:textFill>
            <w14:solidFill>
              <w14:schemeClr w14:val="tx1"/>
            </w14:solidFill>
          </w14:textFill>
        </w:rPr>
        <w:t>①</w:t>
      </w:r>
      <w:r>
        <w:rPr>
          <w:rFonts w:hAnsi="宋体"/>
          <w:snapToGrid w:val="0"/>
          <w:color w:val="000000" w:themeColor="text1"/>
          <w:spacing w:val="-6"/>
          <w:kern w:val="21"/>
          <w:szCs w:val="21"/>
          <w14:textFill>
            <w14:solidFill>
              <w14:schemeClr w14:val="tx1"/>
            </w14:solidFill>
          </w14:textFill>
        </w:rPr>
        <w:fldChar w:fldCharType="end"/>
      </w:r>
    </w:p>
    <w:sectPr>
      <w:footerReference r:id="rId5" w:type="default"/>
      <w:pgSz w:w="16838" w:h="11906" w:orient="landscape"/>
      <w:pgMar w:top="1531" w:right="1701" w:bottom="1531" w:left="1701" w:header="851" w:footer="850" w:gutter="0"/>
      <w:pgBorders>
        <w:top w:val="none" w:sz="0" w:space="0"/>
        <w:left w:val="none" w:sz="0" w:space="0"/>
        <w:bottom w:val="none" w:sz="0" w:space="0"/>
        <w:right w:val="none" w:sz="0" w:space="0"/>
      </w:pgBorders>
      <w:pgNumType w:fmt="decimal"/>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Microsoft JhengHei Light">
    <w:panose1 w:val="020B0304030504040204"/>
    <w:charset w:val="88"/>
    <w:family w:val="swiss"/>
    <w:pitch w:val="default"/>
    <w:sig w:usb0="800002A7" w:usb1="28CF4400" w:usb2="00000016" w:usb3="00000000" w:csb0="00100009"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Wingdings 2">
    <w:altName w:val="Wingdings"/>
    <w:panose1 w:val="05020102010507070707"/>
    <w:charset w:val="02"/>
    <w:family w:val="auto"/>
    <w:pitch w:val="default"/>
    <w:sig w:usb0="00000000" w:usb1="00000000" w:usb2="00000000" w:usb3="00000000" w:csb0="80000000" w:csb1="00000000"/>
  </w:font>
  <w:font w:name="MS Mincho">
    <w:altName w:val="MS Gothic"/>
    <w:panose1 w:val="02020609040205080304"/>
    <w:charset w:val="80"/>
    <w:family w:val="auto"/>
    <w:pitch w:val="default"/>
    <w:sig w:usb0="00000000" w:usb1="00000000" w:usb2="00000010" w:usb3="00000000" w:csb0="00020000" w:csb1="00000000"/>
  </w:font>
  <w:font w:name="MS Gothic">
    <w:panose1 w:val="020B0609070205080204"/>
    <w:charset w:val="80"/>
    <w:family w:val="auto"/>
    <w:pitch w:val="default"/>
    <w:sig w:usb0="E00002FF" w:usb1="6AC7FDFB" w:usb2="08000012" w:usb3="00000000" w:csb0="4002009F" w:csb1="DFD70000"/>
  </w:font>
  <w:font w:name="Segoe UI">
    <w:panose1 w:val="020B0502040204020203"/>
    <w:charset w:val="00"/>
    <w:family w:val="auto"/>
    <w:pitch w:val="default"/>
    <w:sig w:usb0="E4002EFF" w:usb1="C000E47F" w:usb2="00000009" w:usb3="00000000" w:csb0="200001FF" w:csb1="00000000"/>
  </w:font>
  <w:font w:name="方正大标宋_GBK">
    <w:altName w:val="宋体"/>
    <w:panose1 w:val="02000000000000000000"/>
    <w:charset w:val="86"/>
    <w:family w:val="auto"/>
    <w:pitch w:val="default"/>
    <w:sig w:usb0="00000000" w:usb1="00000000" w:usb2="00000000" w:usb3="00000000" w:csb0="00040001" w:csb1="00000000"/>
  </w:font>
  <w:font w:name="Wingdings">
    <w:panose1 w:val="05000000000000000000"/>
    <w:charset w:val="00"/>
    <w:family w:val="auto"/>
    <w:pitch w:val="default"/>
    <w:sig w:usb0="00000000" w:usb1="00000000" w:usb2="00000000" w:usb3="00000000" w:csb0="80000000" w:csb1="00000000"/>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9CDE77">
    <w:pPr>
      <w:pStyle w:val="15"/>
      <w:ind w:right="360"/>
      <w:jc w:val="left"/>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8" name="文本框 1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777AEB4"/>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Y3JWoyAgAAZ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jclajICAABlBAAADgAAAAAAAAABACAAAAAfAQAAZHJzL2Uyb0RvYy54bWxQSwUG&#10;AAAAAAYABgBZAQAAwwUAAAAA&#10;">
              <v:fill on="f" focussize="0,0"/>
              <v:stroke on="f" weight="0.5pt"/>
              <v:imagedata o:title=""/>
              <o:lock v:ext="edit" aspectratio="f"/>
              <v:textbox inset="0mm,0mm,0mm,0mm" style="mso-fit-shape-to-text:t;">
                <w:txbxContent>
                  <w:p w14:paraId="2777AEB4"/>
                </w:txbxContent>
              </v:textbox>
            </v:shape>
          </w:pict>
        </mc:Fallback>
      </mc:AlternateContent>
    </w:r>
    <w:r>
      <w:rPr>
        <w:sz w:val="18"/>
      </w:rPr>
      <mc:AlternateContent>
        <mc:Choice Requires="wps">
          <w:drawing>
            <wp:anchor distT="0" distB="0" distL="114300" distR="114300" simplePos="0" relativeHeight="251660288" behindDoc="0" locked="0" layoutInCell="1" allowOverlap="1">
              <wp:simplePos x="0" y="0"/>
              <wp:positionH relativeFrom="margin">
                <wp:posOffset>2734945</wp:posOffset>
              </wp:positionH>
              <wp:positionV relativeFrom="paragraph">
                <wp:posOffset>8255</wp:posOffset>
              </wp:positionV>
              <wp:extent cx="1828800" cy="1828800"/>
              <wp:effectExtent l="0" t="0" r="0" b="0"/>
              <wp:wrapNone/>
              <wp:docPr id="5"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51EFF82">
                          <w:pPr>
                            <w:pStyle w:val="15"/>
                            <w:rPr>
                              <w:rStyle w:val="29"/>
                              <w:rFonts w:hint="eastAsia" w:ascii="Times New Roman" w:hAnsi="Times New Roman" w:eastAsia="黑体" w:cs="Times New Roman"/>
                              <w:sz w:val="18"/>
                              <w:szCs w:val="18"/>
                              <w:lang w:val="en-US" w:eastAsia="zh-CN"/>
                            </w:rPr>
                          </w:pPr>
                          <w:r>
                            <w:rPr>
                              <w:rStyle w:val="29"/>
                              <w:rFonts w:hint="default" w:ascii="Times New Roman" w:hAnsi="Times New Roman" w:eastAsia="黑体" w:cs="Times New Roman"/>
                              <w:sz w:val="18"/>
                              <w:szCs w:val="18"/>
                            </w:rPr>
                            <w:t xml:space="preserve"> </w:t>
                          </w:r>
                          <w:r>
                            <w:rPr>
                              <w:rStyle w:val="29"/>
                              <w:rFonts w:hint="eastAsia" w:eastAsia="黑体" w:cs="Times New Roman"/>
                              <w:sz w:val="18"/>
                              <w:szCs w:val="18"/>
                              <w:lang w:val="en-US" w:eastAsia="zh-CN"/>
                            </w:rPr>
                            <w:t>1</w:t>
                          </w:r>
                        </w:p>
                      </w:txbxContent>
                    </wps:txbx>
                    <wps:bodyPr vert="horz" wrap="none" lIns="0" tIns="0" rIns="0" bIns="0" anchor="t" anchorCtr="0" upright="0">
                      <a:spAutoFit/>
                    </wps:bodyPr>
                  </wps:wsp>
                </a:graphicData>
              </a:graphic>
            </wp:anchor>
          </w:drawing>
        </mc:Choice>
        <mc:Fallback>
          <w:pict>
            <v:shape id="文本框 1" o:spid="_x0000_s1026" o:spt="202" type="#_x0000_t202" style="position:absolute;left:0pt;margin-left:215.35pt;margin-top:0.65pt;height:144pt;width:144pt;mso-position-horizontal-relative:margin;mso-wrap-style:none;z-index:251660288;mso-width-relative:page;mso-height-relative:page;" filled="f" stroked="f" coordsize="21600,21600" o:gfxdata="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A12FwNUAAAAJAQAADwAAAAAA&#10;AAABACAAAAAiAAAAZHJzL2Rvd25yZXYueG1sUEsBAhQAFAAAAAgAh07iQJhVdBHdAQAAvgMAAA4A&#10;AAAAAAAAAQAgAAAAJAEAAGRycy9lMm9Eb2MueG1sUEsFBgAAAAAGAAYAWQEAAHMFAAAAAA==&#10;">
              <v:fill on="f" focussize="0,0"/>
              <v:stroke on="f"/>
              <v:imagedata o:title=""/>
              <o:lock v:ext="edit" aspectratio="f"/>
              <v:textbox inset="0mm,0mm,0mm,0mm" style="mso-fit-shape-to-text:t;">
                <w:txbxContent>
                  <w:p w14:paraId="451EFF82">
                    <w:pPr>
                      <w:pStyle w:val="15"/>
                      <w:rPr>
                        <w:rStyle w:val="29"/>
                        <w:rFonts w:hint="eastAsia" w:ascii="Times New Roman" w:hAnsi="Times New Roman" w:eastAsia="黑体" w:cs="Times New Roman"/>
                        <w:sz w:val="18"/>
                        <w:szCs w:val="18"/>
                        <w:lang w:val="en-US" w:eastAsia="zh-CN"/>
                      </w:rPr>
                    </w:pPr>
                    <w:r>
                      <w:rPr>
                        <w:rStyle w:val="29"/>
                        <w:rFonts w:hint="default" w:ascii="Times New Roman" w:hAnsi="Times New Roman" w:eastAsia="黑体" w:cs="Times New Roman"/>
                        <w:sz w:val="18"/>
                        <w:szCs w:val="18"/>
                      </w:rPr>
                      <w:t xml:space="preserve"> </w:t>
                    </w:r>
                    <w:r>
                      <w:rPr>
                        <w:rStyle w:val="29"/>
                        <w:rFonts w:hint="eastAsia" w:eastAsia="黑体" w:cs="Times New Roman"/>
                        <w:sz w:val="18"/>
                        <w:szCs w:val="18"/>
                        <w:lang w:val="en-US" w:eastAsia="zh-CN"/>
                      </w:rPr>
                      <w:t>1</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BD9A05">
    <w:pPr>
      <w:pStyle w:val="15"/>
      <w:ind w:right="360"/>
      <w:jc w:val="left"/>
    </w:pPr>
    <w:r>
      <w:rPr>
        <w:sz w:val="18"/>
      </w:rPr>
      <mc:AlternateContent>
        <mc:Choice Requires="wps">
          <w:drawing>
            <wp:anchor distT="0" distB="0" distL="114300" distR="114300" simplePos="0" relativeHeight="251661312" behindDoc="0" locked="0" layoutInCell="1" allowOverlap="1">
              <wp:simplePos x="0" y="0"/>
              <wp:positionH relativeFrom="margin">
                <wp:posOffset>2734945</wp:posOffset>
              </wp:positionH>
              <wp:positionV relativeFrom="paragraph">
                <wp:posOffset>8255</wp:posOffset>
              </wp:positionV>
              <wp:extent cx="1828800" cy="1828800"/>
              <wp:effectExtent l="0" t="0" r="0" b="0"/>
              <wp:wrapNone/>
              <wp:docPr id="9"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BBD9F4A">
                          <w:pPr>
                            <w:pStyle w:val="15"/>
                            <w:rPr>
                              <w:rStyle w:val="29"/>
                              <w:rFonts w:hint="default" w:ascii="Times New Roman" w:hAnsi="Times New Roman" w:eastAsia="黑体" w:cs="Times New Roman"/>
                              <w:sz w:val="18"/>
                              <w:szCs w:val="18"/>
                            </w:rPr>
                          </w:pPr>
                          <w:r>
                            <w:rPr>
                              <w:rStyle w:val="29"/>
                              <w:rFonts w:hint="default" w:ascii="Times New Roman" w:hAnsi="Times New Roman" w:eastAsia="黑体" w:cs="Times New Roman"/>
                              <w:sz w:val="18"/>
                              <w:szCs w:val="18"/>
                            </w:rPr>
                            <w:t xml:space="preserve"> </w:t>
                          </w:r>
                          <w:r>
                            <w:rPr>
                              <w:rFonts w:hint="default" w:ascii="Times New Roman" w:hAnsi="Times New Roman" w:eastAsia="黑体" w:cs="Times New Roman"/>
                              <w:sz w:val="18"/>
                              <w:szCs w:val="18"/>
                            </w:rPr>
                            <w:fldChar w:fldCharType="begin"/>
                          </w:r>
                          <w:r>
                            <w:rPr>
                              <w:rStyle w:val="29"/>
                              <w:rFonts w:hint="default" w:ascii="Times New Roman" w:hAnsi="Times New Roman" w:eastAsia="黑体" w:cs="Times New Roman"/>
                              <w:sz w:val="18"/>
                              <w:szCs w:val="18"/>
                            </w:rPr>
                            <w:instrText xml:space="preserve">PAGE  </w:instrText>
                          </w:r>
                          <w:r>
                            <w:rPr>
                              <w:rFonts w:hint="default" w:ascii="Times New Roman" w:hAnsi="Times New Roman" w:eastAsia="黑体" w:cs="Times New Roman"/>
                              <w:sz w:val="18"/>
                              <w:szCs w:val="18"/>
                            </w:rPr>
                            <w:fldChar w:fldCharType="separate"/>
                          </w:r>
                          <w:r>
                            <w:rPr>
                              <w:rStyle w:val="29"/>
                              <w:rFonts w:hint="default" w:ascii="Times New Roman" w:hAnsi="Times New Roman" w:eastAsia="黑体" w:cs="Times New Roman"/>
                              <w:sz w:val="18"/>
                              <w:szCs w:val="18"/>
                            </w:rPr>
                            <w:t>9</w:t>
                          </w:r>
                          <w:r>
                            <w:rPr>
                              <w:rFonts w:hint="default" w:ascii="Times New Roman" w:hAnsi="Times New Roman" w:eastAsia="黑体" w:cs="Times New Roman"/>
                              <w:sz w:val="18"/>
                              <w:szCs w:val="18"/>
                            </w:rPr>
                            <w:fldChar w:fldCharType="end"/>
                          </w:r>
                          <w:r>
                            <w:rPr>
                              <w:rStyle w:val="29"/>
                              <w:rFonts w:hint="default" w:ascii="Times New Roman" w:hAnsi="Times New Roman" w:eastAsia="黑体" w:cs="Times New Roman"/>
                              <w:sz w:val="18"/>
                              <w:szCs w:val="18"/>
                            </w:rPr>
                            <w:t xml:space="preserve"> </w:t>
                          </w:r>
                        </w:p>
                      </w:txbxContent>
                    </wps:txbx>
                    <wps:bodyPr vert="horz" wrap="none" lIns="0" tIns="0" rIns="0" bIns="0" anchor="t" anchorCtr="0" upright="0">
                      <a:spAutoFit/>
                    </wps:bodyPr>
                  </wps:wsp>
                </a:graphicData>
              </a:graphic>
            </wp:anchor>
          </w:drawing>
        </mc:Choice>
        <mc:Fallback>
          <w:pict>
            <v:shape id="文本框 1" o:spid="_x0000_s1026" o:spt="202" type="#_x0000_t202" style="position:absolute;left:0pt;margin-left:215.35pt;margin-top:0.65pt;height:144pt;width:144pt;mso-position-horizontal-relative:margin;mso-wrap-style:none;z-index:251661312;mso-width-relative:page;mso-height-relative:page;" filled="f" stroked="f" coordsize="21600,21600" o:gfxdata="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A12FwNUAAAAJAQAADwAAAAAA&#10;AAABACAAAAAiAAAAZHJzL2Rvd25yZXYueG1sUEsBAhQAFAAAAAgAh07iQIcgCprdAQAAvgMAAA4A&#10;AAAAAAAAAQAgAAAAJAEAAGRycy9lMm9Eb2MueG1sUEsFBgAAAAAGAAYAWQEAAHMFAAAAAA==&#10;">
              <v:fill on="f" focussize="0,0"/>
              <v:stroke on="f"/>
              <v:imagedata o:title=""/>
              <o:lock v:ext="edit" aspectratio="f"/>
              <v:textbox inset="0mm,0mm,0mm,0mm" style="mso-fit-shape-to-text:t;">
                <w:txbxContent>
                  <w:p w14:paraId="5BBD9F4A">
                    <w:pPr>
                      <w:pStyle w:val="15"/>
                      <w:rPr>
                        <w:rStyle w:val="29"/>
                        <w:rFonts w:hint="default" w:ascii="Times New Roman" w:hAnsi="Times New Roman" w:eastAsia="黑体" w:cs="Times New Roman"/>
                        <w:sz w:val="18"/>
                        <w:szCs w:val="18"/>
                      </w:rPr>
                    </w:pPr>
                    <w:r>
                      <w:rPr>
                        <w:rStyle w:val="29"/>
                        <w:rFonts w:hint="default" w:ascii="Times New Roman" w:hAnsi="Times New Roman" w:eastAsia="黑体" w:cs="Times New Roman"/>
                        <w:sz w:val="18"/>
                        <w:szCs w:val="18"/>
                      </w:rPr>
                      <w:t xml:space="preserve"> </w:t>
                    </w:r>
                    <w:r>
                      <w:rPr>
                        <w:rFonts w:hint="default" w:ascii="Times New Roman" w:hAnsi="Times New Roman" w:eastAsia="黑体" w:cs="Times New Roman"/>
                        <w:sz w:val="18"/>
                        <w:szCs w:val="18"/>
                      </w:rPr>
                      <w:fldChar w:fldCharType="begin"/>
                    </w:r>
                    <w:r>
                      <w:rPr>
                        <w:rStyle w:val="29"/>
                        <w:rFonts w:hint="default" w:ascii="Times New Roman" w:hAnsi="Times New Roman" w:eastAsia="黑体" w:cs="Times New Roman"/>
                        <w:sz w:val="18"/>
                        <w:szCs w:val="18"/>
                      </w:rPr>
                      <w:instrText xml:space="preserve">PAGE  </w:instrText>
                    </w:r>
                    <w:r>
                      <w:rPr>
                        <w:rFonts w:hint="default" w:ascii="Times New Roman" w:hAnsi="Times New Roman" w:eastAsia="黑体" w:cs="Times New Roman"/>
                        <w:sz w:val="18"/>
                        <w:szCs w:val="18"/>
                      </w:rPr>
                      <w:fldChar w:fldCharType="separate"/>
                    </w:r>
                    <w:r>
                      <w:rPr>
                        <w:rStyle w:val="29"/>
                        <w:rFonts w:hint="default" w:ascii="Times New Roman" w:hAnsi="Times New Roman" w:eastAsia="黑体" w:cs="Times New Roman"/>
                        <w:sz w:val="18"/>
                        <w:szCs w:val="18"/>
                      </w:rPr>
                      <w:t>9</w:t>
                    </w:r>
                    <w:r>
                      <w:rPr>
                        <w:rFonts w:hint="default" w:ascii="Times New Roman" w:hAnsi="Times New Roman" w:eastAsia="黑体" w:cs="Times New Roman"/>
                        <w:sz w:val="18"/>
                        <w:szCs w:val="18"/>
                      </w:rPr>
                      <w:fldChar w:fldCharType="end"/>
                    </w:r>
                    <w:r>
                      <w:rPr>
                        <w:rStyle w:val="29"/>
                        <w:rFonts w:hint="default" w:ascii="Times New Roman" w:hAnsi="Times New Roman" w:eastAsia="黑体" w:cs="Times New Roman"/>
                        <w:sz w:val="18"/>
                        <w:szCs w:val="18"/>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BE7F14">
    <w:pPr>
      <w:pStyle w:val="15"/>
      <w:ind w:right="360" w:firstLine="360"/>
      <w:jc w:val="cen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656062E"/>
    <w:multiLevelType w:val="singleLevel"/>
    <w:tmpl w:val="B656062E"/>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hyphenationZone w:val="36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FkZWI4YWRkMjY3M2I4NGJlMjk5YjFlZTNmOTZhMmMifQ=="/>
  </w:docVars>
  <w:rsids>
    <w:rsidRoot w:val="00172A27"/>
    <w:rsid w:val="000060B3"/>
    <w:rsid w:val="0002117A"/>
    <w:rsid w:val="0004364B"/>
    <w:rsid w:val="00061B1F"/>
    <w:rsid w:val="000733C4"/>
    <w:rsid w:val="00074783"/>
    <w:rsid w:val="0008070B"/>
    <w:rsid w:val="000810AC"/>
    <w:rsid w:val="00081A02"/>
    <w:rsid w:val="00082231"/>
    <w:rsid w:val="00092D38"/>
    <w:rsid w:val="0009377B"/>
    <w:rsid w:val="000A20C9"/>
    <w:rsid w:val="000B058F"/>
    <w:rsid w:val="000B4467"/>
    <w:rsid w:val="000B4DB9"/>
    <w:rsid w:val="000C09AC"/>
    <w:rsid w:val="000C767F"/>
    <w:rsid w:val="000D5A44"/>
    <w:rsid w:val="000E3ED2"/>
    <w:rsid w:val="000E3FC3"/>
    <w:rsid w:val="0011760F"/>
    <w:rsid w:val="00125E48"/>
    <w:rsid w:val="00131F42"/>
    <w:rsid w:val="00133387"/>
    <w:rsid w:val="001357F1"/>
    <w:rsid w:val="00140FA8"/>
    <w:rsid w:val="00142FEB"/>
    <w:rsid w:val="00143A2D"/>
    <w:rsid w:val="00145A41"/>
    <w:rsid w:val="00150EAD"/>
    <w:rsid w:val="00151675"/>
    <w:rsid w:val="00157435"/>
    <w:rsid w:val="0017504D"/>
    <w:rsid w:val="0017671A"/>
    <w:rsid w:val="00177422"/>
    <w:rsid w:val="00184590"/>
    <w:rsid w:val="001870D1"/>
    <w:rsid w:val="0018781E"/>
    <w:rsid w:val="0019262D"/>
    <w:rsid w:val="001A1B35"/>
    <w:rsid w:val="001A48A2"/>
    <w:rsid w:val="001A6F61"/>
    <w:rsid w:val="001B72B8"/>
    <w:rsid w:val="001C69B3"/>
    <w:rsid w:val="001D5595"/>
    <w:rsid w:val="001D7874"/>
    <w:rsid w:val="001D7F22"/>
    <w:rsid w:val="001F0F17"/>
    <w:rsid w:val="001F3347"/>
    <w:rsid w:val="001F69E4"/>
    <w:rsid w:val="002125B4"/>
    <w:rsid w:val="002155B8"/>
    <w:rsid w:val="00224839"/>
    <w:rsid w:val="002249B2"/>
    <w:rsid w:val="00226574"/>
    <w:rsid w:val="002278EC"/>
    <w:rsid w:val="0023280E"/>
    <w:rsid w:val="002377D1"/>
    <w:rsid w:val="002506BC"/>
    <w:rsid w:val="00254345"/>
    <w:rsid w:val="00264557"/>
    <w:rsid w:val="002805AB"/>
    <w:rsid w:val="00284204"/>
    <w:rsid w:val="00291773"/>
    <w:rsid w:val="00294959"/>
    <w:rsid w:val="002A168C"/>
    <w:rsid w:val="002A3DC7"/>
    <w:rsid w:val="002B49E2"/>
    <w:rsid w:val="002B7B00"/>
    <w:rsid w:val="002B7C44"/>
    <w:rsid w:val="002C2B17"/>
    <w:rsid w:val="002D3DD0"/>
    <w:rsid w:val="002E1F3A"/>
    <w:rsid w:val="002E298A"/>
    <w:rsid w:val="00301978"/>
    <w:rsid w:val="0030332C"/>
    <w:rsid w:val="003051C2"/>
    <w:rsid w:val="00312296"/>
    <w:rsid w:val="00314F0E"/>
    <w:rsid w:val="00321D8E"/>
    <w:rsid w:val="00325928"/>
    <w:rsid w:val="00332863"/>
    <w:rsid w:val="0033684D"/>
    <w:rsid w:val="00337B42"/>
    <w:rsid w:val="00341B42"/>
    <w:rsid w:val="0034348F"/>
    <w:rsid w:val="00356653"/>
    <w:rsid w:val="0035743F"/>
    <w:rsid w:val="003577A2"/>
    <w:rsid w:val="00357BE2"/>
    <w:rsid w:val="0036170C"/>
    <w:rsid w:val="00366E0F"/>
    <w:rsid w:val="00381A72"/>
    <w:rsid w:val="00384676"/>
    <w:rsid w:val="00390857"/>
    <w:rsid w:val="003A4BF3"/>
    <w:rsid w:val="003B420D"/>
    <w:rsid w:val="003C6C16"/>
    <w:rsid w:val="003D4663"/>
    <w:rsid w:val="003D794D"/>
    <w:rsid w:val="003E3058"/>
    <w:rsid w:val="003E76A9"/>
    <w:rsid w:val="003F0809"/>
    <w:rsid w:val="003F6A8C"/>
    <w:rsid w:val="003F755C"/>
    <w:rsid w:val="00406F01"/>
    <w:rsid w:val="00416D50"/>
    <w:rsid w:val="00416FD5"/>
    <w:rsid w:val="00417772"/>
    <w:rsid w:val="00420E6A"/>
    <w:rsid w:val="00425A9E"/>
    <w:rsid w:val="00426D6B"/>
    <w:rsid w:val="00431E6C"/>
    <w:rsid w:val="00433CE7"/>
    <w:rsid w:val="00452738"/>
    <w:rsid w:val="00456091"/>
    <w:rsid w:val="00466321"/>
    <w:rsid w:val="00484B9B"/>
    <w:rsid w:val="004855F6"/>
    <w:rsid w:val="0048661E"/>
    <w:rsid w:val="00494670"/>
    <w:rsid w:val="004A3823"/>
    <w:rsid w:val="004B6225"/>
    <w:rsid w:val="004D4F7B"/>
    <w:rsid w:val="004D52E6"/>
    <w:rsid w:val="004E6946"/>
    <w:rsid w:val="004F1AD8"/>
    <w:rsid w:val="005039CB"/>
    <w:rsid w:val="0050558F"/>
    <w:rsid w:val="00506286"/>
    <w:rsid w:val="00510813"/>
    <w:rsid w:val="00511990"/>
    <w:rsid w:val="00511DE0"/>
    <w:rsid w:val="00514870"/>
    <w:rsid w:val="00514B9B"/>
    <w:rsid w:val="00517F02"/>
    <w:rsid w:val="00523D68"/>
    <w:rsid w:val="00523EB0"/>
    <w:rsid w:val="00524303"/>
    <w:rsid w:val="005258A2"/>
    <w:rsid w:val="005401AE"/>
    <w:rsid w:val="00542E07"/>
    <w:rsid w:val="00545424"/>
    <w:rsid w:val="00554A7B"/>
    <w:rsid w:val="0055572C"/>
    <w:rsid w:val="0056106A"/>
    <w:rsid w:val="005720AE"/>
    <w:rsid w:val="00594D77"/>
    <w:rsid w:val="005969E4"/>
    <w:rsid w:val="005A06B7"/>
    <w:rsid w:val="005A1759"/>
    <w:rsid w:val="005A68A7"/>
    <w:rsid w:val="005B0505"/>
    <w:rsid w:val="005D36AB"/>
    <w:rsid w:val="006140F3"/>
    <w:rsid w:val="00617CC3"/>
    <w:rsid w:val="006377A6"/>
    <w:rsid w:val="00637A3D"/>
    <w:rsid w:val="006411EF"/>
    <w:rsid w:val="006748B8"/>
    <w:rsid w:val="006775C3"/>
    <w:rsid w:val="0069290A"/>
    <w:rsid w:val="0069775A"/>
    <w:rsid w:val="00697813"/>
    <w:rsid w:val="006A3EE8"/>
    <w:rsid w:val="006A72BF"/>
    <w:rsid w:val="006B03F2"/>
    <w:rsid w:val="006B37DC"/>
    <w:rsid w:val="006B4F68"/>
    <w:rsid w:val="006C0592"/>
    <w:rsid w:val="006C272E"/>
    <w:rsid w:val="006C5479"/>
    <w:rsid w:val="006D13B5"/>
    <w:rsid w:val="006E12FF"/>
    <w:rsid w:val="006E607E"/>
    <w:rsid w:val="00706C5D"/>
    <w:rsid w:val="00732922"/>
    <w:rsid w:val="0075162E"/>
    <w:rsid w:val="00754034"/>
    <w:rsid w:val="00756556"/>
    <w:rsid w:val="007618C4"/>
    <w:rsid w:val="00767980"/>
    <w:rsid w:val="00770B19"/>
    <w:rsid w:val="0077463F"/>
    <w:rsid w:val="007836EA"/>
    <w:rsid w:val="00784CDA"/>
    <w:rsid w:val="007906C4"/>
    <w:rsid w:val="007940EA"/>
    <w:rsid w:val="007967E8"/>
    <w:rsid w:val="007A2170"/>
    <w:rsid w:val="007A22BF"/>
    <w:rsid w:val="007A3323"/>
    <w:rsid w:val="007A6F63"/>
    <w:rsid w:val="007B72B8"/>
    <w:rsid w:val="007B7A58"/>
    <w:rsid w:val="007C21B5"/>
    <w:rsid w:val="007C717F"/>
    <w:rsid w:val="007E4BD2"/>
    <w:rsid w:val="007F6C6F"/>
    <w:rsid w:val="00801393"/>
    <w:rsid w:val="00802F88"/>
    <w:rsid w:val="0081293E"/>
    <w:rsid w:val="00815465"/>
    <w:rsid w:val="00817E9A"/>
    <w:rsid w:val="008306BD"/>
    <w:rsid w:val="00831A80"/>
    <w:rsid w:val="00833743"/>
    <w:rsid w:val="008340A4"/>
    <w:rsid w:val="00861DAB"/>
    <w:rsid w:val="0087135F"/>
    <w:rsid w:val="00872D94"/>
    <w:rsid w:val="00880364"/>
    <w:rsid w:val="00885B23"/>
    <w:rsid w:val="00891592"/>
    <w:rsid w:val="00891E9E"/>
    <w:rsid w:val="008A2F68"/>
    <w:rsid w:val="008B4FA6"/>
    <w:rsid w:val="008B5282"/>
    <w:rsid w:val="008B7C17"/>
    <w:rsid w:val="008C2D01"/>
    <w:rsid w:val="008C40E6"/>
    <w:rsid w:val="008D0F7A"/>
    <w:rsid w:val="008D68E4"/>
    <w:rsid w:val="008E0506"/>
    <w:rsid w:val="008E0CFF"/>
    <w:rsid w:val="008E5D6B"/>
    <w:rsid w:val="008E76F0"/>
    <w:rsid w:val="008F15FE"/>
    <w:rsid w:val="008F2D29"/>
    <w:rsid w:val="008F5187"/>
    <w:rsid w:val="008F60D8"/>
    <w:rsid w:val="00902727"/>
    <w:rsid w:val="0090312B"/>
    <w:rsid w:val="0091736D"/>
    <w:rsid w:val="0093037A"/>
    <w:rsid w:val="00936276"/>
    <w:rsid w:val="0094154D"/>
    <w:rsid w:val="0095155F"/>
    <w:rsid w:val="00954429"/>
    <w:rsid w:val="009563CE"/>
    <w:rsid w:val="00976328"/>
    <w:rsid w:val="0097680D"/>
    <w:rsid w:val="00982438"/>
    <w:rsid w:val="0098404C"/>
    <w:rsid w:val="00985283"/>
    <w:rsid w:val="00995992"/>
    <w:rsid w:val="009A03E5"/>
    <w:rsid w:val="009A0F3B"/>
    <w:rsid w:val="009A1BB4"/>
    <w:rsid w:val="009A2628"/>
    <w:rsid w:val="009A3200"/>
    <w:rsid w:val="009B0897"/>
    <w:rsid w:val="009B7BD9"/>
    <w:rsid w:val="009C512B"/>
    <w:rsid w:val="009C7DD5"/>
    <w:rsid w:val="009E227D"/>
    <w:rsid w:val="009E5019"/>
    <w:rsid w:val="00A04F1B"/>
    <w:rsid w:val="00A0501B"/>
    <w:rsid w:val="00A14947"/>
    <w:rsid w:val="00A32A83"/>
    <w:rsid w:val="00A368DB"/>
    <w:rsid w:val="00A423AA"/>
    <w:rsid w:val="00A53EC6"/>
    <w:rsid w:val="00A55C0F"/>
    <w:rsid w:val="00A8713F"/>
    <w:rsid w:val="00A90BA1"/>
    <w:rsid w:val="00A97A9A"/>
    <w:rsid w:val="00AA0671"/>
    <w:rsid w:val="00AA2531"/>
    <w:rsid w:val="00AB1E09"/>
    <w:rsid w:val="00AB5330"/>
    <w:rsid w:val="00AB7747"/>
    <w:rsid w:val="00AC14CE"/>
    <w:rsid w:val="00AC2A56"/>
    <w:rsid w:val="00AD055E"/>
    <w:rsid w:val="00AD47A7"/>
    <w:rsid w:val="00AF0CBF"/>
    <w:rsid w:val="00AF257F"/>
    <w:rsid w:val="00AF33CF"/>
    <w:rsid w:val="00AF4D50"/>
    <w:rsid w:val="00AF6179"/>
    <w:rsid w:val="00B1295A"/>
    <w:rsid w:val="00B20A45"/>
    <w:rsid w:val="00B22C5C"/>
    <w:rsid w:val="00B24F30"/>
    <w:rsid w:val="00B27B93"/>
    <w:rsid w:val="00B31ABF"/>
    <w:rsid w:val="00B33BE3"/>
    <w:rsid w:val="00B53B5D"/>
    <w:rsid w:val="00B6055E"/>
    <w:rsid w:val="00B6317D"/>
    <w:rsid w:val="00B7723F"/>
    <w:rsid w:val="00B80534"/>
    <w:rsid w:val="00B8433C"/>
    <w:rsid w:val="00B87491"/>
    <w:rsid w:val="00B93F70"/>
    <w:rsid w:val="00BA29E9"/>
    <w:rsid w:val="00BA7142"/>
    <w:rsid w:val="00BB237C"/>
    <w:rsid w:val="00BB41A3"/>
    <w:rsid w:val="00BB6D7D"/>
    <w:rsid w:val="00BC32DC"/>
    <w:rsid w:val="00BC35B6"/>
    <w:rsid w:val="00BD1B51"/>
    <w:rsid w:val="00BD4596"/>
    <w:rsid w:val="00BE1405"/>
    <w:rsid w:val="00BE312D"/>
    <w:rsid w:val="00BF1C20"/>
    <w:rsid w:val="00C10578"/>
    <w:rsid w:val="00C1131A"/>
    <w:rsid w:val="00C135BC"/>
    <w:rsid w:val="00C15C95"/>
    <w:rsid w:val="00C2596A"/>
    <w:rsid w:val="00C26DB6"/>
    <w:rsid w:val="00C27537"/>
    <w:rsid w:val="00C328FE"/>
    <w:rsid w:val="00C33507"/>
    <w:rsid w:val="00C4409D"/>
    <w:rsid w:val="00C44E72"/>
    <w:rsid w:val="00C45A06"/>
    <w:rsid w:val="00C47E5B"/>
    <w:rsid w:val="00C61E4B"/>
    <w:rsid w:val="00C64BFF"/>
    <w:rsid w:val="00C704E9"/>
    <w:rsid w:val="00C763C9"/>
    <w:rsid w:val="00C80057"/>
    <w:rsid w:val="00C82232"/>
    <w:rsid w:val="00C82913"/>
    <w:rsid w:val="00C972B1"/>
    <w:rsid w:val="00CA2CCE"/>
    <w:rsid w:val="00CA43FD"/>
    <w:rsid w:val="00CA7EF8"/>
    <w:rsid w:val="00CC489B"/>
    <w:rsid w:val="00CD2BCD"/>
    <w:rsid w:val="00CD3A4C"/>
    <w:rsid w:val="00CE10E9"/>
    <w:rsid w:val="00CE2910"/>
    <w:rsid w:val="00CE5393"/>
    <w:rsid w:val="00CF36BE"/>
    <w:rsid w:val="00CF6000"/>
    <w:rsid w:val="00D003F3"/>
    <w:rsid w:val="00D0364F"/>
    <w:rsid w:val="00D06834"/>
    <w:rsid w:val="00D308ED"/>
    <w:rsid w:val="00D36D86"/>
    <w:rsid w:val="00D428AA"/>
    <w:rsid w:val="00D50A34"/>
    <w:rsid w:val="00D50E40"/>
    <w:rsid w:val="00D53EFA"/>
    <w:rsid w:val="00D94A7C"/>
    <w:rsid w:val="00D95896"/>
    <w:rsid w:val="00DB2983"/>
    <w:rsid w:val="00DC1257"/>
    <w:rsid w:val="00DC3DC0"/>
    <w:rsid w:val="00DC5B2B"/>
    <w:rsid w:val="00DD318D"/>
    <w:rsid w:val="00DF2E12"/>
    <w:rsid w:val="00DF514A"/>
    <w:rsid w:val="00DF6690"/>
    <w:rsid w:val="00DF6804"/>
    <w:rsid w:val="00E0358D"/>
    <w:rsid w:val="00E04323"/>
    <w:rsid w:val="00E070A2"/>
    <w:rsid w:val="00E2656A"/>
    <w:rsid w:val="00E32D5A"/>
    <w:rsid w:val="00E412D0"/>
    <w:rsid w:val="00E56322"/>
    <w:rsid w:val="00E60982"/>
    <w:rsid w:val="00E62C62"/>
    <w:rsid w:val="00E654C1"/>
    <w:rsid w:val="00E65D97"/>
    <w:rsid w:val="00E72A5A"/>
    <w:rsid w:val="00E73354"/>
    <w:rsid w:val="00E9242D"/>
    <w:rsid w:val="00EB0966"/>
    <w:rsid w:val="00EB5255"/>
    <w:rsid w:val="00EB5C47"/>
    <w:rsid w:val="00ED0639"/>
    <w:rsid w:val="00ED732E"/>
    <w:rsid w:val="00EF4755"/>
    <w:rsid w:val="00EF7135"/>
    <w:rsid w:val="00F027DB"/>
    <w:rsid w:val="00F14A7A"/>
    <w:rsid w:val="00F22985"/>
    <w:rsid w:val="00F3383E"/>
    <w:rsid w:val="00F465A7"/>
    <w:rsid w:val="00F50B7C"/>
    <w:rsid w:val="00F550E6"/>
    <w:rsid w:val="00F722A3"/>
    <w:rsid w:val="00F74345"/>
    <w:rsid w:val="00F80A0A"/>
    <w:rsid w:val="00F82B19"/>
    <w:rsid w:val="00F9212D"/>
    <w:rsid w:val="00F965DA"/>
    <w:rsid w:val="00FA406A"/>
    <w:rsid w:val="00FB503A"/>
    <w:rsid w:val="00FB516C"/>
    <w:rsid w:val="00FD0236"/>
    <w:rsid w:val="00FD18F4"/>
    <w:rsid w:val="00FD1C30"/>
    <w:rsid w:val="00FD54DB"/>
    <w:rsid w:val="00FD619F"/>
    <w:rsid w:val="010A29DC"/>
    <w:rsid w:val="01176EA7"/>
    <w:rsid w:val="011C44BE"/>
    <w:rsid w:val="01213882"/>
    <w:rsid w:val="01275B88"/>
    <w:rsid w:val="01290F7E"/>
    <w:rsid w:val="012A0989"/>
    <w:rsid w:val="01377B14"/>
    <w:rsid w:val="01382BF0"/>
    <w:rsid w:val="013D19BC"/>
    <w:rsid w:val="013E4434"/>
    <w:rsid w:val="01454703"/>
    <w:rsid w:val="014C4DA3"/>
    <w:rsid w:val="014D0B1B"/>
    <w:rsid w:val="015D1E09"/>
    <w:rsid w:val="01610122"/>
    <w:rsid w:val="016A5229"/>
    <w:rsid w:val="016D50E6"/>
    <w:rsid w:val="0179546C"/>
    <w:rsid w:val="017F5C35"/>
    <w:rsid w:val="01804A4C"/>
    <w:rsid w:val="01806BE5"/>
    <w:rsid w:val="01832A6D"/>
    <w:rsid w:val="0187402D"/>
    <w:rsid w:val="018D553E"/>
    <w:rsid w:val="01934780"/>
    <w:rsid w:val="01A81996"/>
    <w:rsid w:val="01AC5842"/>
    <w:rsid w:val="01B45EFD"/>
    <w:rsid w:val="01C95207"/>
    <w:rsid w:val="01CC7C92"/>
    <w:rsid w:val="01CF32DE"/>
    <w:rsid w:val="01D8772C"/>
    <w:rsid w:val="01E83A82"/>
    <w:rsid w:val="01E925F2"/>
    <w:rsid w:val="01F340A4"/>
    <w:rsid w:val="01FB0577"/>
    <w:rsid w:val="020E02AA"/>
    <w:rsid w:val="020E2058"/>
    <w:rsid w:val="0213766F"/>
    <w:rsid w:val="021D673F"/>
    <w:rsid w:val="022F40C5"/>
    <w:rsid w:val="023D0B8F"/>
    <w:rsid w:val="0241242E"/>
    <w:rsid w:val="02471A55"/>
    <w:rsid w:val="024E627D"/>
    <w:rsid w:val="025536F2"/>
    <w:rsid w:val="02697903"/>
    <w:rsid w:val="02750329"/>
    <w:rsid w:val="02800514"/>
    <w:rsid w:val="028B5457"/>
    <w:rsid w:val="029569C6"/>
    <w:rsid w:val="02A1111E"/>
    <w:rsid w:val="02A14D09"/>
    <w:rsid w:val="02AE4AF4"/>
    <w:rsid w:val="02B0310F"/>
    <w:rsid w:val="02B1130A"/>
    <w:rsid w:val="02B352CA"/>
    <w:rsid w:val="02B834DE"/>
    <w:rsid w:val="02BC0A53"/>
    <w:rsid w:val="02BD2705"/>
    <w:rsid w:val="02CB4353"/>
    <w:rsid w:val="02DA5FC0"/>
    <w:rsid w:val="02E334E5"/>
    <w:rsid w:val="02F40699"/>
    <w:rsid w:val="02F53218"/>
    <w:rsid w:val="02F96569"/>
    <w:rsid w:val="030B47EA"/>
    <w:rsid w:val="030B7A57"/>
    <w:rsid w:val="031E276F"/>
    <w:rsid w:val="031F2398"/>
    <w:rsid w:val="03212E64"/>
    <w:rsid w:val="03305FFE"/>
    <w:rsid w:val="0331626C"/>
    <w:rsid w:val="03323B24"/>
    <w:rsid w:val="033A5888"/>
    <w:rsid w:val="034321D6"/>
    <w:rsid w:val="03457CFC"/>
    <w:rsid w:val="034A5312"/>
    <w:rsid w:val="03675EC4"/>
    <w:rsid w:val="036D1000"/>
    <w:rsid w:val="0370464D"/>
    <w:rsid w:val="0374238F"/>
    <w:rsid w:val="038002F5"/>
    <w:rsid w:val="03801346"/>
    <w:rsid w:val="038D3451"/>
    <w:rsid w:val="03930BBE"/>
    <w:rsid w:val="03A47235"/>
    <w:rsid w:val="03B60854"/>
    <w:rsid w:val="03BD48A4"/>
    <w:rsid w:val="03C846BC"/>
    <w:rsid w:val="03CE7CF1"/>
    <w:rsid w:val="03D1158F"/>
    <w:rsid w:val="03DE5A5A"/>
    <w:rsid w:val="03E31C1D"/>
    <w:rsid w:val="03E77005"/>
    <w:rsid w:val="03EA08A3"/>
    <w:rsid w:val="03EA7B21"/>
    <w:rsid w:val="03F434D0"/>
    <w:rsid w:val="03F4702C"/>
    <w:rsid w:val="03F50C28"/>
    <w:rsid w:val="03F937EA"/>
    <w:rsid w:val="03FF3601"/>
    <w:rsid w:val="040C5812"/>
    <w:rsid w:val="04117ADE"/>
    <w:rsid w:val="042B250C"/>
    <w:rsid w:val="043302F1"/>
    <w:rsid w:val="04390A47"/>
    <w:rsid w:val="043A35D9"/>
    <w:rsid w:val="043D4E77"/>
    <w:rsid w:val="044C330C"/>
    <w:rsid w:val="04501303"/>
    <w:rsid w:val="0455289B"/>
    <w:rsid w:val="045C13A6"/>
    <w:rsid w:val="04652FCB"/>
    <w:rsid w:val="04653BF5"/>
    <w:rsid w:val="04690C83"/>
    <w:rsid w:val="046C3066"/>
    <w:rsid w:val="0490144A"/>
    <w:rsid w:val="049C7DEF"/>
    <w:rsid w:val="049D3B67"/>
    <w:rsid w:val="049D76C3"/>
    <w:rsid w:val="04A44EF6"/>
    <w:rsid w:val="04A62A1C"/>
    <w:rsid w:val="04AD7E25"/>
    <w:rsid w:val="04B07CB0"/>
    <w:rsid w:val="04B36EE7"/>
    <w:rsid w:val="04BE5FB8"/>
    <w:rsid w:val="04BF5EAB"/>
    <w:rsid w:val="04F512AE"/>
    <w:rsid w:val="04F702A7"/>
    <w:rsid w:val="050E236F"/>
    <w:rsid w:val="050E7CBB"/>
    <w:rsid w:val="051931EE"/>
    <w:rsid w:val="051D1732"/>
    <w:rsid w:val="052120A3"/>
    <w:rsid w:val="052A400F"/>
    <w:rsid w:val="052F5C5F"/>
    <w:rsid w:val="053A13B6"/>
    <w:rsid w:val="054B35C3"/>
    <w:rsid w:val="054E70C3"/>
    <w:rsid w:val="054F5FEC"/>
    <w:rsid w:val="054F7B5D"/>
    <w:rsid w:val="055406CA"/>
    <w:rsid w:val="05685651"/>
    <w:rsid w:val="05810D93"/>
    <w:rsid w:val="058C156C"/>
    <w:rsid w:val="058F1702"/>
    <w:rsid w:val="058F34B0"/>
    <w:rsid w:val="059D4375"/>
    <w:rsid w:val="05A475AD"/>
    <w:rsid w:val="05A75A44"/>
    <w:rsid w:val="05AB5E10"/>
    <w:rsid w:val="05B80C59"/>
    <w:rsid w:val="05BA4024"/>
    <w:rsid w:val="05C60CD8"/>
    <w:rsid w:val="05D54D9B"/>
    <w:rsid w:val="05DB708B"/>
    <w:rsid w:val="05F61781"/>
    <w:rsid w:val="05F83EAE"/>
    <w:rsid w:val="05FA4E5A"/>
    <w:rsid w:val="06206C00"/>
    <w:rsid w:val="063E7D85"/>
    <w:rsid w:val="064047AA"/>
    <w:rsid w:val="06456265"/>
    <w:rsid w:val="064E336B"/>
    <w:rsid w:val="065336FB"/>
    <w:rsid w:val="0664493D"/>
    <w:rsid w:val="066A5A55"/>
    <w:rsid w:val="066C559F"/>
    <w:rsid w:val="066E1317"/>
    <w:rsid w:val="067032E2"/>
    <w:rsid w:val="06767289"/>
    <w:rsid w:val="06874187"/>
    <w:rsid w:val="068D6688"/>
    <w:rsid w:val="068E7B23"/>
    <w:rsid w:val="06933DAD"/>
    <w:rsid w:val="069A035E"/>
    <w:rsid w:val="06A05249"/>
    <w:rsid w:val="06A26CA3"/>
    <w:rsid w:val="06A92350"/>
    <w:rsid w:val="06B22DB6"/>
    <w:rsid w:val="06B410D1"/>
    <w:rsid w:val="06B8420F"/>
    <w:rsid w:val="06C70A28"/>
    <w:rsid w:val="06C85948"/>
    <w:rsid w:val="06D17E8C"/>
    <w:rsid w:val="06E15F8D"/>
    <w:rsid w:val="06E2589C"/>
    <w:rsid w:val="06E83D62"/>
    <w:rsid w:val="06EC66E0"/>
    <w:rsid w:val="06F23CF7"/>
    <w:rsid w:val="06F25C63"/>
    <w:rsid w:val="06F37A6F"/>
    <w:rsid w:val="06FA2431"/>
    <w:rsid w:val="06FC6923"/>
    <w:rsid w:val="07056611"/>
    <w:rsid w:val="070659F4"/>
    <w:rsid w:val="071C6FC5"/>
    <w:rsid w:val="07293586"/>
    <w:rsid w:val="07295285"/>
    <w:rsid w:val="072A0D17"/>
    <w:rsid w:val="072C3DC1"/>
    <w:rsid w:val="07300CC3"/>
    <w:rsid w:val="073A38EF"/>
    <w:rsid w:val="074A2E82"/>
    <w:rsid w:val="074A3B33"/>
    <w:rsid w:val="075174DC"/>
    <w:rsid w:val="07531272"/>
    <w:rsid w:val="075859CA"/>
    <w:rsid w:val="075E138C"/>
    <w:rsid w:val="07636392"/>
    <w:rsid w:val="07641ECA"/>
    <w:rsid w:val="07691BB9"/>
    <w:rsid w:val="07702A34"/>
    <w:rsid w:val="07714B07"/>
    <w:rsid w:val="07724E37"/>
    <w:rsid w:val="07770C56"/>
    <w:rsid w:val="0777244E"/>
    <w:rsid w:val="077F1302"/>
    <w:rsid w:val="079217C7"/>
    <w:rsid w:val="07927288"/>
    <w:rsid w:val="07996868"/>
    <w:rsid w:val="07A50BC6"/>
    <w:rsid w:val="07A85A5C"/>
    <w:rsid w:val="07AA45D1"/>
    <w:rsid w:val="07B40FAC"/>
    <w:rsid w:val="07BD684A"/>
    <w:rsid w:val="07BE5E08"/>
    <w:rsid w:val="07C40B02"/>
    <w:rsid w:val="07CC09EB"/>
    <w:rsid w:val="07D64B4C"/>
    <w:rsid w:val="07D653C6"/>
    <w:rsid w:val="07E07FF3"/>
    <w:rsid w:val="07E757B0"/>
    <w:rsid w:val="07EC4BEA"/>
    <w:rsid w:val="07EC6998"/>
    <w:rsid w:val="07F615C4"/>
    <w:rsid w:val="07F70EBC"/>
    <w:rsid w:val="07F81306"/>
    <w:rsid w:val="07FB748C"/>
    <w:rsid w:val="08045CD3"/>
    <w:rsid w:val="080D2DB2"/>
    <w:rsid w:val="08114650"/>
    <w:rsid w:val="08161C67"/>
    <w:rsid w:val="08163028"/>
    <w:rsid w:val="083F3DCE"/>
    <w:rsid w:val="08406CE4"/>
    <w:rsid w:val="084105D1"/>
    <w:rsid w:val="08450161"/>
    <w:rsid w:val="0858402D"/>
    <w:rsid w:val="08787A5E"/>
    <w:rsid w:val="08836253"/>
    <w:rsid w:val="08890E35"/>
    <w:rsid w:val="088A1696"/>
    <w:rsid w:val="088E3EF3"/>
    <w:rsid w:val="08935065"/>
    <w:rsid w:val="089D64E6"/>
    <w:rsid w:val="08A76D63"/>
    <w:rsid w:val="08AC4379"/>
    <w:rsid w:val="08B03E69"/>
    <w:rsid w:val="08B15F75"/>
    <w:rsid w:val="08B209E5"/>
    <w:rsid w:val="08B3532B"/>
    <w:rsid w:val="08BD6999"/>
    <w:rsid w:val="08C77405"/>
    <w:rsid w:val="08CF1BA3"/>
    <w:rsid w:val="08DC6D6B"/>
    <w:rsid w:val="08E92ED7"/>
    <w:rsid w:val="08F57ACE"/>
    <w:rsid w:val="08F875BE"/>
    <w:rsid w:val="08F91C90"/>
    <w:rsid w:val="08F9455E"/>
    <w:rsid w:val="08FC0E5C"/>
    <w:rsid w:val="08FD2E27"/>
    <w:rsid w:val="09192E1B"/>
    <w:rsid w:val="091B59CE"/>
    <w:rsid w:val="092217DD"/>
    <w:rsid w:val="092C7F56"/>
    <w:rsid w:val="092E0CF1"/>
    <w:rsid w:val="092F79B2"/>
    <w:rsid w:val="09306D6C"/>
    <w:rsid w:val="09325BCB"/>
    <w:rsid w:val="093A7294"/>
    <w:rsid w:val="09415EB6"/>
    <w:rsid w:val="094620D8"/>
    <w:rsid w:val="0946657C"/>
    <w:rsid w:val="09594501"/>
    <w:rsid w:val="0966388E"/>
    <w:rsid w:val="096B1B3E"/>
    <w:rsid w:val="096D145C"/>
    <w:rsid w:val="09736C45"/>
    <w:rsid w:val="098D41AA"/>
    <w:rsid w:val="09AB78FB"/>
    <w:rsid w:val="09AD3F6A"/>
    <w:rsid w:val="09B56A2B"/>
    <w:rsid w:val="09B94591"/>
    <w:rsid w:val="09C6281B"/>
    <w:rsid w:val="09C85B74"/>
    <w:rsid w:val="09D73678"/>
    <w:rsid w:val="09DB0338"/>
    <w:rsid w:val="09DB1E7E"/>
    <w:rsid w:val="09E07D73"/>
    <w:rsid w:val="09F61D50"/>
    <w:rsid w:val="09F93DAC"/>
    <w:rsid w:val="09FE0C04"/>
    <w:rsid w:val="0A08595F"/>
    <w:rsid w:val="0A0C4B88"/>
    <w:rsid w:val="0A1E12A6"/>
    <w:rsid w:val="0A263993"/>
    <w:rsid w:val="0A2A7852"/>
    <w:rsid w:val="0A2D3AC2"/>
    <w:rsid w:val="0A2D5046"/>
    <w:rsid w:val="0A2F5262"/>
    <w:rsid w:val="0A3960E0"/>
    <w:rsid w:val="0A4A209B"/>
    <w:rsid w:val="0A4C1970"/>
    <w:rsid w:val="0A4F320E"/>
    <w:rsid w:val="0A5847FD"/>
    <w:rsid w:val="0A5B7E05"/>
    <w:rsid w:val="0A5C46AC"/>
    <w:rsid w:val="0A5F3A3A"/>
    <w:rsid w:val="0A6749FB"/>
    <w:rsid w:val="0A6B77C1"/>
    <w:rsid w:val="0A765FB8"/>
    <w:rsid w:val="0A776F3D"/>
    <w:rsid w:val="0A7D7D7B"/>
    <w:rsid w:val="0A856C30"/>
    <w:rsid w:val="0A8F204C"/>
    <w:rsid w:val="0A984E02"/>
    <w:rsid w:val="0A9B6453"/>
    <w:rsid w:val="0AA51080"/>
    <w:rsid w:val="0AA755DF"/>
    <w:rsid w:val="0AAB0D8C"/>
    <w:rsid w:val="0AAD02CE"/>
    <w:rsid w:val="0AAF1EFF"/>
    <w:rsid w:val="0AB17872"/>
    <w:rsid w:val="0AB45767"/>
    <w:rsid w:val="0ABD286D"/>
    <w:rsid w:val="0ACC56B9"/>
    <w:rsid w:val="0ACE6829"/>
    <w:rsid w:val="0ADC51AE"/>
    <w:rsid w:val="0ADD4CBE"/>
    <w:rsid w:val="0ADF163F"/>
    <w:rsid w:val="0AE105DD"/>
    <w:rsid w:val="0AEE0C79"/>
    <w:rsid w:val="0AF049F1"/>
    <w:rsid w:val="0AF537BB"/>
    <w:rsid w:val="0AFF69E2"/>
    <w:rsid w:val="0B022976"/>
    <w:rsid w:val="0B04224A"/>
    <w:rsid w:val="0B083329"/>
    <w:rsid w:val="0B0C7351"/>
    <w:rsid w:val="0B120D44"/>
    <w:rsid w:val="0B1306DF"/>
    <w:rsid w:val="0B156206"/>
    <w:rsid w:val="0B2823DD"/>
    <w:rsid w:val="0B2E376B"/>
    <w:rsid w:val="0B347528"/>
    <w:rsid w:val="0B375871"/>
    <w:rsid w:val="0B397DB6"/>
    <w:rsid w:val="0B3A2110"/>
    <w:rsid w:val="0B444D3D"/>
    <w:rsid w:val="0B4B60CB"/>
    <w:rsid w:val="0B520957"/>
    <w:rsid w:val="0B537F98"/>
    <w:rsid w:val="0B621425"/>
    <w:rsid w:val="0B65586F"/>
    <w:rsid w:val="0B705B32"/>
    <w:rsid w:val="0B7849E6"/>
    <w:rsid w:val="0B7F70D3"/>
    <w:rsid w:val="0B81389B"/>
    <w:rsid w:val="0B927856"/>
    <w:rsid w:val="0BA47589"/>
    <w:rsid w:val="0BC25455"/>
    <w:rsid w:val="0BC41477"/>
    <w:rsid w:val="0BCF0AAA"/>
    <w:rsid w:val="0BD27BF6"/>
    <w:rsid w:val="0BE6615F"/>
    <w:rsid w:val="0BED7182"/>
    <w:rsid w:val="0BF202F5"/>
    <w:rsid w:val="0BF2247E"/>
    <w:rsid w:val="0BF26547"/>
    <w:rsid w:val="0BF26CA6"/>
    <w:rsid w:val="0BF30382"/>
    <w:rsid w:val="0C03639C"/>
    <w:rsid w:val="0C177C63"/>
    <w:rsid w:val="0C234952"/>
    <w:rsid w:val="0C331C07"/>
    <w:rsid w:val="0C34090D"/>
    <w:rsid w:val="0C3B3C7D"/>
    <w:rsid w:val="0C3F7B99"/>
    <w:rsid w:val="0C40415B"/>
    <w:rsid w:val="0C450D6C"/>
    <w:rsid w:val="0C523489"/>
    <w:rsid w:val="0C525237"/>
    <w:rsid w:val="0C5745FC"/>
    <w:rsid w:val="0C5B0590"/>
    <w:rsid w:val="0C651841"/>
    <w:rsid w:val="0C66143F"/>
    <w:rsid w:val="0C6644A2"/>
    <w:rsid w:val="0C7451AE"/>
    <w:rsid w:val="0C7B653C"/>
    <w:rsid w:val="0C7E2778"/>
    <w:rsid w:val="0C854720"/>
    <w:rsid w:val="0C8B665C"/>
    <w:rsid w:val="0C990DB5"/>
    <w:rsid w:val="0C9B098C"/>
    <w:rsid w:val="0C9E5BEF"/>
    <w:rsid w:val="0CA06260"/>
    <w:rsid w:val="0CA67627"/>
    <w:rsid w:val="0CAB2EAE"/>
    <w:rsid w:val="0CAF4438"/>
    <w:rsid w:val="0CB94AAB"/>
    <w:rsid w:val="0CC10A17"/>
    <w:rsid w:val="0CC74046"/>
    <w:rsid w:val="0CCC3E9A"/>
    <w:rsid w:val="0CCF21BE"/>
    <w:rsid w:val="0CD30126"/>
    <w:rsid w:val="0CD34CBA"/>
    <w:rsid w:val="0CDF2F6F"/>
    <w:rsid w:val="0CE9794A"/>
    <w:rsid w:val="0CEB7785"/>
    <w:rsid w:val="0CEE6D0E"/>
    <w:rsid w:val="0CF813CA"/>
    <w:rsid w:val="0CF84031"/>
    <w:rsid w:val="0CF9247A"/>
    <w:rsid w:val="0D0227BA"/>
    <w:rsid w:val="0D023979"/>
    <w:rsid w:val="0D1563B1"/>
    <w:rsid w:val="0D162504"/>
    <w:rsid w:val="0D18022F"/>
    <w:rsid w:val="0D215336"/>
    <w:rsid w:val="0D3037CB"/>
    <w:rsid w:val="0D3406E6"/>
    <w:rsid w:val="0D42705A"/>
    <w:rsid w:val="0D436CED"/>
    <w:rsid w:val="0D5A4182"/>
    <w:rsid w:val="0D5D466A"/>
    <w:rsid w:val="0D5E67BD"/>
    <w:rsid w:val="0D621C7D"/>
    <w:rsid w:val="0D6B6FFD"/>
    <w:rsid w:val="0D6C40D7"/>
    <w:rsid w:val="0D7D62E4"/>
    <w:rsid w:val="0D7E2AB5"/>
    <w:rsid w:val="0D8633EB"/>
    <w:rsid w:val="0D887163"/>
    <w:rsid w:val="0D913B3D"/>
    <w:rsid w:val="0D921D8F"/>
    <w:rsid w:val="0D963E68"/>
    <w:rsid w:val="0D98309A"/>
    <w:rsid w:val="0D98311E"/>
    <w:rsid w:val="0D985311"/>
    <w:rsid w:val="0D9B2C64"/>
    <w:rsid w:val="0DB00467"/>
    <w:rsid w:val="0DB25B80"/>
    <w:rsid w:val="0DBF6A53"/>
    <w:rsid w:val="0DCB52A1"/>
    <w:rsid w:val="0DD203DE"/>
    <w:rsid w:val="0DD57ECE"/>
    <w:rsid w:val="0DD9341B"/>
    <w:rsid w:val="0DDA54E4"/>
    <w:rsid w:val="0DE377C3"/>
    <w:rsid w:val="0DE77F12"/>
    <w:rsid w:val="0DEB5194"/>
    <w:rsid w:val="0DED7DAC"/>
    <w:rsid w:val="0DEE0F90"/>
    <w:rsid w:val="0DF00523"/>
    <w:rsid w:val="0DF071A5"/>
    <w:rsid w:val="0DFE7B03"/>
    <w:rsid w:val="0E0407B3"/>
    <w:rsid w:val="0E1529C0"/>
    <w:rsid w:val="0E1E0F92"/>
    <w:rsid w:val="0E1F739B"/>
    <w:rsid w:val="0E275D69"/>
    <w:rsid w:val="0E294D31"/>
    <w:rsid w:val="0E2C2973"/>
    <w:rsid w:val="0E2F3A82"/>
    <w:rsid w:val="0E320E7D"/>
    <w:rsid w:val="0E323572"/>
    <w:rsid w:val="0E3E1F17"/>
    <w:rsid w:val="0E3E38B3"/>
    <w:rsid w:val="0E4017EB"/>
    <w:rsid w:val="0E427667"/>
    <w:rsid w:val="0E4B1F3E"/>
    <w:rsid w:val="0E4C4C9F"/>
    <w:rsid w:val="0E4D215A"/>
    <w:rsid w:val="0E56100F"/>
    <w:rsid w:val="0E5F6C53"/>
    <w:rsid w:val="0E650191"/>
    <w:rsid w:val="0E67321C"/>
    <w:rsid w:val="0E6C0832"/>
    <w:rsid w:val="0E715E49"/>
    <w:rsid w:val="0E73034D"/>
    <w:rsid w:val="0E813BB2"/>
    <w:rsid w:val="0E927B6D"/>
    <w:rsid w:val="0EA33B28"/>
    <w:rsid w:val="0EAB73B7"/>
    <w:rsid w:val="0EAB7F23"/>
    <w:rsid w:val="0EB755C3"/>
    <w:rsid w:val="0EB81DC9"/>
    <w:rsid w:val="0EBD34C2"/>
    <w:rsid w:val="0EC32F58"/>
    <w:rsid w:val="0ECD5A73"/>
    <w:rsid w:val="0ED463D8"/>
    <w:rsid w:val="0EE02A09"/>
    <w:rsid w:val="0EE04D7C"/>
    <w:rsid w:val="0EF54800"/>
    <w:rsid w:val="0F0E1587"/>
    <w:rsid w:val="0F13775A"/>
    <w:rsid w:val="0F144A26"/>
    <w:rsid w:val="0F1F79F8"/>
    <w:rsid w:val="0F2076B3"/>
    <w:rsid w:val="0F216BF7"/>
    <w:rsid w:val="0F220EF1"/>
    <w:rsid w:val="0F274759"/>
    <w:rsid w:val="0F2A5FF8"/>
    <w:rsid w:val="0F2E7896"/>
    <w:rsid w:val="0F3C32B6"/>
    <w:rsid w:val="0F453BF8"/>
    <w:rsid w:val="0F4C5F6E"/>
    <w:rsid w:val="0F4D73DE"/>
    <w:rsid w:val="0F582D4A"/>
    <w:rsid w:val="0F587009"/>
    <w:rsid w:val="0F5B4403"/>
    <w:rsid w:val="0F5F45FE"/>
    <w:rsid w:val="0F64150A"/>
    <w:rsid w:val="0F797624"/>
    <w:rsid w:val="0F8041BF"/>
    <w:rsid w:val="0F884FCF"/>
    <w:rsid w:val="0F8E2A2A"/>
    <w:rsid w:val="0F8E47D8"/>
    <w:rsid w:val="0F8E6586"/>
    <w:rsid w:val="0F931DEF"/>
    <w:rsid w:val="0F953DB9"/>
    <w:rsid w:val="0F9A112B"/>
    <w:rsid w:val="0F9C1E35"/>
    <w:rsid w:val="0FA47B58"/>
    <w:rsid w:val="0FAB0EE6"/>
    <w:rsid w:val="0FB73D2F"/>
    <w:rsid w:val="0FB929E9"/>
    <w:rsid w:val="0FB93408"/>
    <w:rsid w:val="0FBF4992"/>
    <w:rsid w:val="0FCD4025"/>
    <w:rsid w:val="0FD22917"/>
    <w:rsid w:val="0FDD7B92"/>
    <w:rsid w:val="0FDE06A8"/>
    <w:rsid w:val="0FEC49C9"/>
    <w:rsid w:val="0FF00FEF"/>
    <w:rsid w:val="0FF71AE7"/>
    <w:rsid w:val="0FFA76C7"/>
    <w:rsid w:val="0FFC1742"/>
    <w:rsid w:val="10022AD1"/>
    <w:rsid w:val="10271FCB"/>
    <w:rsid w:val="102835A3"/>
    <w:rsid w:val="102869DB"/>
    <w:rsid w:val="102B2027"/>
    <w:rsid w:val="102F23F6"/>
    <w:rsid w:val="102F7D69"/>
    <w:rsid w:val="10305E2E"/>
    <w:rsid w:val="10352EA6"/>
    <w:rsid w:val="1043306C"/>
    <w:rsid w:val="10437371"/>
    <w:rsid w:val="1045133B"/>
    <w:rsid w:val="10463305"/>
    <w:rsid w:val="104D4694"/>
    <w:rsid w:val="10637A13"/>
    <w:rsid w:val="10686E90"/>
    <w:rsid w:val="106D2F64"/>
    <w:rsid w:val="1071732B"/>
    <w:rsid w:val="10725EA8"/>
    <w:rsid w:val="107A4C82"/>
    <w:rsid w:val="107A6B0B"/>
    <w:rsid w:val="107C2883"/>
    <w:rsid w:val="107E65FB"/>
    <w:rsid w:val="108E238B"/>
    <w:rsid w:val="108F25B6"/>
    <w:rsid w:val="10915F18"/>
    <w:rsid w:val="10931F4F"/>
    <w:rsid w:val="109776BD"/>
    <w:rsid w:val="10A32F80"/>
    <w:rsid w:val="10A64EDA"/>
    <w:rsid w:val="10A73DA4"/>
    <w:rsid w:val="10A818CA"/>
    <w:rsid w:val="10AF4A06"/>
    <w:rsid w:val="10B63710"/>
    <w:rsid w:val="10D17073"/>
    <w:rsid w:val="10D91912"/>
    <w:rsid w:val="10E16B8A"/>
    <w:rsid w:val="10E32ED1"/>
    <w:rsid w:val="10E4370F"/>
    <w:rsid w:val="10EB2942"/>
    <w:rsid w:val="10F10820"/>
    <w:rsid w:val="1102547E"/>
    <w:rsid w:val="11031AF2"/>
    <w:rsid w:val="11062C06"/>
    <w:rsid w:val="11082369"/>
    <w:rsid w:val="110E3E23"/>
    <w:rsid w:val="11160F29"/>
    <w:rsid w:val="111923AE"/>
    <w:rsid w:val="111927C8"/>
    <w:rsid w:val="111C2F7A"/>
    <w:rsid w:val="111D4066"/>
    <w:rsid w:val="112C24FB"/>
    <w:rsid w:val="112D098E"/>
    <w:rsid w:val="11301FEB"/>
    <w:rsid w:val="113A1798"/>
    <w:rsid w:val="11497DFD"/>
    <w:rsid w:val="114A472F"/>
    <w:rsid w:val="114C49C0"/>
    <w:rsid w:val="114F61E9"/>
    <w:rsid w:val="116457F1"/>
    <w:rsid w:val="11665CA1"/>
    <w:rsid w:val="116752E1"/>
    <w:rsid w:val="116C28F7"/>
    <w:rsid w:val="11712A15"/>
    <w:rsid w:val="117619C8"/>
    <w:rsid w:val="1182036D"/>
    <w:rsid w:val="118653FD"/>
    <w:rsid w:val="11875983"/>
    <w:rsid w:val="11916802"/>
    <w:rsid w:val="11BD75F7"/>
    <w:rsid w:val="11CB25B0"/>
    <w:rsid w:val="11DC5CCF"/>
    <w:rsid w:val="11E22BBA"/>
    <w:rsid w:val="11E475F0"/>
    <w:rsid w:val="11E95EFF"/>
    <w:rsid w:val="11ED31A8"/>
    <w:rsid w:val="11F14409"/>
    <w:rsid w:val="11F50B3F"/>
    <w:rsid w:val="11F70BFD"/>
    <w:rsid w:val="11F73D22"/>
    <w:rsid w:val="11F9019A"/>
    <w:rsid w:val="11FC1ECD"/>
    <w:rsid w:val="11FD5C45"/>
    <w:rsid w:val="120C7C36"/>
    <w:rsid w:val="120F683F"/>
    <w:rsid w:val="1212349F"/>
    <w:rsid w:val="12211934"/>
    <w:rsid w:val="12234951"/>
    <w:rsid w:val="12255A8E"/>
    <w:rsid w:val="12257383"/>
    <w:rsid w:val="122945CF"/>
    <w:rsid w:val="122B467C"/>
    <w:rsid w:val="122D2087"/>
    <w:rsid w:val="122E3A75"/>
    <w:rsid w:val="12305A01"/>
    <w:rsid w:val="12355374"/>
    <w:rsid w:val="123553DF"/>
    <w:rsid w:val="1236410E"/>
    <w:rsid w:val="123F4AC3"/>
    <w:rsid w:val="12453F06"/>
    <w:rsid w:val="12472D5A"/>
    <w:rsid w:val="1248301F"/>
    <w:rsid w:val="12483364"/>
    <w:rsid w:val="12597320"/>
    <w:rsid w:val="125C0BBE"/>
    <w:rsid w:val="1272218F"/>
    <w:rsid w:val="12745F08"/>
    <w:rsid w:val="128A74D9"/>
    <w:rsid w:val="128F72B6"/>
    <w:rsid w:val="129B7938"/>
    <w:rsid w:val="12A14823"/>
    <w:rsid w:val="12A61A03"/>
    <w:rsid w:val="12B10F0A"/>
    <w:rsid w:val="12B620EE"/>
    <w:rsid w:val="12C36F4E"/>
    <w:rsid w:val="12C67A5C"/>
    <w:rsid w:val="12CD386A"/>
    <w:rsid w:val="12DC585B"/>
    <w:rsid w:val="12DE5A77"/>
    <w:rsid w:val="12E110C3"/>
    <w:rsid w:val="12E31C37"/>
    <w:rsid w:val="12E759CF"/>
    <w:rsid w:val="12EA61CA"/>
    <w:rsid w:val="12F06155"/>
    <w:rsid w:val="12F42BA4"/>
    <w:rsid w:val="12F6691D"/>
    <w:rsid w:val="12FB03D7"/>
    <w:rsid w:val="12FC5EFD"/>
    <w:rsid w:val="13085B4B"/>
    <w:rsid w:val="130D1EB8"/>
    <w:rsid w:val="130F6015"/>
    <w:rsid w:val="13143326"/>
    <w:rsid w:val="131B45D5"/>
    <w:rsid w:val="131C20FB"/>
    <w:rsid w:val="132C67E2"/>
    <w:rsid w:val="132D7EEA"/>
    <w:rsid w:val="1338673E"/>
    <w:rsid w:val="134F24D1"/>
    <w:rsid w:val="135A1F83"/>
    <w:rsid w:val="135D2DB4"/>
    <w:rsid w:val="135D4C39"/>
    <w:rsid w:val="1360023A"/>
    <w:rsid w:val="13613C22"/>
    <w:rsid w:val="13637D2A"/>
    <w:rsid w:val="13675A6C"/>
    <w:rsid w:val="13751D13"/>
    <w:rsid w:val="137D0DEC"/>
    <w:rsid w:val="13816F52"/>
    <w:rsid w:val="13897791"/>
    <w:rsid w:val="138E140F"/>
    <w:rsid w:val="13951726"/>
    <w:rsid w:val="13AC69DD"/>
    <w:rsid w:val="13AD4F50"/>
    <w:rsid w:val="13B805EB"/>
    <w:rsid w:val="13C22CA3"/>
    <w:rsid w:val="13C61AF2"/>
    <w:rsid w:val="13C83AB4"/>
    <w:rsid w:val="13CD7229"/>
    <w:rsid w:val="13EE1CEA"/>
    <w:rsid w:val="13F82B68"/>
    <w:rsid w:val="141C0605"/>
    <w:rsid w:val="14396509"/>
    <w:rsid w:val="14422489"/>
    <w:rsid w:val="14496F20"/>
    <w:rsid w:val="144A5551"/>
    <w:rsid w:val="144D623B"/>
    <w:rsid w:val="14524026"/>
    <w:rsid w:val="14587163"/>
    <w:rsid w:val="145B75D5"/>
    <w:rsid w:val="14641FAC"/>
    <w:rsid w:val="14680B43"/>
    <w:rsid w:val="146E6986"/>
    <w:rsid w:val="14801E90"/>
    <w:rsid w:val="14A443BC"/>
    <w:rsid w:val="14AD5701"/>
    <w:rsid w:val="14C2372B"/>
    <w:rsid w:val="14CF1B1B"/>
    <w:rsid w:val="14D3115F"/>
    <w:rsid w:val="14DC6AD9"/>
    <w:rsid w:val="14DD2C3C"/>
    <w:rsid w:val="14E04AA3"/>
    <w:rsid w:val="14EF3F6B"/>
    <w:rsid w:val="14F51605"/>
    <w:rsid w:val="14FC21E4"/>
    <w:rsid w:val="151A266A"/>
    <w:rsid w:val="151B4D60"/>
    <w:rsid w:val="15202377"/>
    <w:rsid w:val="1524415D"/>
    <w:rsid w:val="153238D7"/>
    <w:rsid w:val="15357EA3"/>
    <w:rsid w:val="1536302F"/>
    <w:rsid w:val="1537321C"/>
    <w:rsid w:val="154020D1"/>
    <w:rsid w:val="154E5444"/>
    <w:rsid w:val="155142DE"/>
    <w:rsid w:val="15520056"/>
    <w:rsid w:val="15557480"/>
    <w:rsid w:val="15621F3B"/>
    <w:rsid w:val="1562473D"/>
    <w:rsid w:val="156A0C11"/>
    <w:rsid w:val="156F29B6"/>
    <w:rsid w:val="15812E4A"/>
    <w:rsid w:val="1588184A"/>
    <w:rsid w:val="158939BB"/>
    <w:rsid w:val="158B374C"/>
    <w:rsid w:val="158D11B1"/>
    <w:rsid w:val="15945E76"/>
    <w:rsid w:val="15962639"/>
    <w:rsid w:val="159818BF"/>
    <w:rsid w:val="159E5049"/>
    <w:rsid w:val="15A941B8"/>
    <w:rsid w:val="15BD56F7"/>
    <w:rsid w:val="15BE5CBF"/>
    <w:rsid w:val="15C2342E"/>
    <w:rsid w:val="15CF0BC3"/>
    <w:rsid w:val="15CF16A7"/>
    <w:rsid w:val="15D171CD"/>
    <w:rsid w:val="15D46A1A"/>
    <w:rsid w:val="15D54F0F"/>
    <w:rsid w:val="15E22B61"/>
    <w:rsid w:val="15E50ECA"/>
    <w:rsid w:val="15EF58A5"/>
    <w:rsid w:val="15F1786F"/>
    <w:rsid w:val="15F630D7"/>
    <w:rsid w:val="15FF1F8C"/>
    <w:rsid w:val="16004B79"/>
    <w:rsid w:val="16005D04"/>
    <w:rsid w:val="16070E41"/>
    <w:rsid w:val="16087E1D"/>
    <w:rsid w:val="160B0931"/>
    <w:rsid w:val="16161084"/>
    <w:rsid w:val="161E34FC"/>
    <w:rsid w:val="162B4B2F"/>
    <w:rsid w:val="16353C00"/>
    <w:rsid w:val="16461969"/>
    <w:rsid w:val="164C369A"/>
    <w:rsid w:val="165027E8"/>
    <w:rsid w:val="16573B76"/>
    <w:rsid w:val="1666200B"/>
    <w:rsid w:val="166C5148"/>
    <w:rsid w:val="16715E28"/>
    <w:rsid w:val="16757794"/>
    <w:rsid w:val="167B7F56"/>
    <w:rsid w:val="167C538B"/>
    <w:rsid w:val="167F4B79"/>
    <w:rsid w:val="168A5857"/>
    <w:rsid w:val="169052DA"/>
    <w:rsid w:val="1695469E"/>
    <w:rsid w:val="169E3AF9"/>
    <w:rsid w:val="16A257AE"/>
    <w:rsid w:val="16A53C5F"/>
    <w:rsid w:val="16A843D2"/>
    <w:rsid w:val="16AF3030"/>
    <w:rsid w:val="16AF39B2"/>
    <w:rsid w:val="16BA2357"/>
    <w:rsid w:val="16BF34C9"/>
    <w:rsid w:val="16C136E5"/>
    <w:rsid w:val="16C3745D"/>
    <w:rsid w:val="16C80323"/>
    <w:rsid w:val="16DC7BCC"/>
    <w:rsid w:val="16DE6045"/>
    <w:rsid w:val="16E34270"/>
    <w:rsid w:val="16EF0253"/>
    <w:rsid w:val="1706559C"/>
    <w:rsid w:val="1706734A"/>
    <w:rsid w:val="17137064"/>
    <w:rsid w:val="1719707D"/>
    <w:rsid w:val="172338E2"/>
    <w:rsid w:val="1723614E"/>
    <w:rsid w:val="17326590"/>
    <w:rsid w:val="17377504"/>
    <w:rsid w:val="173A48D6"/>
    <w:rsid w:val="173D25C6"/>
    <w:rsid w:val="17424826"/>
    <w:rsid w:val="17432C1D"/>
    <w:rsid w:val="17463BEB"/>
    <w:rsid w:val="17486E4C"/>
    <w:rsid w:val="174B2FAF"/>
    <w:rsid w:val="17507226"/>
    <w:rsid w:val="1752433D"/>
    <w:rsid w:val="175956CC"/>
    <w:rsid w:val="17701D14"/>
    <w:rsid w:val="17735226"/>
    <w:rsid w:val="1776002C"/>
    <w:rsid w:val="17763F72"/>
    <w:rsid w:val="17874E68"/>
    <w:rsid w:val="178C3CF3"/>
    <w:rsid w:val="178C7F09"/>
    <w:rsid w:val="178F5592"/>
    <w:rsid w:val="179A5C6A"/>
    <w:rsid w:val="17A728DB"/>
    <w:rsid w:val="17AC2523"/>
    <w:rsid w:val="17B03166"/>
    <w:rsid w:val="17C1746A"/>
    <w:rsid w:val="17CF19E0"/>
    <w:rsid w:val="17D11706"/>
    <w:rsid w:val="17D631C0"/>
    <w:rsid w:val="17D66D1D"/>
    <w:rsid w:val="17E07B9B"/>
    <w:rsid w:val="17E21B65"/>
    <w:rsid w:val="17E4768B"/>
    <w:rsid w:val="17EA7EDF"/>
    <w:rsid w:val="17F90C5D"/>
    <w:rsid w:val="17FA6EAF"/>
    <w:rsid w:val="18047D2E"/>
    <w:rsid w:val="180E0DFC"/>
    <w:rsid w:val="181003F0"/>
    <w:rsid w:val="18133ACD"/>
    <w:rsid w:val="182944B0"/>
    <w:rsid w:val="183323C1"/>
    <w:rsid w:val="1835515B"/>
    <w:rsid w:val="183649C7"/>
    <w:rsid w:val="18404F51"/>
    <w:rsid w:val="185C34E9"/>
    <w:rsid w:val="18620176"/>
    <w:rsid w:val="1871243F"/>
    <w:rsid w:val="18814EDA"/>
    <w:rsid w:val="18842C1C"/>
    <w:rsid w:val="18972950"/>
    <w:rsid w:val="189F624C"/>
    <w:rsid w:val="18A46E1B"/>
    <w:rsid w:val="18A60C5A"/>
    <w:rsid w:val="18AE37F5"/>
    <w:rsid w:val="18B770C7"/>
    <w:rsid w:val="18BB38C2"/>
    <w:rsid w:val="18C301CC"/>
    <w:rsid w:val="18C96881"/>
    <w:rsid w:val="18CA7BB2"/>
    <w:rsid w:val="18CC437C"/>
    <w:rsid w:val="18D71076"/>
    <w:rsid w:val="18DE232D"/>
    <w:rsid w:val="18E831AB"/>
    <w:rsid w:val="18F002B2"/>
    <w:rsid w:val="18F54DF5"/>
    <w:rsid w:val="18FC0A05"/>
    <w:rsid w:val="18FF4051"/>
    <w:rsid w:val="190478B9"/>
    <w:rsid w:val="19094ED0"/>
    <w:rsid w:val="19145D4E"/>
    <w:rsid w:val="192166BD"/>
    <w:rsid w:val="192356B5"/>
    <w:rsid w:val="19256E89"/>
    <w:rsid w:val="19353F17"/>
    <w:rsid w:val="193C0F5B"/>
    <w:rsid w:val="19461B2F"/>
    <w:rsid w:val="19466124"/>
    <w:rsid w:val="1950766A"/>
    <w:rsid w:val="195A1C7C"/>
    <w:rsid w:val="19662322"/>
    <w:rsid w:val="196B7938"/>
    <w:rsid w:val="196D545F"/>
    <w:rsid w:val="196E3837"/>
    <w:rsid w:val="19751554"/>
    <w:rsid w:val="19821FDC"/>
    <w:rsid w:val="19832ED4"/>
    <w:rsid w:val="198976D7"/>
    <w:rsid w:val="19945255"/>
    <w:rsid w:val="199724DC"/>
    <w:rsid w:val="199A015F"/>
    <w:rsid w:val="199D3F96"/>
    <w:rsid w:val="199E7D0E"/>
    <w:rsid w:val="19A824CD"/>
    <w:rsid w:val="19AA060A"/>
    <w:rsid w:val="19B60574"/>
    <w:rsid w:val="19B858AC"/>
    <w:rsid w:val="19B93EAC"/>
    <w:rsid w:val="19BC422F"/>
    <w:rsid w:val="19BD63E6"/>
    <w:rsid w:val="19CE23A9"/>
    <w:rsid w:val="19D1446D"/>
    <w:rsid w:val="19E809D8"/>
    <w:rsid w:val="19E84432"/>
    <w:rsid w:val="19ED3EA6"/>
    <w:rsid w:val="19F31E08"/>
    <w:rsid w:val="19F71C45"/>
    <w:rsid w:val="19FB6F0E"/>
    <w:rsid w:val="1A0A0EFA"/>
    <w:rsid w:val="1A0F4768"/>
    <w:rsid w:val="1A1502A7"/>
    <w:rsid w:val="1A18186E"/>
    <w:rsid w:val="1A1A6EC1"/>
    <w:rsid w:val="1A1C66C0"/>
    <w:rsid w:val="1A2E4BEE"/>
    <w:rsid w:val="1A2F6BB8"/>
    <w:rsid w:val="1A304E0A"/>
    <w:rsid w:val="1A37709D"/>
    <w:rsid w:val="1A42393B"/>
    <w:rsid w:val="1A495ED5"/>
    <w:rsid w:val="1A514D80"/>
    <w:rsid w:val="1A554870"/>
    <w:rsid w:val="1A5A528E"/>
    <w:rsid w:val="1A62360F"/>
    <w:rsid w:val="1A626F8D"/>
    <w:rsid w:val="1A6525DA"/>
    <w:rsid w:val="1A6E5932"/>
    <w:rsid w:val="1A725422"/>
    <w:rsid w:val="1A756CC1"/>
    <w:rsid w:val="1A845156"/>
    <w:rsid w:val="1A862C7C"/>
    <w:rsid w:val="1A8719C4"/>
    <w:rsid w:val="1A8C6258"/>
    <w:rsid w:val="1A8C65C3"/>
    <w:rsid w:val="1A9D1D74"/>
    <w:rsid w:val="1AA650CC"/>
    <w:rsid w:val="1AAD45DE"/>
    <w:rsid w:val="1AB60216"/>
    <w:rsid w:val="1ABC5A4E"/>
    <w:rsid w:val="1ABF31AA"/>
    <w:rsid w:val="1AC612CA"/>
    <w:rsid w:val="1AD3390C"/>
    <w:rsid w:val="1AD5150D"/>
    <w:rsid w:val="1AD92A32"/>
    <w:rsid w:val="1ADD2620"/>
    <w:rsid w:val="1AE23C2A"/>
    <w:rsid w:val="1AE836F5"/>
    <w:rsid w:val="1AEB0D31"/>
    <w:rsid w:val="1AF7400D"/>
    <w:rsid w:val="1B03607B"/>
    <w:rsid w:val="1B041DF3"/>
    <w:rsid w:val="1B046F80"/>
    <w:rsid w:val="1B1B722A"/>
    <w:rsid w:val="1B23671D"/>
    <w:rsid w:val="1B283D33"/>
    <w:rsid w:val="1B2B55D1"/>
    <w:rsid w:val="1B3267B5"/>
    <w:rsid w:val="1B356450"/>
    <w:rsid w:val="1B370496"/>
    <w:rsid w:val="1B373F76"/>
    <w:rsid w:val="1B375D24"/>
    <w:rsid w:val="1B3942CB"/>
    <w:rsid w:val="1B3A2C32"/>
    <w:rsid w:val="1B3A2F9D"/>
    <w:rsid w:val="1B3C15F9"/>
    <w:rsid w:val="1B40161D"/>
    <w:rsid w:val="1B416BA3"/>
    <w:rsid w:val="1B441859"/>
    <w:rsid w:val="1B44386A"/>
    <w:rsid w:val="1B4A77A1"/>
    <w:rsid w:val="1B4E634F"/>
    <w:rsid w:val="1B5543FC"/>
    <w:rsid w:val="1B5771AB"/>
    <w:rsid w:val="1B5E2987"/>
    <w:rsid w:val="1B6335B2"/>
    <w:rsid w:val="1B6606B1"/>
    <w:rsid w:val="1B8A054A"/>
    <w:rsid w:val="1BA07D6D"/>
    <w:rsid w:val="1BA15893"/>
    <w:rsid w:val="1BA44570"/>
    <w:rsid w:val="1BA50EE0"/>
    <w:rsid w:val="1BA548B0"/>
    <w:rsid w:val="1BA86C22"/>
    <w:rsid w:val="1BAA0BEC"/>
    <w:rsid w:val="1BC05D1A"/>
    <w:rsid w:val="1BC7354C"/>
    <w:rsid w:val="1BD21EF1"/>
    <w:rsid w:val="1BD23517"/>
    <w:rsid w:val="1BD47A17"/>
    <w:rsid w:val="1BDE3710"/>
    <w:rsid w:val="1BE51C24"/>
    <w:rsid w:val="1BFE6842"/>
    <w:rsid w:val="1C0E2142"/>
    <w:rsid w:val="1C183DA8"/>
    <w:rsid w:val="1C1C7239"/>
    <w:rsid w:val="1C237D92"/>
    <w:rsid w:val="1C2838BF"/>
    <w:rsid w:val="1C2F2E9F"/>
    <w:rsid w:val="1C387FA6"/>
    <w:rsid w:val="1C3B2840"/>
    <w:rsid w:val="1C437ED0"/>
    <w:rsid w:val="1C4C3A51"/>
    <w:rsid w:val="1C4F3541"/>
    <w:rsid w:val="1C5446B4"/>
    <w:rsid w:val="1C5C30AE"/>
    <w:rsid w:val="1C5E7925"/>
    <w:rsid w:val="1C5F5D64"/>
    <w:rsid w:val="1C6C3216"/>
    <w:rsid w:val="1C6C5EA1"/>
    <w:rsid w:val="1C6D527C"/>
    <w:rsid w:val="1C784846"/>
    <w:rsid w:val="1C7D00AF"/>
    <w:rsid w:val="1C9758FA"/>
    <w:rsid w:val="1C9E4FF9"/>
    <w:rsid w:val="1CBA4E5F"/>
    <w:rsid w:val="1CBD494F"/>
    <w:rsid w:val="1CC31703"/>
    <w:rsid w:val="1CC45CDD"/>
    <w:rsid w:val="1CD151DA"/>
    <w:rsid w:val="1CD86C19"/>
    <w:rsid w:val="1CD94918"/>
    <w:rsid w:val="1CE403FA"/>
    <w:rsid w:val="1CEE2D5A"/>
    <w:rsid w:val="1CFD070F"/>
    <w:rsid w:val="1D065315"/>
    <w:rsid w:val="1D0E6F59"/>
    <w:rsid w:val="1D1327C1"/>
    <w:rsid w:val="1D145C5F"/>
    <w:rsid w:val="1D185B47"/>
    <w:rsid w:val="1D1A76AB"/>
    <w:rsid w:val="1D1F4CC2"/>
    <w:rsid w:val="1D216C8C"/>
    <w:rsid w:val="1D2624F4"/>
    <w:rsid w:val="1D285FD9"/>
    <w:rsid w:val="1D305121"/>
    <w:rsid w:val="1D3249F5"/>
    <w:rsid w:val="1D404188"/>
    <w:rsid w:val="1D443814"/>
    <w:rsid w:val="1D4B24DF"/>
    <w:rsid w:val="1D4F1A4B"/>
    <w:rsid w:val="1D525097"/>
    <w:rsid w:val="1D5A03F0"/>
    <w:rsid w:val="1D5E1C8E"/>
    <w:rsid w:val="1D5F6196"/>
    <w:rsid w:val="1D5F77B4"/>
    <w:rsid w:val="1D6132A5"/>
    <w:rsid w:val="1D6E4ED7"/>
    <w:rsid w:val="1D7248EE"/>
    <w:rsid w:val="1D792624"/>
    <w:rsid w:val="1D816F16"/>
    <w:rsid w:val="1D8A2A83"/>
    <w:rsid w:val="1D8E56D5"/>
    <w:rsid w:val="1D943CCB"/>
    <w:rsid w:val="1D9751A0"/>
    <w:rsid w:val="1D99317E"/>
    <w:rsid w:val="1DA63635"/>
    <w:rsid w:val="1DAD013B"/>
    <w:rsid w:val="1DB01DBE"/>
    <w:rsid w:val="1DBB0E8E"/>
    <w:rsid w:val="1DBC3E0F"/>
    <w:rsid w:val="1DC67833"/>
    <w:rsid w:val="1DCF4116"/>
    <w:rsid w:val="1DDA6E3B"/>
    <w:rsid w:val="1DDA7585"/>
    <w:rsid w:val="1DDA7A19"/>
    <w:rsid w:val="1DDE692B"/>
    <w:rsid w:val="1DE25359"/>
    <w:rsid w:val="1DE859FC"/>
    <w:rsid w:val="1DF236B3"/>
    <w:rsid w:val="1DFC77B9"/>
    <w:rsid w:val="1E030F35"/>
    <w:rsid w:val="1E06684D"/>
    <w:rsid w:val="1E1001C3"/>
    <w:rsid w:val="1E192DA5"/>
    <w:rsid w:val="1E1E31CB"/>
    <w:rsid w:val="1E1E6894"/>
    <w:rsid w:val="1E2C3B3A"/>
    <w:rsid w:val="1E302101"/>
    <w:rsid w:val="1E3B1FCF"/>
    <w:rsid w:val="1E3C6958"/>
    <w:rsid w:val="1E3D6282"/>
    <w:rsid w:val="1E47567E"/>
    <w:rsid w:val="1E51534F"/>
    <w:rsid w:val="1E543091"/>
    <w:rsid w:val="1E5D3CF4"/>
    <w:rsid w:val="1E614E48"/>
    <w:rsid w:val="1E6A4663"/>
    <w:rsid w:val="1E6E5F01"/>
    <w:rsid w:val="1E764DB5"/>
    <w:rsid w:val="1E767E8B"/>
    <w:rsid w:val="1E7A43DA"/>
    <w:rsid w:val="1E7B23CC"/>
    <w:rsid w:val="1E7E1EBC"/>
    <w:rsid w:val="1E836D7E"/>
    <w:rsid w:val="1E85149C"/>
    <w:rsid w:val="1E9943E4"/>
    <w:rsid w:val="1E9D0594"/>
    <w:rsid w:val="1EA01E32"/>
    <w:rsid w:val="1EA44ED2"/>
    <w:rsid w:val="1EAE3DE3"/>
    <w:rsid w:val="1EB01574"/>
    <w:rsid w:val="1EB55F58"/>
    <w:rsid w:val="1EB761ED"/>
    <w:rsid w:val="1EBB6C6C"/>
    <w:rsid w:val="1EC067C0"/>
    <w:rsid w:val="1EC21DA9"/>
    <w:rsid w:val="1EC45B21"/>
    <w:rsid w:val="1EC71AB5"/>
    <w:rsid w:val="1ED41ADC"/>
    <w:rsid w:val="1ED80E47"/>
    <w:rsid w:val="1EDE6ADB"/>
    <w:rsid w:val="1EE02468"/>
    <w:rsid w:val="1EF36406"/>
    <w:rsid w:val="1EF978A2"/>
    <w:rsid w:val="1EFB350D"/>
    <w:rsid w:val="1EFD7285"/>
    <w:rsid w:val="1F0028D1"/>
    <w:rsid w:val="1F10520A"/>
    <w:rsid w:val="1F106FB8"/>
    <w:rsid w:val="1F157D12"/>
    <w:rsid w:val="1F2B2044"/>
    <w:rsid w:val="1F2B6ABF"/>
    <w:rsid w:val="1F3A5DE3"/>
    <w:rsid w:val="1F492925"/>
    <w:rsid w:val="1F5350F7"/>
    <w:rsid w:val="1F536EA5"/>
    <w:rsid w:val="1F577566"/>
    <w:rsid w:val="1F5912E4"/>
    <w:rsid w:val="1F602B3B"/>
    <w:rsid w:val="1F613647"/>
    <w:rsid w:val="1F686DF4"/>
    <w:rsid w:val="1F7C289F"/>
    <w:rsid w:val="1F882FF2"/>
    <w:rsid w:val="1F8E554A"/>
    <w:rsid w:val="1F901EA7"/>
    <w:rsid w:val="1F9A0F77"/>
    <w:rsid w:val="1F9B6D2D"/>
    <w:rsid w:val="1FA0658E"/>
    <w:rsid w:val="1FA6791C"/>
    <w:rsid w:val="1FA80624"/>
    <w:rsid w:val="1FA871F0"/>
    <w:rsid w:val="1FAD1142"/>
    <w:rsid w:val="1FB15B80"/>
    <w:rsid w:val="1FB97650"/>
    <w:rsid w:val="1FBB33C8"/>
    <w:rsid w:val="1FC231B9"/>
    <w:rsid w:val="1FC3402A"/>
    <w:rsid w:val="1FCA59E8"/>
    <w:rsid w:val="1FD52DFF"/>
    <w:rsid w:val="1FD75D28"/>
    <w:rsid w:val="1FD9384E"/>
    <w:rsid w:val="1FDE70B6"/>
    <w:rsid w:val="1FDF698A"/>
    <w:rsid w:val="1FE7539E"/>
    <w:rsid w:val="1FEF4E1F"/>
    <w:rsid w:val="1FF02946"/>
    <w:rsid w:val="1FF04042"/>
    <w:rsid w:val="20002406"/>
    <w:rsid w:val="200563F1"/>
    <w:rsid w:val="200B777F"/>
    <w:rsid w:val="200D44EE"/>
    <w:rsid w:val="20102464"/>
    <w:rsid w:val="2011123A"/>
    <w:rsid w:val="20126D60"/>
    <w:rsid w:val="201D2B69"/>
    <w:rsid w:val="20202696"/>
    <w:rsid w:val="20210D51"/>
    <w:rsid w:val="20285F97"/>
    <w:rsid w:val="202D76F6"/>
    <w:rsid w:val="203647FC"/>
    <w:rsid w:val="20390790"/>
    <w:rsid w:val="2039253E"/>
    <w:rsid w:val="203E5DA7"/>
    <w:rsid w:val="203F09E9"/>
    <w:rsid w:val="20426D04"/>
    <w:rsid w:val="20427645"/>
    <w:rsid w:val="20502FE8"/>
    <w:rsid w:val="2059673D"/>
    <w:rsid w:val="20601879"/>
    <w:rsid w:val="20616645"/>
    <w:rsid w:val="20671BE0"/>
    <w:rsid w:val="2068215C"/>
    <w:rsid w:val="207215AC"/>
    <w:rsid w:val="207277FE"/>
    <w:rsid w:val="20735A50"/>
    <w:rsid w:val="20746751"/>
    <w:rsid w:val="207500F4"/>
    <w:rsid w:val="207D68CF"/>
    <w:rsid w:val="20855784"/>
    <w:rsid w:val="208E4638"/>
    <w:rsid w:val="208F03B0"/>
    <w:rsid w:val="20931C4F"/>
    <w:rsid w:val="2096014A"/>
    <w:rsid w:val="20963CB8"/>
    <w:rsid w:val="20983709"/>
    <w:rsid w:val="20A81A1B"/>
    <w:rsid w:val="20AC0F62"/>
    <w:rsid w:val="20B07FB6"/>
    <w:rsid w:val="20B42736"/>
    <w:rsid w:val="20B646FB"/>
    <w:rsid w:val="20CC5B9F"/>
    <w:rsid w:val="20E701EC"/>
    <w:rsid w:val="20EA55E7"/>
    <w:rsid w:val="20EF4A1F"/>
    <w:rsid w:val="20F052F3"/>
    <w:rsid w:val="20F23661"/>
    <w:rsid w:val="20F667B9"/>
    <w:rsid w:val="20FF1092"/>
    <w:rsid w:val="210037A4"/>
    <w:rsid w:val="210112AE"/>
    <w:rsid w:val="21065450"/>
    <w:rsid w:val="210743EB"/>
    <w:rsid w:val="210E5CD9"/>
    <w:rsid w:val="211F1734"/>
    <w:rsid w:val="212D68D6"/>
    <w:rsid w:val="212E7BC9"/>
    <w:rsid w:val="21303941"/>
    <w:rsid w:val="21316A1F"/>
    <w:rsid w:val="213351E0"/>
    <w:rsid w:val="21336F8E"/>
    <w:rsid w:val="213B74B1"/>
    <w:rsid w:val="213E7CAA"/>
    <w:rsid w:val="214C004F"/>
    <w:rsid w:val="21562C7C"/>
    <w:rsid w:val="215A2310"/>
    <w:rsid w:val="215D3439"/>
    <w:rsid w:val="21647076"/>
    <w:rsid w:val="216830DB"/>
    <w:rsid w:val="216F6A63"/>
    <w:rsid w:val="21751354"/>
    <w:rsid w:val="217B060D"/>
    <w:rsid w:val="21815F4B"/>
    <w:rsid w:val="21835AB5"/>
    <w:rsid w:val="218C669E"/>
    <w:rsid w:val="219519F6"/>
    <w:rsid w:val="21977533"/>
    <w:rsid w:val="219C2D85"/>
    <w:rsid w:val="219E4D4F"/>
    <w:rsid w:val="21A734D8"/>
    <w:rsid w:val="21B46321"/>
    <w:rsid w:val="21C02F32"/>
    <w:rsid w:val="21C30312"/>
    <w:rsid w:val="21D00C81"/>
    <w:rsid w:val="21D7734F"/>
    <w:rsid w:val="21DA1AFF"/>
    <w:rsid w:val="21DE318A"/>
    <w:rsid w:val="21DE514B"/>
    <w:rsid w:val="21E11B04"/>
    <w:rsid w:val="21E21017"/>
    <w:rsid w:val="21E336A7"/>
    <w:rsid w:val="21E464DA"/>
    <w:rsid w:val="21E87D78"/>
    <w:rsid w:val="21EF5B80"/>
    <w:rsid w:val="21F14089"/>
    <w:rsid w:val="21F84180"/>
    <w:rsid w:val="220D5A31"/>
    <w:rsid w:val="220D77DF"/>
    <w:rsid w:val="22230DB0"/>
    <w:rsid w:val="223631D9"/>
    <w:rsid w:val="22423293"/>
    <w:rsid w:val="22425151"/>
    <w:rsid w:val="22443D57"/>
    <w:rsid w:val="2250591D"/>
    <w:rsid w:val="22576990"/>
    <w:rsid w:val="227E5313"/>
    <w:rsid w:val="228F4698"/>
    <w:rsid w:val="229505D5"/>
    <w:rsid w:val="22956BD7"/>
    <w:rsid w:val="2296016F"/>
    <w:rsid w:val="22987CDB"/>
    <w:rsid w:val="229B303C"/>
    <w:rsid w:val="229C0B63"/>
    <w:rsid w:val="22B10AB2"/>
    <w:rsid w:val="22BC7FA6"/>
    <w:rsid w:val="22CA6694"/>
    <w:rsid w:val="22D905E5"/>
    <w:rsid w:val="22E744D4"/>
    <w:rsid w:val="22EE5862"/>
    <w:rsid w:val="22F47480"/>
    <w:rsid w:val="22F66B1C"/>
    <w:rsid w:val="22F97D63"/>
    <w:rsid w:val="22FD27F1"/>
    <w:rsid w:val="23024E6A"/>
    <w:rsid w:val="2305495A"/>
    <w:rsid w:val="2306110C"/>
    <w:rsid w:val="230706D2"/>
    <w:rsid w:val="230961F8"/>
    <w:rsid w:val="230B6414"/>
    <w:rsid w:val="231D1CA3"/>
    <w:rsid w:val="23244DE0"/>
    <w:rsid w:val="23316C48"/>
    <w:rsid w:val="233C6004"/>
    <w:rsid w:val="233F7E6C"/>
    <w:rsid w:val="234231D3"/>
    <w:rsid w:val="234333A3"/>
    <w:rsid w:val="23443C2E"/>
    <w:rsid w:val="23447230"/>
    <w:rsid w:val="234F5BD5"/>
    <w:rsid w:val="23573B7B"/>
    <w:rsid w:val="23586C07"/>
    <w:rsid w:val="23672234"/>
    <w:rsid w:val="236B5023"/>
    <w:rsid w:val="236D1D5F"/>
    <w:rsid w:val="236E69A3"/>
    <w:rsid w:val="237D2742"/>
    <w:rsid w:val="2381487A"/>
    <w:rsid w:val="238743C7"/>
    <w:rsid w:val="23977CA8"/>
    <w:rsid w:val="23A14683"/>
    <w:rsid w:val="23A81EB5"/>
    <w:rsid w:val="23B32608"/>
    <w:rsid w:val="23BD6FE3"/>
    <w:rsid w:val="23D32D46"/>
    <w:rsid w:val="23D52A7A"/>
    <w:rsid w:val="23DE1C48"/>
    <w:rsid w:val="23FD2C15"/>
    <w:rsid w:val="240210CD"/>
    <w:rsid w:val="24053736"/>
    <w:rsid w:val="240B2444"/>
    <w:rsid w:val="240B4F5D"/>
    <w:rsid w:val="241A11A4"/>
    <w:rsid w:val="242332EA"/>
    <w:rsid w:val="24253C3D"/>
    <w:rsid w:val="24303C58"/>
    <w:rsid w:val="24305A06"/>
    <w:rsid w:val="2446521F"/>
    <w:rsid w:val="24466FD8"/>
    <w:rsid w:val="24513711"/>
    <w:rsid w:val="24523BCF"/>
    <w:rsid w:val="24573BF3"/>
    <w:rsid w:val="245C4A4D"/>
    <w:rsid w:val="24637B8A"/>
    <w:rsid w:val="24676CEF"/>
    <w:rsid w:val="246F4781"/>
    <w:rsid w:val="247462AE"/>
    <w:rsid w:val="247704C2"/>
    <w:rsid w:val="248875F1"/>
    <w:rsid w:val="248C70E1"/>
    <w:rsid w:val="249661B1"/>
    <w:rsid w:val="2497134E"/>
    <w:rsid w:val="24A52D69"/>
    <w:rsid w:val="24A73F1B"/>
    <w:rsid w:val="24AC7783"/>
    <w:rsid w:val="24B9736B"/>
    <w:rsid w:val="24BF09F7"/>
    <w:rsid w:val="24C2579F"/>
    <w:rsid w:val="24C525F3"/>
    <w:rsid w:val="24CF5AE1"/>
    <w:rsid w:val="24D26C6F"/>
    <w:rsid w:val="24D57369"/>
    <w:rsid w:val="24D66FBE"/>
    <w:rsid w:val="24DC16EA"/>
    <w:rsid w:val="24DF634A"/>
    <w:rsid w:val="24F063E0"/>
    <w:rsid w:val="24F274FE"/>
    <w:rsid w:val="24F84776"/>
    <w:rsid w:val="24FF7EF4"/>
    <w:rsid w:val="250009D8"/>
    <w:rsid w:val="25002214"/>
    <w:rsid w:val="25021151"/>
    <w:rsid w:val="25034EC9"/>
    <w:rsid w:val="250824DF"/>
    <w:rsid w:val="250D55E9"/>
    <w:rsid w:val="250E4D5D"/>
    <w:rsid w:val="251247E7"/>
    <w:rsid w:val="25173ABE"/>
    <w:rsid w:val="25186BC6"/>
    <w:rsid w:val="251946ED"/>
    <w:rsid w:val="251F61A7"/>
    <w:rsid w:val="252437BD"/>
    <w:rsid w:val="25262A84"/>
    <w:rsid w:val="252A68FA"/>
    <w:rsid w:val="252D53FE"/>
    <w:rsid w:val="25403217"/>
    <w:rsid w:val="2547125A"/>
    <w:rsid w:val="2552027C"/>
    <w:rsid w:val="25526E4B"/>
    <w:rsid w:val="25585B02"/>
    <w:rsid w:val="25587FAA"/>
    <w:rsid w:val="255B58FF"/>
    <w:rsid w:val="256040C9"/>
    <w:rsid w:val="256458CD"/>
    <w:rsid w:val="257007B0"/>
    <w:rsid w:val="257013E7"/>
    <w:rsid w:val="25714ED9"/>
    <w:rsid w:val="257638ED"/>
    <w:rsid w:val="25812575"/>
    <w:rsid w:val="258B55EA"/>
    <w:rsid w:val="258F3092"/>
    <w:rsid w:val="259358AB"/>
    <w:rsid w:val="25983863"/>
    <w:rsid w:val="25A121E1"/>
    <w:rsid w:val="25A42208"/>
    <w:rsid w:val="25A62424"/>
    <w:rsid w:val="25AD64F9"/>
    <w:rsid w:val="25AE12D9"/>
    <w:rsid w:val="25B6018D"/>
    <w:rsid w:val="25C1725E"/>
    <w:rsid w:val="25C7239A"/>
    <w:rsid w:val="25CE3729"/>
    <w:rsid w:val="25D36F91"/>
    <w:rsid w:val="25E062B2"/>
    <w:rsid w:val="25E20F82"/>
    <w:rsid w:val="25E62821"/>
    <w:rsid w:val="25EC2D81"/>
    <w:rsid w:val="25F34F3E"/>
    <w:rsid w:val="26084E8D"/>
    <w:rsid w:val="26193FE6"/>
    <w:rsid w:val="261A687E"/>
    <w:rsid w:val="261E1681"/>
    <w:rsid w:val="2620115E"/>
    <w:rsid w:val="262169DB"/>
    <w:rsid w:val="26221654"/>
    <w:rsid w:val="262B2929"/>
    <w:rsid w:val="26301CEE"/>
    <w:rsid w:val="263C68E5"/>
    <w:rsid w:val="264439EB"/>
    <w:rsid w:val="264D54CC"/>
    <w:rsid w:val="264E29E7"/>
    <w:rsid w:val="26526108"/>
    <w:rsid w:val="265A320F"/>
    <w:rsid w:val="2661634B"/>
    <w:rsid w:val="26661BB3"/>
    <w:rsid w:val="266F0A68"/>
    <w:rsid w:val="26720558"/>
    <w:rsid w:val="2674190D"/>
    <w:rsid w:val="26753BA5"/>
    <w:rsid w:val="26760048"/>
    <w:rsid w:val="26761685"/>
    <w:rsid w:val="267E514F"/>
    <w:rsid w:val="26836AE4"/>
    <w:rsid w:val="26867B60"/>
    <w:rsid w:val="269009DE"/>
    <w:rsid w:val="26A30712"/>
    <w:rsid w:val="26A54C67"/>
    <w:rsid w:val="26C1503C"/>
    <w:rsid w:val="26C568DA"/>
    <w:rsid w:val="26D22DA5"/>
    <w:rsid w:val="26D92385"/>
    <w:rsid w:val="26DB004C"/>
    <w:rsid w:val="26E11086"/>
    <w:rsid w:val="26E50D2A"/>
    <w:rsid w:val="26E543C0"/>
    <w:rsid w:val="26ED57AE"/>
    <w:rsid w:val="26F21DD1"/>
    <w:rsid w:val="26F251F8"/>
    <w:rsid w:val="26F606C4"/>
    <w:rsid w:val="26F87B7E"/>
    <w:rsid w:val="26FE1DEC"/>
    <w:rsid w:val="270140C7"/>
    <w:rsid w:val="270218DC"/>
    <w:rsid w:val="27080982"/>
    <w:rsid w:val="2708322C"/>
    <w:rsid w:val="27102105"/>
    <w:rsid w:val="27135897"/>
    <w:rsid w:val="271B0BF0"/>
    <w:rsid w:val="27280C17"/>
    <w:rsid w:val="27313F6F"/>
    <w:rsid w:val="27315D1D"/>
    <w:rsid w:val="273B094A"/>
    <w:rsid w:val="27430C56"/>
    <w:rsid w:val="27441EF5"/>
    <w:rsid w:val="27472CCD"/>
    <w:rsid w:val="274A5031"/>
    <w:rsid w:val="27534744"/>
    <w:rsid w:val="27541DED"/>
    <w:rsid w:val="275D4D64"/>
    <w:rsid w:val="275F0ADD"/>
    <w:rsid w:val="27677991"/>
    <w:rsid w:val="27693709"/>
    <w:rsid w:val="276F4A98"/>
    <w:rsid w:val="277057A2"/>
    <w:rsid w:val="277B343D"/>
    <w:rsid w:val="278364DA"/>
    <w:rsid w:val="278422F1"/>
    <w:rsid w:val="278C389C"/>
    <w:rsid w:val="278C564A"/>
    <w:rsid w:val="27960276"/>
    <w:rsid w:val="27A74232"/>
    <w:rsid w:val="27B54BAA"/>
    <w:rsid w:val="27B70919"/>
    <w:rsid w:val="27BD5803"/>
    <w:rsid w:val="27BF77CD"/>
    <w:rsid w:val="27C070A1"/>
    <w:rsid w:val="27C22E19"/>
    <w:rsid w:val="27C30231"/>
    <w:rsid w:val="27C60B5C"/>
    <w:rsid w:val="27C721F4"/>
    <w:rsid w:val="27D76283"/>
    <w:rsid w:val="27D77BE7"/>
    <w:rsid w:val="27DD5EA5"/>
    <w:rsid w:val="27E45486"/>
    <w:rsid w:val="27E86671"/>
    <w:rsid w:val="27EE00B2"/>
    <w:rsid w:val="27F32686"/>
    <w:rsid w:val="27FA0805"/>
    <w:rsid w:val="28003A21"/>
    <w:rsid w:val="28041684"/>
    <w:rsid w:val="28101DD7"/>
    <w:rsid w:val="281178FD"/>
    <w:rsid w:val="28126853"/>
    <w:rsid w:val="28216936"/>
    <w:rsid w:val="282835C4"/>
    <w:rsid w:val="282F658A"/>
    <w:rsid w:val="28341F69"/>
    <w:rsid w:val="283852AB"/>
    <w:rsid w:val="28520641"/>
    <w:rsid w:val="285407F5"/>
    <w:rsid w:val="28642123"/>
    <w:rsid w:val="286A4893"/>
    <w:rsid w:val="28722A91"/>
    <w:rsid w:val="287A36F4"/>
    <w:rsid w:val="2884486E"/>
    <w:rsid w:val="28887BBF"/>
    <w:rsid w:val="288C0623"/>
    <w:rsid w:val="28913589"/>
    <w:rsid w:val="289A7535"/>
    <w:rsid w:val="28AA120C"/>
    <w:rsid w:val="28AE012B"/>
    <w:rsid w:val="28B65047"/>
    <w:rsid w:val="28CF1C92"/>
    <w:rsid w:val="28D01566"/>
    <w:rsid w:val="28DD3A60"/>
    <w:rsid w:val="28EC1DCD"/>
    <w:rsid w:val="28F416F8"/>
    <w:rsid w:val="29053906"/>
    <w:rsid w:val="29125B79"/>
    <w:rsid w:val="291A3EBF"/>
    <w:rsid w:val="291B4ED7"/>
    <w:rsid w:val="291E1D04"/>
    <w:rsid w:val="29206EB8"/>
    <w:rsid w:val="29220014"/>
    <w:rsid w:val="29242BE0"/>
    <w:rsid w:val="2926314A"/>
    <w:rsid w:val="292A511A"/>
    <w:rsid w:val="292A6A15"/>
    <w:rsid w:val="29341AF5"/>
    <w:rsid w:val="29373393"/>
    <w:rsid w:val="29387837"/>
    <w:rsid w:val="293E2C47"/>
    <w:rsid w:val="294F2DD3"/>
    <w:rsid w:val="29595666"/>
    <w:rsid w:val="295C2DFA"/>
    <w:rsid w:val="295D729E"/>
    <w:rsid w:val="295F7136"/>
    <w:rsid w:val="29626662"/>
    <w:rsid w:val="296E409E"/>
    <w:rsid w:val="297C7191"/>
    <w:rsid w:val="29874881"/>
    <w:rsid w:val="29891E41"/>
    <w:rsid w:val="2996630C"/>
    <w:rsid w:val="29A30A29"/>
    <w:rsid w:val="29AB625B"/>
    <w:rsid w:val="29AE1023"/>
    <w:rsid w:val="29B33362"/>
    <w:rsid w:val="29B82726"/>
    <w:rsid w:val="29BD1AEA"/>
    <w:rsid w:val="29C7422F"/>
    <w:rsid w:val="29CE5AA6"/>
    <w:rsid w:val="29D3130E"/>
    <w:rsid w:val="29D33359"/>
    <w:rsid w:val="29D44611"/>
    <w:rsid w:val="29D46E34"/>
    <w:rsid w:val="29D84B76"/>
    <w:rsid w:val="29E325E0"/>
    <w:rsid w:val="29E452C9"/>
    <w:rsid w:val="29E51041"/>
    <w:rsid w:val="29E90B31"/>
    <w:rsid w:val="29EE6699"/>
    <w:rsid w:val="29F574D6"/>
    <w:rsid w:val="29F86FC6"/>
    <w:rsid w:val="29FC6AB7"/>
    <w:rsid w:val="2A005E7B"/>
    <w:rsid w:val="2A092F82"/>
    <w:rsid w:val="2A1C0F07"/>
    <w:rsid w:val="2A241B69"/>
    <w:rsid w:val="2A3A138D"/>
    <w:rsid w:val="2A452503"/>
    <w:rsid w:val="2A5F0DF4"/>
    <w:rsid w:val="2A612DBE"/>
    <w:rsid w:val="2A635327"/>
    <w:rsid w:val="2A64465C"/>
    <w:rsid w:val="2A647C1A"/>
    <w:rsid w:val="2A6559AA"/>
    <w:rsid w:val="2A6818A2"/>
    <w:rsid w:val="2A6C52BE"/>
    <w:rsid w:val="2A826297"/>
    <w:rsid w:val="2A8D5961"/>
    <w:rsid w:val="2A952A67"/>
    <w:rsid w:val="2AAB2C02"/>
    <w:rsid w:val="2AB0164F"/>
    <w:rsid w:val="2AB23619"/>
    <w:rsid w:val="2AB24BA2"/>
    <w:rsid w:val="2ABA43FC"/>
    <w:rsid w:val="2ABF7AE4"/>
    <w:rsid w:val="2ADB518D"/>
    <w:rsid w:val="2AE35581"/>
    <w:rsid w:val="2AE8703B"/>
    <w:rsid w:val="2AE87B97"/>
    <w:rsid w:val="2AF3311B"/>
    <w:rsid w:val="2AF33BEA"/>
    <w:rsid w:val="2AF7727E"/>
    <w:rsid w:val="2AF94DA4"/>
    <w:rsid w:val="2B0100FD"/>
    <w:rsid w:val="2B013C59"/>
    <w:rsid w:val="2B084FE7"/>
    <w:rsid w:val="2B0D0850"/>
    <w:rsid w:val="2B17347C"/>
    <w:rsid w:val="2B230073"/>
    <w:rsid w:val="2B2A31B0"/>
    <w:rsid w:val="2B2B0BC1"/>
    <w:rsid w:val="2B361B54"/>
    <w:rsid w:val="2B404781"/>
    <w:rsid w:val="2B4F70BA"/>
    <w:rsid w:val="2B532D7F"/>
    <w:rsid w:val="2B5841C1"/>
    <w:rsid w:val="2B632EE8"/>
    <w:rsid w:val="2B65068C"/>
    <w:rsid w:val="2B762899"/>
    <w:rsid w:val="2B7F4745"/>
    <w:rsid w:val="2B856638"/>
    <w:rsid w:val="2B885BD7"/>
    <w:rsid w:val="2B8A6344"/>
    <w:rsid w:val="2B8E1990"/>
    <w:rsid w:val="2B9176D3"/>
    <w:rsid w:val="2B940F71"/>
    <w:rsid w:val="2B98280F"/>
    <w:rsid w:val="2B9B40AD"/>
    <w:rsid w:val="2B9B5E5B"/>
    <w:rsid w:val="2BA57D3C"/>
    <w:rsid w:val="2BA61030"/>
    <w:rsid w:val="2BA936A8"/>
    <w:rsid w:val="2BAC2D95"/>
    <w:rsid w:val="2BB34CF0"/>
    <w:rsid w:val="2BB63694"/>
    <w:rsid w:val="2BB92785"/>
    <w:rsid w:val="2BB94DF0"/>
    <w:rsid w:val="2BC272BF"/>
    <w:rsid w:val="2BCA6741"/>
    <w:rsid w:val="2BD96984"/>
    <w:rsid w:val="2BE62A33"/>
    <w:rsid w:val="2BEC6A55"/>
    <w:rsid w:val="2BEE68D3"/>
    <w:rsid w:val="2BF0264B"/>
    <w:rsid w:val="2BF343F3"/>
    <w:rsid w:val="2BF5596C"/>
    <w:rsid w:val="2BFC0FF0"/>
    <w:rsid w:val="2C0559CB"/>
    <w:rsid w:val="2C10731F"/>
    <w:rsid w:val="2C1856FE"/>
    <w:rsid w:val="2C1A51FE"/>
    <w:rsid w:val="2C234FD5"/>
    <w:rsid w:val="2C315A5A"/>
    <w:rsid w:val="2C42277B"/>
    <w:rsid w:val="2C464019"/>
    <w:rsid w:val="2C471B3F"/>
    <w:rsid w:val="2C4B1C25"/>
    <w:rsid w:val="2C526E62"/>
    <w:rsid w:val="2C5524AE"/>
    <w:rsid w:val="2C5D75B5"/>
    <w:rsid w:val="2C602C01"/>
    <w:rsid w:val="2C640943"/>
    <w:rsid w:val="2C6609A6"/>
    <w:rsid w:val="2C684BE5"/>
    <w:rsid w:val="2C723060"/>
    <w:rsid w:val="2C73502A"/>
    <w:rsid w:val="2C780B24"/>
    <w:rsid w:val="2C8417A1"/>
    <w:rsid w:val="2C884632"/>
    <w:rsid w:val="2C9874BC"/>
    <w:rsid w:val="2C9C1E8B"/>
    <w:rsid w:val="2CA13945"/>
    <w:rsid w:val="2CA3146B"/>
    <w:rsid w:val="2CA43435"/>
    <w:rsid w:val="2CA67F3B"/>
    <w:rsid w:val="2CA84CD4"/>
    <w:rsid w:val="2CAC416A"/>
    <w:rsid w:val="2CAF6062"/>
    <w:rsid w:val="2CB01DDA"/>
    <w:rsid w:val="2CB27900"/>
    <w:rsid w:val="2CB74F17"/>
    <w:rsid w:val="2CC3566A"/>
    <w:rsid w:val="2CD61CA0"/>
    <w:rsid w:val="2CDD4252"/>
    <w:rsid w:val="2CE35D0C"/>
    <w:rsid w:val="2CE55E05"/>
    <w:rsid w:val="2CE850D0"/>
    <w:rsid w:val="2CF021D7"/>
    <w:rsid w:val="2CFC5935"/>
    <w:rsid w:val="2D02690F"/>
    <w:rsid w:val="2D044742"/>
    <w:rsid w:val="2D067C4C"/>
    <w:rsid w:val="2D11433C"/>
    <w:rsid w:val="2D2C20F4"/>
    <w:rsid w:val="2D3255F9"/>
    <w:rsid w:val="2D372553"/>
    <w:rsid w:val="2D393B7E"/>
    <w:rsid w:val="2D3A3563"/>
    <w:rsid w:val="2D3B78F6"/>
    <w:rsid w:val="2D3C541C"/>
    <w:rsid w:val="2D3C65BD"/>
    <w:rsid w:val="2D4744ED"/>
    <w:rsid w:val="2D477AAE"/>
    <w:rsid w:val="2D517119"/>
    <w:rsid w:val="2D586532"/>
    <w:rsid w:val="2D597D7C"/>
    <w:rsid w:val="2D5B633D"/>
    <w:rsid w:val="2D76092E"/>
    <w:rsid w:val="2D7B7CF2"/>
    <w:rsid w:val="2D7E1439"/>
    <w:rsid w:val="2D83304B"/>
    <w:rsid w:val="2D856DA1"/>
    <w:rsid w:val="2D8A6187"/>
    <w:rsid w:val="2D8D7A26"/>
    <w:rsid w:val="2D914AEC"/>
    <w:rsid w:val="2D9708A4"/>
    <w:rsid w:val="2D9E56F5"/>
    <w:rsid w:val="2D9F261B"/>
    <w:rsid w:val="2DA07759"/>
    <w:rsid w:val="2DA105FB"/>
    <w:rsid w:val="2DA134D1"/>
    <w:rsid w:val="2DA57465"/>
    <w:rsid w:val="2DB527F1"/>
    <w:rsid w:val="2DB63EB1"/>
    <w:rsid w:val="2DBA2F11"/>
    <w:rsid w:val="2DBE4083"/>
    <w:rsid w:val="2DC145E7"/>
    <w:rsid w:val="2DED4667"/>
    <w:rsid w:val="2DF83A39"/>
    <w:rsid w:val="2E00644A"/>
    <w:rsid w:val="2E0F16E3"/>
    <w:rsid w:val="2E0F7170"/>
    <w:rsid w:val="2E100D83"/>
    <w:rsid w:val="2E162111"/>
    <w:rsid w:val="2E183793"/>
    <w:rsid w:val="2E1A575D"/>
    <w:rsid w:val="2E255EB0"/>
    <w:rsid w:val="2E382087"/>
    <w:rsid w:val="2E4647A4"/>
    <w:rsid w:val="2E4865B6"/>
    <w:rsid w:val="2E522915"/>
    <w:rsid w:val="2E667F96"/>
    <w:rsid w:val="2E6E3CFB"/>
    <w:rsid w:val="2E76495E"/>
    <w:rsid w:val="2E8226AB"/>
    <w:rsid w:val="2E893DE3"/>
    <w:rsid w:val="2E982B26"/>
    <w:rsid w:val="2E9A66E0"/>
    <w:rsid w:val="2E9C077D"/>
    <w:rsid w:val="2E9F315C"/>
    <w:rsid w:val="2EA15E7F"/>
    <w:rsid w:val="2EA74B17"/>
    <w:rsid w:val="2EA8720D"/>
    <w:rsid w:val="2EB0526D"/>
    <w:rsid w:val="2EB05384"/>
    <w:rsid w:val="2EB37960"/>
    <w:rsid w:val="2EBF4557"/>
    <w:rsid w:val="2ED27DE6"/>
    <w:rsid w:val="2ED973C6"/>
    <w:rsid w:val="2EF74361"/>
    <w:rsid w:val="2EF83CA8"/>
    <w:rsid w:val="2F000DF7"/>
    <w:rsid w:val="2F0106CB"/>
    <w:rsid w:val="2F1C5505"/>
    <w:rsid w:val="2F250479"/>
    <w:rsid w:val="2F2820FC"/>
    <w:rsid w:val="2F2C0CE5"/>
    <w:rsid w:val="2F2D14C0"/>
    <w:rsid w:val="2F320885"/>
    <w:rsid w:val="2F340AA1"/>
    <w:rsid w:val="2F407445"/>
    <w:rsid w:val="2F4B1ED6"/>
    <w:rsid w:val="2F57478F"/>
    <w:rsid w:val="2F587D94"/>
    <w:rsid w:val="2F587F49"/>
    <w:rsid w:val="2F5B38F4"/>
    <w:rsid w:val="2F5B602D"/>
    <w:rsid w:val="2F5C1DA5"/>
    <w:rsid w:val="2F6A2714"/>
    <w:rsid w:val="2F6D265B"/>
    <w:rsid w:val="2F6F7D2B"/>
    <w:rsid w:val="2F745341"/>
    <w:rsid w:val="2F8135BA"/>
    <w:rsid w:val="2F8209AE"/>
    <w:rsid w:val="2F8310E0"/>
    <w:rsid w:val="2F835584"/>
    <w:rsid w:val="2F9028FF"/>
    <w:rsid w:val="2F9037FD"/>
    <w:rsid w:val="2F94153F"/>
    <w:rsid w:val="2FA07EE4"/>
    <w:rsid w:val="2FA20F35"/>
    <w:rsid w:val="2FBC45F2"/>
    <w:rsid w:val="2FC040E2"/>
    <w:rsid w:val="2FC11C09"/>
    <w:rsid w:val="2FC55B9D"/>
    <w:rsid w:val="2FD065E6"/>
    <w:rsid w:val="2FD656B4"/>
    <w:rsid w:val="2FD96870"/>
    <w:rsid w:val="2FDB2CCA"/>
    <w:rsid w:val="2FDD4C94"/>
    <w:rsid w:val="2FEE6B43"/>
    <w:rsid w:val="2FF10740"/>
    <w:rsid w:val="2FFB336C"/>
    <w:rsid w:val="30110DE2"/>
    <w:rsid w:val="3019151A"/>
    <w:rsid w:val="30192FED"/>
    <w:rsid w:val="3029612C"/>
    <w:rsid w:val="30360848"/>
    <w:rsid w:val="30580BC9"/>
    <w:rsid w:val="30634407"/>
    <w:rsid w:val="30656A38"/>
    <w:rsid w:val="306929CC"/>
    <w:rsid w:val="306A74E7"/>
    <w:rsid w:val="306C3C49"/>
    <w:rsid w:val="307146F9"/>
    <w:rsid w:val="30823A8E"/>
    <w:rsid w:val="30881B66"/>
    <w:rsid w:val="308906E2"/>
    <w:rsid w:val="308C66BA"/>
    <w:rsid w:val="30963095"/>
    <w:rsid w:val="30986E0D"/>
    <w:rsid w:val="30A25EDE"/>
    <w:rsid w:val="30B023A9"/>
    <w:rsid w:val="30B8125D"/>
    <w:rsid w:val="30BD48BC"/>
    <w:rsid w:val="30C7321B"/>
    <w:rsid w:val="30CC4D09"/>
    <w:rsid w:val="30CC6AB7"/>
    <w:rsid w:val="30CF296B"/>
    <w:rsid w:val="30D2231F"/>
    <w:rsid w:val="30D85A35"/>
    <w:rsid w:val="30DA5678"/>
    <w:rsid w:val="30DB023F"/>
    <w:rsid w:val="30F42C13"/>
    <w:rsid w:val="310C5E46"/>
    <w:rsid w:val="310D15A9"/>
    <w:rsid w:val="31104BF6"/>
    <w:rsid w:val="31124E12"/>
    <w:rsid w:val="31127217"/>
    <w:rsid w:val="31156E40"/>
    <w:rsid w:val="311E2ED7"/>
    <w:rsid w:val="31232B7B"/>
    <w:rsid w:val="312A28E8"/>
    <w:rsid w:val="312E2CFC"/>
    <w:rsid w:val="312F3586"/>
    <w:rsid w:val="31374878"/>
    <w:rsid w:val="313F0558"/>
    <w:rsid w:val="314350F7"/>
    <w:rsid w:val="31442AF1"/>
    <w:rsid w:val="31476781"/>
    <w:rsid w:val="31490245"/>
    <w:rsid w:val="31545C7D"/>
    <w:rsid w:val="315619EE"/>
    <w:rsid w:val="315B2428"/>
    <w:rsid w:val="315C449C"/>
    <w:rsid w:val="315D7907"/>
    <w:rsid w:val="3163566D"/>
    <w:rsid w:val="316B62D0"/>
    <w:rsid w:val="31795E1E"/>
    <w:rsid w:val="317B24CF"/>
    <w:rsid w:val="31905A16"/>
    <w:rsid w:val="319244CF"/>
    <w:rsid w:val="319B6BB5"/>
    <w:rsid w:val="319C46DB"/>
    <w:rsid w:val="319D6E9C"/>
    <w:rsid w:val="31AB491E"/>
    <w:rsid w:val="31B53B6A"/>
    <w:rsid w:val="31B82709"/>
    <w:rsid w:val="31C12394"/>
    <w:rsid w:val="31C61758"/>
    <w:rsid w:val="31CC3212"/>
    <w:rsid w:val="31D05482"/>
    <w:rsid w:val="31D367ED"/>
    <w:rsid w:val="31E06CBE"/>
    <w:rsid w:val="31E417FE"/>
    <w:rsid w:val="31E77834"/>
    <w:rsid w:val="31EA18EB"/>
    <w:rsid w:val="31F52C3B"/>
    <w:rsid w:val="31F55564"/>
    <w:rsid w:val="320C1861"/>
    <w:rsid w:val="320F1351"/>
    <w:rsid w:val="32116E77"/>
    <w:rsid w:val="321C3954"/>
    <w:rsid w:val="321E1594"/>
    <w:rsid w:val="322748ED"/>
    <w:rsid w:val="32342B66"/>
    <w:rsid w:val="323808A8"/>
    <w:rsid w:val="32400B34"/>
    <w:rsid w:val="32463916"/>
    <w:rsid w:val="32472899"/>
    <w:rsid w:val="3267118D"/>
    <w:rsid w:val="32700042"/>
    <w:rsid w:val="32786EF6"/>
    <w:rsid w:val="327C5558"/>
    <w:rsid w:val="328A61AE"/>
    <w:rsid w:val="328D12A4"/>
    <w:rsid w:val="32987598"/>
    <w:rsid w:val="329E6876"/>
    <w:rsid w:val="329F0927"/>
    <w:rsid w:val="32BB6DE3"/>
    <w:rsid w:val="32BC3287"/>
    <w:rsid w:val="32C01769"/>
    <w:rsid w:val="32CD6C36"/>
    <w:rsid w:val="32CE66D5"/>
    <w:rsid w:val="32D0606E"/>
    <w:rsid w:val="32D83E39"/>
    <w:rsid w:val="32DC70E0"/>
    <w:rsid w:val="32DD4FAB"/>
    <w:rsid w:val="32DE1609"/>
    <w:rsid w:val="32E41DED"/>
    <w:rsid w:val="32FA0C59"/>
    <w:rsid w:val="32FF4F22"/>
    <w:rsid w:val="33061641"/>
    <w:rsid w:val="330B1B18"/>
    <w:rsid w:val="33134E71"/>
    <w:rsid w:val="331C7D35"/>
    <w:rsid w:val="332633D4"/>
    <w:rsid w:val="33274478"/>
    <w:rsid w:val="33294694"/>
    <w:rsid w:val="332D7CE1"/>
    <w:rsid w:val="333015F2"/>
    <w:rsid w:val="33305A23"/>
    <w:rsid w:val="3341553A"/>
    <w:rsid w:val="334B6320"/>
    <w:rsid w:val="3351308C"/>
    <w:rsid w:val="33525999"/>
    <w:rsid w:val="335F1E64"/>
    <w:rsid w:val="336211B6"/>
    <w:rsid w:val="33634ED9"/>
    <w:rsid w:val="336E6163"/>
    <w:rsid w:val="336F654B"/>
    <w:rsid w:val="33707BCD"/>
    <w:rsid w:val="33745910"/>
    <w:rsid w:val="33764CAD"/>
    <w:rsid w:val="33792F26"/>
    <w:rsid w:val="337D00C3"/>
    <w:rsid w:val="337E678E"/>
    <w:rsid w:val="338673F1"/>
    <w:rsid w:val="33A51F6D"/>
    <w:rsid w:val="33AB1C16"/>
    <w:rsid w:val="33AC20D1"/>
    <w:rsid w:val="33BC2E13"/>
    <w:rsid w:val="33C57F19"/>
    <w:rsid w:val="33C61EE3"/>
    <w:rsid w:val="33C64EFA"/>
    <w:rsid w:val="33C854E9"/>
    <w:rsid w:val="33CD6DCE"/>
    <w:rsid w:val="33D80A95"/>
    <w:rsid w:val="33D934D4"/>
    <w:rsid w:val="33DC1707"/>
    <w:rsid w:val="33E344DA"/>
    <w:rsid w:val="33E74334"/>
    <w:rsid w:val="33FE2F6A"/>
    <w:rsid w:val="3407536A"/>
    <w:rsid w:val="340B78F6"/>
    <w:rsid w:val="340E07E5"/>
    <w:rsid w:val="3417273F"/>
    <w:rsid w:val="342235BE"/>
    <w:rsid w:val="34235BF7"/>
    <w:rsid w:val="34256C0A"/>
    <w:rsid w:val="342B1D46"/>
    <w:rsid w:val="34350021"/>
    <w:rsid w:val="34367069"/>
    <w:rsid w:val="343B642D"/>
    <w:rsid w:val="343F712F"/>
    <w:rsid w:val="344057F2"/>
    <w:rsid w:val="344572AC"/>
    <w:rsid w:val="345033AD"/>
    <w:rsid w:val="34655258"/>
    <w:rsid w:val="34692F9B"/>
    <w:rsid w:val="346F60D7"/>
    <w:rsid w:val="34784F8C"/>
    <w:rsid w:val="347B7BE4"/>
    <w:rsid w:val="34806536"/>
    <w:rsid w:val="348C4EDB"/>
    <w:rsid w:val="34990155"/>
    <w:rsid w:val="349D1E22"/>
    <w:rsid w:val="34A0046F"/>
    <w:rsid w:val="34A43FD3"/>
    <w:rsid w:val="34B65AB4"/>
    <w:rsid w:val="34BC2B93"/>
    <w:rsid w:val="34BD32E6"/>
    <w:rsid w:val="34BF2BBB"/>
    <w:rsid w:val="34C60B07"/>
    <w:rsid w:val="34C71A6F"/>
    <w:rsid w:val="34C96691"/>
    <w:rsid w:val="34E0633F"/>
    <w:rsid w:val="34E645EB"/>
    <w:rsid w:val="34EB1C02"/>
    <w:rsid w:val="34F701CE"/>
    <w:rsid w:val="350155F3"/>
    <w:rsid w:val="35021C06"/>
    <w:rsid w:val="35092088"/>
    <w:rsid w:val="35101668"/>
    <w:rsid w:val="352B2DCA"/>
    <w:rsid w:val="352E7D40"/>
    <w:rsid w:val="353C7168"/>
    <w:rsid w:val="353F2671"/>
    <w:rsid w:val="354619ED"/>
    <w:rsid w:val="354C64FD"/>
    <w:rsid w:val="354D51B9"/>
    <w:rsid w:val="35611505"/>
    <w:rsid w:val="35613C72"/>
    <w:rsid w:val="35635C3C"/>
    <w:rsid w:val="35661288"/>
    <w:rsid w:val="35690D78"/>
    <w:rsid w:val="356D5162"/>
    <w:rsid w:val="35702107"/>
    <w:rsid w:val="35711A61"/>
    <w:rsid w:val="358C5FA8"/>
    <w:rsid w:val="358F6A42"/>
    <w:rsid w:val="359613EA"/>
    <w:rsid w:val="35995577"/>
    <w:rsid w:val="35A40002"/>
    <w:rsid w:val="35A967E5"/>
    <w:rsid w:val="35AA676D"/>
    <w:rsid w:val="35AF0E81"/>
    <w:rsid w:val="35B027F5"/>
    <w:rsid w:val="35BF4381"/>
    <w:rsid w:val="35C10BB4"/>
    <w:rsid w:val="35C15DF1"/>
    <w:rsid w:val="35D07049"/>
    <w:rsid w:val="35DB44BC"/>
    <w:rsid w:val="35E86141"/>
    <w:rsid w:val="35E900BB"/>
    <w:rsid w:val="35EA010B"/>
    <w:rsid w:val="35EB79DF"/>
    <w:rsid w:val="35EF5721"/>
    <w:rsid w:val="35F57666"/>
    <w:rsid w:val="36074A7F"/>
    <w:rsid w:val="360B6010"/>
    <w:rsid w:val="36145188"/>
    <w:rsid w:val="36176C07"/>
    <w:rsid w:val="3619010D"/>
    <w:rsid w:val="361909F0"/>
    <w:rsid w:val="361E6007"/>
    <w:rsid w:val="362C24D2"/>
    <w:rsid w:val="362D7A1B"/>
    <w:rsid w:val="36310DC8"/>
    <w:rsid w:val="36352F10"/>
    <w:rsid w:val="36380CE0"/>
    <w:rsid w:val="363B26C5"/>
    <w:rsid w:val="364A2958"/>
    <w:rsid w:val="364E54E7"/>
    <w:rsid w:val="365732C7"/>
    <w:rsid w:val="365C7F9E"/>
    <w:rsid w:val="365D53C4"/>
    <w:rsid w:val="36625EF3"/>
    <w:rsid w:val="36636652"/>
    <w:rsid w:val="366B66BA"/>
    <w:rsid w:val="366E2AEA"/>
    <w:rsid w:val="366F0610"/>
    <w:rsid w:val="368636C2"/>
    <w:rsid w:val="368F6E62"/>
    <w:rsid w:val="36923549"/>
    <w:rsid w:val="369260AD"/>
    <w:rsid w:val="36981915"/>
    <w:rsid w:val="36985DB9"/>
    <w:rsid w:val="36987B67"/>
    <w:rsid w:val="369E2CA4"/>
    <w:rsid w:val="36A75FFC"/>
    <w:rsid w:val="36AA33F6"/>
    <w:rsid w:val="36B75FBF"/>
    <w:rsid w:val="36B85B13"/>
    <w:rsid w:val="36BB532C"/>
    <w:rsid w:val="36BD0C45"/>
    <w:rsid w:val="36BD312A"/>
    <w:rsid w:val="36C037BF"/>
    <w:rsid w:val="36C721FA"/>
    <w:rsid w:val="36D861B6"/>
    <w:rsid w:val="36DD0212"/>
    <w:rsid w:val="36DF562B"/>
    <w:rsid w:val="36E36908"/>
    <w:rsid w:val="36E64758"/>
    <w:rsid w:val="36EC1C61"/>
    <w:rsid w:val="36ED633C"/>
    <w:rsid w:val="36F54FB9"/>
    <w:rsid w:val="36F80606"/>
    <w:rsid w:val="36FB1EA4"/>
    <w:rsid w:val="370C40B1"/>
    <w:rsid w:val="37113475"/>
    <w:rsid w:val="371A057C"/>
    <w:rsid w:val="371F5B92"/>
    <w:rsid w:val="37243196"/>
    <w:rsid w:val="372B09DB"/>
    <w:rsid w:val="37335F00"/>
    <w:rsid w:val="37422E24"/>
    <w:rsid w:val="37441A9D"/>
    <w:rsid w:val="374478EB"/>
    <w:rsid w:val="374750E9"/>
    <w:rsid w:val="374E6478"/>
    <w:rsid w:val="37525DED"/>
    <w:rsid w:val="375A3846"/>
    <w:rsid w:val="37677539"/>
    <w:rsid w:val="37712166"/>
    <w:rsid w:val="377931ED"/>
    <w:rsid w:val="37803675"/>
    <w:rsid w:val="3784692F"/>
    <w:rsid w:val="379E11AD"/>
    <w:rsid w:val="37A60062"/>
    <w:rsid w:val="37A91900"/>
    <w:rsid w:val="37AC75E6"/>
    <w:rsid w:val="37AF4B98"/>
    <w:rsid w:val="37B20750"/>
    <w:rsid w:val="37BA58BB"/>
    <w:rsid w:val="37BF1123"/>
    <w:rsid w:val="37D20E57"/>
    <w:rsid w:val="37DE77FC"/>
    <w:rsid w:val="37E00298"/>
    <w:rsid w:val="37E4576F"/>
    <w:rsid w:val="37EE37B7"/>
    <w:rsid w:val="37F9283D"/>
    <w:rsid w:val="37FA215C"/>
    <w:rsid w:val="37FF59C4"/>
    <w:rsid w:val="3807783E"/>
    <w:rsid w:val="38137C9C"/>
    <w:rsid w:val="38393CBE"/>
    <w:rsid w:val="38523D46"/>
    <w:rsid w:val="385A06DD"/>
    <w:rsid w:val="385C6B03"/>
    <w:rsid w:val="38661E8B"/>
    <w:rsid w:val="386F1D3A"/>
    <w:rsid w:val="386F48F8"/>
    <w:rsid w:val="38740160"/>
    <w:rsid w:val="38877D27"/>
    <w:rsid w:val="38883C0B"/>
    <w:rsid w:val="388A1D3C"/>
    <w:rsid w:val="388A3C94"/>
    <w:rsid w:val="38910D12"/>
    <w:rsid w:val="38912AC0"/>
    <w:rsid w:val="38934A8A"/>
    <w:rsid w:val="38975BFC"/>
    <w:rsid w:val="3898573E"/>
    <w:rsid w:val="38AB7897"/>
    <w:rsid w:val="38AD53FD"/>
    <w:rsid w:val="38B302F9"/>
    <w:rsid w:val="38C43790"/>
    <w:rsid w:val="38C62584"/>
    <w:rsid w:val="38C84DE8"/>
    <w:rsid w:val="38C87205"/>
    <w:rsid w:val="38C96829"/>
    <w:rsid w:val="38CF35E8"/>
    <w:rsid w:val="38D14AD5"/>
    <w:rsid w:val="38DD3F57"/>
    <w:rsid w:val="38DD7AB3"/>
    <w:rsid w:val="38E1480B"/>
    <w:rsid w:val="38E30E42"/>
    <w:rsid w:val="38E70932"/>
    <w:rsid w:val="38EF77E6"/>
    <w:rsid w:val="38F10EAC"/>
    <w:rsid w:val="38F12CD3"/>
    <w:rsid w:val="38F8287B"/>
    <w:rsid w:val="38F94775"/>
    <w:rsid w:val="38FA68B7"/>
    <w:rsid w:val="38FF3ECD"/>
    <w:rsid w:val="39024999"/>
    <w:rsid w:val="390F6C68"/>
    <w:rsid w:val="391A0D07"/>
    <w:rsid w:val="392329E5"/>
    <w:rsid w:val="392971ED"/>
    <w:rsid w:val="392C27E9"/>
    <w:rsid w:val="39325651"/>
    <w:rsid w:val="393B17E1"/>
    <w:rsid w:val="394144E6"/>
    <w:rsid w:val="39480580"/>
    <w:rsid w:val="394B7113"/>
    <w:rsid w:val="394E6C03"/>
    <w:rsid w:val="395104A1"/>
    <w:rsid w:val="39551D3F"/>
    <w:rsid w:val="395A55A8"/>
    <w:rsid w:val="395D0BF4"/>
    <w:rsid w:val="39732C58"/>
    <w:rsid w:val="3973697B"/>
    <w:rsid w:val="39755F3E"/>
    <w:rsid w:val="397855F0"/>
    <w:rsid w:val="397A17A6"/>
    <w:rsid w:val="397A39ED"/>
    <w:rsid w:val="39812B34"/>
    <w:rsid w:val="39871519"/>
    <w:rsid w:val="398919E9"/>
    <w:rsid w:val="398B5761"/>
    <w:rsid w:val="398C3287"/>
    <w:rsid w:val="3995038E"/>
    <w:rsid w:val="399A7CBE"/>
    <w:rsid w:val="399F2025"/>
    <w:rsid w:val="39A04C8F"/>
    <w:rsid w:val="39A04EA6"/>
    <w:rsid w:val="39A24209"/>
    <w:rsid w:val="39AB7BB1"/>
    <w:rsid w:val="39B369F1"/>
    <w:rsid w:val="39BB1246"/>
    <w:rsid w:val="39BB1816"/>
    <w:rsid w:val="39C66399"/>
    <w:rsid w:val="39DB013C"/>
    <w:rsid w:val="39E9751C"/>
    <w:rsid w:val="39F257E0"/>
    <w:rsid w:val="39FA30B1"/>
    <w:rsid w:val="39FF3A59"/>
    <w:rsid w:val="3A0349B2"/>
    <w:rsid w:val="3A0379ED"/>
    <w:rsid w:val="3A091B1B"/>
    <w:rsid w:val="3A0B0650"/>
    <w:rsid w:val="3A10210A"/>
    <w:rsid w:val="3A1F5EA9"/>
    <w:rsid w:val="3A20521B"/>
    <w:rsid w:val="3A2160C5"/>
    <w:rsid w:val="3A282FB0"/>
    <w:rsid w:val="3A2833D9"/>
    <w:rsid w:val="3A2B2AA0"/>
    <w:rsid w:val="3A3104E9"/>
    <w:rsid w:val="3A384C4B"/>
    <w:rsid w:val="3A396F6B"/>
    <w:rsid w:val="3A4122C4"/>
    <w:rsid w:val="3A427935"/>
    <w:rsid w:val="3A4B2127"/>
    <w:rsid w:val="3A550FAE"/>
    <w:rsid w:val="3A5F52FE"/>
    <w:rsid w:val="3A60099C"/>
    <w:rsid w:val="3A61040D"/>
    <w:rsid w:val="3A661D2A"/>
    <w:rsid w:val="3A6A35C8"/>
    <w:rsid w:val="3A6B7341"/>
    <w:rsid w:val="3A6C4FEA"/>
    <w:rsid w:val="3A704957"/>
    <w:rsid w:val="3A7555E8"/>
    <w:rsid w:val="3A7A7612"/>
    <w:rsid w:val="3A7F2907"/>
    <w:rsid w:val="3A856531"/>
    <w:rsid w:val="3A866326"/>
    <w:rsid w:val="3A872856"/>
    <w:rsid w:val="3A8F05FA"/>
    <w:rsid w:val="3A920D71"/>
    <w:rsid w:val="3A951E4A"/>
    <w:rsid w:val="3A9629E0"/>
    <w:rsid w:val="3AA111E5"/>
    <w:rsid w:val="3AAC1E33"/>
    <w:rsid w:val="3AB02FA5"/>
    <w:rsid w:val="3AB72586"/>
    <w:rsid w:val="3AB8487D"/>
    <w:rsid w:val="3AC47237"/>
    <w:rsid w:val="3ACD0182"/>
    <w:rsid w:val="3AD2116E"/>
    <w:rsid w:val="3AD4138A"/>
    <w:rsid w:val="3AD71756"/>
    <w:rsid w:val="3ADE4A86"/>
    <w:rsid w:val="3AE164A0"/>
    <w:rsid w:val="3AE96BE3"/>
    <w:rsid w:val="3AEF1277"/>
    <w:rsid w:val="3AF86E26"/>
    <w:rsid w:val="3B0139B4"/>
    <w:rsid w:val="3B07350D"/>
    <w:rsid w:val="3B091033"/>
    <w:rsid w:val="3B141B02"/>
    <w:rsid w:val="3B157675"/>
    <w:rsid w:val="3B194FEF"/>
    <w:rsid w:val="3B1A4D04"/>
    <w:rsid w:val="3B223EA3"/>
    <w:rsid w:val="3B23087F"/>
    <w:rsid w:val="3B281BEF"/>
    <w:rsid w:val="3B295232"/>
    <w:rsid w:val="3B3763D1"/>
    <w:rsid w:val="3B381919"/>
    <w:rsid w:val="3B3A743F"/>
    <w:rsid w:val="3B5F50F7"/>
    <w:rsid w:val="3B707EB1"/>
    <w:rsid w:val="3B7B1805"/>
    <w:rsid w:val="3B866229"/>
    <w:rsid w:val="3B897EE7"/>
    <w:rsid w:val="3B9052B1"/>
    <w:rsid w:val="3BB15227"/>
    <w:rsid w:val="3BBB5E21"/>
    <w:rsid w:val="3BC84D65"/>
    <w:rsid w:val="3BCB0097"/>
    <w:rsid w:val="3BCE5DD9"/>
    <w:rsid w:val="3BD553B9"/>
    <w:rsid w:val="3BD74C8E"/>
    <w:rsid w:val="3BDA6648"/>
    <w:rsid w:val="3BDB07BA"/>
    <w:rsid w:val="3BDD14DC"/>
    <w:rsid w:val="3BE61375"/>
    <w:rsid w:val="3BE900F6"/>
    <w:rsid w:val="3BF1132F"/>
    <w:rsid w:val="3BF84B53"/>
    <w:rsid w:val="3BFE6198"/>
    <w:rsid w:val="3C0C42A9"/>
    <w:rsid w:val="3C0D06AF"/>
    <w:rsid w:val="3C1078F1"/>
    <w:rsid w:val="3C123F18"/>
    <w:rsid w:val="3C153A08"/>
    <w:rsid w:val="3C172AFD"/>
    <w:rsid w:val="3C1D1103"/>
    <w:rsid w:val="3C1E0B0E"/>
    <w:rsid w:val="3C241E9D"/>
    <w:rsid w:val="3C297AE3"/>
    <w:rsid w:val="3C2F6E1E"/>
    <w:rsid w:val="3C301340"/>
    <w:rsid w:val="3C3218D4"/>
    <w:rsid w:val="3C340332"/>
    <w:rsid w:val="3C4D4F50"/>
    <w:rsid w:val="3C4F64BA"/>
    <w:rsid w:val="3C6A55BE"/>
    <w:rsid w:val="3C7544A7"/>
    <w:rsid w:val="3C7737DC"/>
    <w:rsid w:val="3C85293C"/>
    <w:rsid w:val="3C897F0F"/>
    <w:rsid w:val="3C8B5481"/>
    <w:rsid w:val="3C9A4F77"/>
    <w:rsid w:val="3CA001E9"/>
    <w:rsid w:val="3CA54D8C"/>
    <w:rsid w:val="3CAD3B54"/>
    <w:rsid w:val="3CC01321"/>
    <w:rsid w:val="3CC33464"/>
    <w:rsid w:val="3CC35212"/>
    <w:rsid w:val="3CC72F54"/>
    <w:rsid w:val="3CCA65A0"/>
    <w:rsid w:val="3CD016DD"/>
    <w:rsid w:val="3CD25455"/>
    <w:rsid w:val="3CD77E18"/>
    <w:rsid w:val="3CD94A35"/>
    <w:rsid w:val="3CDA245A"/>
    <w:rsid w:val="3CE04016"/>
    <w:rsid w:val="3CE55274"/>
    <w:rsid w:val="3CE77EC1"/>
    <w:rsid w:val="3CF87782"/>
    <w:rsid w:val="3CFD4BC8"/>
    <w:rsid w:val="3CFE364B"/>
    <w:rsid w:val="3D0433A8"/>
    <w:rsid w:val="3D1C4EFB"/>
    <w:rsid w:val="3D1E06B7"/>
    <w:rsid w:val="3D1F64DB"/>
    <w:rsid w:val="3D314198"/>
    <w:rsid w:val="3D360C29"/>
    <w:rsid w:val="3D3D4D24"/>
    <w:rsid w:val="3D4943FD"/>
    <w:rsid w:val="3D4A76E1"/>
    <w:rsid w:val="3D536596"/>
    <w:rsid w:val="3D5E4535"/>
    <w:rsid w:val="3D614B42"/>
    <w:rsid w:val="3D65276D"/>
    <w:rsid w:val="3D6A1B31"/>
    <w:rsid w:val="3D6A3202"/>
    <w:rsid w:val="3D6E0C3B"/>
    <w:rsid w:val="3D6F7BF9"/>
    <w:rsid w:val="3D7A6218"/>
    <w:rsid w:val="3D8276DD"/>
    <w:rsid w:val="3D827DBA"/>
    <w:rsid w:val="3D8C7CFA"/>
    <w:rsid w:val="3D915310"/>
    <w:rsid w:val="3D931088"/>
    <w:rsid w:val="3D934BE4"/>
    <w:rsid w:val="3D956BAE"/>
    <w:rsid w:val="3DA107AF"/>
    <w:rsid w:val="3DA74B34"/>
    <w:rsid w:val="3DAE5EC2"/>
    <w:rsid w:val="3DB50FFF"/>
    <w:rsid w:val="3DB73909"/>
    <w:rsid w:val="3DBA54A7"/>
    <w:rsid w:val="3DC0019B"/>
    <w:rsid w:val="3DD22E3D"/>
    <w:rsid w:val="3DDA2813"/>
    <w:rsid w:val="3DE713D4"/>
    <w:rsid w:val="3DEE2762"/>
    <w:rsid w:val="3DEE62BF"/>
    <w:rsid w:val="3DFA1107"/>
    <w:rsid w:val="3E01686C"/>
    <w:rsid w:val="3E385A19"/>
    <w:rsid w:val="3E442D12"/>
    <w:rsid w:val="3E47234F"/>
    <w:rsid w:val="3E4A2A81"/>
    <w:rsid w:val="3E5500EC"/>
    <w:rsid w:val="3E594080"/>
    <w:rsid w:val="3E5E3444"/>
    <w:rsid w:val="3E630A5B"/>
    <w:rsid w:val="3E710777"/>
    <w:rsid w:val="3E741EC9"/>
    <w:rsid w:val="3E7E3D26"/>
    <w:rsid w:val="3E815385"/>
    <w:rsid w:val="3E84485B"/>
    <w:rsid w:val="3E916A5A"/>
    <w:rsid w:val="3E925D6B"/>
    <w:rsid w:val="3E9A6446"/>
    <w:rsid w:val="3E9E769F"/>
    <w:rsid w:val="3EA00C1E"/>
    <w:rsid w:val="3EAE5A4E"/>
    <w:rsid w:val="3EBD5A23"/>
    <w:rsid w:val="3EC477E9"/>
    <w:rsid w:val="3ECB1F84"/>
    <w:rsid w:val="3ECC7453"/>
    <w:rsid w:val="3ED454B4"/>
    <w:rsid w:val="3EDA0523"/>
    <w:rsid w:val="3EDC5CCE"/>
    <w:rsid w:val="3EDE747D"/>
    <w:rsid w:val="3EF069F5"/>
    <w:rsid w:val="3EF207DB"/>
    <w:rsid w:val="3F027B0E"/>
    <w:rsid w:val="3F081884"/>
    <w:rsid w:val="3F122481"/>
    <w:rsid w:val="3F1735F3"/>
    <w:rsid w:val="3F175574"/>
    <w:rsid w:val="3F185CE9"/>
    <w:rsid w:val="3F190CFD"/>
    <w:rsid w:val="3F1955BD"/>
    <w:rsid w:val="3F1B1335"/>
    <w:rsid w:val="3F1F5D0D"/>
    <w:rsid w:val="3F285922"/>
    <w:rsid w:val="3F304187"/>
    <w:rsid w:val="3F453141"/>
    <w:rsid w:val="3F566811"/>
    <w:rsid w:val="3F574B5F"/>
    <w:rsid w:val="3F5C54AA"/>
    <w:rsid w:val="3F5D7BA0"/>
    <w:rsid w:val="3F5E56C6"/>
    <w:rsid w:val="3F647022"/>
    <w:rsid w:val="3F650802"/>
    <w:rsid w:val="3F656A54"/>
    <w:rsid w:val="3F6902F3"/>
    <w:rsid w:val="3F6928FF"/>
    <w:rsid w:val="3F6C7DE3"/>
    <w:rsid w:val="3F6F1739"/>
    <w:rsid w:val="3F80563C"/>
    <w:rsid w:val="3F810D36"/>
    <w:rsid w:val="3F830C89"/>
    <w:rsid w:val="3F8D4B70"/>
    <w:rsid w:val="3F9133A5"/>
    <w:rsid w:val="3F9154BE"/>
    <w:rsid w:val="3F9E2068"/>
    <w:rsid w:val="3F9F3101"/>
    <w:rsid w:val="3FAD4DF1"/>
    <w:rsid w:val="3FCB4638"/>
    <w:rsid w:val="3FCC0C83"/>
    <w:rsid w:val="3FCE63A8"/>
    <w:rsid w:val="3FDA4D4C"/>
    <w:rsid w:val="3FE5311A"/>
    <w:rsid w:val="3FEE25A6"/>
    <w:rsid w:val="3FF37BBC"/>
    <w:rsid w:val="3FFA0F4B"/>
    <w:rsid w:val="3FFB177B"/>
    <w:rsid w:val="3FFC1746"/>
    <w:rsid w:val="3FFD07E4"/>
    <w:rsid w:val="40011135"/>
    <w:rsid w:val="400420D2"/>
    <w:rsid w:val="40267F92"/>
    <w:rsid w:val="40271F5C"/>
    <w:rsid w:val="402B4B13"/>
    <w:rsid w:val="40317FF2"/>
    <w:rsid w:val="40363F4D"/>
    <w:rsid w:val="4037219F"/>
    <w:rsid w:val="403C5A07"/>
    <w:rsid w:val="403E177F"/>
    <w:rsid w:val="403F37F1"/>
    <w:rsid w:val="40412885"/>
    <w:rsid w:val="40445B2C"/>
    <w:rsid w:val="40491ED2"/>
    <w:rsid w:val="40585F20"/>
    <w:rsid w:val="40612410"/>
    <w:rsid w:val="40714F85"/>
    <w:rsid w:val="40786313"/>
    <w:rsid w:val="407A6407"/>
    <w:rsid w:val="407C2FB1"/>
    <w:rsid w:val="40833567"/>
    <w:rsid w:val="408475C8"/>
    <w:rsid w:val="408B4299"/>
    <w:rsid w:val="408D0011"/>
    <w:rsid w:val="408D78FB"/>
    <w:rsid w:val="40A0209C"/>
    <w:rsid w:val="40BC762D"/>
    <w:rsid w:val="40BE02F1"/>
    <w:rsid w:val="40CB28E7"/>
    <w:rsid w:val="40D20119"/>
    <w:rsid w:val="40E65973"/>
    <w:rsid w:val="40E816EB"/>
    <w:rsid w:val="40E90FBF"/>
    <w:rsid w:val="40E92683"/>
    <w:rsid w:val="40EF2A79"/>
    <w:rsid w:val="40F167F2"/>
    <w:rsid w:val="40F177D1"/>
    <w:rsid w:val="40F37AD9"/>
    <w:rsid w:val="40F409AC"/>
    <w:rsid w:val="41061B71"/>
    <w:rsid w:val="411331B3"/>
    <w:rsid w:val="411A565E"/>
    <w:rsid w:val="412F10C8"/>
    <w:rsid w:val="41336BD2"/>
    <w:rsid w:val="413606A8"/>
    <w:rsid w:val="41371E3C"/>
    <w:rsid w:val="413D1A37"/>
    <w:rsid w:val="41465083"/>
    <w:rsid w:val="414A4154"/>
    <w:rsid w:val="41562CE5"/>
    <w:rsid w:val="415E19AD"/>
    <w:rsid w:val="41655A21"/>
    <w:rsid w:val="41662610"/>
    <w:rsid w:val="416D2F03"/>
    <w:rsid w:val="4177481D"/>
    <w:rsid w:val="41782A6F"/>
    <w:rsid w:val="4179747A"/>
    <w:rsid w:val="41820F87"/>
    <w:rsid w:val="419D07B6"/>
    <w:rsid w:val="419E1DAA"/>
    <w:rsid w:val="41A27AEC"/>
    <w:rsid w:val="41A33447"/>
    <w:rsid w:val="41AC2719"/>
    <w:rsid w:val="41B14B1D"/>
    <w:rsid w:val="41B15F81"/>
    <w:rsid w:val="41B26642"/>
    <w:rsid w:val="41BA21D5"/>
    <w:rsid w:val="41C04416"/>
    <w:rsid w:val="41CA0DF1"/>
    <w:rsid w:val="41CC33EB"/>
    <w:rsid w:val="41CD097A"/>
    <w:rsid w:val="41D103D1"/>
    <w:rsid w:val="41D2400B"/>
    <w:rsid w:val="41D978EA"/>
    <w:rsid w:val="41DA54D8"/>
    <w:rsid w:val="41E00227"/>
    <w:rsid w:val="41E41EB2"/>
    <w:rsid w:val="41F94B6E"/>
    <w:rsid w:val="4200449D"/>
    <w:rsid w:val="42092F84"/>
    <w:rsid w:val="420E5181"/>
    <w:rsid w:val="42100EF9"/>
    <w:rsid w:val="42113F9B"/>
    <w:rsid w:val="42172D86"/>
    <w:rsid w:val="42177886"/>
    <w:rsid w:val="4226071D"/>
    <w:rsid w:val="42270047"/>
    <w:rsid w:val="42277FF1"/>
    <w:rsid w:val="42375131"/>
    <w:rsid w:val="423A3BCC"/>
    <w:rsid w:val="423B3A9C"/>
    <w:rsid w:val="42402E61"/>
    <w:rsid w:val="424B1F31"/>
    <w:rsid w:val="424E57D2"/>
    <w:rsid w:val="424F4623"/>
    <w:rsid w:val="425C413F"/>
    <w:rsid w:val="425C5EED"/>
    <w:rsid w:val="42611755"/>
    <w:rsid w:val="42703746"/>
    <w:rsid w:val="42746CA0"/>
    <w:rsid w:val="428E62C2"/>
    <w:rsid w:val="428F0276"/>
    <w:rsid w:val="42937435"/>
    <w:rsid w:val="429B024B"/>
    <w:rsid w:val="429C09DF"/>
    <w:rsid w:val="42A17DA3"/>
    <w:rsid w:val="42A67B0A"/>
    <w:rsid w:val="42B26C49"/>
    <w:rsid w:val="42C677A7"/>
    <w:rsid w:val="42CB6BCE"/>
    <w:rsid w:val="42D068DB"/>
    <w:rsid w:val="42D208FA"/>
    <w:rsid w:val="42D31674"/>
    <w:rsid w:val="42E14644"/>
    <w:rsid w:val="42F205FF"/>
    <w:rsid w:val="42F83F42"/>
    <w:rsid w:val="430622FC"/>
    <w:rsid w:val="430F56AE"/>
    <w:rsid w:val="43195B8C"/>
    <w:rsid w:val="432A3936"/>
    <w:rsid w:val="432F64BB"/>
    <w:rsid w:val="433A6FE6"/>
    <w:rsid w:val="43451BA4"/>
    <w:rsid w:val="43480868"/>
    <w:rsid w:val="43482915"/>
    <w:rsid w:val="43486899"/>
    <w:rsid w:val="4350713C"/>
    <w:rsid w:val="435832D1"/>
    <w:rsid w:val="436653E0"/>
    <w:rsid w:val="436E35E2"/>
    <w:rsid w:val="43746C04"/>
    <w:rsid w:val="43755AEC"/>
    <w:rsid w:val="437C436D"/>
    <w:rsid w:val="438020AF"/>
    <w:rsid w:val="438E70DC"/>
    <w:rsid w:val="4392593E"/>
    <w:rsid w:val="43931DE2"/>
    <w:rsid w:val="439478BC"/>
    <w:rsid w:val="43972F54"/>
    <w:rsid w:val="439A09F5"/>
    <w:rsid w:val="43A044FF"/>
    <w:rsid w:val="43A1468D"/>
    <w:rsid w:val="43A35D9D"/>
    <w:rsid w:val="43AC0DB8"/>
    <w:rsid w:val="43AC6A00"/>
    <w:rsid w:val="43B35A16"/>
    <w:rsid w:val="43BB4E95"/>
    <w:rsid w:val="43BB6C43"/>
    <w:rsid w:val="43C0757F"/>
    <w:rsid w:val="43C4431A"/>
    <w:rsid w:val="43C815CD"/>
    <w:rsid w:val="43C85AEE"/>
    <w:rsid w:val="43CA3C9D"/>
    <w:rsid w:val="43CC3598"/>
    <w:rsid w:val="43CF26EE"/>
    <w:rsid w:val="43CF6B92"/>
    <w:rsid w:val="43D441A9"/>
    <w:rsid w:val="43D5619A"/>
    <w:rsid w:val="43E90552"/>
    <w:rsid w:val="43EC32A0"/>
    <w:rsid w:val="43EF4B3E"/>
    <w:rsid w:val="44024872"/>
    <w:rsid w:val="44124CF1"/>
    <w:rsid w:val="4416656F"/>
    <w:rsid w:val="44166896"/>
    <w:rsid w:val="44175FFD"/>
    <w:rsid w:val="44182CE0"/>
    <w:rsid w:val="441A7BFD"/>
    <w:rsid w:val="442073EE"/>
    <w:rsid w:val="44380293"/>
    <w:rsid w:val="444323ED"/>
    <w:rsid w:val="444D7896"/>
    <w:rsid w:val="445552E9"/>
    <w:rsid w:val="44557097"/>
    <w:rsid w:val="445C6678"/>
    <w:rsid w:val="445D2C4C"/>
    <w:rsid w:val="446F7A2D"/>
    <w:rsid w:val="447334B4"/>
    <w:rsid w:val="4484172B"/>
    <w:rsid w:val="44890AEF"/>
    <w:rsid w:val="449A2CFC"/>
    <w:rsid w:val="449B6B1A"/>
    <w:rsid w:val="44A8366B"/>
    <w:rsid w:val="44AD0C81"/>
    <w:rsid w:val="44B951CC"/>
    <w:rsid w:val="44BD7C8D"/>
    <w:rsid w:val="44BF09B5"/>
    <w:rsid w:val="44C22253"/>
    <w:rsid w:val="44CA637F"/>
    <w:rsid w:val="44CB1108"/>
    <w:rsid w:val="44CC0FC5"/>
    <w:rsid w:val="44CD14E0"/>
    <w:rsid w:val="44D51F86"/>
    <w:rsid w:val="44D73F50"/>
    <w:rsid w:val="44DC3315"/>
    <w:rsid w:val="44E81CBA"/>
    <w:rsid w:val="44EA7CB0"/>
    <w:rsid w:val="44EC496A"/>
    <w:rsid w:val="44ED3CA5"/>
    <w:rsid w:val="44F20B0B"/>
    <w:rsid w:val="44F93EC7"/>
    <w:rsid w:val="44FF34A7"/>
    <w:rsid w:val="450665E4"/>
    <w:rsid w:val="45074AB4"/>
    <w:rsid w:val="45091A97"/>
    <w:rsid w:val="451900C5"/>
    <w:rsid w:val="451A1E03"/>
    <w:rsid w:val="451C5E07"/>
    <w:rsid w:val="45221EC2"/>
    <w:rsid w:val="4528402B"/>
    <w:rsid w:val="452E5F4C"/>
    <w:rsid w:val="453968B5"/>
    <w:rsid w:val="453A003B"/>
    <w:rsid w:val="45423923"/>
    <w:rsid w:val="454759FA"/>
    <w:rsid w:val="45482758"/>
    <w:rsid w:val="45521829"/>
    <w:rsid w:val="45554E75"/>
    <w:rsid w:val="45576E3F"/>
    <w:rsid w:val="455E01CE"/>
    <w:rsid w:val="45600C15"/>
    <w:rsid w:val="45612018"/>
    <w:rsid w:val="4577303D"/>
    <w:rsid w:val="45837C34"/>
    <w:rsid w:val="45877724"/>
    <w:rsid w:val="458946E9"/>
    <w:rsid w:val="459B4F7E"/>
    <w:rsid w:val="459C2AA4"/>
    <w:rsid w:val="45A47C0E"/>
    <w:rsid w:val="45A80F6E"/>
    <w:rsid w:val="45A91659"/>
    <w:rsid w:val="45AA3413"/>
    <w:rsid w:val="45B22E7F"/>
    <w:rsid w:val="45B51211"/>
    <w:rsid w:val="45B85B30"/>
    <w:rsid w:val="45BE0C6C"/>
    <w:rsid w:val="45BF75D2"/>
    <w:rsid w:val="45C50B81"/>
    <w:rsid w:val="45CC3389"/>
    <w:rsid w:val="45CD7101"/>
    <w:rsid w:val="45CE7E15"/>
    <w:rsid w:val="45DD5596"/>
    <w:rsid w:val="45E00BE3"/>
    <w:rsid w:val="45ED668A"/>
    <w:rsid w:val="45F4493C"/>
    <w:rsid w:val="461A60A7"/>
    <w:rsid w:val="461E795D"/>
    <w:rsid w:val="46256F3D"/>
    <w:rsid w:val="46260119"/>
    <w:rsid w:val="462C02CC"/>
    <w:rsid w:val="4645313C"/>
    <w:rsid w:val="46464936"/>
    <w:rsid w:val="464A0752"/>
    <w:rsid w:val="464C0460"/>
    <w:rsid w:val="464C609E"/>
    <w:rsid w:val="46577FD6"/>
    <w:rsid w:val="465D2233"/>
    <w:rsid w:val="466138C7"/>
    <w:rsid w:val="46731A57"/>
    <w:rsid w:val="467E64FC"/>
    <w:rsid w:val="4681621F"/>
    <w:rsid w:val="468679DC"/>
    <w:rsid w:val="4689127A"/>
    <w:rsid w:val="46933EA7"/>
    <w:rsid w:val="46955E71"/>
    <w:rsid w:val="469715FB"/>
    <w:rsid w:val="46A165C4"/>
    <w:rsid w:val="46A551EB"/>
    <w:rsid w:val="46BB51AC"/>
    <w:rsid w:val="46BD2B0D"/>
    <w:rsid w:val="46D27A3E"/>
    <w:rsid w:val="46D955A7"/>
    <w:rsid w:val="46DD097A"/>
    <w:rsid w:val="46DD4053"/>
    <w:rsid w:val="46E2098A"/>
    <w:rsid w:val="46E7412F"/>
    <w:rsid w:val="46E82445"/>
    <w:rsid w:val="46EB6657"/>
    <w:rsid w:val="46F04E55"/>
    <w:rsid w:val="46F34BEB"/>
    <w:rsid w:val="470E5B90"/>
    <w:rsid w:val="47133957"/>
    <w:rsid w:val="471F573B"/>
    <w:rsid w:val="472E3BD0"/>
    <w:rsid w:val="4730173F"/>
    <w:rsid w:val="47321256"/>
    <w:rsid w:val="47347C1D"/>
    <w:rsid w:val="47490A0A"/>
    <w:rsid w:val="475C698F"/>
    <w:rsid w:val="475F4958"/>
    <w:rsid w:val="4760629C"/>
    <w:rsid w:val="476310AA"/>
    <w:rsid w:val="476615BC"/>
    <w:rsid w:val="476B4E24"/>
    <w:rsid w:val="47723ABC"/>
    <w:rsid w:val="478234F8"/>
    <w:rsid w:val="47901DF8"/>
    <w:rsid w:val="4799729B"/>
    <w:rsid w:val="479A1EF4"/>
    <w:rsid w:val="479A2D53"/>
    <w:rsid w:val="479E48B1"/>
    <w:rsid w:val="479F1710"/>
    <w:rsid w:val="47A07E0C"/>
    <w:rsid w:val="47A912C4"/>
    <w:rsid w:val="47AA0E1C"/>
    <w:rsid w:val="47AA14A8"/>
    <w:rsid w:val="47B05F2B"/>
    <w:rsid w:val="47B05F6F"/>
    <w:rsid w:val="47BE4F54"/>
    <w:rsid w:val="47C22C96"/>
    <w:rsid w:val="47E0210B"/>
    <w:rsid w:val="47ED3A8B"/>
    <w:rsid w:val="47F04433"/>
    <w:rsid w:val="480212E4"/>
    <w:rsid w:val="48052B82"/>
    <w:rsid w:val="480A10DA"/>
    <w:rsid w:val="480C3F11"/>
    <w:rsid w:val="4814724D"/>
    <w:rsid w:val="481E1E96"/>
    <w:rsid w:val="48217291"/>
    <w:rsid w:val="48286871"/>
    <w:rsid w:val="48287F59"/>
    <w:rsid w:val="482C6B18"/>
    <w:rsid w:val="48384D06"/>
    <w:rsid w:val="48396CD0"/>
    <w:rsid w:val="483D231C"/>
    <w:rsid w:val="4840005F"/>
    <w:rsid w:val="48486B1C"/>
    <w:rsid w:val="484C255F"/>
    <w:rsid w:val="48561630"/>
    <w:rsid w:val="485617BF"/>
    <w:rsid w:val="485D29BF"/>
    <w:rsid w:val="48690DD9"/>
    <w:rsid w:val="486E697A"/>
    <w:rsid w:val="4870272E"/>
    <w:rsid w:val="48763A80"/>
    <w:rsid w:val="487B78EB"/>
    <w:rsid w:val="487F2F7D"/>
    <w:rsid w:val="48811844"/>
    <w:rsid w:val="48843EED"/>
    <w:rsid w:val="48873598"/>
    <w:rsid w:val="48904B42"/>
    <w:rsid w:val="48907D03"/>
    <w:rsid w:val="489B7043"/>
    <w:rsid w:val="489D3BB8"/>
    <w:rsid w:val="489D6843"/>
    <w:rsid w:val="489D725F"/>
    <w:rsid w:val="489F2FD7"/>
    <w:rsid w:val="48A759E8"/>
    <w:rsid w:val="48AE5A96"/>
    <w:rsid w:val="48B9571B"/>
    <w:rsid w:val="48C84676"/>
    <w:rsid w:val="48CB5B7A"/>
    <w:rsid w:val="48D47A0C"/>
    <w:rsid w:val="48D569F9"/>
    <w:rsid w:val="48E64762"/>
    <w:rsid w:val="48E924A4"/>
    <w:rsid w:val="48F36E7F"/>
    <w:rsid w:val="48F75911"/>
    <w:rsid w:val="49033566"/>
    <w:rsid w:val="49035633"/>
    <w:rsid w:val="490648E6"/>
    <w:rsid w:val="4907292A"/>
    <w:rsid w:val="49081BC8"/>
    <w:rsid w:val="490C108B"/>
    <w:rsid w:val="49105C83"/>
    <w:rsid w:val="4916491B"/>
    <w:rsid w:val="491E2FB8"/>
    <w:rsid w:val="491F5EC6"/>
    <w:rsid w:val="49247038"/>
    <w:rsid w:val="492B03C7"/>
    <w:rsid w:val="492E6109"/>
    <w:rsid w:val="493168D5"/>
    <w:rsid w:val="49366D6C"/>
    <w:rsid w:val="493B5EC5"/>
    <w:rsid w:val="493C4382"/>
    <w:rsid w:val="49402A04"/>
    <w:rsid w:val="49461447"/>
    <w:rsid w:val="49465201"/>
    <w:rsid w:val="49593F65"/>
    <w:rsid w:val="4961203A"/>
    <w:rsid w:val="49795539"/>
    <w:rsid w:val="49804BB7"/>
    <w:rsid w:val="498E0956"/>
    <w:rsid w:val="498E6BA8"/>
    <w:rsid w:val="498F2280"/>
    <w:rsid w:val="49973CAE"/>
    <w:rsid w:val="499F0DB5"/>
    <w:rsid w:val="49A53795"/>
    <w:rsid w:val="49AE55A0"/>
    <w:rsid w:val="49AF724A"/>
    <w:rsid w:val="49B51A7F"/>
    <w:rsid w:val="49BF6646"/>
    <w:rsid w:val="49C64593"/>
    <w:rsid w:val="49CB0A20"/>
    <w:rsid w:val="49D15412"/>
    <w:rsid w:val="49DC7715"/>
    <w:rsid w:val="49E14F29"/>
    <w:rsid w:val="49F27137"/>
    <w:rsid w:val="49F466D9"/>
    <w:rsid w:val="49F66C27"/>
    <w:rsid w:val="49F72B9B"/>
    <w:rsid w:val="49FA4BD4"/>
    <w:rsid w:val="49FD6207"/>
    <w:rsid w:val="4A023139"/>
    <w:rsid w:val="4A0A510F"/>
    <w:rsid w:val="4A0A6440"/>
    <w:rsid w:val="4A0F7CE8"/>
    <w:rsid w:val="4A1643D1"/>
    <w:rsid w:val="4A1B668D"/>
    <w:rsid w:val="4A1D73F6"/>
    <w:rsid w:val="4A261A1F"/>
    <w:rsid w:val="4A314103"/>
    <w:rsid w:val="4A394D65"/>
    <w:rsid w:val="4A441BB4"/>
    <w:rsid w:val="4A471230"/>
    <w:rsid w:val="4A4756D4"/>
    <w:rsid w:val="4A525E27"/>
    <w:rsid w:val="4A563B69"/>
    <w:rsid w:val="4A6600FA"/>
    <w:rsid w:val="4A783AE0"/>
    <w:rsid w:val="4A7A27F3"/>
    <w:rsid w:val="4A7B576F"/>
    <w:rsid w:val="4A7E09CA"/>
    <w:rsid w:val="4A8561FD"/>
    <w:rsid w:val="4A87321D"/>
    <w:rsid w:val="4AA21873"/>
    <w:rsid w:val="4AA6260C"/>
    <w:rsid w:val="4AAA5C63"/>
    <w:rsid w:val="4AB12B4E"/>
    <w:rsid w:val="4AB3447E"/>
    <w:rsid w:val="4ABA40F8"/>
    <w:rsid w:val="4ABF34BD"/>
    <w:rsid w:val="4AC07235"/>
    <w:rsid w:val="4AC16767"/>
    <w:rsid w:val="4AC26B09"/>
    <w:rsid w:val="4AC46D25"/>
    <w:rsid w:val="4AC6114E"/>
    <w:rsid w:val="4ACA1E61"/>
    <w:rsid w:val="4ACA3C0F"/>
    <w:rsid w:val="4AD1067A"/>
    <w:rsid w:val="4ADE7E35"/>
    <w:rsid w:val="4ADF76BB"/>
    <w:rsid w:val="4AE253FD"/>
    <w:rsid w:val="4AE75720"/>
    <w:rsid w:val="4AEE5B50"/>
    <w:rsid w:val="4AEF6D9B"/>
    <w:rsid w:val="4AF31AE4"/>
    <w:rsid w:val="4AF561A9"/>
    <w:rsid w:val="4B0051C2"/>
    <w:rsid w:val="4B0921FB"/>
    <w:rsid w:val="4B105AC6"/>
    <w:rsid w:val="4B1A4B97"/>
    <w:rsid w:val="4B1B446B"/>
    <w:rsid w:val="4B215F25"/>
    <w:rsid w:val="4B2201EC"/>
    <w:rsid w:val="4B270CDD"/>
    <w:rsid w:val="4B304314"/>
    <w:rsid w:val="4B31299F"/>
    <w:rsid w:val="4B313C8F"/>
    <w:rsid w:val="4B320132"/>
    <w:rsid w:val="4B3C2D5F"/>
    <w:rsid w:val="4B3F67C9"/>
    <w:rsid w:val="4B460A6E"/>
    <w:rsid w:val="4B4C6376"/>
    <w:rsid w:val="4B51567F"/>
    <w:rsid w:val="4B5300A9"/>
    <w:rsid w:val="4B555BCF"/>
    <w:rsid w:val="4B5736F5"/>
    <w:rsid w:val="4B6202EC"/>
    <w:rsid w:val="4B694536"/>
    <w:rsid w:val="4B712E37"/>
    <w:rsid w:val="4B78366B"/>
    <w:rsid w:val="4B7E6A25"/>
    <w:rsid w:val="4B810772"/>
    <w:rsid w:val="4B8A1D1C"/>
    <w:rsid w:val="4B90639C"/>
    <w:rsid w:val="4BA650B0"/>
    <w:rsid w:val="4BAB1C93"/>
    <w:rsid w:val="4BAF3531"/>
    <w:rsid w:val="4BAF7CFE"/>
    <w:rsid w:val="4BB61845"/>
    <w:rsid w:val="4BC62629"/>
    <w:rsid w:val="4BC74F26"/>
    <w:rsid w:val="4BD12225"/>
    <w:rsid w:val="4BD25472"/>
    <w:rsid w:val="4BDC62B6"/>
    <w:rsid w:val="4BDD7BA7"/>
    <w:rsid w:val="4BE041DA"/>
    <w:rsid w:val="4BE21410"/>
    <w:rsid w:val="4BE41274"/>
    <w:rsid w:val="4BEB0052"/>
    <w:rsid w:val="4BFB6776"/>
    <w:rsid w:val="4BFE3962"/>
    <w:rsid w:val="4C03387D"/>
    <w:rsid w:val="4C06511B"/>
    <w:rsid w:val="4C082C41"/>
    <w:rsid w:val="4C1E0921"/>
    <w:rsid w:val="4C235D7B"/>
    <w:rsid w:val="4C2832E3"/>
    <w:rsid w:val="4C3954F1"/>
    <w:rsid w:val="4C3D6D8F"/>
    <w:rsid w:val="4C3E18D5"/>
    <w:rsid w:val="4C417EE3"/>
    <w:rsid w:val="4C440423"/>
    <w:rsid w:val="4C4A0649"/>
    <w:rsid w:val="4C4B0D80"/>
    <w:rsid w:val="4C5102F0"/>
    <w:rsid w:val="4C6C31D0"/>
    <w:rsid w:val="4C732F0B"/>
    <w:rsid w:val="4C7E5ECA"/>
    <w:rsid w:val="4C876AA5"/>
    <w:rsid w:val="4C892126"/>
    <w:rsid w:val="4C8A5D4C"/>
    <w:rsid w:val="4C8F7976"/>
    <w:rsid w:val="4C9444D5"/>
    <w:rsid w:val="4C96024D"/>
    <w:rsid w:val="4CA31558"/>
    <w:rsid w:val="4CAA1F4A"/>
    <w:rsid w:val="4CB122E6"/>
    <w:rsid w:val="4CC445E2"/>
    <w:rsid w:val="4CCA7EF7"/>
    <w:rsid w:val="4CD46FC7"/>
    <w:rsid w:val="4CE51F37"/>
    <w:rsid w:val="4CF531E1"/>
    <w:rsid w:val="4CFA6D64"/>
    <w:rsid w:val="4D057181"/>
    <w:rsid w:val="4D0E00FB"/>
    <w:rsid w:val="4D0F41F2"/>
    <w:rsid w:val="4D176606"/>
    <w:rsid w:val="4D1F0243"/>
    <w:rsid w:val="4D2E66D8"/>
    <w:rsid w:val="4D3030C2"/>
    <w:rsid w:val="4D3857A8"/>
    <w:rsid w:val="4D39645A"/>
    <w:rsid w:val="4D471547"/>
    <w:rsid w:val="4D4C2686"/>
    <w:rsid w:val="4D4D6CBC"/>
    <w:rsid w:val="4D5013B9"/>
    <w:rsid w:val="4D5577DE"/>
    <w:rsid w:val="4D5634EF"/>
    <w:rsid w:val="4D5A10A5"/>
    <w:rsid w:val="4D6C7200"/>
    <w:rsid w:val="4D6E4D26"/>
    <w:rsid w:val="4D702675"/>
    <w:rsid w:val="4D812CAB"/>
    <w:rsid w:val="4D843B9C"/>
    <w:rsid w:val="4D8713A7"/>
    <w:rsid w:val="4D87403A"/>
    <w:rsid w:val="4D891B60"/>
    <w:rsid w:val="4D8E361A"/>
    <w:rsid w:val="4D956757"/>
    <w:rsid w:val="4D9C7AE5"/>
    <w:rsid w:val="4DA44BEC"/>
    <w:rsid w:val="4DB21A6D"/>
    <w:rsid w:val="4DBF5582"/>
    <w:rsid w:val="4DC4703C"/>
    <w:rsid w:val="4DD12D51"/>
    <w:rsid w:val="4DD477E3"/>
    <w:rsid w:val="4DDB6FF8"/>
    <w:rsid w:val="4DE1374A"/>
    <w:rsid w:val="4DE66FB2"/>
    <w:rsid w:val="4DEC4FB0"/>
    <w:rsid w:val="4E031912"/>
    <w:rsid w:val="4E0455E5"/>
    <w:rsid w:val="4E04568A"/>
    <w:rsid w:val="4E075D8A"/>
    <w:rsid w:val="4E08517B"/>
    <w:rsid w:val="4E2234FC"/>
    <w:rsid w:val="4E231FB4"/>
    <w:rsid w:val="4E2538B2"/>
    <w:rsid w:val="4E28581D"/>
    <w:rsid w:val="4E3754C7"/>
    <w:rsid w:val="4E3C24E9"/>
    <w:rsid w:val="4E3F2675"/>
    <w:rsid w:val="4E3F78BF"/>
    <w:rsid w:val="4E485577"/>
    <w:rsid w:val="4E487F82"/>
    <w:rsid w:val="4E5157D6"/>
    <w:rsid w:val="4E730CEB"/>
    <w:rsid w:val="4E7520E4"/>
    <w:rsid w:val="4E7718A9"/>
    <w:rsid w:val="4E875CFC"/>
    <w:rsid w:val="4E8B7C40"/>
    <w:rsid w:val="4E8F351A"/>
    <w:rsid w:val="4E923754"/>
    <w:rsid w:val="4E9609D8"/>
    <w:rsid w:val="4EA50C1B"/>
    <w:rsid w:val="4EAC09E0"/>
    <w:rsid w:val="4EB62E28"/>
    <w:rsid w:val="4EBB3F9B"/>
    <w:rsid w:val="4EBC430A"/>
    <w:rsid w:val="4EC00FAD"/>
    <w:rsid w:val="4EC2357B"/>
    <w:rsid w:val="4ECA2430"/>
    <w:rsid w:val="4ECF503A"/>
    <w:rsid w:val="4EE009A4"/>
    <w:rsid w:val="4EE72FE2"/>
    <w:rsid w:val="4EF16300"/>
    <w:rsid w:val="4EF6095D"/>
    <w:rsid w:val="4EFA0F67"/>
    <w:rsid w:val="4EFC5B14"/>
    <w:rsid w:val="4F021BCA"/>
    <w:rsid w:val="4F043B94"/>
    <w:rsid w:val="4F053B30"/>
    <w:rsid w:val="4F0C47F7"/>
    <w:rsid w:val="4F124ACB"/>
    <w:rsid w:val="4F1A208D"/>
    <w:rsid w:val="4F1C6E93"/>
    <w:rsid w:val="4F1F277C"/>
    <w:rsid w:val="4F204746"/>
    <w:rsid w:val="4F22553A"/>
    <w:rsid w:val="4F231B40"/>
    <w:rsid w:val="4F253B0A"/>
    <w:rsid w:val="4F3501F1"/>
    <w:rsid w:val="4F381523"/>
    <w:rsid w:val="4F407D5F"/>
    <w:rsid w:val="4F471CD3"/>
    <w:rsid w:val="4F49194D"/>
    <w:rsid w:val="4F4E12B3"/>
    <w:rsid w:val="4F552641"/>
    <w:rsid w:val="4F5B4652"/>
    <w:rsid w:val="4F675ED1"/>
    <w:rsid w:val="4F6D5040"/>
    <w:rsid w:val="4F7A0475"/>
    <w:rsid w:val="4F7A5C04"/>
    <w:rsid w:val="4F843B05"/>
    <w:rsid w:val="4F953BF4"/>
    <w:rsid w:val="4F9843DC"/>
    <w:rsid w:val="4F9F38BD"/>
    <w:rsid w:val="4FA233AD"/>
    <w:rsid w:val="4FAA12BB"/>
    <w:rsid w:val="4FBA4253"/>
    <w:rsid w:val="4FC450D1"/>
    <w:rsid w:val="4FC62A8C"/>
    <w:rsid w:val="4FC74BC1"/>
    <w:rsid w:val="4FD02C81"/>
    <w:rsid w:val="4FD07F1A"/>
    <w:rsid w:val="4FD219ED"/>
    <w:rsid w:val="4FD5382D"/>
    <w:rsid w:val="4FD77DC0"/>
    <w:rsid w:val="4FDC78A4"/>
    <w:rsid w:val="4FDD043A"/>
    <w:rsid w:val="4FDF015D"/>
    <w:rsid w:val="4FE20F0D"/>
    <w:rsid w:val="4FE51552"/>
    <w:rsid w:val="4FE6259D"/>
    <w:rsid w:val="4FE65048"/>
    <w:rsid w:val="4FEB1A40"/>
    <w:rsid w:val="4FEE0965"/>
    <w:rsid w:val="4FF66D6F"/>
    <w:rsid w:val="4FFF25AD"/>
    <w:rsid w:val="50056699"/>
    <w:rsid w:val="50067238"/>
    <w:rsid w:val="50081462"/>
    <w:rsid w:val="500F388E"/>
    <w:rsid w:val="50111D35"/>
    <w:rsid w:val="50120CFF"/>
    <w:rsid w:val="50125E3D"/>
    <w:rsid w:val="50265D8C"/>
    <w:rsid w:val="502C7299"/>
    <w:rsid w:val="5032028D"/>
    <w:rsid w:val="503233A6"/>
    <w:rsid w:val="503B07C2"/>
    <w:rsid w:val="503F0BFC"/>
    <w:rsid w:val="50406E4E"/>
    <w:rsid w:val="504464B2"/>
    <w:rsid w:val="504C60D4"/>
    <w:rsid w:val="50504C4B"/>
    <w:rsid w:val="506A3ECB"/>
    <w:rsid w:val="506D39BB"/>
    <w:rsid w:val="506F76A4"/>
    <w:rsid w:val="50700206"/>
    <w:rsid w:val="5086682B"/>
    <w:rsid w:val="508B3E41"/>
    <w:rsid w:val="508B5BEF"/>
    <w:rsid w:val="509176A9"/>
    <w:rsid w:val="509937A3"/>
    <w:rsid w:val="509B17AA"/>
    <w:rsid w:val="509C604E"/>
    <w:rsid w:val="509C6E7C"/>
    <w:rsid w:val="50AB0DB1"/>
    <w:rsid w:val="50B138A7"/>
    <w:rsid w:val="50BB2D72"/>
    <w:rsid w:val="50C23D07"/>
    <w:rsid w:val="50C636F7"/>
    <w:rsid w:val="50D17771"/>
    <w:rsid w:val="50E5018B"/>
    <w:rsid w:val="50F84E45"/>
    <w:rsid w:val="50F9524E"/>
    <w:rsid w:val="51037E7B"/>
    <w:rsid w:val="510F4A72"/>
    <w:rsid w:val="511931FB"/>
    <w:rsid w:val="51215D8F"/>
    <w:rsid w:val="51226553"/>
    <w:rsid w:val="5125330F"/>
    <w:rsid w:val="51273B6A"/>
    <w:rsid w:val="512D6CA6"/>
    <w:rsid w:val="51383A19"/>
    <w:rsid w:val="513916E5"/>
    <w:rsid w:val="513E788B"/>
    <w:rsid w:val="514A7692"/>
    <w:rsid w:val="514E10F6"/>
    <w:rsid w:val="5160541B"/>
    <w:rsid w:val="5162104E"/>
    <w:rsid w:val="516A7EFA"/>
    <w:rsid w:val="517158BE"/>
    <w:rsid w:val="517174DB"/>
    <w:rsid w:val="51826FF2"/>
    <w:rsid w:val="51905CA1"/>
    <w:rsid w:val="51C70EA9"/>
    <w:rsid w:val="51CD2963"/>
    <w:rsid w:val="51DB0B9F"/>
    <w:rsid w:val="51E6045F"/>
    <w:rsid w:val="51E611C2"/>
    <w:rsid w:val="51FB0B52"/>
    <w:rsid w:val="5201260D"/>
    <w:rsid w:val="5215084E"/>
    <w:rsid w:val="521C2BD3"/>
    <w:rsid w:val="52204129"/>
    <w:rsid w:val="5221680B"/>
    <w:rsid w:val="522B768A"/>
    <w:rsid w:val="522D51B0"/>
    <w:rsid w:val="5232171B"/>
    <w:rsid w:val="52344790"/>
    <w:rsid w:val="523C53F3"/>
    <w:rsid w:val="5246001F"/>
    <w:rsid w:val="52497B10"/>
    <w:rsid w:val="524A0C17"/>
    <w:rsid w:val="52630BD1"/>
    <w:rsid w:val="52642B9B"/>
    <w:rsid w:val="526A01B2"/>
    <w:rsid w:val="526B5CD8"/>
    <w:rsid w:val="527252B8"/>
    <w:rsid w:val="527A416D"/>
    <w:rsid w:val="527C6137"/>
    <w:rsid w:val="528522E6"/>
    <w:rsid w:val="528C6F03"/>
    <w:rsid w:val="52911BE2"/>
    <w:rsid w:val="529E42FF"/>
    <w:rsid w:val="529F2FF6"/>
    <w:rsid w:val="52A42F98"/>
    <w:rsid w:val="52B0193D"/>
    <w:rsid w:val="52BF018E"/>
    <w:rsid w:val="52C04276"/>
    <w:rsid w:val="52C13B4A"/>
    <w:rsid w:val="52CA29FF"/>
    <w:rsid w:val="52CB1675"/>
    <w:rsid w:val="52D23FA9"/>
    <w:rsid w:val="52E141EC"/>
    <w:rsid w:val="52E74BE9"/>
    <w:rsid w:val="52E8662F"/>
    <w:rsid w:val="52ED2B91"/>
    <w:rsid w:val="52ED423A"/>
    <w:rsid w:val="52F02C15"/>
    <w:rsid w:val="52F57BC9"/>
    <w:rsid w:val="5302488E"/>
    <w:rsid w:val="53057EDB"/>
    <w:rsid w:val="53083AF8"/>
    <w:rsid w:val="53165C44"/>
    <w:rsid w:val="531A21E3"/>
    <w:rsid w:val="531A4192"/>
    <w:rsid w:val="531B5950"/>
    <w:rsid w:val="53222C01"/>
    <w:rsid w:val="53234805"/>
    <w:rsid w:val="532A5B93"/>
    <w:rsid w:val="533135B1"/>
    <w:rsid w:val="53326F3C"/>
    <w:rsid w:val="533407C0"/>
    <w:rsid w:val="533D4B9F"/>
    <w:rsid w:val="533D7674"/>
    <w:rsid w:val="534327B1"/>
    <w:rsid w:val="534A7FE3"/>
    <w:rsid w:val="534C55A7"/>
    <w:rsid w:val="534D3630"/>
    <w:rsid w:val="535D3873"/>
    <w:rsid w:val="536E3CD2"/>
    <w:rsid w:val="5373753A"/>
    <w:rsid w:val="53741513"/>
    <w:rsid w:val="53741FEA"/>
    <w:rsid w:val="537806AC"/>
    <w:rsid w:val="537B63EF"/>
    <w:rsid w:val="53803A05"/>
    <w:rsid w:val="53937294"/>
    <w:rsid w:val="53A039CC"/>
    <w:rsid w:val="53A1505A"/>
    <w:rsid w:val="53A5355D"/>
    <w:rsid w:val="53AE40CE"/>
    <w:rsid w:val="53B11E10"/>
    <w:rsid w:val="53BD2563"/>
    <w:rsid w:val="53C32625"/>
    <w:rsid w:val="53DA5B4E"/>
    <w:rsid w:val="53E74DA5"/>
    <w:rsid w:val="53EA6BCF"/>
    <w:rsid w:val="53F00B8B"/>
    <w:rsid w:val="53F341D7"/>
    <w:rsid w:val="53F51CFD"/>
    <w:rsid w:val="53FB4B1D"/>
    <w:rsid w:val="53FF6C58"/>
    <w:rsid w:val="54063E08"/>
    <w:rsid w:val="540B2BA0"/>
    <w:rsid w:val="54104D89"/>
    <w:rsid w:val="54187D2B"/>
    <w:rsid w:val="54210D44"/>
    <w:rsid w:val="54243F19"/>
    <w:rsid w:val="54272352"/>
    <w:rsid w:val="54322F51"/>
    <w:rsid w:val="54332825"/>
    <w:rsid w:val="543437E8"/>
    <w:rsid w:val="54373976"/>
    <w:rsid w:val="54420CBA"/>
    <w:rsid w:val="545033D7"/>
    <w:rsid w:val="545D5AF4"/>
    <w:rsid w:val="54676806"/>
    <w:rsid w:val="54765207"/>
    <w:rsid w:val="547A48F8"/>
    <w:rsid w:val="547F5A6B"/>
    <w:rsid w:val="548C3B38"/>
    <w:rsid w:val="548D20BA"/>
    <w:rsid w:val="548E5CAE"/>
    <w:rsid w:val="5492579E"/>
    <w:rsid w:val="549427C8"/>
    <w:rsid w:val="549C661D"/>
    <w:rsid w:val="549E33C6"/>
    <w:rsid w:val="54A022DD"/>
    <w:rsid w:val="54A13C33"/>
    <w:rsid w:val="54AE00FE"/>
    <w:rsid w:val="54B716A8"/>
    <w:rsid w:val="54BC0C3D"/>
    <w:rsid w:val="54C44D86"/>
    <w:rsid w:val="54C55B73"/>
    <w:rsid w:val="54C94F38"/>
    <w:rsid w:val="54E03097"/>
    <w:rsid w:val="54E3424B"/>
    <w:rsid w:val="54E63D3C"/>
    <w:rsid w:val="54ED50CA"/>
    <w:rsid w:val="54F73313"/>
    <w:rsid w:val="54F80955"/>
    <w:rsid w:val="54FE4BE1"/>
    <w:rsid w:val="55023D73"/>
    <w:rsid w:val="550B7166"/>
    <w:rsid w:val="55175CA3"/>
    <w:rsid w:val="551B39E5"/>
    <w:rsid w:val="551E5284"/>
    <w:rsid w:val="5520724E"/>
    <w:rsid w:val="5525582A"/>
    <w:rsid w:val="55376345"/>
    <w:rsid w:val="553C545B"/>
    <w:rsid w:val="553D46AE"/>
    <w:rsid w:val="55496F40"/>
    <w:rsid w:val="554B289F"/>
    <w:rsid w:val="554E3DBB"/>
    <w:rsid w:val="555170A7"/>
    <w:rsid w:val="55560EC1"/>
    <w:rsid w:val="555E7D76"/>
    <w:rsid w:val="555F1887"/>
    <w:rsid w:val="5563713A"/>
    <w:rsid w:val="557673CF"/>
    <w:rsid w:val="55794BB0"/>
    <w:rsid w:val="557A5B6D"/>
    <w:rsid w:val="55853555"/>
    <w:rsid w:val="55855303"/>
    <w:rsid w:val="5587536D"/>
    <w:rsid w:val="559B174B"/>
    <w:rsid w:val="559D2A9A"/>
    <w:rsid w:val="559F602D"/>
    <w:rsid w:val="55A600A3"/>
    <w:rsid w:val="55A75279"/>
    <w:rsid w:val="55B1434A"/>
    <w:rsid w:val="55BB2954"/>
    <w:rsid w:val="55BF0815"/>
    <w:rsid w:val="55C60571"/>
    <w:rsid w:val="55CC02CD"/>
    <w:rsid w:val="55CE0A58"/>
    <w:rsid w:val="55CE0CF4"/>
    <w:rsid w:val="55D10548"/>
    <w:rsid w:val="55D3606E"/>
    <w:rsid w:val="55DF0FD3"/>
    <w:rsid w:val="55E55DA1"/>
    <w:rsid w:val="55E97640"/>
    <w:rsid w:val="55FA7A9F"/>
    <w:rsid w:val="55FC3817"/>
    <w:rsid w:val="55FE006E"/>
    <w:rsid w:val="56044479"/>
    <w:rsid w:val="56206DD9"/>
    <w:rsid w:val="562422E6"/>
    <w:rsid w:val="56270168"/>
    <w:rsid w:val="562C577E"/>
    <w:rsid w:val="562C598F"/>
    <w:rsid w:val="56382375"/>
    <w:rsid w:val="563F3703"/>
    <w:rsid w:val="564927D4"/>
    <w:rsid w:val="56496330"/>
    <w:rsid w:val="564B654C"/>
    <w:rsid w:val="565C42B5"/>
    <w:rsid w:val="565F3DA6"/>
    <w:rsid w:val="56633896"/>
    <w:rsid w:val="56680EAC"/>
    <w:rsid w:val="56790902"/>
    <w:rsid w:val="567F7FA4"/>
    <w:rsid w:val="56811F6E"/>
    <w:rsid w:val="56821842"/>
    <w:rsid w:val="568B5958"/>
    <w:rsid w:val="568B6949"/>
    <w:rsid w:val="568E6439"/>
    <w:rsid w:val="56936774"/>
    <w:rsid w:val="569577C7"/>
    <w:rsid w:val="569D51A2"/>
    <w:rsid w:val="569F0646"/>
    <w:rsid w:val="56AB6FEB"/>
    <w:rsid w:val="56B0015D"/>
    <w:rsid w:val="56B22A9C"/>
    <w:rsid w:val="56C43CB0"/>
    <w:rsid w:val="56C45D0E"/>
    <w:rsid w:val="56C500AD"/>
    <w:rsid w:val="56C854A7"/>
    <w:rsid w:val="56D23B80"/>
    <w:rsid w:val="56DD185F"/>
    <w:rsid w:val="56DE116E"/>
    <w:rsid w:val="56DF25EB"/>
    <w:rsid w:val="56E60023"/>
    <w:rsid w:val="56E803BD"/>
    <w:rsid w:val="56E9366F"/>
    <w:rsid w:val="56F3629C"/>
    <w:rsid w:val="56F67835"/>
    <w:rsid w:val="56F80449"/>
    <w:rsid w:val="56FA587C"/>
    <w:rsid w:val="56FE2FC7"/>
    <w:rsid w:val="57203DF1"/>
    <w:rsid w:val="572172AD"/>
    <w:rsid w:val="57266671"/>
    <w:rsid w:val="573174F0"/>
    <w:rsid w:val="57323268"/>
    <w:rsid w:val="573423A8"/>
    <w:rsid w:val="57397068"/>
    <w:rsid w:val="574014E1"/>
    <w:rsid w:val="57480E03"/>
    <w:rsid w:val="574870DD"/>
    <w:rsid w:val="576378C6"/>
    <w:rsid w:val="578C0BCA"/>
    <w:rsid w:val="578F2469"/>
    <w:rsid w:val="57947A7F"/>
    <w:rsid w:val="57A06543"/>
    <w:rsid w:val="57A8352A"/>
    <w:rsid w:val="57A9177C"/>
    <w:rsid w:val="57AA72A2"/>
    <w:rsid w:val="57AE0B41"/>
    <w:rsid w:val="57AF0129"/>
    <w:rsid w:val="57AF6667"/>
    <w:rsid w:val="57B65C47"/>
    <w:rsid w:val="57B70A7D"/>
    <w:rsid w:val="57B72A76"/>
    <w:rsid w:val="57B95737"/>
    <w:rsid w:val="57B95DA0"/>
    <w:rsid w:val="57C3426C"/>
    <w:rsid w:val="57CE1F93"/>
    <w:rsid w:val="57D85BBE"/>
    <w:rsid w:val="57DB3900"/>
    <w:rsid w:val="57DC3499"/>
    <w:rsid w:val="57DF7928"/>
    <w:rsid w:val="57E3791E"/>
    <w:rsid w:val="57E57A41"/>
    <w:rsid w:val="57E722A5"/>
    <w:rsid w:val="57EA3B43"/>
    <w:rsid w:val="58040170"/>
    <w:rsid w:val="580C3793"/>
    <w:rsid w:val="580F5357"/>
    <w:rsid w:val="58157BFB"/>
    <w:rsid w:val="58164938"/>
    <w:rsid w:val="582C415B"/>
    <w:rsid w:val="582C6358"/>
    <w:rsid w:val="5833040F"/>
    <w:rsid w:val="583A0626"/>
    <w:rsid w:val="5846521D"/>
    <w:rsid w:val="584B45E2"/>
    <w:rsid w:val="585B71BE"/>
    <w:rsid w:val="585D4315"/>
    <w:rsid w:val="585F008D"/>
    <w:rsid w:val="58690C84"/>
    <w:rsid w:val="586C052D"/>
    <w:rsid w:val="586E02D0"/>
    <w:rsid w:val="58801DB1"/>
    <w:rsid w:val="588743D1"/>
    <w:rsid w:val="5887701A"/>
    <w:rsid w:val="588F4693"/>
    <w:rsid w:val="58916A5D"/>
    <w:rsid w:val="58966556"/>
    <w:rsid w:val="589859FF"/>
    <w:rsid w:val="589A7317"/>
    <w:rsid w:val="589D5018"/>
    <w:rsid w:val="58A43CF2"/>
    <w:rsid w:val="58BE1257"/>
    <w:rsid w:val="58C12AF6"/>
    <w:rsid w:val="58C61EBA"/>
    <w:rsid w:val="58C86B86"/>
    <w:rsid w:val="58CE6FC1"/>
    <w:rsid w:val="58D27289"/>
    <w:rsid w:val="58D6238F"/>
    <w:rsid w:val="58DE2787"/>
    <w:rsid w:val="58E35531"/>
    <w:rsid w:val="58E8183B"/>
    <w:rsid w:val="58F92620"/>
    <w:rsid w:val="590F1AB3"/>
    <w:rsid w:val="59184546"/>
    <w:rsid w:val="59253085"/>
    <w:rsid w:val="593212FE"/>
    <w:rsid w:val="59376914"/>
    <w:rsid w:val="593E1959"/>
    <w:rsid w:val="593E730A"/>
    <w:rsid w:val="594A2AEB"/>
    <w:rsid w:val="594D6137"/>
    <w:rsid w:val="59545718"/>
    <w:rsid w:val="595B0854"/>
    <w:rsid w:val="59617D35"/>
    <w:rsid w:val="596976EA"/>
    <w:rsid w:val="596B490D"/>
    <w:rsid w:val="597731B4"/>
    <w:rsid w:val="597933D0"/>
    <w:rsid w:val="598C3104"/>
    <w:rsid w:val="59A26483"/>
    <w:rsid w:val="59AD6BD6"/>
    <w:rsid w:val="59B144D1"/>
    <w:rsid w:val="59B2243E"/>
    <w:rsid w:val="59B47F65"/>
    <w:rsid w:val="59B83EF9"/>
    <w:rsid w:val="59BA41A7"/>
    <w:rsid w:val="59BE0EAE"/>
    <w:rsid w:val="59BE5287"/>
    <w:rsid w:val="59C0439F"/>
    <w:rsid w:val="59C208D3"/>
    <w:rsid w:val="59C503C4"/>
    <w:rsid w:val="59D5722A"/>
    <w:rsid w:val="59D979CB"/>
    <w:rsid w:val="59DA473E"/>
    <w:rsid w:val="59E50BDF"/>
    <w:rsid w:val="59F26C8F"/>
    <w:rsid w:val="59F40CA9"/>
    <w:rsid w:val="59FB3DE5"/>
    <w:rsid w:val="5A0172E6"/>
    <w:rsid w:val="5A166E71"/>
    <w:rsid w:val="5A1804F3"/>
    <w:rsid w:val="5A1A11EB"/>
    <w:rsid w:val="5A201A9E"/>
    <w:rsid w:val="5A2E7D17"/>
    <w:rsid w:val="5A2F1CE1"/>
    <w:rsid w:val="5A3A4AAE"/>
    <w:rsid w:val="5A3E5E68"/>
    <w:rsid w:val="5A44753A"/>
    <w:rsid w:val="5A4532B2"/>
    <w:rsid w:val="5A4C2FD0"/>
    <w:rsid w:val="5A4C4641"/>
    <w:rsid w:val="5A5B7F9E"/>
    <w:rsid w:val="5A5D41CF"/>
    <w:rsid w:val="5A687E65"/>
    <w:rsid w:val="5A690D4F"/>
    <w:rsid w:val="5A8738CB"/>
    <w:rsid w:val="5A8E6A07"/>
    <w:rsid w:val="5A971D60"/>
    <w:rsid w:val="5A9D4E9D"/>
    <w:rsid w:val="5AA61FA3"/>
    <w:rsid w:val="5AB67D0C"/>
    <w:rsid w:val="5ABA2A7F"/>
    <w:rsid w:val="5ABE2233"/>
    <w:rsid w:val="5AC01479"/>
    <w:rsid w:val="5AC02939"/>
    <w:rsid w:val="5AC42429"/>
    <w:rsid w:val="5AC71F19"/>
    <w:rsid w:val="5AC92B4C"/>
    <w:rsid w:val="5AD20FEA"/>
    <w:rsid w:val="5AD36B10"/>
    <w:rsid w:val="5ADA1C4D"/>
    <w:rsid w:val="5AE60037"/>
    <w:rsid w:val="5AE64A95"/>
    <w:rsid w:val="5AF97B5F"/>
    <w:rsid w:val="5B0311A3"/>
    <w:rsid w:val="5B0643E1"/>
    <w:rsid w:val="5B215ACE"/>
    <w:rsid w:val="5B236FBC"/>
    <w:rsid w:val="5B24736C"/>
    <w:rsid w:val="5B2B3EE4"/>
    <w:rsid w:val="5B323837"/>
    <w:rsid w:val="5B331092"/>
    <w:rsid w:val="5B3A26EB"/>
    <w:rsid w:val="5B3B3B63"/>
    <w:rsid w:val="5B4041A6"/>
    <w:rsid w:val="5B4A1A63"/>
    <w:rsid w:val="5B503CBD"/>
    <w:rsid w:val="5B5C08B4"/>
    <w:rsid w:val="5B5C4D58"/>
    <w:rsid w:val="5B61236E"/>
    <w:rsid w:val="5B6339F0"/>
    <w:rsid w:val="5B661732"/>
    <w:rsid w:val="5B6F6839"/>
    <w:rsid w:val="5B7C4AB2"/>
    <w:rsid w:val="5B7C6858"/>
    <w:rsid w:val="5B7E4CCE"/>
    <w:rsid w:val="5B7E5CDD"/>
    <w:rsid w:val="5B871DD5"/>
    <w:rsid w:val="5B8F6EDB"/>
    <w:rsid w:val="5B950EA3"/>
    <w:rsid w:val="5B995A83"/>
    <w:rsid w:val="5BA364E3"/>
    <w:rsid w:val="5BAA161F"/>
    <w:rsid w:val="5BBE156E"/>
    <w:rsid w:val="5BC14BBB"/>
    <w:rsid w:val="5BD1511A"/>
    <w:rsid w:val="5BD32F24"/>
    <w:rsid w:val="5BDF443B"/>
    <w:rsid w:val="5BDF5D95"/>
    <w:rsid w:val="5BE82147"/>
    <w:rsid w:val="5BEA2363"/>
    <w:rsid w:val="5BF029E5"/>
    <w:rsid w:val="5BFD241D"/>
    <w:rsid w:val="5BFE7528"/>
    <w:rsid w:val="5C000D17"/>
    <w:rsid w:val="5C042276"/>
    <w:rsid w:val="5C0E3D80"/>
    <w:rsid w:val="5C1A773E"/>
    <w:rsid w:val="5C1B251D"/>
    <w:rsid w:val="5C2A6C04"/>
    <w:rsid w:val="5C2B04AE"/>
    <w:rsid w:val="5C361105"/>
    <w:rsid w:val="5C3B2BBF"/>
    <w:rsid w:val="5C41641F"/>
    <w:rsid w:val="5C5428B7"/>
    <w:rsid w:val="5C5E3A27"/>
    <w:rsid w:val="5C5E3F5F"/>
    <w:rsid w:val="5C621EFA"/>
    <w:rsid w:val="5C695F45"/>
    <w:rsid w:val="5C7A36E7"/>
    <w:rsid w:val="5C7D0BFF"/>
    <w:rsid w:val="5C817227"/>
    <w:rsid w:val="5C8267E6"/>
    <w:rsid w:val="5C9B365E"/>
    <w:rsid w:val="5CA16DE3"/>
    <w:rsid w:val="5CA22C3E"/>
    <w:rsid w:val="5CB309A7"/>
    <w:rsid w:val="5CB62246"/>
    <w:rsid w:val="5CBB785C"/>
    <w:rsid w:val="5CBF559E"/>
    <w:rsid w:val="5CC26E3C"/>
    <w:rsid w:val="5CCA5AEC"/>
    <w:rsid w:val="5CD050B5"/>
    <w:rsid w:val="5CDE333D"/>
    <w:rsid w:val="5CE70F6C"/>
    <w:rsid w:val="5CE943C9"/>
    <w:rsid w:val="5CEE2982"/>
    <w:rsid w:val="5CEE5E83"/>
    <w:rsid w:val="5CF42D8C"/>
    <w:rsid w:val="5D053507"/>
    <w:rsid w:val="5D081F0B"/>
    <w:rsid w:val="5D110251"/>
    <w:rsid w:val="5D2111D0"/>
    <w:rsid w:val="5D2673CB"/>
    <w:rsid w:val="5D276C9F"/>
    <w:rsid w:val="5D2E2616"/>
    <w:rsid w:val="5D327FCC"/>
    <w:rsid w:val="5D4B6E32"/>
    <w:rsid w:val="5D4D6706"/>
    <w:rsid w:val="5D5374A7"/>
    <w:rsid w:val="5D59154F"/>
    <w:rsid w:val="5D656145"/>
    <w:rsid w:val="5D722610"/>
    <w:rsid w:val="5D755C5D"/>
    <w:rsid w:val="5D7B64BE"/>
    <w:rsid w:val="5D881E34"/>
    <w:rsid w:val="5D8F5C9C"/>
    <w:rsid w:val="5D9C143B"/>
    <w:rsid w:val="5D9C58DF"/>
    <w:rsid w:val="5DA460D9"/>
    <w:rsid w:val="5DAA1DAA"/>
    <w:rsid w:val="5DC010E3"/>
    <w:rsid w:val="5DC70D7B"/>
    <w:rsid w:val="5DD43000"/>
    <w:rsid w:val="5DD45079"/>
    <w:rsid w:val="5DD60DF1"/>
    <w:rsid w:val="5DD913BA"/>
    <w:rsid w:val="5DE33377"/>
    <w:rsid w:val="5DEC1EC5"/>
    <w:rsid w:val="5DF20031"/>
    <w:rsid w:val="5DF50B4C"/>
    <w:rsid w:val="5DFB2606"/>
    <w:rsid w:val="5DFC012C"/>
    <w:rsid w:val="5E113BD7"/>
    <w:rsid w:val="5E135BA1"/>
    <w:rsid w:val="5E145476"/>
    <w:rsid w:val="5E176D14"/>
    <w:rsid w:val="5E2467F1"/>
    <w:rsid w:val="5E2A6A47"/>
    <w:rsid w:val="5E2C6C63"/>
    <w:rsid w:val="5E3559B0"/>
    <w:rsid w:val="5E3B6EA6"/>
    <w:rsid w:val="5E45329D"/>
    <w:rsid w:val="5E483371"/>
    <w:rsid w:val="5E4A6A38"/>
    <w:rsid w:val="5E5464D1"/>
    <w:rsid w:val="5E547F68"/>
    <w:rsid w:val="5E60690D"/>
    <w:rsid w:val="5E6540DB"/>
    <w:rsid w:val="5E656142"/>
    <w:rsid w:val="5E666633"/>
    <w:rsid w:val="5E6C7060"/>
    <w:rsid w:val="5E7128C8"/>
    <w:rsid w:val="5E84084D"/>
    <w:rsid w:val="5EA54320"/>
    <w:rsid w:val="5EA762EA"/>
    <w:rsid w:val="5EA92062"/>
    <w:rsid w:val="5EBC0E54"/>
    <w:rsid w:val="5EC11FD5"/>
    <w:rsid w:val="5EC450EE"/>
    <w:rsid w:val="5EC6163E"/>
    <w:rsid w:val="5ECA0081"/>
    <w:rsid w:val="5ED115B9"/>
    <w:rsid w:val="5ED510A9"/>
    <w:rsid w:val="5EDA046D"/>
    <w:rsid w:val="5EDF3CD6"/>
    <w:rsid w:val="5EE906B0"/>
    <w:rsid w:val="5EEA2FC2"/>
    <w:rsid w:val="5EF2195D"/>
    <w:rsid w:val="5EF231C3"/>
    <w:rsid w:val="5F01554E"/>
    <w:rsid w:val="5F024BF3"/>
    <w:rsid w:val="5F081AA9"/>
    <w:rsid w:val="5F0B0627"/>
    <w:rsid w:val="5F0E0117"/>
    <w:rsid w:val="5F1119B5"/>
    <w:rsid w:val="5F155949"/>
    <w:rsid w:val="5F1A2B43"/>
    <w:rsid w:val="5F1A6ABC"/>
    <w:rsid w:val="5F1E1F19"/>
    <w:rsid w:val="5F2416E8"/>
    <w:rsid w:val="5F2D4A41"/>
    <w:rsid w:val="5F2E07B9"/>
    <w:rsid w:val="5F2F459B"/>
    <w:rsid w:val="5F3003BD"/>
    <w:rsid w:val="5F3538F6"/>
    <w:rsid w:val="5F3B6A32"/>
    <w:rsid w:val="5F5C0E82"/>
    <w:rsid w:val="5F6D12E1"/>
    <w:rsid w:val="5F700DD2"/>
    <w:rsid w:val="5F742670"/>
    <w:rsid w:val="5F7F3BB2"/>
    <w:rsid w:val="5F842398"/>
    <w:rsid w:val="5F8B79B9"/>
    <w:rsid w:val="5F9047A5"/>
    <w:rsid w:val="5FA44010"/>
    <w:rsid w:val="5FA55ABD"/>
    <w:rsid w:val="5FB34D06"/>
    <w:rsid w:val="5FB7255D"/>
    <w:rsid w:val="5FB837BB"/>
    <w:rsid w:val="5FB94285"/>
    <w:rsid w:val="5FBA5715"/>
    <w:rsid w:val="5FBE7D8F"/>
    <w:rsid w:val="5FC15189"/>
    <w:rsid w:val="5FC83656"/>
    <w:rsid w:val="5FD749AD"/>
    <w:rsid w:val="5FD8371D"/>
    <w:rsid w:val="5FD97828"/>
    <w:rsid w:val="5FDB426F"/>
    <w:rsid w:val="5FE4471A"/>
    <w:rsid w:val="5FE570CA"/>
    <w:rsid w:val="5FF12742"/>
    <w:rsid w:val="5FF4555F"/>
    <w:rsid w:val="5FFB4B3F"/>
    <w:rsid w:val="5FFC4F4D"/>
    <w:rsid w:val="600767E9"/>
    <w:rsid w:val="60084844"/>
    <w:rsid w:val="600B417B"/>
    <w:rsid w:val="601B4575"/>
    <w:rsid w:val="601B4DC9"/>
    <w:rsid w:val="603242D9"/>
    <w:rsid w:val="603A5F3F"/>
    <w:rsid w:val="603B318E"/>
    <w:rsid w:val="603E07AE"/>
    <w:rsid w:val="60457B68"/>
    <w:rsid w:val="6046026B"/>
    <w:rsid w:val="60502D88"/>
    <w:rsid w:val="60522285"/>
    <w:rsid w:val="6065645C"/>
    <w:rsid w:val="60781824"/>
    <w:rsid w:val="607C7302"/>
    <w:rsid w:val="60824520"/>
    <w:rsid w:val="608C1C3B"/>
    <w:rsid w:val="6098413C"/>
    <w:rsid w:val="60BA50CA"/>
    <w:rsid w:val="60BB607C"/>
    <w:rsid w:val="60C0453D"/>
    <w:rsid w:val="60C3313B"/>
    <w:rsid w:val="60C362BD"/>
    <w:rsid w:val="60C75050"/>
    <w:rsid w:val="60CC405A"/>
    <w:rsid w:val="60D3786A"/>
    <w:rsid w:val="60DE5FC9"/>
    <w:rsid w:val="60E07891"/>
    <w:rsid w:val="60EA0710"/>
    <w:rsid w:val="60EE3770"/>
    <w:rsid w:val="60FB4C67"/>
    <w:rsid w:val="60FC22A0"/>
    <w:rsid w:val="610C5C38"/>
    <w:rsid w:val="610D03E6"/>
    <w:rsid w:val="611934A3"/>
    <w:rsid w:val="611A4046"/>
    <w:rsid w:val="611C5279"/>
    <w:rsid w:val="611D1740"/>
    <w:rsid w:val="612956DC"/>
    <w:rsid w:val="613A51F3"/>
    <w:rsid w:val="613D2F35"/>
    <w:rsid w:val="61471ACE"/>
    <w:rsid w:val="614918DA"/>
    <w:rsid w:val="615B502A"/>
    <w:rsid w:val="615F7CCE"/>
    <w:rsid w:val="6161187F"/>
    <w:rsid w:val="61686204"/>
    <w:rsid w:val="61695AD8"/>
    <w:rsid w:val="616B1851"/>
    <w:rsid w:val="616E30EF"/>
    <w:rsid w:val="6171498D"/>
    <w:rsid w:val="61724C0A"/>
    <w:rsid w:val="61753621"/>
    <w:rsid w:val="617A1A94"/>
    <w:rsid w:val="617F52FC"/>
    <w:rsid w:val="618446C0"/>
    <w:rsid w:val="618A317B"/>
    <w:rsid w:val="618E3791"/>
    <w:rsid w:val="61903065"/>
    <w:rsid w:val="61963FB3"/>
    <w:rsid w:val="619863BE"/>
    <w:rsid w:val="619A0242"/>
    <w:rsid w:val="61A64B2F"/>
    <w:rsid w:val="61AE18F8"/>
    <w:rsid w:val="61B03707"/>
    <w:rsid w:val="61B551CA"/>
    <w:rsid w:val="61B620CE"/>
    <w:rsid w:val="61B6665A"/>
    <w:rsid w:val="61BA6082"/>
    <w:rsid w:val="61BD0199"/>
    <w:rsid w:val="61BD1E28"/>
    <w:rsid w:val="61D2367E"/>
    <w:rsid w:val="61D5318F"/>
    <w:rsid w:val="61D64241"/>
    <w:rsid w:val="61D82673"/>
    <w:rsid w:val="61E215D8"/>
    <w:rsid w:val="61E86D77"/>
    <w:rsid w:val="61EB0BE3"/>
    <w:rsid w:val="61F22F82"/>
    <w:rsid w:val="61FB227B"/>
    <w:rsid w:val="61FE0917"/>
    <w:rsid w:val="61FE25AB"/>
    <w:rsid w:val="6208709F"/>
    <w:rsid w:val="62126170"/>
    <w:rsid w:val="621A6DD3"/>
    <w:rsid w:val="621B3775"/>
    <w:rsid w:val="6223037D"/>
    <w:rsid w:val="6223212B"/>
    <w:rsid w:val="623427DD"/>
    <w:rsid w:val="62347E94"/>
    <w:rsid w:val="62364782"/>
    <w:rsid w:val="6239194F"/>
    <w:rsid w:val="623D5320"/>
    <w:rsid w:val="62441245"/>
    <w:rsid w:val="624E77E0"/>
    <w:rsid w:val="62527017"/>
    <w:rsid w:val="625B18C5"/>
    <w:rsid w:val="6263685B"/>
    <w:rsid w:val="6269042F"/>
    <w:rsid w:val="62742987"/>
    <w:rsid w:val="627A1D46"/>
    <w:rsid w:val="627C183B"/>
    <w:rsid w:val="62976675"/>
    <w:rsid w:val="629D0C87"/>
    <w:rsid w:val="62A77CC4"/>
    <w:rsid w:val="62AA45FB"/>
    <w:rsid w:val="62AC0373"/>
    <w:rsid w:val="62AE5943"/>
    <w:rsid w:val="62B466B2"/>
    <w:rsid w:val="62B56875"/>
    <w:rsid w:val="62B76D39"/>
    <w:rsid w:val="62BA3381"/>
    <w:rsid w:val="62BC7E8A"/>
    <w:rsid w:val="62BD2580"/>
    <w:rsid w:val="62C54F90"/>
    <w:rsid w:val="62C652A8"/>
    <w:rsid w:val="62CC631F"/>
    <w:rsid w:val="62CF4061"/>
    <w:rsid w:val="62D41677"/>
    <w:rsid w:val="62D81168"/>
    <w:rsid w:val="62DF7FAD"/>
    <w:rsid w:val="62E0626E"/>
    <w:rsid w:val="62E80F92"/>
    <w:rsid w:val="62FB4E56"/>
    <w:rsid w:val="62FD472A"/>
    <w:rsid w:val="63100901"/>
    <w:rsid w:val="632403C9"/>
    <w:rsid w:val="63316ACA"/>
    <w:rsid w:val="63353F73"/>
    <w:rsid w:val="6338473A"/>
    <w:rsid w:val="6341642D"/>
    <w:rsid w:val="63514A76"/>
    <w:rsid w:val="635528E7"/>
    <w:rsid w:val="635A392B"/>
    <w:rsid w:val="636522D0"/>
    <w:rsid w:val="636546F1"/>
    <w:rsid w:val="636A6ADE"/>
    <w:rsid w:val="636E5628"/>
    <w:rsid w:val="636F3123"/>
    <w:rsid w:val="636F60A0"/>
    <w:rsid w:val="63731C84"/>
    <w:rsid w:val="63766E52"/>
    <w:rsid w:val="637C0CE8"/>
    <w:rsid w:val="637F378A"/>
    <w:rsid w:val="638B61DA"/>
    <w:rsid w:val="639112EC"/>
    <w:rsid w:val="6394356A"/>
    <w:rsid w:val="63950E07"/>
    <w:rsid w:val="639808F7"/>
    <w:rsid w:val="63A33078"/>
    <w:rsid w:val="63AB4186"/>
    <w:rsid w:val="63AC229C"/>
    <w:rsid w:val="63AD6150"/>
    <w:rsid w:val="63B219B9"/>
    <w:rsid w:val="63C61B2C"/>
    <w:rsid w:val="63C86DC4"/>
    <w:rsid w:val="63CA6A7B"/>
    <w:rsid w:val="63D27965"/>
    <w:rsid w:val="63D368D7"/>
    <w:rsid w:val="63D40BE9"/>
    <w:rsid w:val="63D83B02"/>
    <w:rsid w:val="63F85CD2"/>
    <w:rsid w:val="64026D55"/>
    <w:rsid w:val="64045A64"/>
    <w:rsid w:val="6408782B"/>
    <w:rsid w:val="64102431"/>
    <w:rsid w:val="64137808"/>
    <w:rsid w:val="6415234D"/>
    <w:rsid w:val="64264155"/>
    <w:rsid w:val="642764DF"/>
    <w:rsid w:val="642B6B35"/>
    <w:rsid w:val="643C1B0B"/>
    <w:rsid w:val="644A7AB6"/>
    <w:rsid w:val="64523A6D"/>
    <w:rsid w:val="6461518D"/>
    <w:rsid w:val="64630F05"/>
    <w:rsid w:val="64680FC0"/>
    <w:rsid w:val="646C2758"/>
    <w:rsid w:val="64721148"/>
    <w:rsid w:val="64760C38"/>
    <w:rsid w:val="64807B48"/>
    <w:rsid w:val="64A31301"/>
    <w:rsid w:val="64A5243A"/>
    <w:rsid w:val="64A55079"/>
    <w:rsid w:val="64A70DF2"/>
    <w:rsid w:val="64B67287"/>
    <w:rsid w:val="64B81251"/>
    <w:rsid w:val="64BA36C3"/>
    <w:rsid w:val="64BB5AC9"/>
    <w:rsid w:val="64CD1CA4"/>
    <w:rsid w:val="64D4770D"/>
    <w:rsid w:val="64D911C7"/>
    <w:rsid w:val="64F531DE"/>
    <w:rsid w:val="64F53B1A"/>
    <w:rsid w:val="64F61D79"/>
    <w:rsid w:val="64F953C5"/>
    <w:rsid w:val="65077127"/>
    <w:rsid w:val="650F4BE9"/>
    <w:rsid w:val="65132A69"/>
    <w:rsid w:val="65136487"/>
    <w:rsid w:val="65155D05"/>
    <w:rsid w:val="651B17E0"/>
    <w:rsid w:val="6520099E"/>
    <w:rsid w:val="652C7549"/>
    <w:rsid w:val="65320BF9"/>
    <w:rsid w:val="65373578"/>
    <w:rsid w:val="654725D5"/>
    <w:rsid w:val="654A3AC4"/>
    <w:rsid w:val="654B3E73"/>
    <w:rsid w:val="654C1999"/>
    <w:rsid w:val="65544D07"/>
    <w:rsid w:val="655E476C"/>
    <w:rsid w:val="655F31D5"/>
    <w:rsid w:val="65616448"/>
    <w:rsid w:val="65624D19"/>
    <w:rsid w:val="65782435"/>
    <w:rsid w:val="65897ED6"/>
    <w:rsid w:val="658D470B"/>
    <w:rsid w:val="658F77B8"/>
    <w:rsid w:val="65901886"/>
    <w:rsid w:val="659429BB"/>
    <w:rsid w:val="659868BE"/>
    <w:rsid w:val="6598698C"/>
    <w:rsid w:val="659A0956"/>
    <w:rsid w:val="65A2780B"/>
    <w:rsid w:val="65A5434C"/>
    <w:rsid w:val="65A83A16"/>
    <w:rsid w:val="65AD68DC"/>
    <w:rsid w:val="65AE61B0"/>
    <w:rsid w:val="65B35574"/>
    <w:rsid w:val="65B44E90"/>
    <w:rsid w:val="65B5753E"/>
    <w:rsid w:val="65B6475E"/>
    <w:rsid w:val="65B97F7E"/>
    <w:rsid w:val="65BA4B55"/>
    <w:rsid w:val="65DB5F99"/>
    <w:rsid w:val="65DC2D1D"/>
    <w:rsid w:val="65F06E06"/>
    <w:rsid w:val="65F2267F"/>
    <w:rsid w:val="65FA13F5"/>
    <w:rsid w:val="660202AA"/>
    <w:rsid w:val="661713A2"/>
    <w:rsid w:val="661C75BD"/>
    <w:rsid w:val="662A169A"/>
    <w:rsid w:val="6635242D"/>
    <w:rsid w:val="66522FDF"/>
    <w:rsid w:val="666176C6"/>
    <w:rsid w:val="66634050"/>
    <w:rsid w:val="666618FF"/>
    <w:rsid w:val="667473F9"/>
    <w:rsid w:val="66836399"/>
    <w:rsid w:val="668533B4"/>
    <w:rsid w:val="669058B5"/>
    <w:rsid w:val="66A56750"/>
    <w:rsid w:val="66A617FA"/>
    <w:rsid w:val="66A82BFF"/>
    <w:rsid w:val="66A86E60"/>
    <w:rsid w:val="66A955AA"/>
    <w:rsid w:val="66B15F58"/>
    <w:rsid w:val="66B443E8"/>
    <w:rsid w:val="66BE0674"/>
    <w:rsid w:val="66C814F3"/>
    <w:rsid w:val="66CD6B09"/>
    <w:rsid w:val="66D02156"/>
    <w:rsid w:val="66D63C10"/>
    <w:rsid w:val="66DE4873"/>
    <w:rsid w:val="66E75F82"/>
    <w:rsid w:val="66EA796E"/>
    <w:rsid w:val="67044DCA"/>
    <w:rsid w:val="67136C12"/>
    <w:rsid w:val="6715319B"/>
    <w:rsid w:val="67193AFD"/>
    <w:rsid w:val="671F124A"/>
    <w:rsid w:val="67304B97"/>
    <w:rsid w:val="67336007"/>
    <w:rsid w:val="67395F4D"/>
    <w:rsid w:val="673B5F14"/>
    <w:rsid w:val="673D162D"/>
    <w:rsid w:val="673F50FA"/>
    <w:rsid w:val="674212A6"/>
    <w:rsid w:val="67452B44"/>
    <w:rsid w:val="674D4CE2"/>
    <w:rsid w:val="67584625"/>
    <w:rsid w:val="676174D7"/>
    <w:rsid w:val="67627252"/>
    <w:rsid w:val="676C6322"/>
    <w:rsid w:val="676E209B"/>
    <w:rsid w:val="676F5D38"/>
    <w:rsid w:val="677A33C6"/>
    <w:rsid w:val="67873AF1"/>
    <w:rsid w:val="6788081E"/>
    <w:rsid w:val="67902011"/>
    <w:rsid w:val="67B304D6"/>
    <w:rsid w:val="67B81568"/>
    <w:rsid w:val="67B97DDD"/>
    <w:rsid w:val="67BA1B06"/>
    <w:rsid w:val="67BF6452"/>
    <w:rsid w:val="67C615F0"/>
    <w:rsid w:val="67CA446A"/>
    <w:rsid w:val="67CA4DF7"/>
    <w:rsid w:val="67CD5013"/>
    <w:rsid w:val="67D31EFE"/>
    <w:rsid w:val="67DA188B"/>
    <w:rsid w:val="67DC5256"/>
    <w:rsid w:val="67DD0864"/>
    <w:rsid w:val="67DD0BFE"/>
    <w:rsid w:val="67DF6B55"/>
    <w:rsid w:val="67E91721"/>
    <w:rsid w:val="67F307F2"/>
    <w:rsid w:val="67F65449"/>
    <w:rsid w:val="67FC37A4"/>
    <w:rsid w:val="67FD1E64"/>
    <w:rsid w:val="680065E4"/>
    <w:rsid w:val="6804655B"/>
    <w:rsid w:val="680D411A"/>
    <w:rsid w:val="68104F00"/>
    <w:rsid w:val="681519DD"/>
    <w:rsid w:val="68171A2C"/>
    <w:rsid w:val="68183DB4"/>
    <w:rsid w:val="681D761D"/>
    <w:rsid w:val="681F6961"/>
    <w:rsid w:val="6828049B"/>
    <w:rsid w:val="682C2CF4"/>
    <w:rsid w:val="68324E76"/>
    <w:rsid w:val="68395E88"/>
    <w:rsid w:val="683D381B"/>
    <w:rsid w:val="68434C11"/>
    <w:rsid w:val="684825E0"/>
    <w:rsid w:val="684A4A27"/>
    <w:rsid w:val="684E5A28"/>
    <w:rsid w:val="685079F2"/>
    <w:rsid w:val="685E210F"/>
    <w:rsid w:val="68610A2F"/>
    <w:rsid w:val="686139AD"/>
    <w:rsid w:val="68703BF0"/>
    <w:rsid w:val="68751AA8"/>
    <w:rsid w:val="687B7615"/>
    <w:rsid w:val="687E00BB"/>
    <w:rsid w:val="68805514"/>
    <w:rsid w:val="688425FF"/>
    <w:rsid w:val="688651C2"/>
    <w:rsid w:val="688F22C8"/>
    <w:rsid w:val="6890266E"/>
    <w:rsid w:val="689478DF"/>
    <w:rsid w:val="689719E3"/>
    <w:rsid w:val="68B41F83"/>
    <w:rsid w:val="68B43ADD"/>
    <w:rsid w:val="68B46874"/>
    <w:rsid w:val="68C2564E"/>
    <w:rsid w:val="68C301C4"/>
    <w:rsid w:val="68C77CB4"/>
    <w:rsid w:val="68CD1043"/>
    <w:rsid w:val="68D423D1"/>
    <w:rsid w:val="68D45F2D"/>
    <w:rsid w:val="68DD74D8"/>
    <w:rsid w:val="68E02B24"/>
    <w:rsid w:val="68E51EE8"/>
    <w:rsid w:val="68F4037D"/>
    <w:rsid w:val="68F760C0"/>
    <w:rsid w:val="69012A9A"/>
    <w:rsid w:val="690A194F"/>
    <w:rsid w:val="690A5DF3"/>
    <w:rsid w:val="690F6F65"/>
    <w:rsid w:val="691602F4"/>
    <w:rsid w:val="69165FA1"/>
    <w:rsid w:val="6917560A"/>
    <w:rsid w:val="691A127E"/>
    <w:rsid w:val="691B1DAE"/>
    <w:rsid w:val="691B3B5C"/>
    <w:rsid w:val="691B7270"/>
    <w:rsid w:val="691D3B46"/>
    <w:rsid w:val="6922138F"/>
    <w:rsid w:val="692C35D8"/>
    <w:rsid w:val="692F7B9E"/>
    <w:rsid w:val="69316E2F"/>
    <w:rsid w:val="694A4441"/>
    <w:rsid w:val="694E2071"/>
    <w:rsid w:val="69583BF5"/>
    <w:rsid w:val="695B03FD"/>
    <w:rsid w:val="6965127B"/>
    <w:rsid w:val="69652D39"/>
    <w:rsid w:val="696B5AC8"/>
    <w:rsid w:val="69766163"/>
    <w:rsid w:val="697A3B33"/>
    <w:rsid w:val="697B0A9F"/>
    <w:rsid w:val="699102C2"/>
    <w:rsid w:val="69977D32"/>
    <w:rsid w:val="69AC0C58"/>
    <w:rsid w:val="69B30239"/>
    <w:rsid w:val="69B55AF0"/>
    <w:rsid w:val="69BA3040"/>
    <w:rsid w:val="69C04704"/>
    <w:rsid w:val="69C441F4"/>
    <w:rsid w:val="69D106BF"/>
    <w:rsid w:val="69D44760"/>
    <w:rsid w:val="69E80843"/>
    <w:rsid w:val="69EC6364"/>
    <w:rsid w:val="69F32F6D"/>
    <w:rsid w:val="69FC398E"/>
    <w:rsid w:val="6A022F6E"/>
    <w:rsid w:val="6A065349"/>
    <w:rsid w:val="6A072332"/>
    <w:rsid w:val="6A10568B"/>
    <w:rsid w:val="6A1D1B56"/>
    <w:rsid w:val="6A352F84"/>
    <w:rsid w:val="6A372C18"/>
    <w:rsid w:val="6A3A0EB1"/>
    <w:rsid w:val="6A486BD3"/>
    <w:rsid w:val="6A507835"/>
    <w:rsid w:val="6A520EC7"/>
    <w:rsid w:val="6A586AD4"/>
    <w:rsid w:val="6A5C442C"/>
    <w:rsid w:val="6A6634FD"/>
    <w:rsid w:val="6A696B49"/>
    <w:rsid w:val="6A6B3440"/>
    <w:rsid w:val="6A707ED8"/>
    <w:rsid w:val="6A774F18"/>
    <w:rsid w:val="6A7D62B1"/>
    <w:rsid w:val="6A7F011B"/>
    <w:rsid w:val="6A843983"/>
    <w:rsid w:val="6A883473"/>
    <w:rsid w:val="6A9C2A7B"/>
    <w:rsid w:val="6AA62616"/>
    <w:rsid w:val="6AAF1E18"/>
    <w:rsid w:val="6AB02EEF"/>
    <w:rsid w:val="6AB55DE7"/>
    <w:rsid w:val="6AB778B5"/>
    <w:rsid w:val="6ABA1153"/>
    <w:rsid w:val="6AC10733"/>
    <w:rsid w:val="6AC41FD2"/>
    <w:rsid w:val="6AC801AA"/>
    <w:rsid w:val="6ACD636D"/>
    <w:rsid w:val="6AD66FD5"/>
    <w:rsid w:val="6AD93CCF"/>
    <w:rsid w:val="6AE00865"/>
    <w:rsid w:val="6AE10DD5"/>
    <w:rsid w:val="6AE82164"/>
    <w:rsid w:val="6AED32D6"/>
    <w:rsid w:val="6AED7525"/>
    <w:rsid w:val="6AF503DD"/>
    <w:rsid w:val="6AF87E20"/>
    <w:rsid w:val="6B054A88"/>
    <w:rsid w:val="6B0B3C2C"/>
    <w:rsid w:val="6B160A7F"/>
    <w:rsid w:val="6B1B6095"/>
    <w:rsid w:val="6B322639"/>
    <w:rsid w:val="6B3709F5"/>
    <w:rsid w:val="6B376BCA"/>
    <w:rsid w:val="6B427AC6"/>
    <w:rsid w:val="6B56531F"/>
    <w:rsid w:val="6B590F0D"/>
    <w:rsid w:val="6B5F343C"/>
    <w:rsid w:val="6B645AC3"/>
    <w:rsid w:val="6B713F07"/>
    <w:rsid w:val="6B7439F8"/>
    <w:rsid w:val="6B763D5C"/>
    <w:rsid w:val="6B767770"/>
    <w:rsid w:val="6B7B39F0"/>
    <w:rsid w:val="6B803F02"/>
    <w:rsid w:val="6B845D74"/>
    <w:rsid w:val="6B8864B3"/>
    <w:rsid w:val="6B8B77E1"/>
    <w:rsid w:val="6B8D6C37"/>
    <w:rsid w:val="6B8F25DF"/>
    <w:rsid w:val="6B9145AA"/>
    <w:rsid w:val="6B985938"/>
    <w:rsid w:val="6BA53BB1"/>
    <w:rsid w:val="6BAC2C9C"/>
    <w:rsid w:val="6BBC4CDE"/>
    <w:rsid w:val="6BCE4EB6"/>
    <w:rsid w:val="6BCF0C2E"/>
    <w:rsid w:val="6BCF7E1F"/>
    <w:rsid w:val="6BE0108D"/>
    <w:rsid w:val="6BE50C89"/>
    <w:rsid w:val="6BE56D52"/>
    <w:rsid w:val="6BE60DC5"/>
    <w:rsid w:val="6BE75F78"/>
    <w:rsid w:val="6BFA214F"/>
    <w:rsid w:val="6C007039"/>
    <w:rsid w:val="6C027255"/>
    <w:rsid w:val="6C05153C"/>
    <w:rsid w:val="6C0C59DE"/>
    <w:rsid w:val="6C117498"/>
    <w:rsid w:val="6C180827"/>
    <w:rsid w:val="6C1D7BEB"/>
    <w:rsid w:val="6C276CBC"/>
    <w:rsid w:val="6C3311BD"/>
    <w:rsid w:val="6C35557F"/>
    <w:rsid w:val="6C36125E"/>
    <w:rsid w:val="6C3A254B"/>
    <w:rsid w:val="6C3C0154"/>
    <w:rsid w:val="6C445178"/>
    <w:rsid w:val="6C47204A"/>
    <w:rsid w:val="6C472EBA"/>
    <w:rsid w:val="6C496C32"/>
    <w:rsid w:val="6C4E1D42"/>
    <w:rsid w:val="6C507FC1"/>
    <w:rsid w:val="6C563E53"/>
    <w:rsid w:val="6C5A0E3F"/>
    <w:rsid w:val="6C636C38"/>
    <w:rsid w:val="6C6B6BA9"/>
    <w:rsid w:val="6C757D94"/>
    <w:rsid w:val="6C847C6A"/>
    <w:rsid w:val="6CA65E33"/>
    <w:rsid w:val="6CAC3E0C"/>
    <w:rsid w:val="6CBC5656"/>
    <w:rsid w:val="6CD429A0"/>
    <w:rsid w:val="6CE60925"/>
    <w:rsid w:val="6CEB1A97"/>
    <w:rsid w:val="6CED1CB3"/>
    <w:rsid w:val="6CED45FF"/>
    <w:rsid w:val="6CF272CA"/>
    <w:rsid w:val="6CF941B4"/>
    <w:rsid w:val="6CFC7FBF"/>
    <w:rsid w:val="6D033285"/>
    <w:rsid w:val="6D087E27"/>
    <w:rsid w:val="6D0B14CF"/>
    <w:rsid w:val="6D0B3EE8"/>
    <w:rsid w:val="6D0D1E15"/>
    <w:rsid w:val="6D0F4B4D"/>
    <w:rsid w:val="6D176D30"/>
    <w:rsid w:val="6D183A32"/>
    <w:rsid w:val="6D1C03B5"/>
    <w:rsid w:val="6D24356E"/>
    <w:rsid w:val="6D282CEC"/>
    <w:rsid w:val="6D2B458A"/>
    <w:rsid w:val="6D2B6338"/>
    <w:rsid w:val="6D350D33"/>
    <w:rsid w:val="6D372470"/>
    <w:rsid w:val="6D3856BC"/>
    <w:rsid w:val="6D4713C4"/>
    <w:rsid w:val="6D4C71B2"/>
    <w:rsid w:val="6D5E495F"/>
    <w:rsid w:val="6D5F0076"/>
    <w:rsid w:val="6D605D38"/>
    <w:rsid w:val="6D672924"/>
    <w:rsid w:val="6D6C2BD8"/>
    <w:rsid w:val="6D736A29"/>
    <w:rsid w:val="6D785A21"/>
    <w:rsid w:val="6D7B72BF"/>
    <w:rsid w:val="6D846795"/>
    <w:rsid w:val="6D8A7502"/>
    <w:rsid w:val="6D94212F"/>
    <w:rsid w:val="6D946709"/>
    <w:rsid w:val="6D9B7742"/>
    <w:rsid w:val="6DAC7FE1"/>
    <w:rsid w:val="6DB34098"/>
    <w:rsid w:val="6DB545B6"/>
    <w:rsid w:val="6DBE71AC"/>
    <w:rsid w:val="6DC04CD2"/>
    <w:rsid w:val="6DC87A8E"/>
    <w:rsid w:val="6DC87C44"/>
    <w:rsid w:val="6DCC3677"/>
    <w:rsid w:val="6DD32C57"/>
    <w:rsid w:val="6DD35D88"/>
    <w:rsid w:val="6DD4077E"/>
    <w:rsid w:val="6DD864C0"/>
    <w:rsid w:val="6DE02FB4"/>
    <w:rsid w:val="6DE541BD"/>
    <w:rsid w:val="6DE546DD"/>
    <w:rsid w:val="6DF17581"/>
    <w:rsid w:val="6E075FA3"/>
    <w:rsid w:val="6E0B3564"/>
    <w:rsid w:val="6E144E55"/>
    <w:rsid w:val="6E184B0E"/>
    <w:rsid w:val="6E22598D"/>
    <w:rsid w:val="6E2F0BDE"/>
    <w:rsid w:val="6E34430D"/>
    <w:rsid w:val="6E377A05"/>
    <w:rsid w:val="6E3B2802"/>
    <w:rsid w:val="6E514CED"/>
    <w:rsid w:val="6E562D73"/>
    <w:rsid w:val="6E565636"/>
    <w:rsid w:val="6E573888"/>
    <w:rsid w:val="6E5978B6"/>
    <w:rsid w:val="6E5D4C17"/>
    <w:rsid w:val="6E63733A"/>
    <w:rsid w:val="6E775CD9"/>
    <w:rsid w:val="6E867CCA"/>
    <w:rsid w:val="6E875728"/>
    <w:rsid w:val="6E8757F0"/>
    <w:rsid w:val="6E8E6B7E"/>
    <w:rsid w:val="6E985C4F"/>
    <w:rsid w:val="6E9879FD"/>
    <w:rsid w:val="6EA0249F"/>
    <w:rsid w:val="6EA03AC1"/>
    <w:rsid w:val="6EB0287E"/>
    <w:rsid w:val="6EB563D5"/>
    <w:rsid w:val="6EBD1288"/>
    <w:rsid w:val="6ECB392F"/>
    <w:rsid w:val="6ECD3B4B"/>
    <w:rsid w:val="6ED92677"/>
    <w:rsid w:val="6ED96612"/>
    <w:rsid w:val="6EDD0ED1"/>
    <w:rsid w:val="6EEA2E3D"/>
    <w:rsid w:val="6EF00976"/>
    <w:rsid w:val="6EF248F1"/>
    <w:rsid w:val="6EFA4214"/>
    <w:rsid w:val="6F08284F"/>
    <w:rsid w:val="6F086931"/>
    <w:rsid w:val="6F15179D"/>
    <w:rsid w:val="6F162CBE"/>
    <w:rsid w:val="6F184487"/>
    <w:rsid w:val="6F1C418A"/>
    <w:rsid w:val="6F225983"/>
    <w:rsid w:val="6F260CBC"/>
    <w:rsid w:val="6F33219C"/>
    <w:rsid w:val="6F3E67F6"/>
    <w:rsid w:val="6F42195E"/>
    <w:rsid w:val="6F450EF4"/>
    <w:rsid w:val="6F4A6F49"/>
    <w:rsid w:val="6F655B31"/>
    <w:rsid w:val="6F687E8A"/>
    <w:rsid w:val="6F697D59"/>
    <w:rsid w:val="6F80296B"/>
    <w:rsid w:val="6F8A1A3C"/>
    <w:rsid w:val="6F8C57B4"/>
    <w:rsid w:val="6FA355A6"/>
    <w:rsid w:val="6FA36659"/>
    <w:rsid w:val="6FA71DBC"/>
    <w:rsid w:val="6FB16FC8"/>
    <w:rsid w:val="6FB75961"/>
    <w:rsid w:val="6FC54822"/>
    <w:rsid w:val="6FD341E3"/>
    <w:rsid w:val="6FD40F09"/>
    <w:rsid w:val="6FE078AE"/>
    <w:rsid w:val="6FE3114C"/>
    <w:rsid w:val="6FE4739E"/>
    <w:rsid w:val="6FEA0167"/>
    <w:rsid w:val="6FED5B27"/>
    <w:rsid w:val="6FF173C5"/>
    <w:rsid w:val="6FFC5590"/>
    <w:rsid w:val="70010145"/>
    <w:rsid w:val="7004359C"/>
    <w:rsid w:val="700A492A"/>
    <w:rsid w:val="700A66D9"/>
    <w:rsid w:val="700D7F77"/>
    <w:rsid w:val="70217A86"/>
    <w:rsid w:val="70311EB7"/>
    <w:rsid w:val="703C2F7E"/>
    <w:rsid w:val="70447388"/>
    <w:rsid w:val="70457C8C"/>
    <w:rsid w:val="704741CE"/>
    <w:rsid w:val="704A2F79"/>
    <w:rsid w:val="704E3A0C"/>
    <w:rsid w:val="7055204A"/>
    <w:rsid w:val="705B6A48"/>
    <w:rsid w:val="7064228D"/>
    <w:rsid w:val="706933FF"/>
    <w:rsid w:val="706D1DD0"/>
    <w:rsid w:val="70710506"/>
    <w:rsid w:val="7075449A"/>
    <w:rsid w:val="707550D2"/>
    <w:rsid w:val="70761FC0"/>
    <w:rsid w:val="708446DD"/>
    <w:rsid w:val="70856B87"/>
    <w:rsid w:val="708C3591"/>
    <w:rsid w:val="70910BA8"/>
    <w:rsid w:val="709F713D"/>
    <w:rsid w:val="70A33376"/>
    <w:rsid w:val="70B12FF8"/>
    <w:rsid w:val="70B62DCD"/>
    <w:rsid w:val="70B86135"/>
    <w:rsid w:val="70BD199D"/>
    <w:rsid w:val="70BD2481"/>
    <w:rsid w:val="70BF3967"/>
    <w:rsid w:val="70C5054A"/>
    <w:rsid w:val="70C525FF"/>
    <w:rsid w:val="70CA3E8B"/>
    <w:rsid w:val="70D527EE"/>
    <w:rsid w:val="70D64AC3"/>
    <w:rsid w:val="70D859B1"/>
    <w:rsid w:val="70E13317"/>
    <w:rsid w:val="70E4517B"/>
    <w:rsid w:val="70E61366"/>
    <w:rsid w:val="70E909E4"/>
    <w:rsid w:val="70F133F4"/>
    <w:rsid w:val="70FD7795"/>
    <w:rsid w:val="71044B32"/>
    <w:rsid w:val="710650F2"/>
    <w:rsid w:val="71082F8E"/>
    <w:rsid w:val="710B3DC7"/>
    <w:rsid w:val="710D46D2"/>
    <w:rsid w:val="71125845"/>
    <w:rsid w:val="71153587"/>
    <w:rsid w:val="711A294B"/>
    <w:rsid w:val="711A6DEF"/>
    <w:rsid w:val="711D243B"/>
    <w:rsid w:val="711E068D"/>
    <w:rsid w:val="71267542"/>
    <w:rsid w:val="71374478"/>
    <w:rsid w:val="71387836"/>
    <w:rsid w:val="713F52B8"/>
    <w:rsid w:val="714479C8"/>
    <w:rsid w:val="715A543E"/>
    <w:rsid w:val="715B5300"/>
    <w:rsid w:val="71787AB8"/>
    <w:rsid w:val="71791D68"/>
    <w:rsid w:val="717D3DB8"/>
    <w:rsid w:val="71855FE6"/>
    <w:rsid w:val="71876217"/>
    <w:rsid w:val="7196676D"/>
    <w:rsid w:val="719B1193"/>
    <w:rsid w:val="719C15B2"/>
    <w:rsid w:val="71A1306D"/>
    <w:rsid w:val="71A90121"/>
    <w:rsid w:val="71AA3CCF"/>
    <w:rsid w:val="71B44B4E"/>
    <w:rsid w:val="71BA7C8A"/>
    <w:rsid w:val="71BB4E1E"/>
    <w:rsid w:val="71BC0507"/>
    <w:rsid w:val="71D27F8A"/>
    <w:rsid w:val="71D71745"/>
    <w:rsid w:val="71ED1E0E"/>
    <w:rsid w:val="71FB277D"/>
    <w:rsid w:val="71FE226D"/>
    <w:rsid w:val="71FF6EA4"/>
    <w:rsid w:val="72021B5A"/>
    <w:rsid w:val="720E0702"/>
    <w:rsid w:val="72227D09"/>
    <w:rsid w:val="72275320"/>
    <w:rsid w:val="7229553C"/>
    <w:rsid w:val="722F68CA"/>
    <w:rsid w:val="72306EC0"/>
    <w:rsid w:val="72321381"/>
    <w:rsid w:val="72381946"/>
    <w:rsid w:val="723E08BB"/>
    <w:rsid w:val="723F4D5F"/>
    <w:rsid w:val="723F6B0D"/>
    <w:rsid w:val="72455C32"/>
    <w:rsid w:val="72473C14"/>
    <w:rsid w:val="724E4FA2"/>
    <w:rsid w:val="72553024"/>
    <w:rsid w:val="72563E57"/>
    <w:rsid w:val="7258372B"/>
    <w:rsid w:val="726B684E"/>
    <w:rsid w:val="72715C07"/>
    <w:rsid w:val="72780225"/>
    <w:rsid w:val="727D7636"/>
    <w:rsid w:val="72824C4C"/>
    <w:rsid w:val="728C7879"/>
    <w:rsid w:val="728E35F1"/>
    <w:rsid w:val="7294672D"/>
    <w:rsid w:val="729B69D7"/>
    <w:rsid w:val="729D1DB6"/>
    <w:rsid w:val="72B556A2"/>
    <w:rsid w:val="72BD2C86"/>
    <w:rsid w:val="72C35DBB"/>
    <w:rsid w:val="72CD4B67"/>
    <w:rsid w:val="72CE60E3"/>
    <w:rsid w:val="72D90BB0"/>
    <w:rsid w:val="72D927B3"/>
    <w:rsid w:val="72DF3E4C"/>
    <w:rsid w:val="72DF7360"/>
    <w:rsid w:val="72E43211"/>
    <w:rsid w:val="72E7339E"/>
    <w:rsid w:val="72F11678"/>
    <w:rsid w:val="72F53670"/>
    <w:rsid w:val="72F62F44"/>
    <w:rsid w:val="72FC497E"/>
    <w:rsid w:val="730A1149"/>
    <w:rsid w:val="730E64E0"/>
    <w:rsid w:val="73122968"/>
    <w:rsid w:val="731735E6"/>
    <w:rsid w:val="731F5D5E"/>
    <w:rsid w:val="73270EF3"/>
    <w:rsid w:val="732B52E4"/>
    <w:rsid w:val="73320420"/>
    <w:rsid w:val="733C304D"/>
    <w:rsid w:val="734168B5"/>
    <w:rsid w:val="73467A28"/>
    <w:rsid w:val="734C3D25"/>
    <w:rsid w:val="7354438F"/>
    <w:rsid w:val="73576DC1"/>
    <w:rsid w:val="735A1725"/>
    <w:rsid w:val="735A573E"/>
    <w:rsid w:val="735E4456"/>
    <w:rsid w:val="73644352"/>
    <w:rsid w:val="736D1458"/>
    <w:rsid w:val="73762837"/>
    <w:rsid w:val="73832A2A"/>
    <w:rsid w:val="738467A2"/>
    <w:rsid w:val="739C1D3D"/>
    <w:rsid w:val="73A26A77"/>
    <w:rsid w:val="73B1042C"/>
    <w:rsid w:val="73B70925"/>
    <w:rsid w:val="73C51AD5"/>
    <w:rsid w:val="73C60B68"/>
    <w:rsid w:val="73C64AB6"/>
    <w:rsid w:val="73CD0149"/>
    <w:rsid w:val="73DB2866"/>
    <w:rsid w:val="73DC038C"/>
    <w:rsid w:val="73DC213A"/>
    <w:rsid w:val="73DE5EB2"/>
    <w:rsid w:val="73F44B5D"/>
    <w:rsid w:val="73FB2F08"/>
    <w:rsid w:val="740D1C1E"/>
    <w:rsid w:val="741B2C62"/>
    <w:rsid w:val="741E793C"/>
    <w:rsid w:val="741E7F2C"/>
    <w:rsid w:val="74335A6F"/>
    <w:rsid w:val="7439304F"/>
    <w:rsid w:val="743E1047"/>
    <w:rsid w:val="744A301A"/>
    <w:rsid w:val="745D327B"/>
    <w:rsid w:val="745E3944"/>
    <w:rsid w:val="7473539A"/>
    <w:rsid w:val="74826AAD"/>
    <w:rsid w:val="74843F93"/>
    <w:rsid w:val="7486224F"/>
    <w:rsid w:val="748812B5"/>
    <w:rsid w:val="749D7B1B"/>
    <w:rsid w:val="749F7D37"/>
    <w:rsid w:val="74A0243F"/>
    <w:rsid w:val="74A25132"/>
    <w:rsid w:val="74A62535"/>
    <w:rsid w:val="74AD669F"/>
    <w:rsid w:val="74B16B15"/>
    <w:rsid w:val="74B530B7"/>
    <w:rsid w:val="74BD01BD"/>
    <w:rsid w:val="74BD1F6B"/>
    <w:rsid w:val="74C93CC6"/>
    <w:rsid w:val="74CA2770"/>
    <w:rsid w:val="74D379E1"/>
    <w:rsid w:val="74D37C52"/>
    <w:rsid w:val="74E05C5A"/>
    <w:rsid w:val="74E407E6"/>
    <w:rsid w:val="74EA74EA"/>
    <w:rsid w:val="74EC45FF"/>
    <w:rsid w:val="74F51705"/>
    <w:rsid w:val="74F71921"/>
    <w:rsid w:val="74FA4F6E"/>
    <w:rsid w:val="74FF07D6"/>
    <w:rsid w:val="75063912"/>
    <w:rsid w:val="750647C1"/>
    <w:rsid w:val="750724A3"/>
    <w:rsid w:val="751122B7"/>
    <w:rsid w:val="75220020"/>
    <w:rsid w:val="75247969"/>
    <w:rsid w:val="75295853"/>
    <w:rsid w:val="7530273D"/>
    <w:rsid w:val="75410ACD"/>
    <w:rsid w:val="7541494A"/>
    <w:rsid w:val="754363A7"/>
    <w:rsid w:val="75487446"/>
    <w:rsid w:val="754D5E80"/>
    <w:rsid w:val="754E7067"/>
    <w:rsid w:val="75587EE6"/>
    <w:rsid w:val="755A1241"/>
    <w:rsid w:val="75660476"/>
    <w:rsid w:val="75680129"/>
    <w:rsid w:val="75693EA1"/>
    <w:rsid w:val="756979AE"/>
    <w:rsid w:val="75703482"/>
    <w:rsid w:val="75721D6A"/>
    <w:rsid w:val="7577036C"/>
    <w:rsid w:val="75781644"/>
    <w:rsid w:val="757A596F"/>
    <w:rsid w:val="757E170D"/>
    <w:rsid w:val="75863F12"/>
    <w:rsid w:val="758C11C4"/>
    <w:rsid w:val="759C6025"/>
    <w:rsid w:val="759F09EE"/>
    <w:rsid w:val="75A31904"/>
    <w:rsid w:val="75A4312B"/>
    <w:rsid w:val="75A82C1C"/>
    <w:rsid w:val="75A849CA"/>
    <w:rsid w:val="75C458AB"/>
    <w:rsid w:val="75CA0186"/>
    <w:rsid w:val="75CD3A2D"/>
    <w:rsid w:val="75D05CCE"/>
    <w:rsid w:val="75D25EEA"/>
    <w:rsid w:val="75D4756D"/>
    <w:rsid w:val="75DA4994"/>
    <w:rsid w:val="75DE488F"/>
    <w:rsid w:val="75E16643"/>
    <w:rsid w:val="75E810E5"/>
    <w:rsid w:val="75EB2B08"/>
    <w:rsid w:val="75ED4AD2"/>
    <w:rsid w:val="76051E1C"/>
    <w:rsid w:val="760F0BD4"/>
    <w:rsid w:val="76124539"/>
    <w:rsid w:val="762027B2"/>
    <w:rsid w:val="7620778A"/>
    <w:rsid w:val="76212AF2"/>
    <w:rsid w:val="76295D44"/>
    <w:rsid w:val="762B73A9"/>
    <w:rsid w:val="7635099D"/>
    <w:rsid w:val="7638169F"/>
    <w:rsid w:val="76397D18"/>
    <w:rsid w:val="764F2F30"/>
    <w:rsid w:val="764F3C94"/>
    <w:rsid w:val="76621A67"/>
    <w:rsid w:val="766F7295"/>
    <w:rsid w:val="7680292C"/>
    <w:rsid w:val="7682346D"/>
    <w:rsid w:val="768B7124"/>
    <w:rsid w:val="769046BE"/>
    <w:rsid w:val="76966F18"/>
    <w:rsid w:val="76990A05"/>
    <w:rsid w:val="769F005B"/>
    <w:rsid w:val="76A07D97"/>
    <w:rsid w:val="76A52432"/>
    <w:rsid w:val="76A96C4B"/>
    <w:rsid w:val="76AA4297"/>
    <w:rsid w:val="76AE24B4"/>
    <w:rsid w:val="76C20083"/>
    <w:rsid w:val="76C43A85"/>
    <w:rsid w:val="76CA0970"/>
    <w:rsid w:val="76D07EE7"/>
    <w:rsid w:val="76D74F3C"/>
    <w:rsid w:val="76D8308D"/>
    <w:rsid w:val="76DD553B"/>
    <w:rsid w:val="76DF570D"/>
    <w:rsid w:val="76E47C83"/>
    <w:rsid w:val="76FA1255"/>
    <w:rsid w:val="77062109"/>
    <w:rsid w:val="770902A3"/>
    <w:rsid w:val="771A18F7"/>
    <w:rsid w:val="771F2A69"/>
    <w:rsid w:val="77210E54"/>
    <w:rsid w:val="77250D0C"/>
    <w:rsid w:val="77275DC2"/>
    <w:rsid w:val="772E0EFE"/>
    <w:rsid w:val="77415AE5"/>
    <w:rsid w:val="7746449A"/>
    <w:rsid w:val="7747584D"/>
    <w:rsid w:val="7759199F"/>
    <w:rsid w:val="775D3592"/>
    <w:rsid w:val="776A5D31"/>
    <w:rsid w:val="776C0060"/>
    <w:rsid w:val="776C7C79"/>
    <w:rsid w:val="77737259"/>
    <w:rsid w:val="77757E28"/>
    <w:rsid w:val="77762421"/>
    <w:rsid w:val="777B4D92"/>
    <w:rsid w:val="77860AFB"/>
    <w:rsid w:val="77876861"/>
    <w:rsid w:val="779416A9"/>
    <w:rsid w:val="779C1D97"/>
    <w:rsid w:val="77A818E7"/>
    <w:rsid w:val="77A967D7"/>
    <w:rsid w:val="77AD4519"/>
    <w:rsid w:val="77AE0291"/>
    <w:rsid w:val="77B56B1F"/>
    <w:rsid w:val="77B72897"/>
    <w:rsid w:val="77B72A96"/>
    <w:rsid w:val="77BB7B9A"/>
    <w:rsid w:val="77CF596F"/>
    <w:rsid w:val="77E141C3"/>
    <w:rsid w:val="77E62790"/>
    <w:rsid w:val="77E7707B"/>
    <w:rsid w:val="77EB5041"/>
    <w:rsid w:val="77F263D0"/>
    <w:rsid w:val="78006D3F"/>
    <w:rsid w:val="78051C88"/>
    <w:rsid w:val="780F09F4"/>
    <w:rsid w:val="78126A72"/>
    <w:rsid w:val="781400F4"/>
    <w:rsid w:val="78175CCE"/>
    <w:rsid w:val="781F1403"/>
    <w:rsid w:val="78262581"/>
    <w:rsid w:val="78320EC2"/>
    <w:rsid w:val="783B3F6C"/>
    <w:rsid w:val="783C3AEF"/>
    <w:rsid w:val="784D3606"/>
    <w:rsid w:val="784E32D8"/>
    <w:rsid w:val="78615304"/>
    <w:rsid w:val="78672CC1"/>
    <w:rsid w:val="7867302D"/>
    <w:rsid w:val="78682280"/>
    <w:rsid w:val="786C7F30"/>
    <w:rsid w:val="78730E6C"/>
    <w:rsid w:val="7878341C"/>
    <w:rsid w:val="78801C2E"/>
    <w:rsid w:val="78827754"/>
    <w:rsid w:val="7883171E"/>
    <w:rsid w:val="78857244"/>
    <w:rsid w:val="78861194"/>
    <w:rsid w:val="788A70F3"/>
    <w:rsid w:val="78947487"/>
    <w:rsid w:val="78992CEF"/>
    <w:rsid w:val="789E22F2"/>
    <w:rsid w:val="78A05E2C"/>
    <w:rsid w:val="78A57D7C"/>
    <w:rsid w:val="78A77D5C"/>
    <w:rsid w:val="78A90480"/>
    <w:rsid w:val="78AD22F7"/>
    <w:rsid w:val="78B32D9B"/>
    <w:rsid w:val="78B611AB"/>
    <w:rsid w:val="78BD1A3A"/>
    <w:rsid w:val="78C22246"/>
    <w:rsid w:val="78C55892"/>
    <w:rsid w:val="78C961F4"/>
    <w:rsid w:val="78CD32B5"/>
    <w:rsid w:val="78D04108"/>
    <w:rsid w:val="78D83DD9"/>
    <w:rsid w:val="78DA64D4"/>
    <w:rsid w:val="78DD1A77"/>
    <w:rsid w:val="78F41CD4"/>
    <w:rsid w:val="78F739AF"/>
    <w:rsid w:val="78F974E8"/>
    <w:rsid w:val="78FA2F40"/>
    <w:rsid w:val="78FD2893"/>
    <w:rsid w:val="791668EE"/>
    <w:rsid w:val="79181E66"/>
    <w:rsid w:val="7919798C"/>
    <w:rsid w:val="791B3704"/>
    <w:rsid w:val="79314CD6"/>
    <w:rsid w:val="79334EF2"/>
    <w:rsid w:val="79430F74"/>
    <w:rsid w:val="7949458C"/>
    <w:rsid w:val="794A6E1E"/>
    <w:rsid w:val="794D6B65"/>
    <w:rsid w:val="7950014D"/>
    <w:rsid w:val="796D4705"/>
    <w:rsid w:val="79711576"/>
    <w:rsid w:val="79815C5D"/>
    <w:rsid w:val="79833D8A"/>
    <w:rsid w:val="798968C0"/>
    <w:rsid w:val="798B00E4"/>
    <w:rsid w:val="798E037A"/>
    <w:rsid w:val="79951709"/>
    <w:rsid w:val="79975481"/>
    <w:rsid w:val="79A6109B"/>
    <w:rsid w:val="79A625E5"/>
    <w:rsid w:val="79A731EA"/>
    <w:rsid w:val="79B57360"/>
    <w:rsid w:val="79BC0A44"/>
    <w:rsid w:val="79BE0C60"/>
    <w:rsid w:val="79C52428"/>
    <w:rsid w:val="79C63670"/>
    <w:rsid w:val="79D63AE0"/>
    <w:rsid w:val="79DF58FF"/>
    <w:rsid w:val="79E63907"/>
    <w:rsid w:val="79E81839"/>
    <w:rsid w:val="79EE773C"/>
    <w:rsid w:val="79F77CCE"/>
    <w:rsid w:val="79FD2E0A"/>
    <w:rsid w:val="7A0423EA"/>
    <w:rsid w:val="7A043277"/>
    <w:rsid w:val="7A0475E2"/>
    <w:rsid w:val="7A195E96"/>
    <w:rsid w:val="7A27753D"/>
    <w:rsid w:val="7A29773B"/>
    <w:rsid w:val="7A364017"/>
    <w:rsid w:val="7A380852"/>
    <w:rsid w:val="7A3E76AA"/>
    <w:rsid w:val="7A49370B"/>
    <w:rsid w:val="7A4B0019"/>
    <w:rsid w:val="7A5213A8"/>
    <w:rsid w:val="7A5A200A"/>
    <w:rsid w:val="7A603AC5"/>
    <w:rsid w:val="7A610F0D"/>
    <w:rsid w:val="7A643B21"/>
    <w:rsid w:val="7A665F33"/>
    <w:rsid w:val="7A8012E2"/>
    <w:rsid w:val="7A8265E1"/>
    <w:rsid w:val="7A9A6395"/>
    <w:rsid w:val="7AA329D6"/>
    <w:rsid w:val="7AB02B4A"/>
    <w:rsid w:val="7AB60418"/>
    <w:rsid w:val="7AB73DA2"/>
    <w:rsid w:val="7AC878BC"/>
    <w:rsid w:val="7AD149C3"/>
    <w:rsid w:val="7AD7365B"/>
    <w:rsid w:val="7ADD116A"/>
    <w:rsid w:val="7ADD5115"/>
    <w:rsid w:val="7ADE2C3C"/>
    <w:rsid w:val="7ADE49EA"/>
    <w:rsid w:val="7AE32723"/>
    <w:rsid w:val="7AEA7F17"/>
    <w:rsid w:val="7AF16E13"/>
    <w:rsid w:val="7AF41B0E"/>
    <w:rsid w:val="7AFD5319"/>
    <w:rsid w:val="7AFF2D0F"/>
    <w:rsid w:val="7B136D89"/>
    <w:rsid w:val="7B1857C8"/>
    <w:rsid w:val="7B1D4732"/>
    <w:rsid w:val="7B1D5512"/>
    <w:rsid w:val="7B264C22"/>
    <w:rsid w:val="7B2745E3"/>
    <w:rsid w:val="7B2A5E81"/>
    <w:rsid w:val="7B366E6B"/>
    <w:rsid w:val="7B4146BF"/>
    <w:rsid w:val="7B486307"/>
    <w:rsid w:val="7B4E1B6F"/>
    <w:rsid w:val="7B593C1C"/>
    <w:rsid w:val="7B5B3614"/>
    <w:rsid w:val="7B6018EA"/>
    <w:rsid w:val="7B603710"/>
    <w:rsid w:val="7B607AF4"/>
    <w:rsid w:val="7B66335D"/>
    <w:rsid w:val="7B686D42"/>
    <w:rsid w:val="7B6B0973"/>
    <w:rsid w:val="7B711D02"/>
    <w:rsid w:val="7B7470FC"/>
    <w:rsid w:val="7B754A9B"/>
    <w:rsid w:val="7B784E3E"/>
    <w:rsid w:val="7B7C3EFD"/>
    <w:rsid w:val="7B7D16C7"/>
    <w:rsid w:val="7B841746"/>
    <w:rsid w:val="7B845591"/>
    <w:rsid w:val="7B865DB3"/>
    <w:rsid w:val="7B88353D"/>
    <w:rsid w:val="7B8B4B71"/>
    <w:rsid w:val="7B904EA5"/>
    <w:rsid w:val="7B933826"/>
    <w:rsid w:val="7B95265D"/>
    <w:rsid w:val="7B997BCB"/>
    <w:rsid w:val="7BBD0CCF"/>
    <w:rsid w:val="7BC04ED5"/>
    <w:rsid w:val="7BCE0F02"/>
    <w:rsid w:val="7BCF6C70"/>
    <w:rsid w:val="7BD246A9"/>
    <w:rsid w:val="7BD26907"/>
    <w:rsid w:val="7BE150CD"/>
    <w:rsid w:val="7C0A3032"/>
    <w:rsid w:val="7C266648"/>
    <w:rsid w:val="7C280612"/>
    <w:rsid w:val="7C2E32CB"/>
    <w:rsid w:val="7C372603"/>
    <w:rsid w:val="7C507B69"/>
    <w:rsid w:val="7C5238E1"/>
    <w:rsid w:val="7C6333F8"/>
    <w:rsid w:val="7C662EE9"/>
    <w:rsid w:val="7C6C5AC7"/>
    <w:rsid w:val="7C7B2E38"/>
    <w:rsid w:val="7C8372EE"/>
    <w:rsid w:val="7C8B5906"/>
    <w:rsid w:val="7CA14209"/>
    <w:rsid w:val="7CA37C99"/>
    <w:rsid w:val="7CB244AF"/>
    <w:rsid w:val="7CB5297B"/>
    <w:rsid w:val="7CBB76D8"/>
    <w:rsid w:val="7CBC0D5A"/>
    <w:rsid w:val="7CC540B3"/>
    <w:rsid w:val="7CC6544B"/>
    <w:rsid w:val="7CC6546E"/>
    <w:rsid w:val="7CE309DD"/>
    <w:rsid w:val="7CE85FF3"/>
    <w:rsid w:val="7CE95B9F"/>
    <w:rsid w:val="7CF5053A"/>
    <w:rsid w:val="7D0239FF"/>
    <w:rsid w:val="7D026CDB"/>
    <w:rsid w:val="7D0A7D18"/>
    <w:rsid w:val="7D140B97"/>
    <w:rsid w:val="7D16490F"/>
    <w:rsid w:val="7D1961AD"/>
    <w:rsid w:val="7D2012E9"/>
    <w:rsid w:val="7D230DDA"/>
    <w:rsid w:val="7D27232E"/>
    <w:rsid w:val="7D272C9D"/>
    <w:rsid w:val="7D2F777E"/>
    <w:rsid w:val="7D360B0D"/>
    <w:rsid w:val="7D376633"/>
    <w:rsid w:val="7D3918E5"/>
    <w:rsid w:val="7D3923AB"/>
    <w:rsid w:val="7D395F05"/>
    <w:rsid w:val="7D4A6037"/>
    <w:rsid w:val="7D4C0E1E"/>
    <w:rsid w:val="7D5B3B48"/>
    <w:rsid w:val="7D5D42EC"/>
    <w:rsid w:val="7D5E40CD"/>
    <w:rsid w:val="7D5F17E6"/>
    <w:rsid w:val="7D756541"/>
    <w:rsid w:val="7D7B38A9"/>
    <w:rsid w:val="7D7D2BE0"/>
    <w:rsid w:val="7D84412B"/>
    <w:rsid w:val="7D8B70AB"/>
    <w:rsid w:val="7D9046C1"/>
    <w:rsid w:val="7D9107CC"/>
    <w:rsid w:val="7D964715"/>
    <w:rsid w:val="7D9677FD"/>
    <w:rsid w:val="7D9A0F86"/>
    <w:rsid w:val="7DA4016C"/>
    <w:rsid w:val="7DAE0FEB"/>
    <w:rsid w:val="7DB12889"/>
    <w:rsid w:val="7DB201D3"/>
    <w:rsid w:val="7DB639FC"/>
    <w:rsid w:val="7DC10D1E"/>
    <w:rsid w:val="7DC47E0B"/>
    <w:rsid w:val="7DCA74A7"/>
    <w:rsid w:val="7DCB394B"/>
    <w:rsid w:val="7DCD56F2"/>
    <w:rsid w:val="7DE37924"/>
    <w:rsid w:val="7DEC566F"/>
    <w:rsid w:val="7DED6109"/>
    <w:rsid w:val="7DFA43A1"/>
    <w:rsid w:val="7E152E18"/>
    <w:rsid w:val="7E2117BD"/>
    <w:rsid w:val="7E2A1B67"/>
    <w:rsid w:val="7E3037AE"/>
    <w:rsid w:val="7E3239CA"/>
    <w:rsid w:val="7E337317"/>
    <w:rsid w:val="7E370FE0"/>
    <w:rsid w:val="7E372D8F"/>
    <w:rsid w:val="7E5F57E1"/>
    <w:rsid w:val="7E621785"/>
    <w:rsid w:val="7E645318"/>
    <w:rsid w:val="7E665422"/>
    <w:rsid w:val="7E736682"/>
    <w:rsid w:val="7E747B3F"/>
    <w:rsid w:val="7E7A6107"/>
    <w:rsid w:val="7E7F0292"/>
    <w:rsid w:val="7E7F7F5C"/>
    <w:rsid w:val="7E8E6727"/>
    <w:rsid w:val="7E9755DB"/>
    <w:rsid w:val="7E997AC0"/>
    <w:rsid w:val="7E9C13E9"/>
    <w:rsid w:val="7EAA3560"/>
    <w:rsid w:val="7EAD12A3"/>
    <w:rsid w:val="7EAD4DFF"/>
    <w:rsid w:val="7EC5039A"/>
    <w:rsid w:val="7EC62364"/>
    <w:rsid w:val="7ED71E7C"/>
    <w:rsid w:val="7ED83B5B"/>
    <w:rsid w:val="7EE06F82"/>
    <w:rsid w:val="7EE527EB"/>
    <w:rsid w:val="7EE7641A"/>
    <w:rsid w:val="7EEC3216"/>
    <w:rsid w:val="7EEE47A9"/>
    <w:rsid w:val="7EF67423"/>
    <w:rsid w:val="7F001CE7"/>
    <w:rsid w:val="7F0A04A3"/>
    <w:rsid w:val="7F271055"/>
    <w:rsid w:val="7F315A30"/>
    <w:rsid w:val="7F367487"/>
    <w:rsid w:val="7F392DC5"/>
    <w:rsid w:val="7F3F2B49"/>
    <w:rsid w:val="7F466F7C"/>
    <w:rsid w:val="7F4738A3"/>
    <w:rsid w:val="7F4A4D43"/>
    <w:rsid w:val="7F4F235A"/>
    <w:rsid w:val="7F567244"/>
    <w:rsid w:val="7F842003"/>
    <w:rsid w:val="7F8A5140"/>
    <w:rsid w:val="7F8B62D0"/>
    <w:rsid w:val="7F934DFF"/>
    <w:rsid w:val="7F961D37"/>
    <w:rsid w:val="7F967F89"/>
    <w:rsid w:val="7FAA57E2"/>
    <w:rsid w:val="7FAB3A34"/>
    <w:rsid w:val="7FB34D2F"/>
    <w:rsid w:val="7FC77F7C"/>
    <w:rsid w:val="7FCF0448"/>
    <w:rsid w:val="7FDA7E75"/>
    <w:rsid w:val="7FE44850"/>
    <w:rsid w:val="7FE47E50"/>
    <w:rsid w:val="7FE50AE2"/>
    <w:rsid w:val="7FE53FB9"/>
    <w:rsid w:val="7FE72592"/>
    <w:rsid w:val="7FF76C79"/>
    <w:rsid w:val="7FF8479F"/>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0" w:semiHidden="0" w:name="heading 2" w:locked="1"/>
    <w:lsdException w:qFormat="1" w:unhideWhenUsed="0" w:uiPriority="0" w:semiHidden="0" w:name="heading 3" w:locked="1"/>
    <w:lsdException w:qFormat="1" w:unhideWhenUsed="0" w:uiPriority="0"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qFormat="1" w:unhideWhenUsed="0" w:uiPriority="0" w:semiHidden="0" w:name="toc 1" w:locked="1"/>
    <w:lsdException w:qFormat="1"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ocked="1"/>
    <w:lsdException w:unhideWhenUsed="0" w:uiPriority="0" w:semiHidden="0" w:name="footnote text" w:locked="1"/>
    <w:lsdException w:qFormat="1" w:unhideWhenUsed="0" w:uiPriority="0" w:name="annotation text"/>
    <w:lsdException w:qFormat="1" w:unhideWhenUsed="0" w:uiPriority="0" w:semiHidden="0" w:name="header"/>
    <w:lsdException w:qFormat="1" w:unhideWhenUsed="0" w:uiPriority="99" w:semiHidden="0" w:name="footer"/>
    <w:lsdException w:unhideWhenUsed="0" w:uiPriority="0" w:semiHidden="0" w:name="index heading" w:locked="1"/>
    <w:lsdException w:qFormat="1" w:uiPriority="0" w:name="caption" w:locked="1"/>
    <w:lsdException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qFormat="1" w:uiPriority="99"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unhideWhenUsed="0" w:uiPriority="0" w:semiHidden="0" w:name="Salutation" w:locked="1"/>
    <w:lsdException w:qFormat="1" w:unhideWhenUsed="0" w:uiPriority="0" w:semiHidden="0" w:name="Date"/>
    <w:lsdException w:qFormat="1" w:unhideWhenUsed="0" w:uiPriority="0" w:semiHidden="0" w:name="Body Text First Indent" w:locked="1"/>
    <w:lsdException w:qFormat="1" w:unhideWhenUsed="0" w:uiPriority="0" w:semiHidden="0" w:name="Body Text First Indent 2" w:locked="1"/>
    <w:lsdException w:qFormat="1" w:unhideWhenUsed="0" w:uiPriority="0" w:semiHidden="0" w:name="Note Heading" w:locked="1"/>
    <w:lsdException w:qFormat="1" w:unhideWhenUsed="0" w:uiPriority="0" w:semiHidden="0" w:name="Body Text 2" w:locked="1"/>
    <w:lsdException w:unhideWhenUsed="0" w:uiPriority="0" w:semiHidden="0" w:name="Body Text 3" w:locked="1"/>
    <w:lsdException w:unhideWhenUsed="0" w:uiPriority="0" w:semiHidden="0" w:name="Body Text Indent 2" w:locked="1"/>
    <w:lsdException w:unhideWhenUsed="0" w:uiPriority="0" w:semiHidden="0" w:name="Body Text Indent 3" w:locked="1"/>
    <w:lsdException w:qFormat="1" w:unhideWhenUsed="0" w:uiPriority="0" w:semiHidden="0" w:name="Block Text" w:locked="1"/>
    <w:lsdException w:qFormat="1" w:unhideWhenUsed="0" w:uiPriority="0" w:semiHidden="0" w:name="Hyperlink" w:locked="1"/>
    <w:lsdException w:unhideWhenUsed="0" w:uiPriority="0" w:semiHidden="0" w:name="FollowedHyperlink" w:locked="1"/>
    <w:lsdException w:qFormat="1" w:unhideWhenUsed="0" w:uiPriority="0" w:semiHidden="0" w:name="Strong" w:locked="1"/>
    <w:lsdException w:qFormat="1" w:unhideWhenUsed="0" w:uiPriority="0" w:semiHidden="0" w:name="Emphasis" w:locked="1"/>
    <w:lsdException w:unhideWhenUsed="0" w:uiPriority="0" w:semiHidden="0" w:name="Document Map" w:locked="1"/>
    <w:lsdException w:qFormat="1" w:unhideWhenUsed="0" w:uiPriority="0" w:semiHidden="0" w:name="Plain Text" w:locked="1"/>
    <w:lsdException w:unhideWhenUsed="0" w:uiPriority="0" w:semiHidden="0" w:name="E-mail Signature" w:locked="1"/>
    <w:lsdException w:qFormat="1" w:unhideWhenUsed="0" w:uiPriority="0"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nhideWhenUsed="0" w:uiPriority="0" w:name="Normal Table"/>
    <w:lsdException w:qFormat="1" w:unhideWhenUsed="0" w:uiPriority="0" w:name="annotation subject"/>
    <w:lsdException w:unhideWhenUsed="0" w:uiPriority="0" w:semiHidden="0" w:name="Table Simple 1" w:locked="1"/>
    <w:lsdException w:unhideWhenUsed="0" w:uiPriority="0" w:semiHidden="0" w:name="Table Simple 2" w:locked="1"/>
    <w:lsdException w:unhideWhenUsed="0" w:uiPriority="0" w:semiHidden="0" w:name="Table Simple 3" w:locked="1"/>
    <w:lsdException w:unhideWhenUsed="0" w:uiPriority="0" w:semiHidden="0" w:name="Table Classic 1" w:locked="1"/>
    <w:lsdException w:unhideWhenUsed="0" w:uiPriority="0" w:semiHidden="0" w:name="Table Classic 2" w:locked="1"/>
    <w:lsdException w:unhideWhenUsed="0" w:uiPriority="0" w:semiHidden="0" w:name="Table Classic 3" w:locked="1"/>
    <w:lsdException w:unhideWhenUsed="0" w:uiPriority="0" w:semiHidden="0" w:name="Table Classic 4" w:locked="1"/>
    <w:lsdException w:unhideWhenUsed="0" w:uiPriority="0" w:semiHidden="0" w:name="Table Colorful 1" w:locked="1"/>
    <w:lsdException w:unhideWhenUsed="0" w:uiPriority="0" w:semiHidden="0" w:name="Table Colorful 2" w:locked="1"/>
    <w:lsdException w:unhideWhenUsed="0" w:uiPriority="0" w:semiHidden="0" w:name="Table Colorful 3" w:locked="1"/>
    <w:lsdException w:unhideWhenUsed="0" w:uiPriority="0" w:semiHidden="0" w:name="Table Columns 1" w:locked="1"/>
    <w:lsdException w:unhideWhenUsed="0" w:uiPriority="0" w:semiHidden="0" w:name="Table Columns 2" w:locked="1"/>
    <w:lsdException w:unhideWhenUsed="0" w:uiPriority="0" w:semiHidden="0" w:name="Table Columns 3" w:locked="1"/>
    <w:lsdException w:unhideWhenUsed="0" w:uiPriority="0" w:semiHidden="0" w:name="Table Columns 4" w:locked="1"/>
    <w:lsdException w:unhideWhenUsed="0" w:uiPriority="0" w:semiHidden="0" w:name="Table Columns 5" w:locked="1"/>
    <w:lsdException w:unhideWhenUsed="0" w:uiPriority="0" w:semiHidden="0" w:name="Table Grid 1" w:locked="1"/>
    <w:lsdException w:unhideWhenUsed="0" w:uiPriority="0" w:semiHidden="0" w:name="Table Grid 2" w:locked="1"/>
    <w:lsdException w:unhideWhenUsed="0" w:uiPriority="0" w:semiHidden="0" w:name="Table Grid 3" w:locked="1"/>
    <w:lsdException w:unhideWhenUsed="0" w:uiPriority="0" w:semiHidden="0" w:name="Table Grid 4" w:locked="1"/>
    <w:lsdException w:unhideWhenUsed="0" w:uiPriority="0" w:semiHidden="0" w:name="Table Grid 5" w:locked="1"/>
    <w:lsdException w:unhideWhenUsed="0" w:uiPriority="0" w:semiHidden="0" w:name="Table Grid 6" w:locked="1"/>
    <w:lsdException w:unhideWhenUsed="0" w:uiPriority="0" w:semiHidden="0" w:name="Table Grid 7" w:locked="1"/>
    <w:lsdException w:unhideWhenUsed="0" w:uiPriority="0" w:semiHidden="0" w:name="Table Grid 8" w:locked="1"/>
    <w:lsdException w:unhideWhenUsed="0" w:uiPriority="0" w:semiHidden="0" w:name="Table List 1" w:locked="1"/>
    <w:lsdException w:unhideWhenUsed="0" w:uiPriority="0" w:semiHidden="0" w:name="Table List 2" w:locked="1"/>
    <w:lsdException w:unhideWhenUsed="0" w:uiPriority="0" w:semiHidden="0" w:name="Table List 3" w:locked="1"/>
    <w:lsdException w:unhideWhenUsed="0" w:uiPriority="0" w:semiHidden="0" w:name="Table List 4" w:locked="1"/>
    <w:lsdException w:unhideWhenUsed="0" w:uiPriority="0" w:semiHidden="0" w:name="Table List 5" w:locked="1"/>
    <w:lsdException w:unhideWhenUsed="0" w:uiPriority="0" w:semiHidden="0" w:name="Table List 6" w:locked="1"/>
    <w:lsdException w:unhideWhenUsed="0" w:uiPriority="0" w:semiHidden="0" w:name="Table List 7" w:locked="1"/>
    <w:lsdException w:unhideWhenUsed="0" w:uiPriority="0" w:semiHidden="0" w:name="Table List 8" w:locked="1"/>
    <w:lsdException w:unhideWhenUsed="0" w:uiPriority="0" w:semiHidden="0" w:name="Table 3D effects 1" w:locked="1"/>
    <w:lsdException w:unhideWhenUsed="0" w:uiPriority="0" w:semiHidden="0" w:name="Table 3D effects 2" w:locked="1"/>
    <w:lsdException w:unhideWhenUsed="0" w:uiPriority="0" w:semiHidden="0" w:name="Table 3D effects 3" w:locked="1"/>
    <w:lsdException w:unhideWhenUsed="0" w:uiPriority="0" w:semiHidden="0" w:name="Table Contemporary" w:locked="1"/>
    <w:lsdException w:unhideWhenUsed="0" w:uiPriority="0" w:semiHidden="0" w:name="Table Elegant" w:locked="1"/>
    <w:lsdException w:unhideWhenUsed="0" w:uiPriority="0" w:semiHidden="0" w:name="Table Professional" w:locked="1"/>
    <w:lsdException w:unhideWhenUsed="0" w:uiPriority="0" w:semiHidden="0" w:name="Table Subtle 1" w:locked="1"/>
    <w:lsdException w:unhideWhenUsed="0" w:uiPriority="0" w:semiHidden="0" w:name="Table Subtle 2" w:locked="1"/>
    <w:lsdException w:unhideWhenUsed="0" w:uiPriority="0" w:semiHidden="0" w:name="Table Web 1" w:locked="1"/>
    <w:lsdException w:unhideWhenUsed="0" w:uiPriority="0" w:semiHidden="0" w:name="Table Web 2" w:locked="1"/>
    <w:lsdException w:unhideWhenUsed="0" w:uiPriority="0" w:semiHidden="0" w:name="Table Web 3" w:locked="1"/>
    <w:lsdException w:qFormat="1" w:unhideWhenUsed="0" w:uiPriority="0" w:name="Balloon Text"/>
    <w:lsdException w:qFormat="1" w:unhideWhenUsed="0" w:uiPriority="0" w:semiHidden="0" w:name="Table Grid"/>
    <w:lsdException w:unhideWhenUsed="0" w:uiPriority="0" w:semiHidden="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autoRedefine/>
    <w:qFormat/>
    <w:locked/>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3">
    <w:name w:val="heading 2"/>
    <w:basedOn w:val="1"/>
    <w:next w:val="1"/>
    <w:qFormat/>
    <w:locked/>
    <w:uiPriority w:val="0"/>
    <w:pPr>
      <w:keepNext/>
      <w:keepLines/>
      <w:spacing w:before="240" w:after="120"/>
      <w:outlineLvl w:val="1"/>
    </w:pPr>
    <w:rPr>
      <w:rFonts w:ascii="Arial" w:hAnsi="Arial" w:eastAsia="黑体"/>
      <w:b/>
      <w:sz w:val="28"/>
    </w:rPr>
  </w:style>
  <w:style w:type="paragraph" w:styleId="4">
    <w:name w:val="heading 3"/>
    <w:basedOn w:val="1"/>
    <w:next w:val="1"/>
    <w:autoRedefine/>
    <w:qFormat/>
    <w:locked/>
    <w:uiPriority w:val="0"/>
    <w:pPr>
      <w:keepNext/>
      <w:keepLines/>
      <w:spacing w:before="120" w:beforeLines="0" w:after="120" w:afterLines="0"/>
      <w:outlineLvl w:val="2"/>
    </w:pPr>
    <w:rPr>
      <w:b/>
      <w:sz w:val="26"/>
    </w:rPr>
  </w:style>
  <w:style w:type="paragraph" w:styleId="5">
    <w:name w:val="heading 4"/>
    <w:basedOn w:val="1"/>
    <w:next w:val="1"/>
    <w:qFormat/>
    <w:locked/>
    <w:uiPriority w:val="0"/>
    <w:pPr>
      <w:keepNext/>
      <w:jc w:val="center"/>
      <w:outlineLvl w:val="3"/>
    </w:pPr>
    <w:rPr>
      <w:u w:val="single"/>
    </w:rPr>
  </w:style>
  <w:style w:type="character" w:default="1" w:styleId="27">
    <w:name w:val="Default Paragraph Font"/>
    <w:semiHidden/>
    <w:qFormat/>
    <w:uiPriority w:val="0"/>
  </w:style>
  <w:style w:type="table" w:default="1" w:styleId="25">
    <w:name w:val="Normal Table"/>
    <w:autoRedefin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eastAsia="Times New Roman" w:cs="Times New Roman"/>
      <w:sz w:val="20"/>
      <w:szCs w:val="20"/>
    </w:rPr>
    <w:tblPr>
      <w:tblCellMar>
        <w:top w:w="0" w:type="dxa"/>
        <w:left w:w="108" w:type="dxa"/>
        <w:bottom w:w="0" w:type="dxa"/>
        <w:right w:w="108" w:type="dxa"/>
      </w:tblCellMar>
    </w:tblPr>
  </w:style>
  <w:style w:type="paragraph" w:styleId="6">
    <w:name w:val="Note Heading"/>
    <w:basedOn w:val="1"/>
    <w:next w:val="1"/>
    <w:autoRedefine/>
    <w:qFormat/>
    <w:locked/>
    <w:uiPriority w:val="0"/>
    <w:pPr>
      <w:jc w:val="center"/>
    </w:pPr>
  </w:style>
  <w:style w:type="paragraph" w:styleId="7">
    <w:name w:val="Normal Indent"/>
    <w:basedOn w:val="1"/>
    <w:next w:val="8"/>
    <w:qFormat/>
    <w:locked/>
    <w:uiPriority w:val="0"/>
    <w:rPr>
      <w:kern w:val="2"/>
      <w:sz w:val="28"/>
    </w:rPr>
  </w:style>
  <w:style w:type="paragraph" w:styleId="8">
    <w:name w:val="Body Text"/>
    <w:basedOn w:val="1"/>
    <w:next w:val="1"/>
    <w:link w:val="34"/>
    <w:qFormat/>
    <w:uiPriority w:val="0"/>
    <w:pPr>
      <w:widowControl/>
      <w:snapToGrid w:val="0"/>
      <w:spacing w:before="60" w:after="160" w:line="259" w:lineRule="auto"/>
      <w:ind w:right="113"/>
    </w:pPr>
    <w:rPr>
      <w:kern w:val="0"/>
      <w:sz w:val="18"/>
      <w:szCs w:val="20"/>
    </w:rPr>
  </w:style>
  <w:style w:type="paragraph" w:styleId="9">
    <w:name w:val="annotation text"/>
    <w:basedOn w:val="1"/>
    <w:link w:val="35"/>
    <w:semiHidden/>
    <w:qFormat/>
    <w:uiPriority w:val="0"/>
    <w:pPr>
      <w:jc w:val="left"/>
    </w:pPr>
    <w:rPr>
      <w:kern w:val="0"/>
      <w:sz w:val="24"/>
      <w:szCs w:val="20"/>
    </w:rPr>
  </w:style>
  <w:style w:type="paragraph" w:styleId="10">
    <w:name w:val="Body Text Indent"/>
    <w:basedOn w:val="1"/>
    <w:next w:val="1"/>
    <w:link w:val="36"/>
    <w:qFormat/>
    <w:uiPriority w:val="0"/>
    <w:pPr>
      <w:spacing w:after="120"/>
      <w:ind w:left="420" w:leftChars="200"/>
    </w:pPr>
    <w:rPr>
      <w:kern w:val="0"/>
      <w:sz w:val="24"/>
      <w:szCs w:val="20"/>
    </w:rPr>
  </w:style>
  <w:style w:type="paragraph" w:styleId="11">
    <w:name w:val="Block Text"/>
    <w:basedOn w:val="1"/>
    <w:next w:val="1"/>
    <w:qFormat/>
    <w:locked/>
    <w:uiPriority w:val="0"/>
    <w:pPr>
      <w:spacing w:line="460" w:lineRule="atLeast"/>
      <w:ind w:left="108" w:right="170" w:firstLine="499"/>
    </w:pPr>
    <w:rPr>
      <w:sz w:val="24"/>
    </w:rPr>
  </w:style>
  <w:style w:type="paragraph" w:styleId="12">
    <w:name w:val="Plain Text"/>
    <w:basedOn w:val="1"/>
    <w:next w:val="1"/>
    <w:qFormat/>
    <w:locked/>
    <w:uiPriority w:val="0"/>
    <w:rPr>
      <w:rFonts w:ascii="宋体" w:hAnsi="Courier New"/>
      <w:kern w:val="2"/>
      <w:sz w:val="21"/>
    </w:rPr>
  </w:style>
  <w:style w:type="paragraph" w:styleId="13">
    <w:name w:val="Date"/>
    <w:basedOn w:val="1"/>
    <w:next w:val="1"/>
    <w:link w:val="37"/>
    <w:qFormat/>
    <w:uiPriority w:val="0"/>
    <w:pPr>
      <w:ind w:left="100" w:leftChars="2500"/>
    </w:pPr>
    <w:rPr>
      <w:kern w:val="0"/>
      <w:sz w:val="24"/>
      <w:szCs w:val="20"/>
    </w:rPr>
  </w:style>
  <w:style w:type="paragraph" w:styleId="14">
    <w:name w:val="Balloon Text"/>
    <w:basedOn w:val="1"/>
    <w:link w:val="38"/>
    <w:autoRedefine/>
    <w:semiHidden/>
    <w:qFormat/>
    <w:uiPriority w:val="0"/>
    <w:rPr>
      <w:kern w:val="0"/>
      <w:sz w:val="18"/>
      <w:szCs w:val="20"/>
    </w:rPr>
  </w:style>
  <w:style w:type="paragraph" w:styleId="15">
    <w:name w:val="footer"/>
    <w:basedOn w:val="1"/>
    <w:link w:val="39"/>
    <w:qFormat/>
    <w:uiPriority w:val="99"/>
    <w:pPr>
      <w:tabs>
        <w:tab w:val="center" w:pos="4153"/>
        <w:tab w:val="right" w:pos="8306"/>
      </w:tabs>
      <w:snapToGrid w:val="0"/>
      <w:jc w:val="left"/>
    </w:pPr>
    <w:rPr>
      <w:kern w:val="0"/>
      <w:sz w:val="18"/>
      <w:szCs w:val="20"/>
    </w:rPr>
  </w:style>
  <w:style w:type="paragraph" w:styleId="16">
    <w:name w:val="header"/>
    <w:basedOn w:val="1"/>
    <w:link w:val="40"/>
    <w:qFormat/>
    <w:uiPriority w:val="0"/>
    <w:pPr>
      <w:pBdr>
        <w:bottom w:val="single" w:color="auto" w:sz="6" w:space="1"/>
      </w:pBdr>
      <w:tabs>
        <w:tab w:val="center" w:pos="4153"/>
        <w:tab w:val="right" w:pos="8306"/>
      </w:tabs>
      <w:snapToGrid w:val="0"/>
      <w:jc w:val="center"/>
    </w:pPr>
    <w:rPr>
      <w:kern w:val="0"/>
      <w:sz w:val="18"/>
      <w:szCs w:val="20"/>
    </w:rPr>
  </w:style>
  <w:style w:type="paragraph" w:styleId="17">
    <w:name w:val="toc 1"/>
    <w:basedOn w:val="1"/>
    <w:next w:val="1"/>
    <w:autoRedefine/>
    <w:qFormat/>
    <w:locked/>
    <w:uiPriority w:val="0"/>
  </w:style>
  <w:style w:type="paragraph" w:styleId="18">
    <w:name w:val="List"/>
    <w:basedOn w:val="1"/>
    <w:unhideWhenUsed/>
    <w:qFormat/>
    <w:locked/>
    <w:uiPriority w:val="99"/>
    <w:pPr>
      <w:ind w:left="200" w:hanging="200" w:hangingChars="200"/>
      <w:contextualSpacing/>
    </w:pPr>
  </w:style>
  <w:style w:type="paragraph" w:styleId="19">
    <w:name w:val="toc 2"/>
    <w:basedOn w:val="1"/>
    <w:next w:val="1"/>
    <w:qFormat/>
    <w:locked/>
    <w:uiPriority w:val="0"/>
    <w:pPr>
      <w:ind w:left="420" w:leftChars="200"/>
    </w:pPr>
  </w:style>
  <w:style w:type="paragraph" w:styleId="20">
    <w:name w:val="Body Text 2"/>
    <w:basedOn w:val="1"/>
    <w:qFormat/>
    <w:locked/>
    <w:uiPriority w:val="0"/>
    <w:pPr>
      <w:spacing w:after="120" w:line="480" w:lineRule="auto"/>
    </w:pPr>
  </w:style>
  <w:style w:type="paragraph" w:styleId="21">
    <w:name w:val="Normal (Web)"/>
    <w:basedOn w:val="1"/>
    <w:link w:val="97"/>
    <w:qFormat/>
    <w:uiPriority w:val="0"/>
    <w:pPr>
      <w:widowControl/>
      <w:spacing w:before="100" w:beforeAutospacing="1" w:after="100" w:afterAutospacing="1"/>
      <w:jc w:val="left"/>
    </w:pPr>
    <w:rPr>
      <w:rFonts w:ascii="宋体" w:hAnsi="宋体"/>
      <w:kern w:val="0"/>
      <w:sz w:val="24"/>
      <w:szCs w:val="20"/>
    </w:rPr>
  </w:style>
  <w:style w:type="paragraph" w:styleId="22">
    <w:name w:val="annotation subject"/>
    <w:basedOn w:val="9"/>
    <w:next w:val="9"/>
    <w:link w:val="42"/>
    <w:autoRedefine/>
    <w:semiHidden/>
    <w:qFormat/>
    <w:uiPriority w:val="0"/>
    <w:rPr>
      <w:b/>
      <w:sz w:val="24"/>
      <w:szCs w:val="20"/>
    </w:rPr>
  </w:style>
  <w:style w:type="paragraph" w:styleId="23">
    <w:name w:val="Body Text First Indent"/>
    <w:basedOn w:val="8"/>
    <w:next w:val="24"/>
    <w:autoRedefine/>
    <w:qFormat/>
    <w:locked/>
    <w:uiPriority w:val="0"/>
    <w:pPr>
      <w:keepNext w:val="0"/>
      <w:keepLines w:val="0"/>
      <w:widowControl w:val="0"/>
      <w:suppressLineNumbers w:val="0"/>
      <w:spacing w:before="0" w:beforeAutospacing="0" w:after="120" w:afterAutospacing="0"/>
      <w:ind w:left="0" w:right="0" w:firstLine="420" w:firstLineChars="100"/>
      <w:jc w:val="both"/>
    </w:pPr>
    <w:rPr>
      <w:rFonts w:hint="default" w:ascii="Times New Roman" w:hAnsi="Times New Roman" w:eastAsia="宋体" w:cs="Times New Roman"/>
      <w:kern w:val="2"/>
      <w:sz w:val="21"/>
      <w:szCs w:val="21"/>
      <w:lang w:val="en-US" w:eastAsia="zh-CN" w:bidi="ar"/>
    </w:rPr>
  </w:style>
  <w:style w:type="paragraph" w:styleId="24">
    <w:name w:val="Body Text First Indent 2"/>
    <w:basedOn w:val="1"/>
    <w:next w:val="1"/>
    <w:autoRedefine/>
    <w:qFormat/>
    <w:locked/>
    <w:uiPriority w:val="0"/>
    <w:pPr>
      <w:spacing w:after="120" w:line="240" w:lineRule="auto"/>
      <w:ind w:left="420" w:leftChars="200" w:firstLine="420" w:firstLineChars="200"/>
    </w:pPr>
    <w:rPr>
      <w:spacing w:val="0"/>
      <w:sz w:val="28"/>
    </w:rPr>
  </w:style>
  <w:style w:type="table" w:styleId="26">
    <w:name w:val="Table Grid"/>
    <w:basedOn w:val="25"/>
    <w:autoRedefine/>
    <w:qFormat/>
    <w:uiPriority w:val="0"/>
    <w:rPr>
      <w:lang w:val="en-US" w:eastAsia="zh-CN" w:bidi="ar-SA"/>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8">
    <w:name w:val="Strong"/>
    <w:basedOn w:val="27"/>
    <w:qFormat/>
    <w:locked/>
    <w:uiPriority w:val="0"/>
    <w:rPr>
      <w:b/>
    </w:rPr>
  </w:style>
  <w:style w:type="character" w:styleId="29">
    <w:name w:val="page number"/>
    <w:basedOn w:val="27"/>
    <w:autoRedefine/>
    <w:qFormat/>
    <w:locked/>
    <w:uiPriority w:val="0"/>
  </w:style>
  <w:style w:type="character" w:styleId="30">
    <w:name w:val="Hyperlink"/>
    <w:basedOn w:val="27"/>
    <w:autoRedefine/>
    <w:qFormat/>
    <w:locked/>
    <w:uiPriority w:val="0"/>
    <w:rPr>
      <w:color w:val="0000FF"/>
      <w:u w:val="single"/>
    </w:rPr>
  </w:style>
  <w:style w:type="character" w:styleId="31">
    <w:name w:val="annotation reference"/>
    <w:basedOn w:val="27"/>
    <w:autoRedefine/>
    <w:semiHidden/>
    <w:qFormat/>
    <w:uiPriority w:val="0"/>
    <w:rPr>
      <w:sz w:val="21"/>
    </w:rPr>
  </w:style>
  <w:style w:type="paragraph" w:customStyle="1" w:styleId="32">
    <w:name w:val="Default"/>
    <w:basedOn w:val="33"/>
    <w:next w:val="12"/>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3">
    <w:name w:val="标题 段落4级"/>
    <w:qFormat/>
    <w:uiPriority w:val="0"/>
    <w:pPr>
      <w:spacing w:line="500" w:lineRule="exact"/>
      <w:outlineLvl w:val="3"/>
    </w:pPr>
    <w:rPr>
      <w:rFonts w:ascii="Times New Roman" w:hAnsi="Times New Roman" w:eastAsia="仿宋_GB2312" w:cs="Calibri"/>
      <w:b/>
      <w:kern w:val="2"/>
      <w:sz w:val="28"/>
      <w:szCs w:val="24"/>
      <w:lang w:val="en-US" w:eastAsia="zh-CN" w:bidi="ar-SA"/>
    </w:rPr>
  </w:style>
  <w:style w:type="character" w:customStyle="1" w:styleId="34">
    <w:name w:val="正文文本 Char"/>
    <w:link w:val="8"/>
    <w:autoRedefine/>
    <w:qFormat/>
    <w:locked/>
    <w:uiPriority w:val="0"/>
    <w:rPr>
      <w:sz w:val="18"/>
    </w:rPr>
  </w:style>
  <w:style w:type="character" w:customStyle="1" w:styleId="35">
    <w:name w:val="批注文字 Char"/>
    <w:link w:val="9"/>
    <w:autoRedefine/>
    <w:qFormat/>
    <w:locked/>
    <w:uiPriority w:val="0"/>
    <w:rPr>
      <w:rFonts w:ascii="Times New Roman" w:hAnsi="Times New Roman" w:eastAsia="宋体"/>
      <w:sz w:val="24"/>
    </w:rPr>
  </w:style>
  <w:style w:type="character" w:customStyle="1" w:styleId="36">
    <w:name w:val="正文文本缩进 Char"/>
    <w:link w:val="10"/>
    <w:autoRedefine/>
    <w:semiHidden/>
    <w:qFormat/>
    <w:locked/>
    <w:uiPriority w:val="0"/>
    <w:rPr>
      <w:rFonts w:ascii="Times New Roman" w:hAnsi="Times New Roman" w:eastAsia="宋体"/>
      <w:sz w:val="24"/>
    </w:rPr>
  </w:style>
  <w:style w:type="character" w:customStyle="1" w:styleId="37">
    <w:name w:val="日期 Char"/>
    <w:link w:val="13"/>
    <w:autoRedefine/>
    <w:qFormat/>
    <w:locked/>
    <w:uiPriority w:val="0"/>
    <w:rPr>
      <w:rFonts w:ascii="Times New Roman" w:hAnsi="Times New Roman" w:eastAsia="宋体"/>
      <w:sz w:val="24"/>
    </w:rPr>
  </w:style>
  <w:style w:type="character" w:customStyle="1" w:styleId="38">
    <w:name w:val="批注框文本 Char"/>
    <w:link w:val="14"/>
    <w:autoRedefine/>
    <w:semiHidden/>
    <w:qFormat/>
    <w:locked/>
    <w:uiPriority w:val="0"/>
    <w:rPr>
      <w:rFonts w:ascii="Times New Roman" w:hAnsi="Times New Roman" w:eastAsia="宋体"/>
      <w:sz w:val="18"/>
    </w:rPr>
  </w:style>
  <w:style w:type="character" w:customStyle="1" w:styleId="39">
    <w:name w:val="页脚 Char"/>
    <w:link w:val="15"/>
    <w:autoRedefine/>
    <w:qFormat/>
    <w:locked/>
    <w:uiPriority w:val="99"/>
    <w:rPr>
      <w:sz w:val="18"/>
    </w:rPr>
  </w:style>
  <w:style w:type="character" w:customStyle="1" w:styleId="40">
    <w:name w:val="页眉 Char"/>
    <w:link w:val="16"/>
    <w:autoRedefine/>
    <w:qFormat/>
    <w:locked/>
    <w:uiPriority w:val="0"/>
    <w:rPr>
      <w:sz w:val="18"/>
    </w:rPr>
  </w:style>
  <w:style w:type="character" w:customStyle="1" w:styleId="41">
    <w:name w:val="普通(网站) Char"/>
    <w:link w:val="21"/>
    <w:autoRedefine/>
    <w:qFormat/>
    <w:locked/>
    <w:uiPriority w:val="0"/>
    <w:rPr>
      <w:rFonts w:ascii="宋体" w:hAnsi="宋体" w:eastAsia="宋体"/>
      <w:sz w:val="24"/>
    </w:rPr>
  </w:style>
  <w:style w:type="character" w:customStyle="1" w:styleId="42">
    <w:name w:val="批注主题 Char"/>
    <w:link w:val="22"/>
    <w:autoRedefine/>
    <w:semiHidden/>
    <w:qFormat/>
    <w:locked/>
    <w:uiPriority w:val="0"/>
    <w:rPr>
      <w:rFonts w:ascii="Times New Roman" w:hAnsi="Times New Roman" w:eastAsia="宋体"/>
      <w:b/>
      <w:kern w:val="2"/>
      <w:sz w:val="24"/>
    </w:rPr>
  </w:style>
  <w:style w:type="character" w:customStyle="1" w:styleId="43">
    <w:name w:val="日期 字符"/>
    <w:autoRedefine/>
    <w:semiHidden/>
    <w:qFormat/>
    <w:uiPriority w:val="0"/>
    <w:rPr>
      <w:rFonts w:ascii="Times New Roman" w:hAnsi="Times New Roman" w:eastAsia="宋体"/>
      <w:sz w:val="24"/>
    </w:rPr>
  </w:style>
  <w:style w:type="character" w:customStyle="1" w:styleId="44">
    <w:name w:val="批注文字 字符1"/>
    <w:autoRedefine/>
    <w:semiHidden/>
    <w:qFormat/>
    <w:uiPriority w:val="0"/>
    <w:rPr>
      <w:rFonts w:ascii="Times New Roman" w:hAnsi="Times New Roman" w:eastAsia="宋体"/>
      <w:sz w:val="24"/>
    </w:rPr>
  </w:style>
  <w:style w:type="character" w:customStyle="1" w:styleId="45">
    <w:name w:val="页脚 字符"/>
    <w:basedOn w:val="27"/>
    <w:autoRedefine/>
    <w:qFormat/>
    <w:uiPriority w:val="99"/>
  </w:style>
  <w:style w:type="character" w:customStyle="1" w:styleId="46">
    <w:name w:val="正文文本 字符1"/>
    <w:autoRedefine/>
    <w:semiHidden/>
    <w:qFormat/>
    <w:uiPriority w:val="0"/>
    <w:rPr>
      <w:rFonts w:ascii="Times New Roman" w:hAnsi="Times New Roman" w:eastAsia="宋体"/>
      <w:sz w:val="24"/>
    </w:rPr>
  </w:style>
  <w:style w:type="character" w:customStyle="1" w:styleId="47">
    <w:name w:val="表格 Char"/>
    <w:link w:val="48"/>
    <w:autoRedefine/>
    <w:qFormat/>
    <w:locked/>
    <w:uiPriority w:val="0"/>
    <w:rPr>
      <w:rFonts w:ascii="宋体"/>
      <w:sz w:val="21"/>
    </w:rPr>
  </w:style>
  <w:style w:type="paragraph" w:customStyle="1" w:styleId="48">
    <w:name w:val="表格"/>
    <w:basedOn w:val="18"/>
    <w:next w:val="1"/>
    <w:link w:val="47"/>
    <w:autoRedefine/>
    <w:qFormat/>
    <w:uiPriority w:val="0"/>
    <w:pPr>
      <w:adjustRightInd w:val="0"/>
      <w:snapToGrid w:val="0"/>
      <w:spacing w:beforeLines="10" w:afterLines="10" w:line="259" w:lineRule="auto"/>
      <w:jc w:val="center"/>
    </w:pPr>
    <w:rPr>
      <w:rFonts w:ascii="宋体"/>
      <w:kern w:val="0"/>
      <w:szCs w:val="20"/>
    </w:rPr>
  </w:style>
  <w:style w:type="character" w:customStyle="1" w:styleId="49">
    <w:name w:val="NormalCharacter"/>
    <w:autoRedefine/>
    <w:semiHidden/>
    <w:qFormat/>
    <w:uiPriority w:val="0"/>
    <w:rPr>
      <w:kern w:val="2"/>
      <w:sz w:val="21"/>
      <w:lang w:val="en-US" w:eastAsia="zh-CN" w:bidi="ar-SA"/>
    </w:rPr>
  </w:style>
  <w:style w:type="paragraph" w:customStyle="1" w:styleId="50">
    <w:name w:val="表格文字"/>
    <w:basedOn w:val="23"/>
    <w:autoRedefine/>
    <w:qFormat/>
    <w:uiPriority w:val="0"/>
    <w:pPr>
      <w:adjustRightInd w:val="0"/>
      <w:spacing w:line="400" w:lineRule="atLeast"/>
      <w:jc w:val="center"/>
    </w:pPr>
    <w:rPr>
      <w:kern w:val="24"/>
      <w:sz w:val="24"/>
    </w:rPr>
  </w:style>
  <w:style w:type="paragraph" w:customStyle="1" w:styleId="51">
    <w:name w:val="表格 32"/>
    <w:basedOn w:val="1"/>
    <w:autoRedefine/>
    <w:qFormat/>
    <w:uiPriority w:val="0"/>
    <w:pPr>
      <w:autoSpaceDE w:val="0"/>
      <w:autoSpaceDN w:val="0"/>
      <w:adjustRightInd w:val="0"/>
      <w:spacing w:line="0" w:lineRule="atLeast"/>
      <w:jc w:val="center"/>
      <w:textAlignment w:val="baseline"/>
    </w:pPr>
    <w:rPr>
      <w:kern w:val="0"/>
      <w:szCs w:val="21"/>
    </w:rPr>
  </w:style>
  <w:style w:type="paragraph" w:customStyle="1" w:styleId="52">
    <w:name w:val="段落1"/>
    <w:basedOn w:val="1"/>
    <w:autoRedefine/>
    <w:qFormat/>
    <w:uiPriority w:val="0"/>
    <w:pPr>
      <w:spacing w:line="480" w:lineRule="exact"/>
      <w:ind w:firstLine="584" w:firstLineChars="200"/>
    </w:pPr>
    <w:rPr>
      <w:spacing w:val="6"/>
      <w:sz w:val="28"/>
      <w:szCs w:val="24"/>
    </w:rPr>
  </w:style>
  <w:style w:type="paragraph" w:customStyle="1" w:styleId="53">
    <w:name w:val="正文1"/>
    <w:basedOn w:val="1"/>
    <w:autoRedefine/>
    <w:qFormat/>
    <w:uiPriority w:val="0"/>
    <w:pPr>
      <w:spacing w:beforeLines="25" w:afterLines="25" w:line="360" w:lineRule="auto"/>
      <w:ind w:firstLine="420" w:firstLineChars="200"/>
    </w:pPr>
    <w:rPr>
      <w:position w:val="-14"/>
      <w:sz w:val="21"/>
      <w:szCs w:val="21"/>
    </w:rPr>
  </w:style>
  <w:style w:type="paragraph" w:customStyle="1" w:styleId="54">
    <w:name w:val="正文内容"/>
    <w:basedOn w:val="1"/>
    <w:autoRedefine/>
    <w:qFormat/>
    <w:uiPriority w:val="0"/>
    <w:pPr>
      <w:spacing w:line="360" w:lineRule="auto"/>
      <w:ind w:firstLine="200" w:firstLineChars="200"/>
      <w:jc w:val="left"/>
    </w:pPr>
    <w:rPr>
      <w:rFonts w:ascii="宋体" w:hAnsi="宋体" w:cs="宋体"/>
      <w:sz w:val="28"/>
      <w:szCs w:val="24"/>
    </w:rPr>
  </w:style>
  <w:style w:type="paragraph" w:customStyle="1" w:styleId="55">
    <w:name w:val="鸿达表格文字"/>
    <w:basedOn w:val="1"/>
    <w:autoRedefine/>
    <w:qFormat/>
    <w:uiPriority w:val="0"/>
    <w:pPr>
      <w:contextualSpacing/>
      <w:jc w:val="center"/>
    </w:pPr>
    <w:rPr>
      <w:sz w:val="21"/>
      <w:szCs w:val="21"/>
    </w:rPr>
  </w:style>
  <w:style w:type="paragraph" w:customStyle="1" w:styleId="56">
    <w:name w:val="1111正文"/>
    <w:basedOn w:val="1"/>
    <w:autoRedefine/>
    <w:qFormat/>
    <w:uiPriority w:val="0"/>
    <w:pPr>
      <w:spacing w:line="480" w:lineRule="exact"/>
      <w:ind w:firstLine="480"/>
    </w:pPr>
    <w:rPr>
      <w:szCs w:val="24"/>
    </w:rPr>
  </w:style>
  <w:style w:type="paragraph" w:customStyle="1" w:styleId="57">
    <w:name w:val="表格内容"/>
    <w:basedOn w:val="1"/>
    <w:autoRedefine/>
    <w:qFormat/>
    <w:uiPriority w:val="0"/>
    <w:pPr>
      <w:keepNext w:val="0"/>
      <w:keepLines w:val="0"/>
      <w:widowControl w:val="0"/>
      <w:suppressLineNumbers w:val="0"/>
      <w:spacing w:before="0" w:beforeAutospacing="0" w:after="0" w:afterAutospacing="0" w:line="400" w:lineRule="atLeast"/>
      <w:ind w:left="0" w:right="0"/>
      <w:jc w:val="center"/>
    </w:pPr>
    <w:rPr>
      <w:rFonts w:hint="eastAsia" w:ascii="Microsoft JhengHei Light" w:hAnsi="Microsoft JhengHei Light" w:eastAsia="Microsoft JhengHei Light" w:cs="Microsoft JhengHei Light"/>
      <w:color w:val="000000"/>
      <w:kern w:val="0"/>
      <w:sz w:val="22"/>
      <w:szCs w:val="24"/>
      <w:lang w:val="en-US" w:eastAsia="zh-CN" w:bidi="ar"/>
    </w:rPr>
  </w:style>
  <w:style w:type="paragraph" w:customStyle="1" w:styleId="58">
    <w:name w:val="无间隔1"/>
    <w:autoRedefine/>
    <w:qFormat/>
    <w:uiPriority w:val="1"/>
    <w:pPr>
      <w:widowControl w:val="0"/>
      <w:jc w:val="center"/>
    </w:pPr>
    <w:rPr>
      <w:rFonts w:ascii="Calibri" w:hAnsi="Calibri" w:eastAsia="宋体" w:cs="Times New Roman"/>
      <w:kern w:val="2"/>
      <w:sz w:val="21"/>
      <w:szCs w:val="22"/>
      <w:lang w:val="en-US" w:eastAsia="zh-CN" w:bidi="ar-SA"/>
    </w:rPr>
  </w:style>
  <w:style w:type="paragraph" w:styleId="59">
    <w:name w:val="List Paragraph"/>
    <w:basedOn w:val="1"/>
    <w:autoRedefine/>
    <w:qFormat/>
    <w:uiPriority w:val="0"/>
    <w:pPr>
      <w:ind w:firstLine="420" w:firstLineChars="200"/>
    </w:pPr>
    <w:rPr>
      <w:rFonts w:ascii="Calibri" w:hAnsi="Calibri"/>
      <w:szCs w:val="22"/>
    </w:rPr>
  </w:style>
  <w:style w:type="paragraph" w:customStyle="1" w:styleId="60">
    <w:name w:val="CM61"/>
    <w:basedOn w:val="32"/>
    <w:next w:val="32"/>
    <w:autoRedefine/>
    <w:unhideWhenUsed/>
    <w:qFormat/>
    <w:uiPriority w:val="99"/>
    <w:rPr>
      <w:rFonts w:hint="default"/>
    </w:rPr>
  </w:style>
  <w:style w:type="paragraph" w:customStyle="1" w:styleId="61">
    <w:name w:val="CM63"/>
    <w:basedOn w:val="32"/>
    <w:next w:val="32"/>
    <w:autoRedefine/>
    <w:unhideWhenUsed/>
    <w:qFormat/>
    <w:uiPriority w:val="99"/>
    <w:rPr>
      <w:rFonts w:hint="default"/>
    </w:rPr>
  </w:style>
  <w:style w:type="paragraph" w:customStyle="1" w:styleId="62">
    <w:name w:val="表中"/>
    <w:autoRedefine/>
    <w:qFormat/>
    <w:uiPriority w:val="0"/>
    <w:pPr>
      <w:ind w:left="1" w:leftChars="-51" w:right="-105" w:rightChars="-50" w:hanging="108" w:hangingChars="60"/>
      <w:jc w:val="center"/>
    </w:pPr>
    <w:rPr>
      <w:rFonts w:ascii="Times New Roman" w:hAnsi="Times New Roman" w:eastAsia="宋体" w:cs="Times New Roman"/>
      <w:kern w:val="44"/>
      <w:sz w:val="18"/>
      <w:lang w:val="en-US" w:eastAsia="zh-CN" w:bidi="ar-SA"/>
    </w:rPr>
  </w:style>
  <w:style w:type="paragraph" w:customStyle="1" w:styleId="63">
    <w:name w:val="Body Text 2_050de59c-084d-4175-9105-ef8c1c28e700"/>
    <w:basedOn w:val="1"/>
    <w:autoRedefine/>
    <w:qFormat/>
    <w:uiPriority w:val="0"/>
    <w:pPr>
      <w:spacing w:after="120" w:line="480" w:lineRule="auto"/>
    </w:pPr>
  </w:style>
  <w:style w:type="paragraph" w:customStyle="1" w:styleId="64">
    <w:name w:val="普通(网站)2"/>
    <w:basedOn w:val="1"/>
    <w:autoRedefine/>
    <w:qFormat/>
    <w:uiPriority w:val="0"/>
    <w:pPr>
      <w:widowControl/>
      <w:spacing w:before="100" w:beforeAutospacing="1" w:after="100" w:afterAutospacing="1"/>
      <w:jc w:val="left"/>
    </w:pPr>
    <w:rPr>
      <w:rFonts w:ascii="宋体" w:hAnsi="宋体"/>
      <w:sz w:val="24"/>
      <w:szCs w:val="20"/>
    </w:rPr>
  </w:style>
  <w:style w:type="paragraph" w:customStyle="1" w:styleId="65">
    <w:name w:val="正文_10"/>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66">
    <w:name w:val="3级标题"/>
    <w:basedOn w:val="1"/>
    <w:autoRedefine/>
    <w:qFormat/>
    <w:uiPriority w:val="0"/>
    <w:pPr>
      <w:spacing w:beforeLines="50" w:line="360" w:lineRule="auto"/>
    </w:pPr>
    <w:rPr>
      <w:rFonts w:ascii="楷体_GB2312" w:eastAsia="楷体_GB2312"/>
      <w:sz w:val="28"/>
      <w:szCs w:val="28"/>
    </w:rPr>
  </w:style>
  <w:style w:type="paragraph" w:customStyle="1" w:styleId="67">
    <w:name w:val="表格正文"/>
    <w:basedOn w:val="1"/>
    <w:autoRedefine/>
    <w:qFormat/>
    <w:uiPriority w:val="0"/>
    <w:pPr>
      <w:spacing w:line="360" w:lineRule="exact"/>
      <w:jc w:val="center"/>
    </w:pPr>
    <w:rPr>
      <w:szCs w:val="24"/>
    </w:rPr>
  </w:style>
  <w:style w:type="paragraph" w:customStyle="1" w:styleId="68">
    <w:name w:val="环评正文"/>
    <w:basedOn w:val="1"/>
    <w:autoRedefine/>
    <w:qFormat/>
    <w:uiPriority w:val="0"/>
    <w:pPr>
      <w:spacing w:line="360" w:lineRule="auto"/>
      <w:ind w:firstLine="420" w:firstLineChars="200"/>
    </w:pPr>
    <w:rPr>
      <w:sz w:val="24"/>
      <w:szCs w:val="24"/>
    </w:rPr>
  </w:style>
  <w:style w:type="paragraph" w:customStyle="1" w:styleId="69">
    <w:name w:val="1111表文字"/>
    <w:basedOn w:val="56"/>
    <w:next w:val="56"/>
    <w:autoRedefine/>
    <w:qFormat/>
    <w:uiPriority w:val="0"/>
    <w:pPr>
      <w:spacing w:line="320" w:lineRule="exact"/>
      <w:ind w:firstLine="0" w:firstLineChars="0"/>
      <w:jc w:val="center"/>
    </w:pPr>
    <w:rPr>
      <w:spacing w:val="14"/>
      <w:kern w:val="0"/>
      <w:sz w:val="21"/>
      <w:szCs w:val="22"/>
    </w:rPr>
  </w:style>
  <w:style w:type="paragraph" w:customStyle="1" w:styleId="70">
    <w:name w:val="Table Paragraph"/>
    <w:basedOn w:val="1"/>
    <w:autoRedefine/>
    <w:qFormat/>
    <w:uiPriority w:val="0"/>
    <w:pPr>
      <w:spacing w:before="100" w:beforeAutospacing="1"/>
      <w:jc w:val="left"/>
    </w:pPr>
    <w:rPr>
      <w:rFonts w:ascii="Calibri" w:hAnsi="Calibri"/>
      <w:kern w:val="0"/>
      <w:sz w:val="22"/>
      <w:szCs w:val="22"/>
    </w:rPr>
  </w:style>
  <w:style w:type="paragraph" w:customStyle="1" w:styleId="71">
    <w:name w:val="Body Text Indent"/>
    <w:basedOn w:val="1"/>
    <w:autoRedefine/>
    <w:qFormat/>
    <w:uiPriority w:val="0"/>
    <w:pPr>
      <w:ind w:firstLine="560" w:firstLineChars="200"/>
    </w:pPr>
    <w:rPr>
      <w:sz w:val="28"/>
      <w:szCs w:val="24"/>
    </w:rPr>
  </w:style>
  <w:style w:type="paragraph" w:customStyle="1" w:styleId="72">
    <w:name w:val="3正文"/>
    <w:autoRedefine/>
    <w:qFormat/>
    <w:uiPriority w:val="0"/>
    <w:pPr>
      <w:widowControl w:val="0"/>
      <w:spacing w:line="520" w:lineRule="exact"/>
      <w:ind w:firstLine="200" w:firstLineChars="200"/>
      <w:jc w:val="both"/>
    </w:pPr>
    <w:rPr>
      <w:rFonts w:ascii="Calibri" w:hAnsi="Calibri" w:eastAsia="Times New Roman" w:cs="Times New Roman"/>
      <w:kern w:val="2"/>
      <w:sz w:val="24"/>
      <w:szCs w:val="24"/>
      <w:lang w:val="en-US" w:eastAsia="zh-CN" w:bidi="ar-SA"/>
    </w:rPr>
  </w:style>
  <w:style w:type="paragraph" w:customStyle="1" w:styleId="73">
    <w:name w:val="中文报告书样式"/>
    <w:basedOn w:val="1"/>
    <w:autoRedefine/>
    <w:qFormat/>
    <w:uiPriority w:val="0"/>
    <w:pPr>
      <w:adjustRightInd w:val="0"/>
      <w:spacing w:line="480" w:lineRule="atLeast"/>
      <w:ind w:firstLine="482"/>
      <w:textAlignment w:val="baseline"/>
    </w:pPr>
    <w:rPr>
      <w:kern w:val="24"/>
      <w:sz w:val="24"/>
    </w:rPr>
  </w:style>
  <w:style w:type="paragraph" w:customStyle="1" w:styleId="74">
    <w:name w:val="鸿达表加粗"/>
    <w:basedOn w:val="1"/>
    <w:autoRedefine/>
    <w:qFormat/>
    <w:uiPriority w:val="0"/>
    <w:pPr>
      <w:jc w:val="center"/>
    </w:pPr>
    <w:rPr>
      <w:rFonts w:cs="宋体"/>
      <w:b/>
      <w:color w:val="000000"/>
      <w:kern w:val="2"/>
      <w:sz w:val="21"/>
    </w:rPr>
  </w:style>
  <w:style w:type="paragraph" w:customStyle="1" w:styleId="75">
    <w:name w:val="CM51"/>
    <w:basedOn w:val="32"/>
    <w:next w:val="32"/>
    <w:autoRedefine/>
    <w:unhideWhenUsed/>
    <w:qFormat/>
    <w:uiPriority w:val="99"/>
    <w:rPr>
      <w:rFonts w:hint="default"/>
    </w:rPr>
  </w:style>
  <w:style w:type="paragraph" w:customStyle="1" w:styleId="76">
    <w:name w:val="标准正文"/>
    <w:basedOn w:val="1"/>
    <w:autoRedefine/>
    <w:qFormat/>
    <w:uiPriority w:val="0"/>
    <w:pPr>
      <w:adjustRightInd w:val="0"/>
      <w:spacing w:line="460" w:lineRule="atLeast"/>
      <w:ind w:firstLine="567"/>
      <w:jc w:val="left"/>
    </w:pPr>
    <w:rPr>
      <w:rFonts w:ascii="楷体" w:hAnsi="楷体" w:cs="楷体"/>
      <w:kern w:val="28"/>
      <w:sz w:val="28"/>
    </w:rPr>
  </w:style>
  <w:style w:type="table" w:customStyle="1" w:styleId="77">
    <w:name w:val="Table Normal"/>
    <w:autoRedefine/>
    <w:semiHidden/>
    <w:unhideWhenUsed/>
    <w:qFormat/>
    <w:uiPriority w:val="0"/>
    <w:tblPr>
      <w:tblCellMar>
        <w:top w:w="0" w:type="dxa"/>
        <w:left w:w="0" w:type="dxa"/>
        <w:bottom w:w="0" w:type="dxa"/>
        <w:right w:w="0" w:type="dxa"/>
      </w:tblCellMar>
    </w:tblPr>
  </w:style>
  <w:style w:type="paragraph" w:customStyle="1" w:styleId="78">
    <w:name w:val="Table Text"/>
    <w:basedOn w:val="1"/>
    <w:autoRedefine/>
    <w:semiHidden/>
    <w:qFormat/>
    <w:uiPriority w:val="0"/>
    <w:rPr>
      <w:rFonts w:ascii="宋体" w:hAnsi="宋体" w:eastAsia="宋体" w:cs="宋体"/>
      <w:sz w:val="20"/>
      <w:szCs w:val="20"/>
      <w:lang w:val="en-US" w:eastAsia="en-US" w:bidi="ar-SA"/>
    </w:rPr>
  </w:style>
  <w:style w:type="paragraph" w:customStyle="1" w:styleId="79">
    <w:name w:val="表内 定"/>
    <w:basedOn w:val="1"/>
    <w:autoRedefine/>
    <w:qFormat/>
    <w:uiPriority w:val="0"/>
    <w:rPr>
      <w:color w:val="000000"/>
      <w:szCs w:val="21"/>
    </w:rPr>
  </w:style>
  <w:style w:type="paragraph" w:customStyle="1" w:styleId="80">
    <w:name w:val="whm表格"/>
    <w:basedOn w:val="1"/>
    <w:autoRedefine/>
    <w:qFormat/>
    <w:uiPriority w:val="0"/>
    <w:pPr>
      <w:widowControl/>
      <w:adjustRightInd w:val="0"/>
      <w:snapToGrid w:val="0"/>
      <w:spacing w:before="20" w:beforeLines="20" w:after="20" w:afterLines="20"/>
      <w:jc w:val="center"/>
    </w:pPr>
    <w:rPr>
      <w:kern w:val="24"/>
      <w:sz w:val="24"/>
      <w:szCs w:val="32"/>
    </w:rPr>
  </w:style>
  <w:style w:type="character" w:customStyle="1" w:styleId="81">
    <w:name w:val="font11"/>
    <w:basedOn w:val="27"/>
    <w:autoRedefine/>
    <w:qFormat/>
    <w:uiPriority w:val="0"/>
    <w:rPr>
      <w:rFonts w:hint="default" w:ascii="Times New Roman" w:hAnsi="Times New Roman" w:cs="Times New Roman"/>
      <w:color w:val="000000"/>
      <w:sz w:val="21"/>
      <w:szCs w:val="21"/>
      <w:u w:val="none"/>
    </w:rPr>
  </w:style>
  <w:style w:type="character" w:customStyle="1" w:styleId="82">
    <w:name w:val="font41"/>
    <w:basedOn w:val="27"/>
    <w:autoRedefine/>
    <w:qFormat/>
    <w:uiPriority w:val="0"/>
    <w:rPr>
      <w:rFonts w:hint="eastAsia" w:ascii="宋体" w:hAnsi="宋体" w:eastAsia="宋体" w:cs="宋体"/>
      <w:color w:val="000000"/>
      <w:sz w:val="21"/>
      <w:szCs w:val="21"/>
      <w:u w:val="none"/>
    </w:rPr>
  </w:style>
  <w:style w:type="character" w:customStyle="1" w:styleId="83">
    <w:name w:val="font21"/>
    <w:basedOn w:val="27"/>
    <w:autoRedefine/>
    <w:qFormat/>
    <w:uiPriority w:val="0"/>
    <w:rPr>
      <w:rFonts w:hint="eastAsia" w:ascii="宋体" w:hAnsi="宋体" w:eastAsia="宋体" w:cs="宋体"/>
      <w:color w:val="000000"/>
      <w:sz w:val="21"/>
      <w:szCs w:val="21"/>
      <w:u w:val="none"/>
    </w:rPr>
  </w:style>
  <w:style w:type="character" w:customStyle="1" w:styleId="84">
    <w:name w:val="font31"/>
    <w:basedOn w:val="27"/>
    <w:autoRedefine/>
    <w:qFormat/>
    <w:uiPriority w:val="0"/>
    <w:rPr>
      <w:rFonts w:hint="default" w:ascii="Times New Roman" w:hAnsi="Times New Roman" w:cs="Times New Roman"/>
      <w:color w:val="000000"/>
      <w:sz w:val="21"/>
      <w:szCs w:val="21"/>
      <w:u w:val="none"/>
    </w:rPr>
  </w:style>
  <w:style w:type="table" w:customStyle="1" w:styleId="85">
    <w:name w:val="网格型1"/>
    <w:basedOn w:val="25"/>
    <w:autoRedefine/>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paragraph" w:customStyle="1" w:styleId="86">
    <w:name w:val="列出段落"/>
    <w:basedOn w:val="1"/>
    <w:qFormat/>
    <w:uiPriority w:val="0"/>
    <w:pPr>
      <w:keepNext w:val="0"/>
      <w:keepLines w:val="0"/>
      <w:widowControl w:val="0"/>
      <w:suppressLineNumbers w:val="0"/>
      <w:snapToGrid w:val="0"/>
      <w:spacing w:before="0" w:beforeAutospacing="0" w:after="0" w:afterAutospacing="0"/>
      <w:ind w:left="0" w:right="0" w:firstLine="420" w:firstLineChars="200"/>
      <w:jc w:val="left"/>
    </w:pPr>
    <w:rPr>
      <w:rFonts w:hint="default" w:ascii="Times New Roman" w:hAnsi="Times New Roman" w:eastAsia="仿宋" w:cs="Times New Roman"/>
      <w:kern w:val="0"/>
      <w:sz w:val="20"/>
      <w:szCs w:val="22"/>
      <w:lang w:val="en-US" w:eastAsia="zh-CN" w:bidi="ar"/>
    </w:rPr>
  </w:style>
  <w:style w:type="paragraph" w:customStyle="1" w:styleId="87">
    <w:name w:val="p0"/>
    <w:basedOn w:val="1"/>
    <w:qFormat/>
    <w:uiPriority w:val="0"/>
    <w:pPr>
      <w:keepNext w:val="0"/>
      <w:keepLines w:val="0"/>
      <w:widowControl/>
      <w:suppressLineNumbers w:val="0"/>
      <w:spacing w:before="0" w:beforeAutospacing="0" w:after="0" w:afterAutospacing="0"/>
      <w:ind w:left="0" w:right="0"/>
      <w:jc w:val="both"/>
    </w:pPr>
    <w:rPr>
      <w:rFonts w:hint="default" w:ascii="Times New Roman" w:hAnsi="Times New Roman" w:eastAsia="宋体" w:cs="Times New Roman"/>
      <w:kern w:val="0"/>
      <w:sz w:val="32"/>
      <w:szCs w:val="32"/>
      <w:lang w:val="en-US" w:eastAsia="zh-CN" w:bidi="ar"/>
    </w:rPr>
  </w:style>
  <w:style w:type="paragraph" w:customStyle="1" w:styleId="88">
    <w:name w:val="表格式"/>
    <w:basedOn w:val="18"/>
    <w:qFormat/>
    <w:uiPriority w:val="0"/>
    <w:pPr>
      <w:widowControl/>
      <w:spacing w:line="400" w:lineRule="exact"/>
      <w:ind w:left="0" w:firstLine="0" w:firstLineChars="0"/>
      <w:jc w:val="center"/>
    </w:pPr>
    <w:rPr>
      <w:rFonts w:ascii="宋体" w:hAnsi="宋体" w:cs="宋体"/>
      <w:kern w:val="0"/>
      <w:sz w:val="24"/>
    </w:rPr>
  </w:style>
  <w:style w:type="paragraph" w:customStyle="1" w:styleId="89">
    <w:name w:val="正文-表格"/>
    <w:basedOn w:val="1"/>
    <w:qFormat/>
    <w:uiPriority w:val="0"/>
    <w:pPr>
      <w:spacing w:line="240" w:lineRule="auto"/>
      <w:jc w:val="both"/>
    </w:pPr>
    <w:rPr>
      <w:rFonts w:cs="Times New Roman"/>
      <w:sz w:val="21"/>
    </w:rPr>
  </w:style>
  <w:style w:type="table" w:customStyle="1" w:styleId="90">
    <w:name w:val="网格型3"/>
    <w:basedOn w:val="25"/>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character" w:customStyle="1" w:styleId="91">
    <w:name w:val="表正文 Char"/>
    <w:basedOn w:val="27"/>
    <w:qFormat/>
    <w:uiPriority w:val="0"/>
    <w:rPr>
      <w:rFonts w:hint="eastAsia" w:ascii="宋体" w:hAnsi="宋体" w:eastAsia="宋体" w:cs="宋体"/>
      <w:kern w:val="2"/>
      <w:sz w:val="21"/>
      <w:lang w:val="en-US" w:eastAsia="zh-CN" w:bidi="ar"/>
    </w:rPr>
  </w:style>
  <w:style w:type="table" w:customStyle="1" w:styleId="92">
    <w:name w:val="网格型2"/>
    <w:basedOn w:val="25"/>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character" w:customStyle="1" w:styleId="93">
    <w:name w:val="表内 定 Char"/>
    <w:basedOn w:val="27"/>
    <w:qFormat/>
    <w:uiPriority w:val="0"/>
    <w:rPr>
      <w:rFonts w:hint="eastAsia" w:ascii="仿宋" w:hAnsi="仿宋" w:eastAsia="仿宋" w:cs="仿宋"/>
      <w:color w:val="000000"/>
      <w:szCs w:val="22"/>
      <w:lang w:val="en-US" w:eastAsia="zh-CN" w:bidi="ar"/>
    </w:rPr>
  </w:style>
  <w:style w:type="paragraph" w:customStyle="1" w:styleId="94">
    <w:name w:val="Normal_9"/>
    <w:basedOn w:val="1"/>
    <w:qFormat/>
    <w:uiPriority w:val="0"/>
    <w:pPr>
      <w:keepNext w:val="0"/>
      <w:keepLines w:val="0"/>
      <w:widowControl/>
      <w:suppressLineNumbers w:val="0"/>
      <w:spacing w:before="0" w:beforeAutospacing="0" w:after="0" w:afterAutospacing="0"/>
      <w:ind w:left="0" w:right="0"/>
      <w:jc w:val="left"/>
    </w:pPr>
    <w:rPr>
      <w:rFonts w:hint="default" w:ascii="Times New Roman" w:hAnsi="Times New Roman" w:eastAsia="等线" w:cs="Times New Roman"/>
      <w:kern w:val="0"/>
      <w:sz w:val="24"/>
      <w:szCs w:val="24"/>
      <w:lang w:val="en-US" w:eastAsia="zh-CN" w:bidi="ar"/>
    </w:rPr>
  </w:style>
  <w:style w:type="character" w:customStyle="1" w:styleId="95">
    <w:name w:val=" Char Char1"/>
    <w:basedOn w:val="27"/>
    <w:link w:val="21"/>
    <w:qFormat/>
    <w:uiPriority w:val="0"/>
    <w:rPr>
      <w:rFonts w:hint="eastAsia" w:ascii="宋体" w:hAnsi="宋体" w:eastAsia="宋体" w:cs="宋体"/>
      <w:sz w:val="24"/>
      <w:lang w:val="en-US" w:eastAsia="zh-CN" w:bidi="ar"/>
    </w:rPr>
  </w:style>
  <w:style w:type="paragraph" w:customStyle="1" w:styleId="96">
    <w:name w:val="中文报告书"/>
    <w:basedOn w:val="1"/>
    <w:qFormat/>
    <w:uiPriority w:val="0"/>
    <w:pPr>
      <w:keepNext w:val="0"/>
      <w:keepLines w:val="0"/>
      <w:widowControl w:val="0"/>
      <w:suppressLineNumbers w:val="0"/>
      <w:spacing w:before="0" w:beforeAutospacing="0" w:after="80" w:afterAutospacing="0" w:line="420" w:lineRule="atLeast"/>
      <w:ind w:left="0" w:right="0"/>
      <w:jc w:val="left"/>
    </w:pPr>
    <w:rPr>
      <w:rFonts w:hint="default" w:ascii="Times New Roman" w:hAnsi="Times New Roman" w:eastAsia="宋体" w:cs="Times New Roman"/>
      <w:kern w:val="0"/>
      <w:sz w:val="24"/>
      <w:szCs w:val="20"/>
      <w:lang w:val="en-US" w:eastAsia="zh-CN" w:bidi="ar"/>
    </w:rPr>
  </w:style>
  <w:style w:type="character" w:customStyle="1" w:styleId="97">
    <w:name w:val="普通(网站) 字符"/>
    <w:basedOn w:val="27"/>
    <w:link w:val="21"/>
    <w:qFormat/>
    <w:uiPriority w:val="0"/>
    <w:rPr>
      <w:rFonts w:hint="eastAsia" w:ascii="宋体" w:hAnsi="宋体" w:eastAsia="宋体" w:cs="宋体"/>
      <w:sz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Template>
  <Company>微软中国</Company>
  <Pages>77</Pages>
  <Words>199</Words>
  <Characters>230</Characters>
  <Lines>13</Lines>
  <Paragraphs>3</Paragraphs>
  <TotalTime>2</TotalTime>
  <ScaleCrop>false</ScaleCrop>
  <LinksUpToDate>false</LinksUpToDate>
  <CharactersWithSpaces>237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2020-12-24T01:29:00Z</dcterms:created>
  <dc:creator>lhj</dc:creator>
  <cp:lastModifiedBy>微信用户</cp:lastModifiedBy>
  <cp:lastPrinted>2026-01-15T02:49:00Z</cp:lastPrinted>
  <dcterms:modified xsi:type="dcterms:W3CDTF">2026-02-11T02:48:37Z</dcterms:modified>
  <dc:title>附件2</dc:title>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AE40557E78F5463D84FF335EC4A059BF</vt:lpwstr>
  </property>
  <property fmtid="{D5CDD505-2E9C-101B-9397-08002B2CF9AE}" pid="4" name="KSOSaveFontToCloudKey">
    <vt:lpwstr>1199176088_cloud</vt:lpwstr>
  </property>
  <property fmtid="{D5CDD505-2E9C-101B-9397-08002B2CF9AE}" pid="5" name="KSOTemplateDocerSaveRecord">
    <vt:lpwstr>eyJoZGlkIjoiNmE4ZTg5NDRjZDY5ZThiOTY2YmNkMzhiNzMyNzI1MWMiLCJ1c2VySWQiOiIxMjkwNzYyNzMwIn0=</vt:lpwstr>
  </property>
</Properties>
</file>