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hint="default" w:ascii="方正小标宋_GBK" w:hAnsi="方正小标宋_GBK" w:eastAsia="方正小标宋_GBK" w:cs="方正小标宋_GBK"/>
          <w:sz w:val="44"/>
          <w:szCs w:val="44"/>
        </w:rPr>
      </w:pPr>
      <w:r>
        <w:rPr>
          <w:rFonts w:hint="default" w:ascii="方正小标宋_GBK" w:hAnsi="方正小标宋_GBK" w:eastAsia="方正小标宋_GBK" w:cs="方正小标宋_GBK"/>
          <w:sz w:val="44"/>
          <w:szCs w:val="44"/>
        </w:rPr>
        <w:t>郑州新郑综合保税区开展保税维修业务</w:t>
      </w:r>
    </w:p>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hint="default" w:ascii="方正小标宋_GBK" w:hAnsi="方正小标宋_GBK" w:eastAsia="方正小标宋_GBK" w:cs="方正小标宋_GBK"/>
          <w:sz w:val="44"/>
          <w:szCs w:val="44"/>
        </w:rPr>
      </w:pPr>
      <w:r>
        <w:rPr>
          <w:rFonts w:hint="default" w:ascii="方正小标宋_GBK" w:hAnsi="方正小标宋_GBK" w:eastAsia="方正小标宋_GBK" w:cs="方正小标宋_GBK"/>
          <w:sz w:val="44"/>
          <w:szCs w:val="44"/>
        </w:rPr>
        <w:t>工作管理办法（试行）</w:t>
      </w:r>
    </w:p>
    <w:p>
      <w:pPr>
        <w:keepNext w:val="0"/>
        <w:keepLines w:val="0"/>
        <w:pageBreakBefore w:val="0"/>
        <w:widowControl w:val="0"/>
        <w:kinsoku/>
        <w:wordWrap/>
        <w:overflowPunct/>
        <w:topLinePunct w:val="0"/>
        <w:autoSpaceDE/>
        <w:autoSpaceDN/>
        <w:bidi w:val="0"/>
        <w:adjustRightInd/>
        <w:snapToGrid/>
        <w:spacing w:line="550" w:lineRule="exact"/>
        <w:jc w:val="center"/>
        <w:textAlignment w:val="auto"/>
        <w:rPr>
          <w:rFonts w:hint="eastAsia" w:ascii="楷体" w:hAnsi="楷体" w:eastAsia="楷体" w:cs="楷体"/>
          <w:sz w:val="32"/>
          <w:szCs w:val="32"/>
        </w:rPr>
      </w:pPr>
      <w:r>
        <w:rPr>
          <w:rFonts w:hint="eastAsia" w:ascii="楷体" w:hAnsi="楷体" w:eastAsia="楷体" w:cs="楷体"/>
          <w:sz w:val="32"/>
          <w:szCs w:val="32"/>
        </w:rPr>
        <w:t>（征求意见稿）</w:t>
      </w: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支持郑州新郑综合保税区（以下简称“新郑综保区”）内企业开展高技术含量、高附加值、符合环保要求的保税维修业务，促进保税维修业务规范创新发展，根据商务部办公厅、生态环境部办公厅、海关总署办公厅《关于开展保税维修有关工作的通知》（商办贸函〔2025〕276号），商务部、生态环境部、海关总署《商务部等部门关于公布第四批综合保税区维修产品目录的公告》（2025年第82号公告）等文件要求，制定本办法。</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eastAsia" w:ascii="黑体" w:hAnsi="黑体" w:eastAsia="黑体" w:cs="黑体"/>
          <w:sz w:val="32"/>
          <w:szCs w:val="32"/>
        </w:rPr>
        <w:t>一、适用范围</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本办法适用于在新郑综保区围网范围内开展的保税维修业务及相关监督管理工作。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新郑综保区内符合条件的企业经本办法程序核准后，可按照国家规定的综合保税区维修产品目录及相关要求开展保税维修业务。可开展保税维修业务的范围随商务部等国家相关部门公布的政策而相应调整。</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二、职责分工</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郑州航空港经济综合实验区口岸管理局（以下简称“区口岸局”）牵头负责新郑综保区内保税维修业务的开展和产业创新发</w:t>
      </w: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展，负责保税维修业务的申请受理，协助监管部门做好企业监管和服务工作；组织对新郑综保区内保税维修业务安全生产、环境保护、海关监管等方面开展年度评估，并按照规定对违规企业进行整改等处理。</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中华人民共和国新郑海关（以下简称“新郑海关”）负责新郑综保区内保税维修业务开展过程中的海关监管和巡查工作，参与新郑综保区保税维修业务评估工作；依据有关法律法规对违反监管规定及法律的行为进行查处。</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郑州航空港经济综合实验区生态环境和城市管理局（综合行政执法局）［以下简称“区生态环境和城市管理局（综合执法局）”］负责新郑综保区内保税维修业务生态环境监督管理工作，参与新郑综保区保税维修业务评估工作；督促指导企业依法落实生态环保主体责任，做好生态保护、污染防治、环境安全等工作；依据有关法律法规对环境违法行为进行查处。</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郑州航空港经济综合实验区应急管理局（以下简称“区应急管理局”）负责新郑综保区内保税维修业务安全生产综合监督管理工作，参与新郑综保区保税维修业务评估工作；按照分级、属地原则，指导配合区口岸局检查监督企业贯彻执行安全生产法律法规和落实安全生产责任，及其安全生产条件和设施设备、材料、劳动防护用品的安全管理工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口岸局会同新郑海关、区生态环境和城市管理局（综合执法局）、区应急管理局建立部门协作会商机制，对保税维修业务开展中存在的问题及时沟通和协调，持续优化企业监管和服务，积极探索监管制度和业务模式创新，依托信息化、智慧化手段建设综保区保税维修联合监管平台，促进保税维修业务在新郑综保区集聚发展。</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以上职责分工依相关部门事权调整而调整。</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三、业务流程</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（一）企业申请条件和要求</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1.依法登记注册，经营场所与注册地一致，具备独立法人资格；</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2.提供业务情况说明、对外签订的维修合同、品牌所有人或代理人对维修业务的授权等文件；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具有符合环境保护、海关监管等有关法律法规和强制性标准要求的维修设备和场所，对已维修货物、待维修货物、无法维修货物、维修用料件、维修过程中替换下的旧件或坏件、维修过程中产生的边角料等进行专门管理；</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具有相应的污染防治设施和能力，依法依规开展环境影响评价，在委托第三方环评机构编制环评报告时，细化维修产生或替换的废旧料件的种类和处理方式，满足相关废物处理等环保要求，在排放污染物前取得排污许可证或完成排污登记，实现按证排污和污染物达标排放；</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5.维修产生X射线等电离辐射或内含放射性同位素的设备时，按照放射性同位素及射线装置安全和防护的有关要求履行环境影响评价手续，并取得相应许可；</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6.建立健全产品维修的相关技术质量标准和生产规范；</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7.建立符合生态环境、海关等部门要求的内部管理制度，包括进口旧件标准、维修工艺流程、维修质量控制及质量检验规程、维修产品质量保证和售后服务、维修产品溯源、生态环境管理流程等内容；</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8.建立维修业务管理制度和与海关等部门联网的信息化管理系统（ERP），能够按照要求及时准确传输有关数据，实现对维修耗用等信息的全程跟踪和可追溯；</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9.建立业务季度统计机制，指定专人定期报送统计报表（详见附件</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10.符合国家法律法规及有关主管部门规定的其他条件。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（二）入区申请备案流程</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1.企业设立登记后，根据业务类型在区生态环境和城市管理局（综合执法局）办理环境影响评价审批，或在建设项目环境影响登记表网上备案系统办理环境影响评价备案。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2.企业正式开展保税维修业务前，需向区口岸局提交保税维修业务申请及备案材料。申请备案材料包含以下内容：（1）企业开展保税维修业务申报书（见</w:t>
      </w:r>
      <w:r>
        <w:rPr>
          <w:rFonts w:hint="eastAsia"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rPr>
        <w:t>1）；（2）保税维修企业信息表（见</w:t>
      </w:r>
      <w:r>
        <w:rPr>
          <w:rFonts w:hint="eastAsia"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rPr>
        <w:t>2）；（3）符合环保要求、符合相关行业管理规范和技术标准的承诺书（见</w:t>
      </w:r>
      <w:r>
        <w:rPr>
          <w:rFonts w:hint="eastAsia" w:ascii="Times New Roman" w:hAnsi="Times New Roman" w:eastAsia="仿宋_GB2312" w:cs="Times New Roman"/>
          <w:sz w:val="32"/>
          <w:szCs w:val="32"/>
          <w:lang w:eastAsia="zh-CN"/>
        </w:rPr>
        <w:t>附件</w:t>
      </w:r>
      <w:r>
        <w:rPr>
          <w:rFonts w:hint="default" w:ascii="Times New Roman" w:hAnsi="Times New Roman" w:eastAsia="仿宋_GB2312" w:cs="Times New Roman"/>
          <w:sz w:val="32"/>
          <w:szCs w:val="32"/>
        </w:rPr>
        <w:t>3）。</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3.区口岸局接到企业申请备案材料后，组织新郑海关、区生态环境和城市管理局（综合执法局）等部门进行材料审核、实地查看。通过评估论证后，相关单位应在三个工作日内出具书面意见，区口岸局汇总意见。</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4.相关单位均同意后，下达项目同意支持文件，抄报省商务厅、省生态环境厅、郑州海关等部门。</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5.企业收到同意支持文件后，向新郑海关申请办理账册设立等相关手续，正式开展业务。</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（三）综合监管方案编制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获许开展保税维修业务后，由区口岸局牵头，联合新郑海关、区生态环境和城市管理局（综合执法局），在5个工作日内完成项目综合监管方案制定工作。综合监管方案主要包括：项目可行性方案（区口岸局负责）、生态环境监管方案［区生态环境和城市管理局（综合执法局）负责］、海关监管方案（新郑海关负责），以及项目暂停、终止相关条款。综合监管方案需结合本地实际，综合考虑企业的产品附加值水平、产业发展要求、维修技术和能力、生态环境责任等因素。</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1.项目可行性方案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（1）项目基本信息，主要包括：项目名称、实施地址、项目内容、维修产品名称及海关商品编码、业务流程、业务需求和产品来源、管理规范和技术标准、知识产权、区域规划的产业定位和布局安排等。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（2）项目经济社会效益，主要包括：项目附加值和技术含量，预计维修产品数量、带动外贸、就业和投资增长情况，带动当地产业、企业发展情况，项目预计产生的其他经济社会效益等。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（3）项目全流程监管机制，主要包括：成立相关工作机制，明确各部门监管职责，企业具备与海关等部门联网的信息化管理系统（ERP），实现全流程监管，定期开展评估等。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2.生态环境监管方案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（1）维修废料管理，主要包括：区生态环境和城市管理局（综合执法局）对项目维修过程中产生的固体废物、危险废物、废气等管理计划和应急管理预案，开展项目维修率备案及后续核查等。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（2）防范生态环境风险，主要包括：生态环境和城市管理局防范企业通过保税维修方式开展报废、拆解、进口固废等违法行为的具体监管方案等。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（3）区生态环境和城市管理局（综合执法局）对项目的明确支持意见（出具正式文件）。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3.海关监管方案</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（1）账册管理，主要包括：主管海关对维修项目设立专用账册，确定核销周期，开展账册核销等监管工作。</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（2）货物及料件管理，主要包括：货物及料件（待维修货物、已维修货物、无法维修货物、维修用料件、维修产生的边角料、旧件、坏件等）通关申报、监管方式、检验检疫、处置方式、信息化管理等。</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（3）新郑海关对项目的明确支持意见（出具正式文件）。</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四、项目暂停、终止条款</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（一）暂停业务条款</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出现下列情形的，应当及时向区口岸局、新郑海关、区生态环境和城市管理局（综合执法局）、区应急管理局等有关部门报告，有关部门接到报告或发现下列情形应当要求企业及时整改，并互相通报情况。整改期内，暂停保税维修业务。主要包括：不符合海关总署公告2015年第59号等文件规定开展条件的；擅自开展支持范围以外产品保税维修业务的；在保税维修过程中违反国家固体废物管理规定的，擅自处理维修过程中所产生的固体废弃物的；违反相关规定，有关部门认为需要整改的其他情形。企业完成整改，并将整改结果报相应主管部门认可后，方可继续开展保税维修业务。</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（二）终止业务条款</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企业出现下列情形的，应当及时向区口岸局、新郑海关、区生态环境和城市管理局（综合执法局）、区应急管理局等有关部门报告，有关部门接到报告或发现下列情形应当暂停保税维修业务，并互相通报情况，由区口岸局牵头研究终止保税维修业务。已进口的保税维修货物按照相关规定进行处置。主要包括：企业倒闭或破产，或被政府主管部门撤销经营资格的；海关认定的企业信用状况被降为失信企业的；未能将保税维修有关货物、料件、维修替换的旧件、坏件、维修过程中产生的保税边角料等按规定进行处置的；保税维修货物在境内被转让或移作他用的；整改期满仍不能按照要求对保税维修货物进行管理的；有关部门认为需要终止保税维修业务的其他情形。</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五、业务评估</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区口岸局组织新郑海关、区生态环境和城市管理局（综合执法局）、区应急管理局对新郑综保区内企业保税维修业务开展情况，按照《郑州新郑综合保税区保税维修业务评估工作实施方案（试行）》（详见附</w:t>
      </w:r>
      <w:r>
        <w:rPr>
          <w:rFonts w:hint="eastAsia" w:ascii="Times New Roman" w:hAnsi="Times New Roman" w:eastAsia="仿宋_GB2312" w:cs="Times New Roman"/>
          <w:sz w:val="32"/>
          <w:szCs w:val="32"/>
          <w:lang w:eastAsia="zh-CN"/>
        </w:rPr>
        <w:t>件</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）每年定期开展一次评估工作</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黑体" w:hAnsi="黑体" w:eastAsia="黑体" w:cs="黑体"/>
          <w:sz w:val="32"/>
          <w:szCs w:val="32"/>
        </w:rPr>
      </w:pPr>
      <w:r>
        <w:rPr>
          <w:rFonts w:hint="default" w:ascii="黑体" w:hAnsi="黑体" w:eastAsia="黑体" w:cs="黑体"/>
          <w:sz w:val="32"/>
          <w:szCs w:val="32"/>
        </w:rPr>
        <w:t>六、附则</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本方案自印发之日起执行，监管方案将根据最新法律法规、相关公告及维修业务实际开展情况，持续修订完善。</w:t>
      </w: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w:t>
      </w:r>
      <w:r>
        <w:rPr>
          <w:rFonts w:hint="eastAsia" w:ascii="Times New Roman" w:hAnsi="Times New Roman" w:eastAsia="仿宋_GB2312" w:cs="Times New Roman"/>
          <w:sz w:val="32"/>
          <w:szCs w:val="32"/>
          <w:lang w:eastAsia="zh-CN"/>
        </w:rPr>
        <w:t>件</w:t>
      </w:r>
      <w:r>
        <w:rPr>
          <w:rFonts w:hint="default" w:ascii="Times New Roman" w:hAnsi="Times New Roman" w:eastAsia="仿宋_GB2312" w:cs="Times New Roman"/>
          <w:sz w:val="32"/>
          <w:szCs w:val="32"/>
        </w:rPr>
        <w:t>：1.保税维修项目申报书提纲</w:t>
      </w:r>
    </w:p>
    <w:p>
      <w:pPr>
        <w:keepNext w:val="0"/>
        <w:keepLines w:val="0"/>
        <w:pageBreakBefore w:val="0"/>
        <w:widowControl w:val="0"/>
        <w:kinsoku/>
        <w:wordWrap/>
        <w:overflowPunct/>
        <w:topLinePunct w:val="0"/>
        <w:autoSpaceDE/>
        <w:autoSpaceDN/>
        <w:bidi w:val="0"/>
        <w:adjustRightInd/>
        <w:snapToGrid/>
        <w:spacing w:line="550" w:lineRule="exact"/>
        <w:ind w:left="1617" w:leftChars="77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2.郑州新郑综合保税区内开展维修业务企业申请受理信息表</w:t>
      </w:r>
    </w:p>
    <w:p>
      <w:pPr>
        <w:keepNext w:val="0"/>
        <w:keepLines w:val="0"/>
        <w:pageBreakBefore w:val="0"/>
        <w:widowControl w:val="0"/>
        <w:kinsoku/>
        <w:wordWrap/>
        <w:overflowPunct/>
        <w:topLinePunct w:val="0"/>
        <w:autoSpaceDE/>
        <w:autoSpaceDN/>
        <w:bidi w:val="0"/>
        <w:adjustRightInd/>
        <w:snapToGrid/>
        <w:spacing w:line="550" w:lineRule="exact"/>
        <w:ind w:firstLine="1600" w:firstLineChars="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3.企业承诺书</w:t>
      </w:r>
    </w:p>
    <w:p>
      <w:pPr>
        <w:keepNext w:val="0"/>
        <w:keepLines w:val="0"/>
        <w:pageBreakBefore w:val="0"/>
        <w:widowControl w:val="0"/>
        <w:kinsoku/>
        <w:wordWrap/>
        <w:overflowPunct/>
        <w:topLinePunct w:val="0"/>
        <w:autoSpaceDE/>
        <w:autoSpaceDN/>
        <w:bidi w:val="0"/>
        <w:adjustRightInd/>
        <w:snapToGrid/>
        <w:spacing w:line="550" w:lineRule="exact"/>
        <w:ind w:firstLine="1600" w:firstLineChars="5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4.郑州新郑综合保税区企业维修业务季度统计报表</w:t>
      </w:r>
    </w:p>
    <w:p>
      <w:pPr>
        <w:keepNext w:val="0"/>
        <w:keepLines w:val="0"/>
        <w:pageBreakBefore w:val="0"/>
        <w:widowControl w:val="0"/>
        <w:kinsoku/>
        <w:wordWrap/>
        <w:overflowPunct/>
        <w:topLinePunct w:val="0"/>
        <w:autoSpaceDE/>
        <w:autoSpaceDN/>
        <w:bidi w:val="0"/>
        <w:adjustRightInd/>
        <w:snapToGrid/>
        <w:spacing w:line="550" w:lineRule="exact"/>
        <w:ind w:left="1617" w:leftChars="770"/>
        <w:textAlignment w:val="auto"/>
        <w:rPr>
          <w:rFonts w:hint="eastAsia" w:ascii="Times New Roman" w:hAnsi="Times New Roman" w:eastAsia="仿宋_GB2312" w:cs="Times New Roman"/>
          <w:spacing w:val="-6"/>
          <w:sz w:val="32"/>
          <w:szCs w:val="32"/>
          <w:lang w:eastAsia="zh-CN"/>
        </w:rPr>
      </w:pPr>
      <w:r>
        <w:rPr>
          <w:rFonts w:hint="default" w:ascii="Times New Roman" w:hAnsi="Times New Roman" w:eastAsia="仿宋_GB2312" w:cs="Times New Roman"/>
          <w:spacing w:val="-11"/>
          <w:sz w:val="32"/>
          <w:szCs w:val="32"/>
        </w:rPr>
        <w:t>5.郑州新郑综合保税区保税维修业务评估工作方案（试行</w:t>
      </w:r>
      <w:r>
        <w:rPr>
          <w:rFonts w:hint="eastAsia" w:ascii="Times New Roman" w:hAnsi="Times New Roman" w:eastAsia="仿宋_GB2312" w:cs="Times New Roman"/>
          <w:spacing w:val="-1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32"/>
          <w:szCs w:val="32"/>
          <w:lang w:eastAsia="zh-CN"/>
        </w:rPr>
        <w:sectPr>
          <w:footerReference r:id="rId3" w:type="default"/>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w:t>
      </w:r>
      <w:r>
        <w:rPr>
          <w:rFonts w:hint="eastAsia" w:ascii="Times New Roman" w:hAnsi="Times New Roman" w:eastAsia="黑体" w:cs="Times New Roman"/>
          <w:sz w:val="32"/>
          <w:szCs w:val="32"/>
          <w:lang w:eastAsia="zh-CN"/>
        </w:rPr>
        <w:t>件</w:t>
      </w:r>
      <w:r>
        <w:rPr>
          <w:rFonts w:hint="default" w:ascii="Times New Roman" w:hAnsi="Times New Roman" w:eastAsia="黑体" w:cs="Times New Roman"/>
          <w:sz w:val="32"/>
          <w:szCs w:val="32"/>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保税维修项目申报书提纲</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项目基本信息，主要包括：项目名称、实施地址及产权说明、法定代表人身份证明文件及营业执照、项目情况说明（包括企业资质、业务量等）安全规程和污染防治方案、维修产品名称及海关商品编码、业务流程、业务需求和产品来源、管理规范和技术标准、知识产权（维修业务授权文件）、区域规划的产业定位和布局安排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二、项目经济社会效益，主要包括：项目附加值和技术含量，预计维修产品数量、带动外贸、就业和投资增长情况，带动当地产业发展情况，项目预计产生的其他经济效益等。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shd w:val="clear" w:color="auto" w:fill="FFFFFF"/>
        <w:kinsoku/>
        <w:wordWrap/>
        <w:overflowPunct/>
        <w:topLinePunct w:val="0"/>
        <w:bidi w:val="0"/>
        <w:spacing w:beforeAutospacing="0" w:afterAutospacing="0" w:line="560" w:lineRule="exact"/>
        <w:jc w:val="left"/>
        <w:textAlignment w:val="baseline"/>
        <w:outlineLvl w:val="2"/>
        <w:rPr>
          <w:rFonts w:hint="default" w:ascii="Times New Roman" w:hAnsi="Times New Roman" w:eastAsia="方正小标宋简体" w:cs="Times New Roman"/>
          <w:color w:val="000000"/>
          <w:sz w:val="44"/>
          <w:szCs w:val="44"/>
          <w:highlight w:val="none"/>
        </w:rPr>
      </w:pPr>
      <w:r>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t>附件2</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default" w:ascii="Times New Roman" w:hAnsi="Times New Roman" w:eastAsia="方正小标宋简体" w:cs="Times New Roman"/>
          <w:color w:val="000000"/>
          <w:sz w:val="44"/>
          <w:szCs w:val="44"/>
          <w:highlight w:val="none"/>
        </w:rPr>
        <w:t>郑州新郑综合保税区内开展维修业务</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default" w:ascii="Times New Roman" w:hAnsi="Times New Roman" w:eastAsia="方正小标宋简体" w:cs="Times New Roman"/>
          <w:color w:val="000000"/>
          <w:sz w:val="44"/>
          <w:szCs w:val="44"/>
          <w:highlight w:val="none"/>
        </w:rPr>
        <w:t>企业申请受理信息表</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textAlignment w:val="baseline"/>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填表人：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       电话：</w:t>
      </w:r>
    </w:p>
    <w:tbl>
      <w:tblPr>
        <w:tblStyle w:val="6"/>
        <w:tblW w:w="97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15"/>
        <w:gridCol w:w="2287"/>
        <w:gridCol w:w="1473"/>
        <w:gridCol w:w="2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企业名称（加盖公章）：</w:t>
            </w:r>
          </w:p>
        </w:tc>
        <w:tc>
          <w:tcPr>
            <w:tcW w:w="6372" w:type="dxa"/>
            <w:gridSpan w:val="3"/>
            <w:vAlign w:val="center"/>
          </w:tcPr>
          <w:p>
            <w:pPr>
              <w:widowControl w:val="0"/>
              <w:autoSpaceDE w:val="0"/>
              <w:autoSpaceDN w:val="0"/>
              <w:adjustRightInd w:val="0"/>
              <w:snapToGrid w:val="0"/>
              <w:spacing w:before="200" w:after="160"/>
              <w:ind w:left="864" w:right="864"/>
              <w:jc w:val="center"/>
              <w:textAlignment w:val="baseline"/>
              <w:rPr>
                <w:rFonts w:hint="eastAsia" w:ascii="仿宋_GB2312" w:hAnsi="仿宋_GB2312" w:eastAsia="仿宋_GB2312" w:cs="仿宋_GB2312"/>
                <w:i/>
                <w:iCs/>
                <w:color w:val="000000"/>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社会信用代码：</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企业海关代码：</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企业注册地址：</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维修场所地址：</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企业负责人：</w:t>
            </w:r>
          </w:p>
        </w:tc>
        <w:tc>
          <w:tcPr>
            <w:tcW w:w="2287" w:type="dxa"/>
            <w:vAlign w:val="center"/>
          </w:tcPr>
          <w:p>
            <w:pPr>
              <w:autoSpaceDE w:val="0"/>
              <w:autoSpaceDN w:val="0"/>
              <w:adjustRightInd w:val="0"/>
              <w:snapToGrid w:val="0"/>
              <w:spacing w:line="560" w:lineRule="exact"/>
              <w:ind w:firstLine="640" w:firstLineChars="200"/>
              <w:jc w:val="center"/>
              <w:textAlignment w:val="baseline"/>
              <w:rPr>
                <w:rFonts w:hint="eastAsia" w:ascii="仿宋_GB2312" w:hAnsi="仿宋_GB2312" w:eastAsia="仿宋_GB2312" w:cs="仿宋_GB2312"/>
                <w:color w:val="000000"/>
                <w:sz w:val="32"/>
                <w:szCs w:val="32"/>
                <w:highlight w:val="none"/>
              </w:rPr>
            </w:pPr>
          </w:p>
        </w:tc>
        <w:tc>
          <w:tcPr>
            <w:tcW w:w="1473"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电    话：</w:t>
            </w:r>
          </w:p>
        </w:tc>
        <w:tc>
          <w:tcPr>
            <w:tcW w:w="2612" w:type="dxa"/>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企业联系人：</w:t>
            </w:r>
          </w:p>
        </w:tc>
        <w:tc>
          <w:tcPr>
            <w:tcW w:w="2287" w:type="dxa"/>
            <w:vAlign w:val="center"/>
          </w:tcPr>
          <w:p>
            <w:pPr>
              <w:autoSpaceDE w:val="0"/>
              <w:autoSpaceDN w:val="0"/>
              <w:adjustRightInd w:val="0"/>
              <w:snapToGrid w:val="0"/>
              <w:spacing w:line="560" w:lineRule="exact"/>
              <w:ind w:firstLine="640" w:firstLineChars="200"/>
              <w:jc w:val="center"/>
              <w:textAlignment w:val="baseline"/>
              <w:rPr>
                <w:rFonts w:hint="eastAsia" w:ascii="仿宋_GB2312" w:hAnsi="仿宋_GB2312" w:eastAsia="仿宋_GB2312" w:cs="仿宋_GB2312"/>
                <w:color w:val="000000"/>
                <w:sz w:val="32"/>
                <w:szCs w:val="32"/>
                <w:highlight w:val="none"/>
              </w:rPr>
            </w:pPr>
          </w:p>
        </w:tc>
        <w:tc>
          <w:tcPr>
            <w:tcW w:w="1473"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职    务：</w:t>
            </w:r>
          </w:p>
        </w:tc>
        <w:tc>
          <w:tcPr>
            <w:tcW w:w="2612" w:type="dxa"/>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联系人电话：</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维修产品名称及商编：</w:t>
            </w:r>
          </w:p>
        </w:tc>
        <w:tc>
          <w:tcPr>
            <w:tcW w:w="6372" w:type="dxa"/>
            <w:gridSpan w:val="3"/>
            <w:vAlign w:val="center"/>
          </w:tcPr>
          <w:p>
            <w:pPr>
              <w:autoSpaceDE w:val="0"/>
              <w:autoSpaceDN w:val="0"/>
              <w:adjustRightInd w:val="0"/>
              <w:snapToGrid w:val="0"/>
              <w:spacing w:line="560" w:lineRule="exact"/>
              <w:ind w:firstLine="640" w:firstLineChars="200"/>
              <w:textAlignment w:val="baseline"/>
              <w:rPr>
                <w:rFonts w:hint="eastAsia" w:ascii="仿宋_GB2312" w:hAnsi="仿宋_GB2312" w:eastAsia="仿宋_GB2312" w:cs="仿宋_GB2312"/>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3415" w:type="dxa"/>
            <w:vAlign w:val="center"/>
          </w:tcPr>
          <w:p>
            <w:pPr>
              <w:widowControl w:val="0"/>
              <w:autoSpaceDE w:val="0"/>
              <w:autoSpaceDN w:val="0"/>
              <w:adjustRightInd w:val="0"/>
              <w:snapToGrid w:val="0"/>
              <w:spacing w:line="560" w:lineRule="exact"/>
              <w:jc w:val="center"/>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维修业务类别：</w:t>
            </w:r>
          </w:p>
        </w:tc>
        <w:tc>
          <w:tcPr>
            <w:tcW w:w="6372" w:type="dxa"/>
            <w:gridSpan w:val="3"/>
            <w:vAlign w:val="center"/>
          </w:tcPr>
          <w:p>
            <w:pPr>
              <w:widowControl w:val="0"/>
              <w:autoSpaceDE w:val="0"/>
              <w:autoSpaceDN w:val="0"/>
              <w:adjustRightInd w:val="0"/>
              <w:snapToGrid w:val="0"/>
              <w:spacing w:line="560" w:lineRule="exact"/>
              <w:jc w:val="both"/>
              <w:textAlignment w:val="baseline"/>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自产产品□  境外产品□  境内区外产品□</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shd w:val="clear" w:color="auto" w:fill="FFFFFF"/>
        <w:kinsoku/>
        <w:wordWrap/>
        <w:overflowPunct/>
        <w:topLinePunct w:val="0"/>
        <w:bidi w:val="0"/>
        <w:spacing w:beforeAutospacing="0" w:afterAutospacing="0" w:line="560" w:lineRule="exact"/>
        <w:jc w:val="left"/>
        <w:textAlignment w:val="baseline"/>
        <w:outlineLvl w:val="2"/>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pPr>
      <w:r>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t>附件3</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default" w:ascii="Times New Roman" w:hAnsi="Times New Roman" w:eastAsia="方正小标宋简体" w:cs="Times New Roman"/>
          <w:color w:val="000000"/>
          <w:sz w:val="44"/>
          <w:szCs w:val="44"/>
          <w:highlight w:val="none"/>
        </w:rPr>
        <w:t>承 诺 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为树立企业诚信经营良好形象，规范郑州新郑综合保税区有序环境，本企业作出以下承诺：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1.遵守国家法律法规、合法经营、依法纳税、照章缴费、遵守各项财务及税务制度。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2.遵守海关各项监管要求及规定。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3.遵守综保区各项规章制度。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4.依法开展生产经营活动，做好企业各项环保、安全生产工作。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5.按照要求定期报送企业统计数据、纳税证明、财务报表、企业年报、业务开展情况报告等。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6.保税维修项目维修率、账册核销周期说明。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7.对所提交申请材料的真实合法性负责。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特此承诺。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××××××公司（盖章）</w:t>
      </w: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××××年××月××</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baseline"/>
        <w:rPr>
          <w:rFonts w:hint="eastAsia" w:ascii="Times New Roman" w:hAnsi="Times New Roman" w:eastAsia="黑体" w:cs="Times New Roman"/>
          <w:b w:val="0"/>
          <w:bCs w:val="0"/>
          <w:color w:val="000000"/>
          <w:spacing w:val="-2"/>
          <w:kern w:val="0"/>
          <w:sz w:val="32"/>
          <w:szCs w:val="32"/>
          <w:highlight w:val="none"/>
          <w:shd w:val="clear" w:color="auto" w:fill="FFFFFF"/>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baseline"/>
        <w:rPr>
          <w:rFonts w:hint="eastAsia" w:ascii="Times New Roman" w:hAnsi="Times New Roman" w:eastAsia="黑体" w:cs="Times New Roman"/>
          <w:b w:val="0"/>
          <w:bCs w:val="0"/>
          <w:color w:val="000000"/>
          <w:spacing w:val="-2"/>
          <w:kern w:val="0"/>
          <w:sz w:val="32"/>
          <w:szCs w:val="32"/>
          <w:highlight w:val="none"/>
          <w:shd w:val="clear" w:color="auto" w:fill="FFFFFF"/>
          <w:lang w:val="en-US" w:eastAsia="zh-CN" w:bidi="ar-SA"/>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baseline"/>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pPr>
      <w:r>
        <w:rPr>
          <w:rFonts w:hint="eastAsia" w:ascii="Times New Roman" w:hAnsi="Times New Roman" w:eastAsia="黑体" w:cs="Times New Roman"/>
          <w:b w:val="0"/>
          <w:bCs w:val="0"/>
          <w:color w:val="000000"/>
          <w:spacing w:val="-2"/>
          <w:kern w:val="0"/>
          <w:sz w:val="32"/>
          <w:szCs w:val="32"/>
          <w:highlight w:val="none"/>
          <w:shd w:val="clear" w:color="auto" w:fill="FFFFFF"/>
          <w:lang w:val="en-US" w:eastAsia="zh-CN" w:bidi="ar-SA"/>
        </w:rPr>
        <w:t>附件4</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eastAsia" w:ascii="Times New Roman" w:hAnsi="Times New Roman" w:eastAsia="方正小标宋简体" w:cs="Times New Roman"/>
          <w:color w:val="000000"/>
          <w:sz w:val="44"/>
          <w:szCs w:val="44"/>
          <w:highlight w:val="none"/>
          <w:lang w:eastAsia="zh-CN"/>
        </w:rPr>
        <w:t>郑州新郑</w:t>
      </w:r>
      <w:r>
        <w:rPr>
          <w:rFonts w:hint="eastAsia" w:ascii="Times New Roman" w:hAnsi="Times New Roman" w:eastAsia="方正小标宋简体" w:cs="Times New Roman"/>
          <w:color w:val="000000"/>
          <w:sz w:val="44"/>
          <w:szCs w:val="44"/>
          <w:highlight w:val="none"/>
        </w:rPr>
        <w:t>综合保税区企业维修业务</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eastAsia" w:ascii="Times New Roman" w:hAnsi="Times New Roman" w:eastAsia="方正小标宋简体" w:cs="Times New Roman"/>
          <w:color w:val="000000"/>
          <w:sz w:val="44"/>
          <w:szCs w:val="44"/>
          <w:highlight w:val="none"/>
          <w:lang w:val="en-US" w:eastAsia="zh-CN"/>
        </w:rPr>
        <w:t>季度</w:t>
      </w:r>
      <w:r>
        <w:rPr>
          <w:rFonts w:hint="eastAsia" w:ascii="Times New Roman" w:hAnsi="Times New Roman" w:eastAsia="方正小标宋简体" w:cs="Times New Roman"/>
          <w:color w:val="000000"/>
          <w:sz w:val="44"/>
          <w:szCs w:val="44"/>
          <w:highlight w:val="none"/>
        </w:rPr>
        <w:t>统计报表</w:t>
      </w: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baseline"/>
        <w:rPr>
          <w:rFonts w:hint="eastAsia" w:ascii="仿宋_GB2312" w:hAnsi="Calibri" w:eastAsia="仿宋_GB2312" w:cs="Times New Roman"/>
          <w:color w:val="000000"/>
          <w:sz w:val="32"/>
          <w:szCs w:val="32"/>
          <w:highlight w:val="none"/>
          <w:lang w:eastAsia="zh-CN"/>
        </w:rPr>
      </w:pPr>
    </w:p>
    <w:p>
      <w:pPr>
        <w:keepNext w:val="0"/>
        <w:keepLines w:val="0"/>
        <w:pageBreakBefore w:val="0"/>
        <w:widowControl w:val="0"/>
        <w:kinsoku/>
        <w:wordWrap/>
        <w:overflowPunct/>
        <w:topLinePunct w:val="0"/>
        <w:autoSpaceDE w:val="0"/>
        <w:autoSpaceDN w:val="0"/>
        <w:bidi w:val="0"/>
        <w:adjustRightInd w:val="0"/>
        <w:snapToGrid w:val="0"/>
        <w:spacing w:line="560" w:lineRule="exact"/>
        <w:textAlignment w:val="baseline"/>
        <w:rPr>
          <w:rFonts w:ascii="仿宋_GB2312" w:hAnsi="Calibri" w:eastAsia="仿宋_GB2312" w:cs="Times New Roman"/>
          <w:color w:val="000000"/>
          <w:sz w:val="32"/>
          <w:szCs w:val="32"/>
          <w:highlight w:val="none"/>
          <w:lang w:eastAsia="zh-CN"/>
        </w:rPr>
      </w:pPr>
      <w:r>
        <w:rPr>
          <w:rFonts w:hint="eastAsia" w:ascii="仿宋_GB2312" w:hAnsi="Calibri" w:eastAsia="仿宋_GB2312" w:cs="Times New Roman"/>
          <w:color w:val="000000"/>
          <w:sz w:val="32"/>
          <w:szCs w:val="32"/>
          <w:highlight w:val="none"/>
          <w:lang w:eastAsia="zh-CN"/>
        </w:rPr>
        <w:t xml:space="preserve">企业名称： </w:t>
      </w:r>
      <w:r>
        <w:rPr>
          <w:rFonts w:ascii="仿宋_GB2312" w:hAnsi="Calibri" w:eastAsia="仿宋_GB2312" w:cs="Times New Roman"/>
          <w:color w:val="000000"/>
          <w:sz w:val="32"/>
          <w:szCs w:val="32"/>
          <w:highlight w:val="none"/>
          <w:lang w:eastAsia="zh-CN"/>
        </w:rPr>
        <w:t xml:space="preserve">           </w:t>
      </w:r>
    </w:p>
    <w:tbl>
      <w:tblPr>
        <w:tblStyle w:val="6"/>
        <w:tblW w:w="95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3"/>
        <w:gridCol w:w="2846"/>
        <w:gridCol w:w="1513"/>
        <w:gridCol w:w="1513"/>
        <w:gridCol w:w="1513"/>
        <w:gridCol w:w="1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3459" w:type="dxa"/>
            <w:gridSpan w:val="2"/>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黑体" w:hAnsi="黑体" w:eastAsia="黑体" w:cs="宋体"/>
                <w:color w:val="000000"/>
                <w:kern w:val="2"/>
                <w:sz w:val="32"/>
                <w:szCs w:val="32"/>
                <w:highlight w:val="none"/>
                <w:lang w:val="en-US" w:eastAsia="zh-CN" w:bidi="ar-SA"/>
              </w:rPr>
            </w:pPr>
            <w:r>
              <w:rPr>
                <w:rFonts w:hint="eastAsia" w:ascii="黑体" w:hAnsi="黑体" w:eastAsia="黑体" w:cs="宋体"/>
                <w:color w:val="000000"/>
                <w:kern w:val="2"/>
                <w:sz w:val="32"/>
                <w:szCs w:val="32"/>
                <w:highlight w:val="none"/>
                <w:lang w:val="en-US" w:eastAsia="zh-CN" w:bidi="ar-SA"/>
              </w:rPr>
              <w:t>指标</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黑体" w:hAnsi="黑体" w:eastAsia="黑体" w:cs="宋体"/>
                <w:color w:val="000000"/>
                <w:kern w:val="2"/>
                <w:sz w:val="32"/>
                <w:szCs w:val="32"/>
                <w:highlight w:val="none"/>
                <w:lang w:val="en-US" w:eastAsia="zh-CN" w:bidi="ar-SA"/>
              </w:rPr>
            </w:pPr>
            <w:r>
              <w:rPr>
                <w:rFonts w:hint="eastAsia" w:ascii="黑体" w:hAnsi="黑体" w:eastAsia="黑体" w:cs="宋体"/>
                <w:color w:val="000000"/>
                <w:kern w:val="2"/>
                <w:sz w:val="32"/>
                <w:szCs w:val="32"/>
                <w:highlight w:val="none"/>
                <w:lang w:val="en-US" w:eastAsia="zh-CN" w:bidi="ar-SA"/>
              </w:rPr>
              <w:t>季度数值</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黑体" w:hAnsi="黑体" w:eastAsia="黑体" w:cs="宋体"/>
                <w:color w:val="000000"/>
                <w:kern w:val="2"/>
                <w:sz w:val="32"/>
                <w:szCs w:val="32"/>
                <w:highlight w:val="none"/>
                <w:lang w:val="en-US" w:eastAsia="zh-CN" w:bidi="ar-SA"/>
              </w:rPr>
            </w:pPr>
            <w:r>
              <w:rPr>
                <w:rFonts w:hint="eastAsia" w:ascii="黑体" w:hAnsi="黑体" w:eastAsia="黑体" w:cs="宋体"/>
                <w:color w:val="000000"/>
                <w:kern w:val="2"/>
                <w:sz w:val="32"/>
                <w:szCs w:val="32"/>
                <w:highlight w:val="none"/>
                <w:lang w:val="en-US" w:eastAsia="zh-CN" w:bidi="ar-SA"/>
              </w:rPr>
              <w:t>同比</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黑体" w:hAnsi="黑体" w:eastAsia="黑体" w:cs="宋体"/>
                <w:color w:val="000000"/>
                <w:kern w:val="2"/>
                <w:sz w:val="32"/>
                <w:szCs w:val="32"/>
                <w:highlight w:val="none"/>
                <w:lang w:val="en-US" w:eastAsia="zh-CN" w:bidi="ar-SA"/>
              </w:rPr>
            </w:pPr>
            <w:r>
              <w:rPr>
                <w:rFonts w:hint="eastAsia" w:ascii="黑体" w:hAnsi="黑体" w:eastAsia="黑体" w:cs="宋体"/>
                <w:color w:val="000000"/>
                <w:kern w:val="2"/>
                <w:sz w:val="32"/>
                <w:szCs w:val="32"/>
                <w:highlight w:val="none"/>
                <w:lang w:val="en-US" w:eastAsia="zh-CN" w:bidi="ar-SA"/>
              </w:rPr>
              <w:t>年度累计</w:t>
            </w: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黑体" w:hAnsi="黑体" w:eastAsia="黑体" w:cs="宋体"/>
                <w:color w:val="000000"/>
                <w:kern w:val="2"/>
                <w:sz w:val="32"/>
                <w:szCs w:val="32"/>
                <w:highlight w:val="none"/>
                <w:lang w:val="en-US" w:eastAsia="zh-CN" w:bidi="ar-SA"/>
              </w:rPr>
            </w:pPr>
            <w:r>
              <w:rPr>
                <w:rFonts w:hint="eastAsia" w:ascii="黑体" w:hAnsi="黑体" w:eastAsia="黑体" w:cs="宋体"/>
                <w:color w:val="000000"/>
                <w:kern w:val="2"/>
                <w:sz w:val="32"/>
                <w:szCs w:val="32"/>
                <w:highlight w:val="none"/>
                <w:lang w:val="en-US" w:eastAsia="zh-CN" w:bidi="ar-SA"/>
              </w:rPr>
              <w:t>同比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宋体" w:eastAsia="仿宋_GB2312" w:cs="宋体"/>
                <w:color w:val="000000"/>
                <w:kern w:val="2"/>
                <w:sz w:val="32"/>
                <w:szCs w:val="32"/>
                <w:highlight w:val="none"/>
                <w:lang w:val="en-US" w:eastAsia="zh-CN" w:bidi="ar-SA"/>
              </w:rPr>
            </w:pPr>
            <w:r>
              <w:rPr>
                <w:rFonts w:ascii="Times New Roman" w:hAnsi="Times New Roman" w:eastAsia="仿宋_GB2312" w:cs="宋体"/>
                <w:color w:val="000000"/>
                <w:kern w:val="2"/>
                <w:sz w:val="32"/>
                <w:szCs w:val="32"/>
                <w:highlight w:val="none"/>
                <w:lang w:val="en-US" w:eastAsia="zh-CN" w:bidi="ar-SA"/>
              </w:rPr>
              <w:t>1</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维修货物量</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宋体" w:eastAsia="仿宋_GB2312" w:cs="宋体"/>
                <w:color w:val="000000"/>
                <w:kern w:val="2"/>
                <w:sz w:val="32"/>
                <w:szCs w:val="32"/>
                <w:highlight w:val="none"/>
                <w:lang w:val="en-US" w:eastAsia="zh-CN" w:bidi="ar-SA"/>
              </w:rPr>
            </w:pPr>
            <w:r>
              <w:rPr>
                <w:rFonts w:ascii="Times New Roman" w:hAnsi="Times New Roman" w:eastAsia="仿宋_GB2312" w:cs="宋体"/>
                <w:color w:val="000000"/>
                <w:kern w:val="2"/>
                <w:sz w:val="32"/>
                <w:szCs w:val="32"/>
                <w:highlight w:val="none"/>
                <w:lang w:val="en-US" w:eastAsia="zh-CN" w:bidi="ar-SA"/>
              </w:rPr>
              <w:t>2</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维修货值</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宋体" w:eastAsia="仿宋_GB2312" w:cs="宋体"/>
                <w:color w:val="000000"/>
                <w:kern w:val="2"/>
                <w:sz w:val="32"/>
                <w:szCs w:val="32"/>
                <w:highlight w:val="none"/>
                <w:lang w:val="en-US" w:eastAsia="zh-CN" w:bidi="ar-SA"/>
              </w:rPr>
            </w:pPr>
            <w:r>
              <w:rPr>
                <w:rFonts w:ascii="Times New Roman" w:hAnsi="Times New Roman" w:eastAsia="仿宋_GB2312" w:cs="宋体"/>
                <w:color w:val="000000"/>
                <w:kern w:val="2"/>
                <w:sz w:val="32"/>
                <w:szCs w:val="32"/>
                <w:highlight w:val="none"/>
                <w:lang w:val="en-US" w:eastAsia="zh-CN" w:bidi="ar-SA"/>
              </w:rPr>
              <w:t>3</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right="158"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产值</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Calibri"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lang w:eastAsia="zh-CN"/>
              </w:rPr>
              <w:t>4</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right="88"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营业收入</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Calibri"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lang w:eastAsia="zh-CN"/>
              </w:rPr>
              <w:t>5</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税收</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宋体" w:eastAsia="仿宋_GB2312" w:cs="宋体"/>
                <w:color w:val="000000"/>
                <w:kern w:val="2"/>
                <w:sz w:val="32"/>
                <w:szCs w:val="32"/>
                <w:highlight w:val="none"/>
                <w:lang w:val="en-US" w:eastAsia="zh-CN" w:bidi="ar-SA"/>
              </w:rPr>
            </w:pPr>
            <w:r>
              <w:rPr>
                <w:rFonts w:ascii="Times New Roman" w:hAnsi="Times New Roman" w:eastAsia="仿宋_GB2312" w:cs="宋体"/>
                <w:color w:val="000000"/>
                <w:kern w:val="2"/>
                <w:sz w:val="32"/>
                <w:szCs w:val="32"/>
                <w:highlight w:val="none"/>
                <w:lang w:val="en-US" w:eastAsia="zh-CN" w:bidi="ar-SA"/>
              </w:rPr>
              <w:t>6</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产线</w:t>
            </w: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c>
          <w:tcPr>
            <w:tcW w:w="1514"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1" w:hRule="atLeast"/>
          <w:jc w:val="center"/>
        </w:trPr>
        <w:tc>
          <w:tcPr>
            <w:tcW w:w="613"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ascii="仿宋_GB2312" w:hAnsi="宋体" w:eastAsia="仿宋_GB2312" w:cs="宋体"/>
                <w:color w:val="000000"/>
                <w:kern w:val="2"/>
                <w:sz w:val="32"/>
                <w:szCs w:val="32"/>
                <w:highlight w:val="none"/>
                <w:lang w:val="en-US" w:eastAsia="zh-CN" w:bidi="ar-SA"/>
              </w:rPr>
            </w:pPr>
            <w:r>
              <w:rPr>
                <w:rFonts w:ascii="Times New Roman" w:hAnsi="Times New Roman" w:eastAsia="仿宋_GB2312" w:cs="Arial"/>
                <w:color w:val="000000"/>
                <w:kern w:val="2"/>
                <w:sz w:val="32"/>
                <w:szCs w:val="32"/>
                <w:highlight w:val="none"/>
                <w:lang w:val="en-US" w:eastAsia="zh-CN" w:bidi="ar-SA"/>
              </w:rPr>
              <w:t>7</w:t>
            </w:r>
          </w:p>
        </w:tc>
        <w:tc>
          <w:tcPr>
            <w:tcW w:w="2846" w:type="dxa"/>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宋体" w:eastAsia="仿宋_GB2312" w:cs="宋体"/>
                <w:color w:val="000000"/>
                <w:kern w:val="2"/>
                <w:sz w:val="32"/>
                <w:szCs w:val="32"/>
                <w:highlight w:val="none"/>
                <w:lang w:val="en-US" w:eastAsia="zh-CN" w:bidi="ar-SA"/>
              </w:rPr>
            </w:pPr>
            <w:r>
              <w:rPr>
                <w:rFonts w:hint="eastAsia" w:ascii="仿宋_GB2312" w:hAnsi="宋体" w:eastAsia="仿宋_GB2312" w:cs="宋体"/>
                <w:color w:val="000000"/>
                <w:kern w:val="2"/>
                <w:sz w:val="32"/>
                <w:szCs w:val="32"/>
                <w:highlight w:val="none"/>
                <w:lang w:val="en-US" w:eastAsia="zh-CN" w:bidi="ar-SA"/>
              </w:rPr>
              <w:t>固体废物处理情况</w:t>
            </w:r>
          </w:p>
        </w:tc>
        <w:tc>
          <w:tcPr>
            <w:tcW w:w="6053" w:type="dxa"/>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line="560" w:lineRule="exact"/>
              <w:ind w:left="11" w:leftChars="-10" w:hanging="32" w:hangingChars="10"/>
              <w:jc w:val="center"/>
              <w:textAlignment w:val="baseline"/>
              <w:rPr>
                <w:rFonts w:ascii="仿宋_GB2312" w:hAnsi="Calibri" w:eastAsia="仿宋_GB2312" w:cs="Times New Roman"/>
                <w:color w:val="000000"/>
                <w:sz w:val="32"/>
                <w:szCs w:val="32"/>
                <w:highlight w:val="none"/>
              </w:rPr>
            </w:pPr>
          </w:p>
        </w:tc>
      </w:tr>
    </w:tbl>
    <w:p>
      <w:pPr>
        <w:keepNext w:val="0"/>
        <w:keepLines w:val="0"/>
        <w:pageBreakBefore w:val="0"/>
        <w:widowControl w:val="0"/>
        <w:kinsoku/>
        <w:wordWrap/>
        <w:overflowPunct/>
        <w:topLinePunct w:val="0"/>
        <w:autoSpaceDE w:val="0"/>
        <w:autoSpaceDN w:val="0"/>
        <w:bidi w:val="0"/>
        <w:adjustRightInd w:val="0"/>
        <w:snapToGrid w:val="0"/>
        <w:spacing w:line="560" w:lineRule="exact"/>
        <w:ind w:firstLine="320" w:firstLineChars="100"/>
        <w:textAlignment w:val="baseline"/>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填表人：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rPr>
        <w:t xml:space="preserve">       电话：</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baseline"/>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pPr>
      <w:r>
        <w:rPr>
          <w:rFonts w:hint="default" w:ascii="Times New Roman" w:hAnsi="Times New Roman" w:eastAsia="黑体" w:cs="Times New Roman"/>
          <w:b w:val="0"/>
          <w:bCs w:val="0"/>
          <w:color w:val="000000"/>
          <w:spacing w:val="-2"/>
          <w:kern w:val="0"/>
          <w:sz w:val="32"/>
          <w:szCs w:val="32"/>
          <w:highlight w:val="none"/>
          <w:shd w:val="clear" w:color="auto" w:fill="FFFFFF"/>
          <w:lang w:val="en-US" w:eastAsia="zh-CN" w:bidi="ar-SA"/>
        </w:rPr>
        <w:t>附件5</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default" w:ascii="Times New Roman" w:hAnsi="Times New Roman" w:eastAsia="方正小标宋简体" w:cs="Times New Roman"/>
          <w:color w:val="000000"/>
          <w:sz w:val="44"/>
          <w:szCs w:val="44"/>
          <w:highlight w:val="none"/>
        </w:rPr>
        <w:t>郑州新郑综合保税区保税维修业务评估</w:t>
      </w:r>
    </w:p>
    <w:p>
      <w:pPr>
        <w:keepNext w:val="0"/>
        <w:keepLines w:val="0"/>
        <w:pageBreakBefore w:val="0"/>
        <w:widowControl w:val="0"/>
        <w:kinsoku/>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方正小标宋简体" w:cs="Times New Roman"/>
          <w:color w:val="000000"/>
          <w:sz w:val="44"/>
          <w:szCs w:val="44"/>
          <w:highlight w:val="none"/>
        </w:rPr>
      </w:pPr>
      <w:r>
        <w:rPr>
          <w:rFonts w:hint="default" w:ascii="Times New Roman" w:hAnsi="Times New Roman" w:eastAsia="方正小标宋简体" w:cs="Times New Roman"/>
          <w:color w:val="000000"/>
          <w:sz w:val="44"/>
          <w:szCs w:val="44"/>
          <w:highlight w:val="none"/>
        </w:rPr>
        <w:t>工作方案（试行）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为精准评估郑州新郑综合保税区（以下简称“新郑综保区”）保税维修业务发展状况，规范业务监管，提升服务效能，推动业态高质量发展，特制定本工作方案。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一、评估范围及流程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（一）评估范围及周期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评估范围：新郑综保区内企业已开展半年以上的保税维修业务。</w:t>
      </w:r>
      <w:r>
        <w:rPr>
          <w:rFonts w:hint="eastAsia" w:ascii="Times New Roman" w:hAnsi="Times New Roman" w:eastAsia="仿宋_GB2312" w:cs="Times New Roman"/>
          <w:sz w:val="32"/>
          <w:szCs w:val="32"/>
          <w:lang w:eastAsia="zh-CN"/>
        </w:rPr>
        <w:t>航空港区获准的保税维修试点业务，在取得上级主管部门授权后，可参照本方案开展业务评估。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评估周期：新郑综保区保税维修评估工作年度内开展一次，一个自然年为一年度。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（二）评估流程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1.区口岸局年度内函告新郑海关、区生态环境和城市管理局（综合执法局）、区应急管理局组织开展保税维修评估工作。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2.区口岸局</w:t>
      </w:r>
      <w:r>
        <w:rPr>
          <w:rFonts w:hint="eastAsia" w:ascii="Times New Roman" w:hAnsi="Times New Roman" w:eastAsia="仿宋_GB2312" w:cs="Times New Roman"/>
          <w:sz w:val="32"/>
          <w:szCs w:val="32"/>
          <w:lang w:eastAsia="zh-CN"/>
        </w:rPr>
        <w:t>联合</w:t>
      </w:r>
      <w:r>
        <w:rPr>
          <w:rFonts w:hint="default" w:ascii="Times New Roman" w:hAnsi="Times New Roman" w:eastAsia="仿宋_GB2312" w:cs="Times New Roman"/>
          <w:sz w:val="32"/>
          <w:szCs w:val="32"/>
        </w:rPr>
        <w:t>新郑海关、区生态环境和城市管理局（综合执法局）、区应急管理局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召开郑州新郑综保区保税维修评估会，</w:t>
      </w:r>
      <w:r>
        <w:rPr>
          <w:rFonts w:hint="eastAsia" w:ascii="Times New Roman" w:hAnsi="Times New Roman" w:eastAsia="仿宋_GB2312" w:cs="Times New Roman"/>
          <w:sz w:val="32"/>
          <w:szCs w:val="32"/>
          <w:lang w:eastAsia="zh-CN"/>
        </w:rPr>
        <w:t>并</w:t>
      </w:r>
      <w:r>
        <w:rPr>
          <w:rFonts w:hint="default" w:ascii="Times New Roman" w:hAnsi="Times New Roman" w:eastAsia="仿宋_GB2312" w:cs="Times New Roman"/>
          <w:sz w:val="32"/>
          <w:szCs w:val="32"/>
        </w:rPr>
        <w:t>进行实地</w:t>
      </w:r>
      <w:r>
        <w:rPr>
          <w:rFonts w:hint="eastAsia" w:ascii="Times New Roman" w:hAnsi="Times New Roman" w:eastAsia="仿宋_GB2312" w:cs="Times New Roman"/>
          <w:sz w:val="32"/>
          <w:szCs w:val="32"/>
          <w:lang w:eastAsia="zh-CN"/>
        </w:rPr>
        <w:t>核验。</w:t>
      </w:r>
      <w:r>
        <w:rPr>
          <w:rFonts w:hint="default" w:ascii="Times New Roman" w:hAnsi="Times New Roman" w:eastAsia="仿宋_GB2312" w:cs="Times New Roman"/>
          <w:sz w:val="32"/>
          <w:szCs w:val="32"/>
        </w:rPr>
        <w:t>相关企业</w:t>
      </w:r>
      <w:r>
        <w:rPr>
          <w:rFonts w:hint="eastAsia" w:ascii="Times New Roman" w:hAnsi="Times New Roman" w:eastAsia="仿宋_GB2312" w:cs="Times New Roman"/>
          <w:sz w:val="32"/>
          <w:szCs w:val="32"/>
          <w:lang w:eastAsia="zh-CN"/>
        </w:rPr>
        <w:t>需</w:t>
      </w:r>
      <w:r>
        <w:rPr>
          <w:rFonts w:hint="default" w:ascii="Times New Roman" w:hAnsi="Times New Roman" w:eastAsia="仿宋_GB2312" w:cs="Times New Roman"/>
          <w:sz w:val="32"/>
          <w:szCs w:val="32"/>
        </w:rPr>
        <w:t>汇报业务开展情况，各评估单位</w:t>
      </w:r>
      <w:r>
        <w:rPr>
          <w:rFonts w:hint="eastAsia" w:ascii="Times New Roman" w:hAnsi="Times New Roman" w:eastAsia="仿宋_GB2312" w:cs="Times New Roman"/>
          <w:sz w:val="32"/>
          <w:szCs w:val="32"/>
          <w:lang w:eastAsia="zh-CN"/>
        </w:rPr>
        <w:t>根据</w:t>
      </w:r>
      <w:r>
        <w:rPr>
          <w:rFonts w:hint="default" w:ascii="Times New Roman" w:hAnsi="Times New Roman" w:eastAsia="仿宋_GB2312" w:cs="Times New Roman"/>
          <w:sz w:val="32"/>
          <w:szCs w:val="32"/>
        </w:rPr>
        <w:t>监管</w:t>
      </w:r>
      <w:r>
        <w:rPr>
          <w:rFonts w:hint="eastAsia" w:ascii="Times New Roman" w:hAnsi="Times New Roman" w:eastAsia="仿宋_GB2312" w:cs="Times New Roman"/>
          <w:sz w:val="32"/>
          <w:szCs w:val="32"/>
          <w:lang w:eastAsia="zh-CN"/>
        </w:rPr>
        <w:t>职责</w:t>
      </w:r>
      <w:r>
        <w:rPr>
          <w:rFonts w:hint="default" w:ascii="Times New Roman" w:hAnsi="Times New Roman" w:eastAsia="仿宋_GB2312" w:cs="Times New Roman"/>
          <w:sz w:val="32"/>
          <w:szCs w:val="32"/>
        </w:rPr>
        <w:t>，完成企业保税维修业务评估。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.区口岸局根据整体评估情况，汇总形成保税维修评估报告，通报各相关单位及企业。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rPr>
      </w:pPr>
      <w:r>
        <w:rPr>
          <w:rFonts w:hint="eastAsia" w:ascii="黑体" w:hAnsi="黑体" w:eastAsia="黑体" w:cs="黑体"/>
          <w:sz w:val="32"/>
          <w:szCs w:val="32"/>
          <w:lang w:eastAsia="zh-CN"/>
        </w:rPr>
        <w:t>二</w:t>
      </w:r>
      <w:r>
        <w:rPr>
          <w:rFonts w:hint="default" w:ascii="黑体" w:hAnsi="黑体" w:eastAsia="黑体" w:cs="黑体"/>
          <w:sz w:val="32"/>
          <w:szCs w:val="32"/>
        </w:rPr>
        <w:t>、评估内容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（一）资格、资质方面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1.企业经营是否正常。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2.企业注册地与实际经营地一致。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3.企业信用等级</w:t>
      </w:r>
      <w:r>
        <w:rPr>
          <w:rFonts w:hint="eastAsia" w:ascii="Times New Roman" w:hAnsi="Times New Roman" w:eastAsia="仿宋_GB2312" w:cs="Times New Roman"/>
          <w:sz w:val="32"/>
          <w:szCs w:val="32"/>
          <w:highlight w:val="none"/>
          <w:lang w:eastAsia="zh-CN"/>
        </w:rPr>
        <w:t>情况</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4.企业维修合同或授权维修文件情况。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5.针对业务日常监督管理，企业响应和整改情况。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（二）海关监管方面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1.企业内部建立符合海关监管要求的计算机管理系统，能够实现对维修耗用等信息的全程跟踪，并能按照海关监管要求进行申报及数据交换。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2.已维修货物（包括经检测维修不能修复的货物）、维修用料件、维修过程中替换下的坏损零部件、维修用料件在维修过程中产生的边角料分类管理、分类存放情况。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3.在规定期限内对维修过程中产生或替换的边角料、旧件、坏件等按照规定进行处置（规定期限由主管海关根据保税维修合同和实际情况确定）的情况。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4.是否存在通过保税维修方式开展拆解、报废等情况。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5.建立符合海关要求的内部管理制度。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6.针对业务日常监督管理，企业是否响应和整改及时。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7.其他违反海关监管要求的情况。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（三）生态环境方面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1.企业按照维修项目环境影响评价审批或备案的标准，落实责任和义务情况。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2.设置固体废物管理台账，如实记录所产生固体废物的种类、数量、流向、贮存、利用和处置等信息，并通过全国固体废物管理信息系统进行申报登记的情况。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3.维修过程中是否存在涉及固体废物、危险废物管理的生态环境违法行为情况。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4.每单不可维修率不得高于企业承诺上限（如未承诺，每单不可维修率上限不得高于40%）。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5.建立符合生态环境部门要求的污染防治管理制度。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6.针对业务日常监督管理，企业是否响应和整改及时。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7.其他违反生态环境监管要求的情况。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sz w:val="32"/>
          <w:szCs w:val="32"/>
        </w:rPr>
      </w:pPr>
      <w:r>
        <w:rPr>
          <w:rFonts w:hint="default" w:ascii="楷体" w:hAnsi="楷体" w:eastAsia="楷体" w:cs="楷体"/>
          <w:sz w:val="32"/>
          <w:szCs w:val="32"/>
        </w:rPr>
        <w:t>（四）安全生产方面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1.是否存在安全隐患或需整改的情形。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2.建立符合安全生产部门要求的安全规程。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3.针对业务日常监督管理，企业是否响应和整改及时。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4.其他违反安全生产要求的情况。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rPr>
      </w:pPr>
      <w:r>
        <w:rPr>
          <w:rFonts w:hint="eastAsia" w:ascii="黑体" w:hAnsi="黑体" w:eastAsia="黑体" w:cs="黑体"/>
          <w:sz w:val="32"/>
          <w:szCs w:val="32"/>
          <w:lang w:eastAsia="zh-CN"/>
        </w:rPr>
        <w:t>三</w:t>
      </w:r>
      <w:r>
        <w:rPr>
          <w:rFonts w:hint="default" w:ascii="黑体" w:hAnsi="黑体" w:eastAsia="黑体" w:cs="黑体"/>
          <w:sz w:val="32"/>
          <w:szCs w:val="32"/>
        </w:rPr>
        <w:t>、结果应用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监管单位针对评估过程中发现企业存在暂停业务条款情形的，应依法依规提出整改等处理意见，并将处理原因及意见上报至区口岸局进行汇总。区口岸局据此编制新郑综保区保税维修评估报告，并通报给各监管单位及参与评估的企业。相关部门应督促违规企业尽快落实处理意见并完成整改。在整改期间，企业不得开展保税维修业务，待完成整改并将整改结果报口岸管理局及对应监管单位认可后，方可恢复保税维修业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如企业出现终止业务条款情形，有关部门应当立即暂停其保税维修业务，由区口岸局牵头相关业务主管部门，研究决定</w:t>
      </w:r>
      <w:r>
        <w:rPr>
          <w:rFonts w:hint="eastAsia" w:ascii="Times New Roman" w:hAnsi="Times New Roman" w:eastAsia="仿宋_GB2312" w:cs="Times New Roman"/>
          <w:sz w:val="32"/>
          <w:szCs w:val="32"/>
          <w:lang w:eastAsia="zh-CN"/>
        </w:rPr>
        <w:t>是否</w:t>
      </w:r>
      <w:r>
        <w:rPr>
          <w:rFonts w:hint="default" w:ascii="Times New Roman" w:hAnsi="Times New Roman" w:eastAsia="仿宋_GB2312" w:cs="Times New Roman"/>
          <w:sz w:val="32"/>
          <w:szCs w:val="32"/>
        </w:rPr>
        <w:t>终止其保税维修业务资格。</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altName w:val="Webding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小标宋_GBK">
    <w:panose1 w:val="02000000000000000000"/>
    <w:charset w:val="86"/>
    <w:family w:val="auto"/>
    <w:pitch w:val="default"/>
    <w:sig w:usb0="A00002BF" w:usb1="38CF7CFA" w:usb2="0008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- 1 -</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- 1 -</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2FC9120"/>
    <w:rsid w:val="DFEA719D"/>
    <w:rsid w:val="F2FC9120"/>
    <w:rsid w:val="F7BFF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Office_11.1.0.11720_F1E327BC-269C-435d-A152-05C5408002CA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2026-02-13T02:38:00Z</dcterms:created>
  <dc:creator>lenovo</dc:creator>
  <cp:lastModifiedBy>lenovo</cp:lastModifiedBy>
  <cp:lastPrinted>2026-02-13T02:41:00Z</cp:lastPrinted>
  <dcterms:modified xsi:type="dcterms:W3CDTF">2026-02-12T15:15:05Z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2052-11.1.0.11720</vt:lpwstr>
  </property>
</Properties>
</file>