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5FCCE5">
      <w:pPr>
        <w:pStyle w:val="15"/>
        <w:pageBreakBefore w:val="0"/>
        <w:widowControl/>
        <w:kinsoku/>
        <w:wordWrap/>
        <w:overflowPunct/>
        <w:topLinePunct w:val="0"/>
        <w:autoSpaceDE/>
        <w:autoSpaceDN/>
        <w:bidi w:val="0"/>
        <w:snapToGrid/>
        <w:spacing w:line="580" w:lineRule="exact"/>
        <w:ind w:left="0" w:right="0" w:rightChars="0"/>
        <w:textAlignment w:val="auto"/>
        <w:rPr>
          <w:rFonts w:hint="eastAsia" w:asciiTheme="majorEastAsia" w:hAnsiTheme="majorEastAsia" w:eastAsiaTheme="majorEastAsia" w:cstheme="majorEastAsia"/>
          <w:b/>
          <w:bCs/>
        </w:rPr>
      </w:pPr>
      <mc:AlternateContent>
        <mc:Choice Requires="wpsCustomData">
          <wpsCustomData:docfieldStart id="0" docfieldname="标题_1" hidden="0" print="1" readonly="0" index="8"/>
        </mc:Choice>
      </mc:AlternateContent>
      <w:r>
        <w:rPr>
          <w:rFonts w:hint="eastAsia" w:asciiTheme="majorEastAsia" w:hAnsiTheme="majorEastAsia" w:eastAsiaTheme="majorEastAsia" w:cstheme="majorEastAsia"/>
          <w:b/>
          <w:bCs/>
        </w:rPr>
        <w:t>安阳县信访局关于</w:t>
      </w:r>
      <w:r>
        <w:rPr>
          <w:rFonts w:hint="eastAsia" w:asciiTheme="majorEastAsia" w:hAnsiTheme="majorEastAsia" w:eastAsiaTheme="majorEastAsia" w:cstheme="majorEastAsia"/>
          <w:b/>
          <w:bCs/>
          <w:lang w:val="en-US" w:eastAsia="zh-CN"/>
        </w:rPr>
        <w:t>2025年</w:t>
      </w:r>
      <w:r>
        <w:rPr>
          <w:rFonts w:hint="eastAsia" w:asciiTheme="majorEastAsia" w:hAnsiTheme="majorEastAsia" w:eastAsiaTheme="majorEastAsia" w:cstheme="majorEastAsia"/>
          <w:b/>
          <w:bCs/>
        </w:rPr>
        <w:t>法治</w:t>
      </w:r>
      <w:r>
        <w:rPr>
          <w:rFonts w:hint="eastAsia" w:asciiTheme="majorEastAsia" w:hAnsiTheme="majorEastAsia" w:eastAsiaTheme="majorEastAsia" w:cstheme="majorEastAsia"/>
          <w:b/>
          <w:bCs/>
          <w:lang w:eastAsia="zh-CN"/>
        </w:rPr>
        <w:t>政府</w:t>
      </w:r>
      <w:r>
        <w:rPr>
          <w:rFonts w:hint="eastAsia" w:asciiTheme="majorEastAsia" w:hAnsiTheme="majorEastAsia" w:eastAsiaTheme="majorEastAsia" w:cstheme="majorEastAsia"/>
          <w:b/>
          <w:bCs/>
        </w:rPr>
        <w:t>建设</w:t>
      </w:r>
      <w:bookmarkStart w:id="0" w:name="_GoBack"/>
      <w:bookmarkEnd w:id="0"/>
      <w:r>
        <w:rPr>
          <w:rFonts w:hint="eastAsia" w:asciiTheme="majorEastAsia" w:hAnsiTheme="majorEastAsia" w:eastAsiaTheme="majorEastAsia" w:cstheme="majorEastAsia"/>
          <w:b/>
          <w:bCs/>
        </w:rPr>
        <w:t>情况的报告</w:t>
      </w:r>
      <mc:AlternateContent>
        <mc:Choice Requires="wpsCustomData">
          <wpsCustomData:docfieldEnd id="0"/>
        </mc:Choice>
      </mc:AlternateContent>
    </w:p>
    <w:p w14:paraId="13220C74">
      <w:pPr>
        <w:pStyle w:val="11"/>
        <w:pageBreakBefore w:val="0"/>
        <w:widowControl/>
        <w:kinsoku/>
        <w:wordWrap/>
        <w:overflowPunct/>
        <w:topLinePunct w:val="0"/>
        <w:autoSpaceDE/>
        <w:autoSpaceDN/>
        <w:bidi w:val="0"/>
        <w:snapToGrid/>
        <w:spacing w:beforeAutospacing="0" w:afterAutospacing="0" w:line="580" w:lineRule="exact"/>
        <w:ind w:left="0" w:right="0" w:rightChars="0"/>
        <w:textAlignment w:val="auto"/>
      </w:pPr>
    </w:p>
    <w:p w14:paraId="3D00399E">
      <w:pPr>
        <w:pStyle w:val="2"/>
        <w:pageBreakBefore w:val="0"/>
        <w:widowControl/>
        <w:numPr>
          <w:ilvl w:val="0"/>
          <w:numId w:val="1"/>
        </w:numPr>
        <w:kinsoku/>
        <w:wordWrap/>
        <w:overflowPunct/>
        <w:topLinePunct w:val="0"/>
        <w:autoSpaceDE/>
        <w:autoSpaceDN/>
        <w:bidi w:val="0"/>
        <w:snapToGrid/>
        <w:spacing w:beforeLines="0" w:afterLines="0" w:line="580" w:lineRule="exact"/>
        <w:ind w:left="0" w:leftChars="0" w:right="0" w:rightChars="0" w:firstLine="640" w:firstLineChars="0"/>
        <w:textAlignment w:val="auto"/>
        <w:rPr>
          <w:b w:val="0"/>
        </w:rPr>
      </w:pPr>
      <w:r>
        <w:t>主要工作及成效</w:t>
      </w:r>
    </w:p>
    <w:p w14:paraId="1839928B">
      <w:pPr>
        <w:pStyle w:val="11"/>
        <w:pageBreakBefore w:val="0"/>
        <w:widowControl/>
        <w:kinsoku/>
        <w:wordWrap/>
        <w:overflowPunct/>
        <w:topLinePunct w:val="0"/>
        <w:autoSpaceDE/>
        <w:autoSpaceDN/>
        <w:bidi w:val="0"/>
        <w:snapToGrid/>
        <w:spacing w:line="580" w:lineRule="exact"/>
        <w:ind w:left="0" w:right="0" w:rightChars="0"/>
        <w:textAlignment w:val="auto"/>
        <w:rPr>
          <w:rFonts w:hint="eastAsia" w:ascii="仿宋" w:hAnsi="仿宋" w:eastAsia="仿宋" w:cs="仿宋"/>
        </w:rPr>
      </w:pPr>
      <w:r>
        <w:rPr>
          <w:rFonts w:hint="eastAsia" w:ascii="仿宋" w:hAnsi="仿宋" w:eastAsia="仿宋" w:cs="仿宋"/>
        </w:rPr>
        <w:t>2025年度，县信访局坚持以习近平法治思想为指导，深入贯彻落实中央、省、市关于法治建设的系列决策部署和县委、县政府工作要求，紧紧围绕全县工作大局，深入推进信访工作法治化，依法维护群众合法权益，化解社会矛盾纠纷，为促进全县经济社会高质量发展营造了和谐稳定的社会环境。</w:t>
      </w:r>
    </w:p>
    <w:p w14:paraId="27481CA9">
      <w:pPr>
        <w:pStyle w:val="3"/>
        <w:pageBreakBefore w:val="0"/>
        <w:widowControl/>
        <w:numPr>
          <w:ilvl w:val="0"/>
          <w:numId w:val="2"/>
        </w:numPr>
        <w:kinsoku/>
        <w:wordWrap/>
        <w:overflowPunct/>
        <w:topLinePunct w:val="0"/>
        <w:autoSpaceDE/>
        <w:autoSpaceDN/>
        <w:bidi w:val="0"/>
        <w:snapToGrid/>
        <w:spacing w:beforeLines="0" w:afterLines="0" w:line="580" w:lineRule="exact"/>
        <w:ind w:left="0" w:leftChars="0" w:right="0" w:rightChars="0" w:firstLine="640" w:firstLineChars="0"/>
        <w:textAlignment w:val="auto"/>
        <w:rPr>
          <w:rFonts w:hint="eastAsia" w:ascii="楷体" w:hAnsi="楷体" w:eastAsia="楷体" w:cs="楷体"/>
          <w:b w:val="0"/>
        </w:rPr>
      </w:pPr>
      <w:r>
        <w:rPr>
          <w:rFonts w:hint="eastAsia" w:ascii="楷体" w:hAnsi="楷体" w:eastAsia="楷体" w:cs="楷体"/>
        </w:rPr>
        <w:t>强化组织领导，压实法治建设责任</w:t>
      </w:r>
    </w:p>
    <w:p w14:paraId="474D4A98">
      <w:pPr>
        <w:pStyle w:val="11"/>
        <w:pageBreakBefore w:val="0"/>
        <w:widowControl/>
        <w:numPr>
          <w:ilvl w:val="0"/>
          <w:numId w:val="3"/>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健全工作机制</w:t>
      </w:r>
      <w:r>
        <w:rPr>
          <w:rFonts w:hint="eastAsia" w:ascii="仿宋" w:hAnsi="仿宋" w:eastAsia="仿宋" w:cs="仿宋"/>
        </w:rPr>
        <w:t>。局党组高度重视法治建设工作，将其纳入重要议事日程和年度工作要点，成立法治建设领导小组，定期听取汇报，研究解决重大问题，形成主要领导负总责、分管领导具体抓、各科室协同推进的工作格局。</w:t>
      </w:r>
    </w:p>
    <w:p w14:paraId="4D29E44F">
      <w:pPr>
        <w:pStyle w:val="11"/>
        <w:pageBreakBefore w:val="0"/>
        <w:widowControl/>
        <w:numPr>
          <w:ilvl w:val="0"/>
          <w:numId w:val="3"/>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明确责任分工</w:t>
      </w:r>
      <w:r>
        <w:rPr>
          <w:rFonts w:hint="eastAsia" w:ascii="仿宋" w:hAnsi="仿宋" w:eastAsia="仿宋" w:cs="仿宋"/>
        </w:rPr>
        <w:t>。制定年度法治建设工作计划，将任务分解到各科室、具体到人，确保各项法治建设任务落到实处、取得实效。</w:t>
      </w:r>
    </w:p>
    <w:p w14:paraId="76055E4F">
      <w:pPr>
        <w:pStyle w:val="11"/>
        <w:pageBreakBefore w:val="0"/>
        <w:widowControl/>
        <w:numPr>
          <w:ilvl w:val="0"/>
          <w:numId w:val="3"/>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加强考核评价</w:t>
      </w:r>
      <w:r>
        <w:rPr>
          <w:rFonts w:hint="eastAsia" w:ascii="仿宋" w:hAnsi="仿宋" w:eastAsia="仿宋" w:cs="仿宋"/>
        </w:rPr>
        <w:t>。将法治建设成效纳入内部绩效考核范围，强化督查督办，推动全局干部职工自觉运用法治思维和法治方式开展工作。</w:t>
      </w:r>
    </w:p>
    <w:p w14:paraId="3B36AE3D">
      <w:pPr>
        <w:pStyle w:val="3"/>
        <w:pageBreakBefore w:val="0"/>
        <w:widowControl/>
        <w:numPr>
          <w:ilvl w:val="0"/>
          <w:numId w:val="2"/>
        </w:numPr>
        <w:kinsoku/>
        <w:wordWrap/>
        <w:overflowPunct/>
        <w:topLinePunct w:val="0"/>
        <w:autoSpaceDE/>
        <w:autoSpaceDN/>
        <w:bidi w:val="0"/>
        <w:snapToGrid/>
        <w:spacing w:beforeLines="0" w:afterLines="0" w:line="580" w:lineRule="exact"/>
        <w:ind w:left="0" w:leftChars="0" w:right="0" w:rightChars="0" w:firstLine="640" w:firstLineChars="0"/>
        <w:textAlignment w:val="auto"/>
        <w:rPr>
          <w:rFonts w:hint="eastAsia" w:ascii="楷体" w:hAnsi="楷体" w:eastAsia="楷体" w:cs="楷体"/>
          <w:b w:val="0"/>
        </w:rPr>
      </w:pPr>
      <w:r>
        <w:rPr>
          <w:rFonts w:hint="eastAsia" w:ascii="楷体" w:hAnsi="楷体" w:eastAsia="楷体" w:cs="楷体"/>
        </w:rPr>
        <w:t>深化普法教育，提升法治素养水平</w:t>
      </w:r>
    </w:p>
    <w:p w14:paraId="145F87AA">
      <w:pPr>
        <w:pStyle w:val="11"/>
        <w:pageBreakBefore w:val="0"/>
        <w:widowControl/>
        <w:numPr>
          <w:ilvl w:val="0"/>
          <w:numId w:val="4"/>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抓好内部学法</w:t>
      </w:r>
      <w:r>
        <w:rPr>
          <w:rFonts w:hint="eastAsia" w:ascii="仿宋" w:hAnsi="仿宋" w:eastAsia="仿宋" w:cs="仿宋"/>
        </w:rPr>
        <w:t>。坚持领导干部带头学法，将宪法、</w:t>
      </w:r>
      <w:r>
        <w:rPr>
          <w:rFonts w:hint="eastAsia" w:ascii="仿宋" w:hAnsi="仿宋" w:eastAsia="仿宋" w:cs="仿宋"/>
          <w:b w:val="0"/>
          <w:bCs w:val="0"/>
          <w:sz w:val="32"/>
          <w:szCs w:val="32"/>
          <w:lang w:val="en-US" w:eastAsia="zh-CN"/>
        </w:rPr>
        <w:t>中国共产党纪律处分条例</w:t>
      </w:r>
      <w:r>
        <w:rPr>
          <w:rFonts w:hint="eastAsia" w:ascii="仿宋" w:hAnsi="仿宋" w:eastAsia="仿宋" w:cs="仿宋"/>
        </w:rPr>
        <w:t>、信访工作条例以及与信访工作密切相关的法律法规纳入局党组理论学习中心组和干部职工年度学习计划。通过参加线上培训、开展案例研讨等多种形式，不断提升全局干部职工的法律素养和依法办事能力。</w:t>
      </w:r>
    </w:p>
    <w:p w14:paraId="1C270DD9">
      <w:pPr>
        <w:pStyle w:val="11"/>
        <w:pageBreakBefore w:val="0"/>
        <w:widowControl/>
        <w:numPr>
          <w:ilvl w:val="0"/>
          <w:numId w:val="4"/>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面向群众普法</w:t>
      </w:r>
      <w:r>
        <w:rPr>
          <w:rFonts w:hint="eastAsia" w:ascii="仿宋" w:hAnsi="仿宋" w:eastAsia="仿宋" w:cs="仿宋"/>
        </w:rPr>
        <w:t>。结合</w:t>
      </w:r>
      <w:r>
        <w:rPr>
          <w:rFonts w:hint="eastAsia" w:ascii="仿宋" w:hAnsi="仿宋" w:eastAsia="仿宋" w:cs="仿宋"/>
          <w:lang w:eastAsia="zh-CN"/>
        </w:rPr>
        <w:t>“</w:t>
      </w:r>
      <w:r>
        <w:rPr>
          <w:rFonts w:hint="eastAsia" w:ascii="仿宋" w:hAnsi="仿宋" w:eastAsia="仿宋" w:cs="仿宋"/>
        </w:rPr>
        <w:t>法治宣传月</w:t>
      </w:r>
      <w:r>
        <w:rPr>
          <w:rFonts w:hint="eastAsia" w:ascii="仿宋" w:hAnsi="仿宋" w:eastAsia="仿宋" w:cs="仿宋"/>
          <w:lang w:eastAsia="zh-CN"/>
        </w:rPr>
        <w:t>”“</w:t>
      </w:r>
      <w:r>
        <w:rPr>
          <w:rFonts w:hint="eastAsia" w:ascii="仿宋" w:hAnsi="仿宋" w:eastAsia="仿宋" w:cs="仿宋"/>
        </w:rPr>
        <w:t>宪法宣传周</w:t>
      </w:r>
      <w:r>
        <w:rPr>
          <w:rFonts w:hint="eastAsia" w:ascii="仿宋" w:hAnsi="仿宋" w:eastAsia="仿宋" w:cs="仿宋"/>
          <w:lang w:eastAsia="zh-CN"/>
        </w:rPr>
        <w:t>”</w:t>
      </w:r>
      <w:r>
        <w:rPr>
          <w:rFonts w:hint="eastAsia" w:ascii="仿宋" w:hAnsi="仿宋" w:eastAsia="仿宋" w:cs="仿宋"/>
        </w:rPr>
        <w:t>等重要节点，利用接访大厅、发放宣传资料、设置咨询台、以案释法等方式，向信访群众和社会公众广泛宣传信访法律法规、依法逐级走访、诉访分离等规定，引导群众依法、理性、有序表达诉求。</w:t>
      </w:r>
    </w:p>
    <w:p w14:paraId="127D4179">
      <w:pPr>
        <w:pStyle w:val="11"/>
        <w:pageBreakBefore w:val="0"/>
        <w:widowControl/>
        <w:numPr>
          <w:ilvl w:val="0"/>
          <w:numId w:val="4"/>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_GB2312" w:hAnsi="仿宋_GB2312" w:eastAsia="仿宋_GB2312" w:cs="仿宋_GB2312"/>
          <w:b w:val="0"/>
        </w:rPr>
      </w:pPr>
      <w:r>
        <w:rPr>
          <w:rStyle w:val="19"/>
          <w:rFonts w:hint="eastAsia" w:ascii="仿宋" w:hAnsi="仿宋" w:eastAsia="仿宋" w:cs="仿宋"/>
        </w:rPr>
        <w:t>注重业务融合</w:t>
      </w:r>
      <w:r>
        <w:rPr>
          <w:rFonts w:hint="eastAsia" w:ascii="仿宋" w:hAnsi="仿宋" w:eastAsia="仿宋" w:cs="仿宋"/>
        </w:rPr>
        <w:t>。在信访接待、矛盾调解、督查督办等业务工作中，同步开展法律宣传和政策解读，将普法教育贯穿于信访工作全过程，实现法律效果与社会效果的统一。</w:t>
      </w:r>
    </w:p>
    <w:p w14:paraId="67321332">
      <w:pPr>
        <w:pStyle w:val="3"/>
        <w:pageBreakBefore w:val="0"/>
        <w:widowControl/>
        <w:numPr>
          <w:ilvl w:val="0"/>
          <w:numId w:val="2"/>
        </w:numPr>
        <w:kinsoku/>
        <w:wordWrap/>
        <w:overflowPunct/>
        <w:topLinePunct w:val="0"/>
        <w:autoSpaceDE/>
        <w:autoSpaceDN/>
        <w:bidi w:val="0"/>
        <w:snapToGrid/>
        <w:spacing w:beforeLines="0" w:afterLines="0" w:line="580" w:lineRule="exact"/>
        <w:ind w:left="0" w:leftChars="0" w:right="0" w:rightChars="0" w:firstLine="640" w:firstLineChars="0"/>
        <w:textAlignment w:val="auto"/>
        <w:rPr>
          <w:rFonts w:hint="eastAsia" w:ascii="楷体" w:hAnsi="楷体" w:eastAsia="楷体" w:cs="楷体"/>
          <w:b w:val="0"/>
        </w:rPr>
      </w:pPr>
      <w:r>
        <w:rPr>
          <w:rFonts w:hint="eastAsia" w:ascii="楷体" w:hAnsi="楷体" w:eastAsia="楷体" w:cs="楷体"/>
        </w:rPr>
        <w:t>坚持依法履职，规范信访工作行为</w:t>
      </w:r>
    </w:p>
    <w:p w14:paraId="563F32C9">
      <w:pPr>
        <w:pStyle w:val="11"/>
        <w:pageBreakBefore w:val="0"/>
        <w:widowControl/>
        <w:numPr>
          <w:ilvl w:val="0"/>
          <w:numId w:val="5"/>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严格依法接处访</w:t>
      </w:r>
      <w:r>
        <w:rPr>
          <w:rFonts w:hint="eastAsia" w:ascii="仿宋" w:hAnsi="仿宋" w:eastAsia="仿宋" w:cs="仿宋"/>
        </w:rPr>
        <w:t>。全面贯彻落实《信访工作条例》，进一步规范信访事项登记、受理、转送、交办、督办、回访等各环节工作流程，确保信访事项在法治轨道上运行。坚持法定途径优先，健全依法分类处理信访诉求工作机制，引导群众通过仲裁、行政复议、诉讼等法定途径解决矛盾纠纷。</w:t>
      </w:r>
    </w:p>
    <w:p w14:paraId="099D0B7E">
      <w:pPr>
        <w:pStyle w:val="11"/>
        <w:pageBreakBefore w:val="0"/>
        <w:widowControl/>
        <w:numPr>
          <w:ilvl w:val="0"/>
          <w:numId w:val="5"/>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推进阳光信访</w:t>
      </w:r>
      <w:r>
        <w:rPr>
          <w:rFonts w:hint="eastAsia" w:ascii="仿宋" w:hAnsi="仿宋" w:eastAsia="仿宋" w:cs="仿宋"/>
        </w:rPr>
        <w:t>。畅通和规范群众诉求表达、利益协调、权益保障通道。依法及时公开信访工作相关信息，保障群众的知情权、参与权、表达权、监督权。</w:t>
      </w:r>
    </w:p>
    <w:p w14:paraId="448374A7">
      <w:pPr>
        <w:pStyle w:val="11"/>
        <w:pageBreakBefore w:val="0"/>
        <w:widowControl/>
        <w:numPr>
          <w:ilvl w:val="0"/>
          <w:numId w:val="5"/>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规范工作文书</w:t>
      </w:r>
      <w:r>
        <w:rPr>
          <w:rFonts w:hint="eastAsia" w:ascii="仿宋" w:hAnsi="仿宋" w:eastAsia="仿宋" w:cs="仿宋"/>
        </w:rPr>
        <w:t>。统一和规范信访事项处理意见书、复查复核意见书等法律文书格式和内容，确保文书制作规范、适用法律准确、说理充分透彻。</w:t>
      </w:r>
    </w:p>
    <w:p w14:paraId="23CF464C">
      <w:pPr>
        <w:pStyle w:val="11"/>
        <w:pageBreakBefore w:val="0"/>
        <w:widowControl/>
        <w:numPr>
          <w:ilvl w:val="0"/>
          <w:numId w:val="5"/>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加强督查督办</w:t>
      </w:r>
      <w:r>
        <w:rPr>
          <w:rFonts w:hint="eastAsia" w:ascii="仿宋" w:hAnsi="仿宋" w:eastAsia="仿宋" w:cs="仿宋"/>
        </w:rPr>
        <w:t>。加大对信访事项办理情况的督查督办力度，重点督查超期未办、程序不规范、处理不到位等问题，推动责任单位依法依规、及时妥善处理信访事项。</w:t>
      </w:r>
    </w:p>
    <w:p w14:paraId="0D210F42">
      <w:pPr>
        <w:pStyle w:val="3"/>
        <w:pageBreakBefore w:val="0"/>
        <w:widowControl/>
        <w:numPr>
          <w:ilvl w:val="0"/>
          <w:numId w:val="2"/>
        </w:numPr>
        <w:kinsoku/>
        <w:wordWrap/>
        <w:overflowPunct/>
        <w:topLinePunct w:val="0"/>
        <w:autoSpaceDE/>
        <w:autoSpaceDN/>
        <w:bidi w:val="0"/>
        <w:snapToGrid/>
        <w:spacing w:beforeLines="0" w:afterLines="0" w:line="580" w:lineRule="exact"/>
        <w:ind w:left="0" w:leftChars="0" w:right="0" w:rightChars="0" w:firstLine="640" w:firstLineChars="0"/>
        <w:textAlignment w:val="auto"/>
        <w:rPr>
          <w:rFonts w:hint="eastAsia" w:ascii="楷体" w:hAnsi="楷体" w:eastAsia="楷体" w:cs="楷体"/>
          <w:b w:val="0"/>
        </w:rPr>
      </w:pPr>
      <w:r>
        <w:rPr>
          <w:rFonts w:hint="eastAsia" w:ascii="楷体" w:hAnsi="楷体" w:eastAsia="楷体" w:cs="楷体"/>
        </w:rPr>
        <w:t>化解矛盾纠纷，维护社会和谐稳定</w:t>
      </w:r>
    </w:p>
    <w:p w14:paraId="0EFA58A0">
      <w:pPr>
        <w:pStyle w:val="11"/>
        <w:pageBreakBefore w:val="0"/>
        <w:widowControl/>
        <w:numPr>
          <w:ilvl w:val="0"/>
          <w:numId w:val="6"/>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强化源头治理</w:t>
      </w:r>
      <w:r>
        <w:rPr>
          <w:rFonts w:hint="eastAsia" w:ascii="仿宋" w:hAnsi="仿宋" w:eastAsia="仿宋" w:cs="仿宋"/>
        </w:rPr>
        <w:t>。坚持和发展新时代</w:t>
      </w:r>
      <w:r>
        <w:rPr>
          <w:rFonts w:hint="eastAsia" w:ascii="仿宋" w:hAnsi="仿宋" w:eastAsia="仿宋" w:cs="仿宋"/>
          <w:lang w:eastAsia="zh-CN"/>
        </w:rPr>
        <w:t>“</w:t>
      </w:r>
      <w:r>
        <w:rPr>
          <w:rFonts w:hint="eastAsia" w:ascii="仿宋" w:hAnsi="仿宋" w:eastAsia="仿宋" w:cs="仿宋"/>
        </w:rPr>
        <w:t>枫桥经验</w:t>
      </w:r>
      <w:r>
        <w:rPr>
          <w:rFonts w:hint="eastAsia" w:ascii="仿宋" w:hAnsi="仿宋" w:eastAsia="仿宋" w:cs="仿宋"/>
          <w:lang w:eastAsia="zh-CN"/>
        </w:rPr>
        <w:t>”</w:t>
      </w:r>
      <w:r>
        <w:rPr>
          <w:rFonts w:hint="eastAsia" w:ascii="仿宋" w:hAnsi="仿宋" w:eastAsia="仿宋" w:cs="仿宋"/>
        </w:rPr>
        <w:t>，积极参与矛盾纠纷多元化解机制建设，推动重心下移、关口前移。指导基层运用法治方式排查化解矛盾纠纷，努力将问题解决在基层、化解在萌芽状态。</w:t>
      </w:r>
    </w:p>
    <w:p w14:paraId="65D16709">
      <w:pPr>
        <w:pStyle w:val="11"/>
        <w:pageBreakBefore w:val="0"/>
        <w:widowControl/>
        <w:numPr>
          <w:ilvl w:val="0"/>
          <w:numId w:val="6"/>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突出化解实效</w:t>
      </w:r>
      <w:r>
        <w:rPr>
          <w:rFonts w:hint="eastAsia" w:ascii="仿宋" w:hAnsi="仿宋" w:eastAsia="仿宋" w:cs="仿宋"/>
        </w:rPr>
        <w:t>。聚焦重点领域、重点群体信访突出问题，运用法治思维和法治方式，通过领导包案、联合会商、听证评议等多种途径，全力推动信访积案化解，切实维护群众合法权益。</w:t>
      </w:r>
    </w:p>
    <w:p w14:paraId="71F0E0BE">
      <w:pPr>
        <w:pStyle w:val="11"/>
        <w:pageBreakBefore w:val="0"/>
        <w:widowControl/>
        <w:numPr>
          <w:ilvl w:val="0"/>
          <w:numId w:val="6"/>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维护信访秩序</w:t>
      </w:r>
      <w:r>
        <w:rPr>
          <w:rFonts w:hint="eastAsia" w:ascii="仿宋" w:hAnsi="仿宋" w:eastAsia="仿宋" w:cs="仿宋"/>
        </w:rPr>
        <w:t>。依法处理信访活动中的违法行为，加强宣传教育，引导群众依法维权。配合有关部门，共同维护正常的信访秩序和社会公共秩序。</w:t>
      </w:r>
    </w:p>
    <w:p w14:paraId="07E0AD76">
      <w:pPr>
        <w:pStyle w:val="3"/>
        <w:pageBreakBefore w:val="0"/>
        <w:widowControl/>
        <w:numPr>
          <w:ilvl w:val="0"/>
          <w:numId w:val="2"/>
        </w:numPr>
        <w:kinsoku/>
        <w:wordWrap/>
        <w:overflowPunct/>
        <w:topLinePunct w:val="0"/>
        <w:autoSpaceDE/>
        <w:autoSpaceDN/>
        <w:bidi w:val="0"/>
        <w:snapToGrid/>
        <w:spacing w:beforeLines="0" w:afterLines="0" w:line="580" w:lineRule="exact"/>
        <w:ind w:left="0" w:leftChars="0" w:right="0" w:rightChars="0" w:firstLine="640" w:firstLineChars="0"/>
        <w:textAlignment w:val="auto"/>
        <w:rPr>
          <w:rFonts w:hint="eastAsia" w:ascii="楷体" w:hAnsi="楷体" w:eastAsia="楷体" w:cs="楷体"/>
          <w:b w:val="0"/>
        </w:rPr>
      </w:pPr>
      <w:r>
        <w:rPr>
          <w:rFonts w:hint="eastAsia" w:ascii="楷体" w:hAnsi="楷体" w:eastAsia="楷体" w:cs="楷体"/>
        </w:rPr>
        <w:t>加强队伍建设，夯实法治工作基础</w:t>
      </w:r>
    </w:p>
    <w:p w14:paraId="7F3CCECC">
      <w:pPr>
        <w:pStyle w:val="11"/>
        <w:pageBreakBefore w:val="0"/>
        <w:widowControl/>
        <w:numPr>
          <w:ilvl w:val="0"/>
          <w:numId w:val="7"/>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提升专业能力</w:t>
      </w:r>
      <w:r>
        <w:rPr>
          <w:rFonts w:hint="eastAsia" w:ascii="仿宋" w:hAnsi="仿宋" w:eastAsia="仿宋" w:cs="仿宋"/>
        </w:rPr>
        <w:t>。鼓励和支持干部职工参加法律职业资格考试和各类法律业务培训，培养熟悉法律法规、精通信访业务的法治工作骨干力量。</w:t>
      </w:r>
    </w:p>
    <w:p w14:paraId="6E465A8C">
      <w:pPr>
        <w:pStyle w:val="11"/>
        <w:pageBreakBefore w:val="0"/>
        <w:widowControl/>
        <w:numPr>
          <w:ilvl w:val="0"/>
          <w:numId w:val="7"/>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19"/>
          <w:rFonts w:hint="eastAsia" w:ascii="仿宋" w:hAnsi="仿宋" w:eastAsia="仿宋" w:cs="仿宋"/>
        </w:rPr>
        <w:t>严格队伍管理</w:t>
      </w:r>
      <w:r>
        <w:rPr>
          <w:rFonts w:hint="eastAsia" w:ascii="仿宋" w:hAnsi="仿宋" w:eastAsia="仿宋" w:cs="仿宋"/>
        </w:rPr>
        <w:t>。加强党风廉政建设和职业道德教育，教育引导干部职工牢固树立法治观念，严守法律底线和纪律红线，做到清正廉洁、依法履职。</w:t>
      </w:r>
    </w:p>
    <w:p w14:paraId="3BA28890">
      <w:pPr>
        <w:pStyle w:val="2"/>
        <w:pageBreakBefore w:val="0"/>
        <w:widowControl/>
        <w:numPr>
          <w:ilvl w:val="0"/>
          <w:numId w:val="1"/>
        </w:numPr>
        <w:kinsoku/>
        <w:wordWrap/>
        <w:overflowPunct/>
        <w:topLinePunct w:val="0"/>
        <w:autoSpaceDE/>
        <w:autoSpaceDN/>
        <w:bidi w:val="0"/>
        <w:snapToGrid/>
        <w:spacing w:beforeLines="0" w:afterLines="0" w:line="580" w:lineRule="exact"/>
        <w:ind w:left="0" w:leftChars="0" w:right="0" w:rightChars="0" w:firstLine="640" w:firstLineChars="0"/>
        <w:textAlignment w:val="auto"/>
        <w:rPr>
          <w:b w:val="0"/>
        </w:rPr>
      </w:pPr>
      <w:r>
        <w:t>存在的问题与不足</w:t>
      </w:r>
    </w:p>
    <w:p w14:paraId="4B354DD4">
      <w:pPr>
        <w:pStyle w:val="11"/>
        <w:pageBreakBefore w:val="0"/>
        <w:widowControl/>
        <w:kinsoku/>
        <w:wordWrap/>
        <w:overflowPunct/>
        <w:topLinePunct w:val="0"/>
        <w:autoSpaceDE/>
        <w:autoSpaceDN/>
        <w:bidi w:val="0"/>
        <w:snapToGrid/>
        <w:spacing w:line="580" w:lineRule="exact"/>
        <w:ind w:left="0" w:right="0" w:rightChars="0"/>
        <w:textAlignment w:val="auto"/>
        <w:rPr>
          <w:rFonts w:hint="eastAsia" w:ascii="仿宋" w:hAnsi="仿宋" w:eastAsia="仿宋" w:cs="仿宋"/>
        </w:rPr>
      </w:pPr>
      <w:r>
        <w:rPr>
          <w:rFonts w:hint="eastAsia" w:ascii="仿宋" w:hAnsi="仿宋" w:eastAsia="仿宋" w:cs="仿宋"/>
        </w:rPr>
        <w:t>在肯定成绩的同时，我们也清醒地认识到，我局法治建设工作仍存在一些短板和不足：</w:t>
      </w:r>
    </w:p>
    <w:p w14:paraId="6EF16A9D">
      <w:pPr>
        <w:pStyle w:val="11"/>
        <w:pageBreakBefore w:val="0"/>
        <w:widowControl/>
        <w:numPr>
          <w:ilvl w:val="0"/>
          <w:numId w:val="8"/>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20"/>
          <w:rFonts w:hint="eastAsia" w:ascii="楷体" w:hAnsi="楷体" w:eastAsia="楷体" w:cs="楷体"/>
        </w:rPr>
        <w:t>法治宣传的广度和深度有待加强</w:t>
      </w:r>
      <w:r>
        <w:rPr>
          <w:rFonts w:hint="eastAsia" w:ascii="楷体" w:hAnsi="楷体" w:eastAsia="楷体" w:cs="楷体"/>
        </w:rPr>
        <w:t>。</w:t>
      </w:r>
      <w:r>
        <w:rPr>
          <w:rFonts w:hint="eastAsia" w:ascii="仿宋" w:hAnsi="仿宋" w:eastAsia="仿宋" w:cs="仿宋"/>
        </w:rPr>
        <w:t>部分群众对信访法律法规的理解还不够深入，依法信访的意识仍需进一步提升。</w:t>
      </w:r>
    </w:p>
    <w:p w14:paraId="36110088">
      <w:pPr>
        <w:pStyle w:val="11"/>
        <w:pageBreakBefore w:val="0"/>
        <w:widowControl/>
        <w:numPr>
          <w:ilvl w:val="0"/>
          <w:numId w:val="8"/>
        </w:numPr>
        <w:kinsoku/>
        <w:wordWrap/>
        <w:overflowPunct/>
        <w:topLinePunct w:val="0"/>
        <w:autoSpaceDE/>
        <w:autoSpaceDN/>
        <w:bidi w:val="0"/>
        <w:snapToGrid/>
        <w:spacing w:line="580" w:lineRule="exact"/>
        <w:ind w:left="0" w:leftChars="0" w:right="0" w:rightChars="0" w:firstLine="616" w:firstLineChars="0"/>
        <w:textAlignment w:val="auto"/>
        <w:rPr>
          <w:rFonts w:hint="eastAsia" w:ascii="仿宋" w:hAnsi="仿宋" w:eastAsia="仿宋" w:cs="仿宋"/>
          <w:b w:val="0"/>
        </w:rPr>
      </w:pPr>
      <w:r>
        <w:rPr>
          <w:rStyle w:val="20"/>
          <w:rFonts w:hint="eastAsia" w:ascii="楷体" w:hAnsi="楷体" w:eastAsia="楷体" w:cs="楷体"/>
        </w:rPr>
        <w:t>运用法治思维破解复杂疑难信访问题的能力有待提高</w:t>
      </w:r>
      <w:r>
        <w:rPr>
          <w:rFonts w:hint="eastAsia" w:ascii="楷体" w:hAnsi="楷体" w:eastAsia="楷体" w:cs="楷体"/>
        </w:rPr>
        <w:t xml:space="preserve">。 </w:t>
      </w:r>
      <w:r>
        <w:rPr>
          <w:rFonts w:hint="eastAsia" w:ascii="仿宋" w:hAnsi="仿宋" w:eastAsia="仿宋" w:cs="仿宋"/>
        </w:rPr>
        <w:t>面对一些历史遗留问题和新业态新领域产生的矛盾，运用法治方式有效化解的思路和办法还不够多。</w:t>
      </w:r>
    </w:p>
    <w:p w14:paraId="4F88D083">
      <w:pPr>
        <w:pStyle w:val="11"/>
        <w:pageBreakBefore w:val="0"/>
        <w:widowControl/>
        <w:numPr>
          <w:ilvl w:val="0"/>
          <w:numId w:val="8"/>
        </w:numPr>
        <w:kinsoku/>
        <w:wordWrap/>
        <w:overflowPunct/>
        <w:topLinePunct w:val="0"/>
        <w:autoSpaceDE/>
        <w:autoSpaceDN/>
        <w:bidi w:val="0"/>
        <w:snapToGrid/>
        <w:spacing w:line="580" w:lineRule="exact"/>
        <w:ind w:left="0" w:leftChars="0" w:right="0" w:rightChars="0" w:firstLine="616" w:firstLineChars="0"/>
        <w:textAlignment w:val="auto"/>
        <w:rPr>
          <w:rFonts w:hint="eastAsia" w:ascii="楷体_GB2312" w:hAnsi="楷体_GB2312" w:eastAsia="楷体_GB2312" w:cs="楷体_GB2312"/>
          <w:b w:val="0"/>
        </w:rPr>
      </w:pPr>
      <w:r>
        <w:rPr>
          <w:rStyle w:val="20"/>
          <w:rFonts w:hint="eastAsia" w:ascii="楷体" w:hAnsi="楷体" w:eastAsia="楷体" w:cs="楷体"/>
        </w:rPr>
        <w:t>基层基础有待进一步夯实</w:t>
      </w:r>
      <w:r>
        <w:rPr>
          <w:rFonts w:hint="eastAsia" w:ascii="楷体" w:hAnsi="楷体" w:eastAsia="楷体" w:cs="楷体"/>
        </w:rPr>
        <w:t>。</w:t>
      </w:r>
      <w:r>
        <w:rPr>
          <w:rFonts w:hint="eastAsia" w:ascii="仿宋" w:hAnsi="仿宋" w:eastAsia="仿宋" w:cs="仿宋"/>
        </w:rPr>
        <w:t>部分乡镇（街道）和部门在依法处理信访诉求、规范业务办理方面还存在不平衡现象。</w:t>
      </w:r>
    </w:p>
    <w:p w14:paraId="23950AE6">
      <w:pPr>
        <w:pStyle w:val="2"/>
        <w:pageBreakBefore w:val="0"/>
        <w:widowControl/>
        <w:numPr>
          <w:ilvl w:val="0"/>
          <w:numId w:val="1"/>
        </w:numPr>
        <w:kinsoku/>
        <w:wordWrap/>
        <w:overflowPunct/>
        <w:topLinePunct w:val="0"/>
        <w:autoSpaceDE/>
        <w:autoSpaceDN/>
        <w:bidi w:val="0"/>
        <w:snapToGrid/>
        <w:spacing w:beforeLines="0" w:afterLines="0" w:line="580" w:lineRule="exact"/>
        <w:ind w:left="0" w:leftChars="0" w:right="0" w:rightChars="0" w:firstLine="640" w:firstLineChars="0"/>
        <w:textAlignment w:val="auto"/>
        <w:rPr>
          <w:b w:val="0"/>
        </w:rPr>
      </w:pPr>
      <w:r>
        <w:t>下一步工作打算</w:t>
      </w:r>
    </w:p>
    <w:p w14:paraId="3E2E93FE">
      <w:pPr>
        <w:pStyle w:val="11"/>
        <w:pageBreakBefore w:val="0"/>
        <w:widowControl/>
        <w:kinsoku/>
        <w:wordWrap/>
        <w:overflowPunct/>
        <w:topLinePunct w:val="0"/>
        <w:autoSpaceDE/>
        <w:autoSpaceDN/>
        <w:bidi w:val="0"/>
        <w:snapToGrid/>
        <w:spacing w:line="580" w:lineRule="exact"/>
        <w:ind w:left="0" w:right="0" w:rightChars="0"/>
        <w:textAlignment w:val="auto"/>
        <w:rPr>
          <w:rFonts w:hint="eastAsia" w:ascii="仿宋" w:hAnsi="仿宋" w:eastAsia="仿宋" w:cs="仿宋"/>
        </w:rPr>
      </w:pPr>
      <w:r>
        <w:rPr>
          <w:rFonts w:hint="eastAsia" w:ascii="仿宋" w:hAnsi="仿宋" w:eastAsia="仿宋" w:cs="仿宋"/>
        </w:rPr>
        <w:t>下一步，</w:t>
      </w:r>
      <w:r>
        <w:rPr>
          <w:rFonts w:hint="eastAsia" w:ascii="仿宋" w:hAnsi="仿宋" w:eastAsia="仿宋" w:cs="仿宋"/>
          <w:lang w:eastAsia="zh-CN"/>
        </w:rPr>
        <w:t>我</w:t>
      </w:r>
      <w:r>
        <w:rPr>
          <w:rFonts w:hint="eastAsia" w:ascii="仿宋" w:hAnsi="仿宋" w:eastAsia="仿宋" w:cs="仿宋"/>
        </w:rPr>
        <w:t>将继续坚持以习近平法治思想为指引，紧紧围绕县委、县政府中心工作，聚焦问题短板，精准施策发力，不断提升信访工作法治化水平。</w:t>
      </w:r>
    </w:p>
    <w:p w14:paraId="1CDB5D39">
      <w:pPr>
        <w:pStyle w:val="11"/>
        <w:pageBreakBefore w:val="0"/>
        <w:widowControl/>
        <w:numPr>
          <w:ilvl w:val="0"/>
          <w:numId w:val="9"/>
        </w:numPr>
        <w:kinsoku/>
        <w:wordWrap/>
        <w:overflowPunct/>
        <w:topLinePunct w:val="0"/>
        <w:autoSpaceDE/>
        <w:autoSpaceDN/>
        <w:bidi w:val="0"/>
        <w:snapToGrid/>
        <w:spacing w:line="580" w:lineRule="exact"/>
        <w:ind w:left="14" w:leftChars="0" w:right="0" w:rightChars="0" w:firstLine="616" w:firstLineChars="0"/>
        <w:textAlignment w:val="auto"/>
        <w:rPr>
          <w:rFonts w:hint="eastAsia" w:ascii="仿宋" w:hAnsi="仿宋" w:eastAsia="仿宋" w:cs="仿宋"/>
          <w:b w:val="0"/>
        </w:rPr>
      </w:pPr>
      <w:r>
        <w:rPr>
          <w:rStyle w:val="20"/>
          <w:rFonts w:hint="eastAsia" w:ascii="楷体" w:hAnsi="楷体" w:eastAsia="楷体" w:cs="楷体"/>
        </w:rPr>
        <w:t>持续深化理论学习</w:t>
      </w:r>
      <w:r>
        <w:rPr>
          <w:rFonts w:hint="eastAsia" w:ascii="楷体" w:hAnsi="楷体" w:eastAsia="楷体" w:cs="楷体"/>
        </w:rPr>
        <w:t>。</w:t>
      </w:r>
      <w:r>
        <w:rPr>
          <w:rFonts w:hint="eastAsia" w:ascii="仿宋" w:hAnsi="仿宋" w:eastAsia="仿宋" w:cs="仿宋"/>
        </w:rPr>
        <w:t>将学习贯彻习近平法治思想作为长期政治任务，不断提高运用法治思维和法治方式深化改革、推动发展、化解矛盾、维护稳定、应对风险的能力。</w:t>
      </w:r>
    </w:p>
    <w:p w14:paraId="0F1CD5BB">
      <w:pPr>
        <w:pStyle w:val="11"/>
        <w:pageBreakBefore w:val="0"/>
        <w:widowControl/>
        <w:numPr>
          <w:ilvl w:val="0"/>
          <w:numId w:val="9"/>
        </w:numPr>
        <w:kinsoku/>
        <w:wordWrap/>
        <w:overflowPunct/>
        <w:topLinePunct w:val="0"/>
        <w:autoSpaceDE/>
        <w:autoSpaceDN/>
        <w:bidi w:val="0"/>
        <w:snapToGrid/>
        <w:spacing w:line="580" w:lineRule="exact"/>
        <w:ind w:left="14" w:leftChars="0" w:right="0" w:rightChars="0" w:firstLine="616" w:firstLineChars="0"/>
        <w:textAlignment w:val="auto"/>
        <w:rPr>
          <w:rFonts w:hint="eastAsia" w:ascii="仿宋" w:hAnsi="仿宋" w:eastAsia="仿宋" w:cs="仿宋"/>
          <w:b w:val="0"/>
        </w:rPr>
      </w:pPr>
      <w:r>
        <w:rPr>
          <w:rStyle w:val="20"/>
          <w:rFonts w:hint="eastAsia" w:ascii="楷体" w:hAnsi="楷体" w:eastAsia="楷体" w:cs="楷体"/>
        </w:rPr>
        <w:t>加大普法宣传力度</w:t>
      </w:r>
      <w:r>
        <w:rPr>
          <w:rFonts w:hint="eastAsia" w:ascii="楷体" w:hAnsi="楷体" w:eastAsia="楷体" w:cs="楷体"/>
        </w:rPr>
        <w:t>。</w:t>
      </w:r>
      <w:r>
        <w:rPr>
          <w:rFonts w:hint="eastAsia" w:ascii="仿宋" w:hAnsi="仿宋" w:eastAsia="仿宋" w:cs="仿宋"/>
        </w:rPr>
        <w:t>创新普法形式和载体，增强普法的针对性和实效性，努力营造办事依法、遇事找法、解决问题用法、化解矛盾靠法的良好社会氛围。</w:t>
      </w:r>
    </w:p>
    <w:p w14:paraId="62763613">
      <w:pPr>
        <w:pStyle w:val="11"/>
        <w:pageBreakBefore w:val="0"/>
        <w:widowControl/>
        <w:numPr>
          <w:ilvl w:val="0"/>
          <w:numId w:val="9"/>
        </w:numPr>
        <w:kinsoku/>
        <w:wordWrap/>
        <w:overflowPunct/>
        <w:topLinePunct w:val="0"/>
        <w:autoSpaceDE/>
        <w:autoSpaceDN/>
        <w:bidi w:val="0"/>
        <w:snapToGrid/>
        <w:spacing w:line="580" w:lineRule="exact"/>
        <w:ind w:left="14" w:leftChars="0" w:right="0" w:rightChars="0" w:firstLine="616" w:firstLineChars="0"/>
        <w:textAlignment w:val="auto"/>
        <w:rPr>
          <w:rFonts w:hint="eastAsia" w:ascii="仿宋" w:hAnsi="仿宋" w:eastAsia="仿宋" w:cs="仿宋"/>
          <w:b w:val="0"/>
        </w:rPr>
      </w:pPr>
      <w:r>
        <w:rPr>
          <w:rStyle w:val="20"/>
          <w:rFonts w:hint="eastAsia" w:ascii="楷体" w:hAnsi="楷体" w:eastAsia="楷体" w:cs="楷体"/>
        </w:rPr>
        <w:t>全面提升履职能力</w:t>
      </w:r>
      <w:r>
        <w:rPr>
          <w:rFonts w:hint="eastAsia" w:ascii="楷体" w:hAnsi="楷体" w:eastAsia="楷体" w:cs="楷体"/>
        </w:rPr>
        <w:t>。</w:t>
      </w:r>
      <w:r>
        <w:rPr>
          <w:rFonts w:hint="eastAsia" w:ascii="仿宋" w:hAnsi="仿宋" w:eastAsia="仿宋" w:cs="仿宋"/>
        </w:rPr>
        <w:t>严格依照《信访工作条例》等法规制度，进一步优化工作流程，规范业务办理，提升信访事项办理质量和效率。深入推进依法分类处理信访诉求工作。</w:t>
      </w:r>
    </w:p>
    <w:p w14:paraId="4B8E067E">
      <w:pPr>
        <w:pStyle w:val="11"/>
        <w:pageBreakBefore w:val="0"/>
        <w:widowControl/>
        <w:numPr>
          <w:ilvl w:val="0"/>
          <w:numId w:val="9"/>
        </w:numPr>
        <w:kinsoku/>
        <w:wordWrap/>
        <w:overflowPunct/>
        <w:topLinePunct w:val="0"/>
        <w:autoSpaceDE/>
        <w:autoSpaceDN/>
        <w:bidi w:val="0"/>
        <w:snapToGrid/>
        <w:spacing w:line="580" w:lineRule="exact"/>
        <w:ind w:left="14" w:leftChars="0" w:right="0" w:rightChars="0" w:firstLine="616" w:firstLineChars="0"/>
        <w:textAlignment w:val="auto"/>
        <w:rPr>
          <w:rFonts w:hint="eastAsia" w:ascii="仿宋" w:hAnsi="仿宋" w:eastAsia="仿宋" w:cs="仿宋"/>
          <w:b w:val="0"/>
        </w:rPr>
      </w:pPr>
      <w:r>
        <w:rPr>
          <w:rStyle w:val="20"/>
          <w:rFonts w:hint="eastAsia" w:ascii="楷体" w:hAnsi="楷体" w:eastAsia="楷体" w:cs="楷体"/>
        </w:rPr>
        <w:t>着力化解突出矛盾</w:t>
      </w:r>
      <w:r>
        <w:rPr>
          <w:rFonts w:hint="eastAsia" w:ascii="楷体" w:hAnsi="楷体" w:eastAsia="楷体" w:cs="楷体"/>
        </w:rPr>
        <w:t>。</w:t>
      </w:r>
      <w:r>
        <w:rPr>
          <w:rFonts w:hint="eastAsia" w:ascii="仿宋" w:hAnsi="仿宋" w:eastAsia="仿宋" w:cs="仿宋"/>
        </w:rPr>
        <w:t>继续运用法治方式着力破解信访积案和突出矛盾，加强风险评估和源头预防，切实维护群众合法权益和社会公平正义。</w:t>
      </w:r>
    </w:p>
    <w:p w14:paraId="1669569C">
      <w:pPr>
        <w:pStyle w:val="11"/>
        <w:pageBreakBefore w:val="0"/>
        <w:widowControl/>
        <w:numPr>
          <w:ilvl w:val="0"/>
          <w:numId w:val="9"/>
        </w:numPr>
        <w:kinsoku/>
        <w:wordWrap/>
        <w:overflowPunct/>
        <w:topLinePunct w:val="0"/>
        <w:autoSpaceDE/>
        <w:autoSpaceDN/>
        <w:bidi w:val="0"/>
        <w:snapToGrid/>
        <w:spacing w:line="580" w:lineRule="exact"/>
        <w:ind w:left="14" w:leftChars="0" w:right="0" w:rightChars="0" w:firstLine="616" w:firstLineChars="0"/>
        <w:textAlignment w:val="auto"/>
        <w:rPr>
          <w:rFonts w:hint="eastAsia" w:ascii="Times New Roman" w:hAnsi="Times New Roman" w:eastAsia="仿宋_GB2312" w:cs="仿宋_GB2312"/>
          <w:sz w:val="32"/>
          <w:szCs w:val="32"/>
          <w:lang w:eastAsia="zh-CN"/>
        </w:rPr>
      </w:pPr>
      <w:r>
        <w:rPr>
          <w:rStyle w:val="20"/>
          <w:rFonts w:hint="eastAsia" w:ascii="楷体" w:hAnsi="楷体" w:eastAsia="楷体" w:cs="楷体"/>
        </w:rPr>
        <w:t>强化基层基础建设</w:t>
      </w:r>
      <w:r>
        <w:rPr>
          <w:rFonts w:hint="eastAsia" w:ascii="楷体" w:hAnsi="楷体" w:eastAsia="楷体" w:cs="楷体"/>
        </w:rPr>
        <w:t>。</w:t>
      </w:r>
      <w:r>
        <w:rPr>
          <w:rFonts w:hint="eastAsia" w:ascii="仿宋" w:hAnsi="仿宋" w:eastAsia="仿宋" w:cs="仿宋"/>
        </w:rPr>
        <w:t>加强对基层信访工作的指导和培训，提升基层依法行政和依法处理信访问题的能力水平。</w:t>
      </w: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start="1"/>
      <w:cols w:space="425" w:num="1"/>
      <w:docGrid w:type="linesAndChars" w:linePitch="579"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华文彩云">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erif">
    <w:panose1 w:val="02060603050605020204"/>
    <w:charset w:val="00"/>
    <w:family w:val="auto"/>
    <w:pitch w:val="default"/>
    <w:sig w:usb0="E50006FF" w:usb1="5200F9FB" w:usb2="0A040020" w:usb3="00000000" w:csb0="6000009F" w:csb1="DFD70000"/>
  </w:font>
  <w:font w:name="方正仿宋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 w:name="Droid Sans Ethiopic">
    <w:panose1 w:val="020B0606030804020204"/>
    <w:charset w:val="00"/>
    <w:family w:val="auto"/>
    <w:pitch w:val="default"/>
    <w:sig w:usb0="00000003" w:usb1="00000000" w:usb2="00000800" w:usb3="00000000" w:csb0="00000001" w:csb1="00000000"/>
  </w:font>
  <w:font w:name="Century Schoolbook L">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方正小标宋_GBK">
    <w:panose1 w:val="02000000000000000000"/>
    <w:charset w:val="86"/>
    <w:family w:val="auto"/>
    <w:pitch w:val="default"/>
    <w:sig w:usb0="00000001" w:usb1="0800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F4D15">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9533DA">
                          <w:pPr>
                            <w:pStyle w:val="12"/>
                            <w:rPr>
                              <w:rFonts w:ascii="宋体" w:hAnsi="宋体" w:eastAsia="宋体"/>
                              <w:sz w:val="28"/>
                            </w:rPr>
                          </w:pPr>
                          <w:r>
                            <w:rPr>
                              <w:rFonts w:ascii="宋体" w:hAnsi="宋体" w:eastAsia="宋体"/>
                              <w:sz w:val="28"/>
                            </w:rPr>
                            <w:t>—</w:t>
                          </w:r>
                          <w:r>
                            <w:rPr>
                              <w:rFonts w:ascii="宋体" w:hAnsi="宋体" w:eastAsia="宋体"/>
                              <w:sz w:val="24"/>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xml:space="preserve">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mdTHYTgCAABrBAAADgAAAAAAAAABACAAAAAlAQAAZHJzL2Uy&#10;b0RvYy54bWxQSwUGAAAAAAYABgBZAQAAzwUAAAAA&#10;">
              <v:fill on="f" focussize="0,0"/>
              <v:stroke on="f" weight="0.5pt"/>
              <v:imagedata o:title=""/>
              <o:lock v:ext="edit" aspectratio="f"/>
              <v:textbox inset="16pt,0mm,16pt,0mm" style="mso-fit-shape-to-text:t;">
                <w:txbxContent>
                  <w:p w14:paraId="169533DA">
                    <w:pPr>
                      <w:pStyle w:val="12"/>
                      <w:rPr>
                        <w:rFonts w:ascii="宋体" w:hAnsi="宋体" w:eastAsia="宋体"/>
                        <w:sz w:val="28"/>
                      </w:rPr>
                    </w:pPr>
                    <w:r>
                      <w:rPr>
                        <w:rFonts w:ascii="宋体" w:hAnsi="宋体" w:eastAsia="宋体"/>
                        <w:sz w:val="28"/>
                      </w:rPr>
                      <w:t>—</w:t>
                    </w:r>
                    <w:r>
                      <w:rPr>
                        <w:rFonts w:ascii="宋体" w:hAnsi="宋体" w:eastAsia="宋体"/>
                        <w:sz w:val="24"/>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xml:space="preserve"> </w:t>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08F57">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DC3F9F">
                          <w:pPr>
                            <w:pStyle w:val="12"/>
                            <w:rPr>
                              <w:rFonts w:ascii="宋体" w:hAnsi="宋体" w:eastAsia="宋体"/>
                              <w:sz w:val="28"/>
                            </w:rPr>
                          </w:pPr>
                          <w:r>
                            <w:rPr>
                              <w:rFonts w:ascii="宋体" w:hAnsi="宋体" w:eastAsia="宋体"/>
                              <w:sz w:val="28"/>
                            </w:rPr>
                            <w:t>—</w:t>
                          </w:r>
                          <w:r>
                            <w:rPr>
                              <w:rFonts w:ascii="宋体" w:hAnsi="宋体" w:eastAsia="宋体"/>
                              <w:sz w:val="24"/>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xml:space="preserve">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0288;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zJ8uDTgCAABrBAAADgAAAAAAAAABACAAAAAlAQAAZHJzL2Uy&#10;b0RvYy54bWxQSwUGAAAAAAYABgBZAQAAzwUAAAAA&#10;">
              <v:fill on="f" focussize="0,0"/>
              <v:stroke on="f" weight="0.5pt"/>
              <v:imagedata o:title=""/>
              <o:lock v:ext="edit" aspectratio="f"/>
              <v:textbox inset="16pt,0mm,16pt,0mm" style="mso-fit-shape-to-text:t;">
                <w:txbxContent>
                  <w:p w14:paraId="55DC3F9F">
                    <w:pPr>
                      <w:pStyle w:val="12"/>
                      <w:rPr>
                        <w:rFonts w:ascii="宋体" w:hAnsi="宋体" w:eastAsia="宋体"/>
                        <w:sz w:val="28"/>
                      </w:rPr>
                    </w:pPr>
                    <w:r>
                      <w:rPr>
                        <w:rFonts w:ascii="宋体" w:hAnsi="宋体" w:eastAsia="宋体"/>
                        <w:sz w:val="28"/>
                      </w:rPr>
                      <w:t>—</w:t>
                    </w:r>
                    <w:r>
                      <w:rPr>
                        <w:rFonts w:ascii="宋体" w:hAnsi="宋体" w:eastAsia="宋体"/>
                        <w:sz w:val="24"/>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xml:space="preserve">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6C3D0">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602EF">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E3A5C7"/>
    <w:multiLevelType w:val="singleLevel"/>
    <w:tmpl w:val="B3E3A5C7"/>
    <w:lvl w:ilvl="0" w:tentative="0">
      <w:start w:val="1"/>
      <w:numFmt w:val="taiwaneseCounting"/>
      <w:suff w:val="nothing"/>
      <w:lvlText w:val="（%1）"/>
      <w:lvlJc w:val="left"/>
      <w:pPr>
        <w:ind w:left="0" w:firstLine="640"/>
      </w:pPr>
      <w:rPr>
        <w:rFonts w:hint="eastAsia"/>
      </w:rPr>
    </w:lvl>
  </w:abstractNum>
  <w:abstractNum w:abstractNumId="1">
    <w:nsid w:val="C40298DB"/>
    <w:multiLevelType w:val="singleLevel"/>
    <w:tmpl w:val="C40298DB"/>
    <w:lvl w:ilvl="0" w:tentative="0">
      <w:start w:val="1"/>
      <w:numFmt w:val="decimal"/>
      <w:suff w:val="nothing"/>
      <w:lvlText w:val="%1．"/>
      <w:lvlJc w:val="left"/>
      <w:pPr>
        <w:ind w:left="0" w:firstLine="616"/>
      </w:pPr>
      <w:rPr>
        <w:rFonts w:hint="default"/>
      </w:rPr>
    </w:lvl>
  </w:abstractNum>
  <w:abstractNum w:abstractNumId="2">
    <w:nsid w:val="C81E7D98"/>
    <w:multiLevelType w:val="singleLevel"/>
    <w:tmpl w:val="C81E7D98"/>
    <w:lvl w:ilvl="0" w:tentative="0">
      <w:start w:val="1"/>
      <w:numFmt w:val="taiwaneseCounting"/>
      <w:suff w:val="nothing"/>
      <w:lvlText w:val="%1、"/>
      <w:lvlJc w:val="left"/>
      <w:pPr>
        <w:ind w:left="0" w:firstLine="640"/>
      </w:pPr>
      <w:rPr>
        <w:rFonts w:hint="eastAsia"/>
      </w:rPr>
    </w:lvl>
  </w:abstractNum>
  <w:abstractNum w:abstractNumId="3">
    <w:nsid w:val="C8C81A5B"/>
    <w:multiLevelType w:val="singleLevel"/>
    <w:tmpl w:val="C8C81A5B"/>
    <w:lvl w:ilvl="0" w:tentative="0">
      <w:start w:val="1"/>
      <w:numFmt w:val="taiwaneseCounting"/>
      <w:suff w:val="nothing"/>
      <w:lvlText w:val="（%1）"/>
      <w:lvlJc w:val="left"/>
      <w:pPr>
        <w:ind w:left="14" w:firstLine="616"/>
      </w:pPr>
      <w:rPr>
        <w:rFonts w:hint="eastAsia"/>
      </w:rPr>
    </w:lvl>
  </w:abstractNum>
  <w:abstractNum w:abstractNumId="4">
    <w:nsid w:val="FCE35E98"/>
    <w:multiLevelType w:val="singleLevel"/>
    <w:tmpl w:val="FCE35E98"/>
    <w:lvl w:ilvl="0" w:tentative="0">
      <w:start w:val="1"/>
      <w:numFmt w:val="decimal"/>
      <w:suff w:val="nothing"/>
      <w:lvlText w:val="%1．"/>
      <w:lvlJc w:val="left"/>
      <w:pPr>
        <w:ind w:left="0" w:firstLine="616"/>
      </w:pPr>
      <w:rPr>
        <w:rFonts w:hint="default"/>
      </w:rPr>
    </w:lvl>
  </w:abstractNum>
  <w:abstractNum w:abstractNumId="5">
    <w:nsid w:val="049EB7EA"/>
    <w:multiLevelType w:val="singleLevel"/>
    <w:tmpl w:val="049EB7EA"/>
    <w:lvl w:ilvl="0" w:tentative="0">
      <w:start w:val="1"/>
      <w:numFmt w:val="taiwaneseCounting"/>
      <w:suff w:val="nothing"/>
      <w:lvlText w:val="（%1）"/>
      <w:lvlJc w:val="left"/>
      <w:pPr>
        <w:ind w:left="0" w:firstLine="616"/>
      </w:pPr>
      <w:rPr>
        <w:rFonts w:hint="eastAsia"/>
      </w:rPr>
    </w:lvl>
  </w:abstractNum>
  <w:abstractNum w:abstractNumId="6">
    <w:nsid w:val="2FDE5B21"/>
    <w:multiLevelType w:val="singleLevel"/>
    <w:tmpl w:val="2FDE5B21"/>
    <w:lvl w:ilvl="0" w:tentative="0">
      <w:start w:val="1"/>
      <w:numFmt w:val="decimal"/>
      <w:suff w:val="nothing"/>
      <w:lvlText w:val="%1．"/>
      <w:lvlJc w:val="left"/>
      <w:pPr>
        <w:ind w:left="0" w:firstLine="616"/>
      </w:pPr>
      <w:rPr>
        <w:rFonts w:hint="default"/>
      </w:rPr>
    </w:lvl>
  </w:abstractNum>
  <w:abstractNum w:abstractNumId="7">
    <w:nsid w:val="436B3C7D"/>
    <w:multiLevelType w:val="singleLevel"/>
    <w:tmpl w:val="436B3C7D"/>
    <w:lvl w:ilvl="0" w:tentative="0">
      <w:start w:val="1"/>
      <w:numFmt w:val="decimal"/>
      <w:suff w:val="nothing"/>
      <w:lvlText w:val="%1．"/>
      <w:lvlJc w:val="left"/>
      <w:pPr>
        <w:ind w:left="0" w:firstLine="616"/>
      </w:pPr>
      <w:rPr>
        <w:rFonts w:hint="default"/>
      </w:rPr>
    </w:lvl>
  </w:abstractNum>
  <w:abstractNum w:abstractNumId="8">
    <w:nsid w:val="617CBF6E"/>
    <w:multiLevelType w:val="singleLevel"/>
    <w:tmpl w:val="617CBF6E"/>
    <w:lvl w:ilvl="0" w:tentative="0">
      <w:start w:val="1"/>
      <w:numFmt w:val="decimal"/>
      <w:suff w:val="nothing"/>
      <w:lvlText w:val="%1．"/>
      <w:lvlJc w:val="left"/>
      <w:pPr>
        <w:ind w:left="0" w:firstLine="616"/>
      </w:pPr>
      <w:rPr>
        <w:rFonts w:hint="default"/>
      </w:rPr>
    </w:lvl>
  </w:abstractNum>
  <w:num w:numId="1">
    <w:abstractNumId w:val="2"/>
  </w:num>
  <w:num w:numId="2">
    <w:abstractNumId w:val="0"/>
  </w:num>
  <w:num w:numId="3">
    <w:abstractNumId w:val="7"/>
  </w:num>
  <w:num w:numId="4">
    <w:abstractNumId w:val="4"/>
  </w:num>
  <w:num w:numId="5">
    <w:abstractNumId w:val="1"/>
  </w:num>
  <w:num w:numId="6">
    <w:abstractNumId w:val="6"/>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7FFF7B"/>
    <w:rsid w:val="3E7B9DF9"/>
    <w:rsid w:val="3FDF35EC"/>
    <w:rsid w:val="4B7D450E"/>
    <w:rsid w:val="64062932"/>
    <w:rsid w:val="BBE7860E"/>
    <w:rsid w:val="BFD9124B"/>
    <w:rsid w:val="D3EF60AD"/>
    <w:rsid w:val="DBF1FD00"/>
    <w:rsid w:val="F571430B"/>
    <w:rsid w:val="FC836020"/>
    <w:rsid w:val="FDB37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officialmode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keepLines/>
      <w:spacing w:beforeLines="0" w:beforeAutospacing="0" w:afterLines="0" w:afterAutospacing="0" w:line="560" w:lineRule="exact"/>
      <w:ind w:firstLine="894" w:firstLineChars="200"/>
      <w:outlineLvl w:val="0"/>
    </w:pPr>
    <w:rPr>
      <w:rFonts w:ascii="黑体" w:hAnsi="黑体" w:eastAsia="黑体" w:cs="黑体"/>
      <w:kern w:val="44"/>
      <w:sz w:val="32"/>
      <w:szCs w:val="32"/>
    </w:rPr>
  </w:style>
  <w:style w:type="paragraph" w:styleId="3">
    <w:name w:val="heading 2"/>
    <w:next w:val="1"/>
    <w:link w:val="20"/>
    <w:unhideWhenUsed/>
    <w:qFormat/>
    <w:uiPriority w:val="0"/>
    <w:pPr>
      <w:keepNext/>
      <w:keepLines/>
      <w:spacing w:beforeLines="0" w:beforeAutospacing="0" w:afterLines="0" w:afterAutospacing="0" w:line="560" w:lineRule="exact"/>
      <w:ind w:firstLine="894" w:firstLineChars="200"/>
      <w:outlineLvl w:val="1"/>
    </w:pPr>
    <w:rPr>
      <w:rFonts w:ascii="Times New Roman" w:hAnsi="Times New Roman" w:eastAsia="楷体_GB2312" w:cs="楷体_GB2312"/>
      <w:sz w:val="32"/>
      <w:szCs w:val="32"/>
    </w:rPr>
  </w:style>
  <w:style w:type="paragraph" w:styleId="4">
    <w:name w:val="heading 3"/>
    <w:next w:val="1"/>
    <w:link w:val="19"/>
    <w:semiHidden/>
    <w:unhideWhenUsed/>
    <w:qFormat/>
    <w:uiPriority w:val="0"/>
    <w:pPr>
      <w:keepNext/>
      <w:keepLines/>
      <w:spacing w:beforeLines="0" w:beforeAutospacing="0" w:afterLines="0" w:afterAutospacing="0" w:line="560" w:lineRule="exact"/>
      <w:ind w:firstLine="894" w:firstLineChars="200"/>
      <w:outlineLvl w:val="2"/>
    </w:pPr>
    <w:rPr>
      <w:rFonts w:ascii="Times New Roman" w:hAnsi="Times New Roman" w:eastAsia="仿宋_GB2312" w:cs="仿宋_GB2312"/>
      <w:sz w:val="32"/>
      <w:szCs w:val="32"/>
    </w:rPr>
  </w:style>
  <w:style w:type="paragraph" w:styleId="5">
    <w:name w:val="heading 4"/>
    <w:next w:val="1"/>
    <w:semiHidden/>
    <w:unhideWhenUsed/>
    <w:qFormat/>
    <w:uiPriority w:val="0"/>
    <w:pPr>
      <w:keepNext/>
      <w:keepLines/>
      <w:spacing w:beforeLines="0" w:beforeAutospacing="0" w:afterLines="0" w:afterAutospacing="0" w:line="560" w:lineRule="exact"/>
      <w:ind w:firstLine="894" w:firstLineChars="200"/>
      <w:outlineLvl w:val="3"/>
    </w:pPr>
    <w:rPr>
      <w:rFonts w:ascii="Times New Roman" w:hAnsi="Times New Roman" w:eastAsia="仿宋_GB2312" w:cs="仿宋_GB2312"/>
      <w:sz w:val="32"/>
      <w:szCs w:val="32"/>
    </w:rPr>
  </w:style>
  <w:style w:type="paragraph" w:styleId="6">
    <w:name w:val="heading 5"/>
    <w:next w:val="1"/>
    <w:semiHidden/>
    <w:unhideWhenUsed/>
    <w:qFormat/>
    <w:uiPriority w:val="0"/>
    <w:pPr>
      <w:spacing w:line="560" w:lineRule="exact"/>
      <w:ind w:firstLine="894" w:firstLineChars="200"/>
      <w:outlineLvl w:val="4"/>
    </w:pPr>
    <w:rPr>
      <w:rFonts w:ascii="Times New Roman" w:hAnsi="Times New Roman" w:eastAsia="仿宋_GB2312" w:cs="仿宋_GB2312"/>
      <w:sz w:val="32"/>
      <w:szCs w:val="32"/>
    </w:rPr>
  </w:style>
  <w:style w:type="paragraph" w:styleId="7">
    <w:name w:val="heading 6"/>
    <w:next w:val="1"/>
    <w:semiHidden/>
    <w:unhideWhenUsed/>
    <w:qFormat/>
    <w:uiPriority w:val="0"/>
    <w:pPr>
      <w:spacing w:line="560" w:lineRule="exact"/>
      <w:ind w:firstLine="894" w:firstLineChars="200"/>
      <w:outlineLvl w:val="5"/>
    </w:pPr>
    <w:rPr>
      <w:rFonts w:ascii="Times New Roman" w:hAnsi="Times New Roman" w:eastAsia="仿宋_GB2312" w:cs="仿宋_GB2312"/>
      <w:sz w:val="32"/>
      <w:szCs w:val="32"/>
    </w:rPr>
  </w:style>
  <w:style w:type="paragraph" w:styleId="8">
    <w:name w:val="heading 7"/>
    <w:next w:val="1"/>
    <w:semiHidden/>
    <w:unhideWhenUsed/>
    <w:qFormat/>
    <w:uiPriority w:val="0"/>
    <w:pPr>
      <w:spacing w:line="560" w:lineRule="exact"/>
      <w:ind w:firstLine="894" w:firstLineChars="200"/>
      <w:outlineLvl w:val="6"/>
    </w:pPr>
    <w:rPr>
      <w:rFonts w:ascii="Times New Roman" w:hAnsi="Times New Roman" w:eastAsia="仿宋_GB2312" w:cs="仿宋_GB2312"/>
      <w:sz w:val="32"/>
      <w:szCs w:val="32"/>
    </w:rPr>
  </w:style>
  <w:style w:type="paragraph" w:styleId="9">
    <w:name w:val="heading 8"/>
    <w:next w:val="1"/>
    <w:semiHidden/>
    <w:unhideWhenUsed/>
    <w:qFormat/>
    <w:uiPriority w:val="0"/>
    <w:pPr>
      <w:spacing w:line="560" w:lineRule="exact"/>
      <w:ind w:firstLine="894" w:firstLineChars="200"/>
      <w:outlineLvl w:val="7"/>
    </w:pPr>
    <w:rPr>
      <w:rFonts w:ascii="Times New Roman" w:hAnsi="Times New Roman" w:eastAsia="仿宋_GB2312" w:cs="仿宋_GB2312"/>
      <w:sz w:val="32"/>
      <w:szCs w:val="32"/>
    </w:rPr>
  </w:style>
  <w:style w:type="paragraph" w:styleId="10">
    <w:name w:val="heading 9"/>
    <w:next w:val="1"/>
    <w:semiHidden/>
    <w:unhideWhenUsed/>
    <w:qFormat/>
    <w:uiPriority w:val="0"/>
    <w:pPr>
      <w:spacing w:line="560" w:lineRule="exact"/>
      <w:ind w:firstLine="894" w:firstLineChars="200"/>
      <w:outlineLvl w:val="8"/>
    </w:pPr>
    <w:rPr>
      <w:rFonts w:ascii="Times New Roman" w:hAnsi="Times New Roman" w:eastAsia="仿宋_GB2312" w:cs="仿宋_GB2312"/>
      <w:sz w:val="32"/>
      <w:szCs w:val="32"/>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line="560" w:lineRule="exact"/>
      <w:ind w:firstLine="630" w:firstLineChars="200"/>
      <w:jc w:val="both"/>
    </w:pPr>
    <w:rPr>
      <w:rFonts w:ascii="Times New Roman" w:hAnsi="Times New Roman" w:eastAsia="仿宋_GB2312" w:cs="仿宋_GB2312"/>
      <w:spacing w:val="-6"/>
      <w:sz w:val="32"/>
      <w:szCs w:val="32"/>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Subtitle"/>
    <w:qFormat/>
    <w:uiPriority w:val="0"/>
    <w:pPr>
      <w:spacing w:beforeLines="0" w:beforeAutospacing="0" w:afterLines="0" w:afterAutospacing="0" w:line="720" w:lineRule="exact"/>
      <w:jc w:val="center"/>
      <w:outlineLvl w:val="9"/>
    </w:pPr>
    <w:rPr>
      <w:rFonts w:ascii="Times New Roman" w:hAnsi="Times New Roman" w:eastAsia="仿宋_GB2312" w:cs="仿宋_GB2312"/>
      <w:kern w:val="28"/>
      <w:sz w:val="32"/>
      <w:szCs w:val="32"/>
    </w:rPr>
  </w:style>
  <w:style w:type="paragraph" w:styleId="15">
    <w:name w:val="Title"/>
    <w:qFormat/>
    <w:uiPriority w:val="0"/>
    <w:pPr>
      <w:spacing w:line="720" w:lineRule="exact"/>
      <w:jc w:val="center"/>
      <w:outlineLvl w:val="9"/>
    </w:pPr>
    <w:rPr>
      <w:rFonts w:ascii="方正小标宋简体" w:hAnsi="方正小标宋简体" w:eastAsia="方正小标宋简体" w:cs="方正小标宋简体"/>
      <w:sz w:val="44"/>
      <w:szCs w:val="44"/>
    </w:rPr>
  </w:style>
  <w:style w:type="paragraph" w:customStyle="1" w:styleId="18">
    <w:name w:val="主送对象"/>
    <w:next w:val="1"/>
    <w:qFormat/>
    <w:uiPriority w:val="0"/>
    <w:pPr>
      <w:spacing w:line="560" w:lineRule="exact"/>
    </w:pPr>
    <w:rPr>
      <w:rFonts w:ascii="Times New Roman" w:hAnsi="Times New Roman" w:eastAsia="仿宋_GB2312" w:cs="仿宋_GB2312"/>
      <w:sz w:val="32"/>
      <w:szCs w:val="32"/>
    </w:rPr>
  </w:style>
  <w:style w:type="character" w:customStyle="1" w:styleId="19">
    <w:name w:val="标题 3 Char"/>
    <w:link w:val="4"/>
    <w:qFormat/>
    <w:uiPriority w:val="0"/>
    <w:rPr>
      <w:rFonts w:ascii="Times New Roman" w:hAnsi="Times New Roman" w:eastAsia="仿宋_GB2312" w:cs="仿宋_GB2312"/>
      <w:sz w:val="32"/>
      <w:szCs w:val="32"/>
    </w:rPr>
  </w:style>
  <w:style w:type="character" w:customStyle="1" w:styleId="20">
    <w:name w:val="标题 2 Char"/>
    <w:link w:val="3"/>
    <w:qFormat/>
    <w:uiPriority w:val="0"/>
    <w:rPr>
      <w:rFonts w:ascii="Times New Roman" w:hAnsi="Times New Roman" w:eastAsia="楷体_GB2312" w:cs="楷体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a4d8bd40-46ca-46c2-a2b4-8bc2ff729bf6</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15834-2011《标点符号用法》中的4.5.3.5节，标有引号的并列成分之间、标有书名号的并列成分之间通常不用顿号。如“《红楼梦》《三国演义》《西游记》《水浒传》，是我国长篇小说的四大名著”。</explain>
      <paraID xmlns="http://schemas.wps.cn/vas-ai-hub/contract-review">1C270DD9</paraID>
      <start xmlns="http://schemas.wps.cn/vas-ai-hub/contract-review">16</start>
      <end xmlns="http://schemas.wps.cn/vas-ai-hub/contract-review">18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b6efeaad-2c6e-406d-b77a-9767b7a05af8</errorID>
      <errorWord xmlns="http://schemas.wps.cn/vas-ai-hub/contract-review">知情权、参与权、表达权和监督权</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知情权、参与权、表达权、监督权</item>
      </candidateList>
      <explain xmlns="http://schemas.wps.cn/vas-ai-hub/contract-review">词汇“知情权、参与权、表达权、监督权”在特定场景下为固定表述形式，请确认此处的“知情权、参与权、表达权和监督权”是否存在不当。</explain>
      <paraID xmlns="http://schemas.wps.cn/vas-ai-hub/contract-review"> 99D0B7E</paraID>
      <start xmlns="http://schemas.wps.cn/vas-ai-hub/contract-review">65</start>
      <end xmlns="http://schemas.wps.cn/vas-ai-hub/contract-review">80</end>
      <status xmlns="http://schemas.wps.cn/vas-ai-hub/contract-review">modified</status>
      <modifiedWord xmlns="http://schemas.wps.cn/vas-ai-hub/contract-review">知情权、参与权、表达权、监督权</modifiedWord>
      <trackRevisions xmlns="http://schemas.wps.cn/vas-ai-hub/contract-review">false</trackRevisions>
    </reviewItem>
    <reviewItem xmlns="http://schemas.wps.cn/vas-ai-hub/contract-review">
      <errorID xmlns="http://schemas.wps.cn/vas-ai-hub/contract-review">c04d2a93-8dc9-476c-aa5b-b51c716bcfd4</errorID>
      <errorWord xmlns="http://schemas.wps.cn/vas-ai-hub/contract-review">需</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需要</item>
      </candidateList>
      <explain xmlns="http://schemas.wps.cn/vas-ai-hub/contract-review">❶〈动〉应该有或必须有：我们～一支强大的科学技术队伍。❷〈名〉对事物的欲望或要求：从群众的～出发。</explain>
      <paraID xmlns="http://schemas.wps.cn/vas-ai-hub/contract-review">74871E10</paraID>
      <start xmlns="http://schemas.wps.cn/vas-ai-hub/contract-review">12</start>
      <end xmlns="http://schemas.wps.cn/vas-ai-hub/contract-review">14</end>
      <status xmlns="http://schemas.wps.cn/vas-ai-hub/contract-review">modified</status>
      <modifiedWord xmlns="http://schemas.wps.cn/vas-ai-hub/contract-review">需要</modifiedWord>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f9aed2-70ef-4ac3-9c4c-b64d3a95e161}">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2055</Words>
  <Characters>2063</Characters>
  <Lines>0</Lines>
  <Paragraphs>0</Paragraphs>
  <TotalTime>10</TotalTime>
  <ScaleCrop>false</ScaleCrop>
  <LinksUpToDate>false</LinksUpToDate>
  <CharactersWithSpaces>2067</CharactersWithSpaces>
  <Application>WPS Office_12.1.2.24722_F1E327BC-269C-435d-A152-05C5408002CA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2025-11-26T15:10:00Z</dcterms:created>
  <dc:creator>Administrator</dc:creator>
  <cp:lastModifiedBy>sugon</cp:lastModifiedBy>
  <dcterms:modified xsi:type="dcterms:W3CDTF">2026-03-05T09:47:00Z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2052-12.1.2.24722</vt:lpwstr>
  </property>
  <property fmtid="{D5CDD505-2E9C-101B-9397-08002B2CF9AE}" pid="3" name="KSOTemplateDocerSaveRecord">
    <vt:lpwstr>eyJoZGlkIjoiM2Q2Nzc0NDZkZjY0NDg4YzIzN2Q5Njg0Y2MyZjhjN2QiLCJ1c2VySWQiOiIzMjY5NDI5MzIifQ==</vt:lpwstr>
  </property>
  <property fmtid="{D5CDD505-2E9C-101B-9397-08002B2CF9AE}" pid="4" name="ICV">
    <vt:lpwstr>53EBDBC6FE604032B6283A06F1078A84_13</vt:lpwstr>
  </property>
</Properties>
</file>