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80" w:lineRule="exact"/>
        <w:ind w:left="0" w:leftChars="0" w:right="0" w:firstLine="0" w:firstLineChars="0"/>
        <w:textAlignment w:val="auto"/>
        <w:outlineLvl w:val="9"/>
        <w:rPr>
          <w:rFonts w:hint="eastAsia" w:ascii="黑体" w:hAnsi="黑体" w:eastAsia="黑体" w:cs="黑体"/>
          <w:sz w:val="28"/>
          <w:szCs w:val="28"/>
        </w:rPr>
      </w:pPr>
      <w:r>
        <w:rPr>
          <w:rFonts w:hint="eastAsia" w:ascii="黑体" w:hAnsi="黑体" w:eastAsia="黑体" w:cs="黑体"/>
          <w:sz w:val="28"/>
          <w:szCs w:val="28"/>
        </w:rPr>
        <w:t>汤阴县十六届人大</w:t>
      </w:r>
    </w:p>
    <w:p>
      <w:pPr>
        <w:widowControl w:val="0"/>
        <w:wordWrap/>
        <w:adjustRightInd/>
        <w:snapToGrid/>
        <w:spacing w:before="0" w:after="0" w:line="580" w:lineRule="exact"/>
        <w:ind w:left="0" w:leftChars="0" w:right="0" w:firstLine="0" w:firstLineChars="0"/>
        <w:textAlignment w:val="auto"/>
        <w:outlineLvl w:val="9"/>
        <w:rPr>
          <w:rFonts w:hint="eastAsia" w:ascii="黑体" w:hAnsi="黑体" w:eastAsia="黑体" w:cs="黑体"/>
          <w:sz w:val="28"/>
          <w:szCs w:val="28"/>
        </w:rPr>
      </w:pPr>
      <w:r>
        <w:rPr>
          <w:rFonts w:hint="eastAsia" w:ascii="黑体" w:hAnsi="黑体" w:eastAsia="黑体" w:cs="黑体"/>
          <w:sz w:val="28"/>
          <w:szCs w:val="28"/>
          <w:lang w:eastAsia="zh-CN"/>
        </w:rPr>
        <w:t>六</w:t>
      </w:r>
      <w:bookmarkStart w:id="0" w:name="_GoBack"/>
      <w:bookmarkEnd w:id="0"/>
      <w:r>
        <w:rPr>
          <w:rFonts w:hint="eastAsia" w:ascii="黑体" w:hAnsi="黑体" w:eastAsia="黑体" w:cs="黑体"/>
          <w:sz w:val="28"/>
          <w:szCs w:val="28"/>
        </w:rPr>
        <w:t>次会议文件（</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关于汤阴县2025年财政预算执行情况和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2026年财政预算草案的报告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——2026年2月27日在汤阴县第十六届人民代表大会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第六次会议上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汤阴县财政局局长</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王学民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受县人民政府委托，向会议报告我县2025年财政预算执行情况和2026年财政预算草案，请予审议。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一、2025年财政预算执行情况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来，在县委的坚强领导和县人大、县政协的监督支持下，财政部门始终坚持稳中求进工作总基调，紧扣产业发展、民生保障等工作重点，统筹盘活县域资产资源、精准优化支出结构、强化重大战略任务财力保障，严格执行十六届人大五次会议审查批准的预算，财政收支运行总体平稳，为我县经济高质量发展提供了坚实支撑，有效保持了社会大局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县一般公共预算收入完成26.43亿元，为预算26.37亿元的100.2%，同比增长5.2%。其中：税收收入完成17.65亿元，为预算的98.2%，同比增长5.5%，税收占比66.8%；非税收入完成8.78亿元，为预算的104.6%，同比增长4.6%。（收入详细情况见附表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本级一般公共预算收入完成5.99亿元，为预算的100.4%，同比增长4.1%，占全县一般公共预算收入的22.6%。其中：税收收入完成1.05亿元，为预算的864.6%，同比增长614.2%；非税收入完成4.93亿元，为预算的84.5%，同比下降12%。（收入详细情况见附表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乡（镇）级一般公共预算收入完成20.44亿元，为预算的100.2%，同比增长5.6%，占全县一般公共预算收入的77.4%，其中：税收收入完成16.59亿元，同比增长0.1%；非税收入完成3.85亿元，同比增长37.9%。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完成一般公共预算收入26.43亿元的基础上，加上一般性转移支付收入及专项转移支付收入15.35亿元、税收返还补助0.71亿元、预算稳定调节基金调入0.85亿元、一般债券收入0.05亿元，再融资债券收入1.07亿元，上年结余5.69亿元，上解支出5.36亿元，全县一般公共预算可用财力44.79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2.全县一般公共预算支出完成38.76亿元，为调整后支出预算的92.5%，同比增长0.7%（主要支出情况见附表2）。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县本级一般公共预算支出完成25.81亿元，为调整后支出预算的89.1%，同比增长5.9%（支出详细情况见附表6）。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乡（镇）级一般公共预算支出完成12.95亿元，为调整后支出预算的100%，较上年下降8.3%。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（二）政府性基金预算收支完成情况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2025年全县政府性基金预算收入完成1.89亿元，为预算的12.6%，同比下降64.4%,其中国有土地使用权出让收入完成0.82亿元，为预算的6.9%，同比下降76.7%。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政府性基金预算收入1.89亿元，加上上级专项拨款补助收入1.38亿元，地方政府债务转贷收入13.01亿元，调入资金1.63亿元，上年结余10.99亿元，政府性基金预算可用财力28.9亿元。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全县政府性基金预算支出完成10.93亿元，为调整后支出预算的57.7%，同比下降4.5%。（收支详细情况见附表3和4）。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（三）国有资本经营预算执行情况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2025年国有资本经营预算收入46万元，为上级补助我县国有企业退休人员社会化管理补助资金，用于解决历史遗留问题支出，上年结余46万元，当年未实现支出，按照收付实现制的要求92万元结转下年使用。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（四）社会保障基金收支完成情况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2025年，全县社会保障基金预算收入完成3.05亿元，为预算的131.2%，同比增长63.73%；全县社会保障基金预算支出完成 1.97亿元，为预算的111.1%，同比增长39.9%（收支详细情况见附表7和8）。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（五）政府债务情况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县政府债务限额为76.95亿元，其中：专项债务限额69.11亿元，一般债务限额7.84亿元；截止2025年年末，我县实际债务余额75.6亿元，其中：专项债务余额67.93亿元，一般债务余额7.67亿元，总体债务规模控制在限额以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2025年当年新增政府债务14.13亿元，其中：一般债务1.12亿元，专项债务13.01亿元。2025年当年偿还政府债务3.33亿元，其中一般债务1.19亿元，专项债务2.14亿元。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2020年上级补助我县抗疫特别国债资金1.04亿元，根据省拟定的2025-2029年偿付计划，2025年偿还本金0.21亿元。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上述预算执行数据待上级财政总决算批复后，还可能局部调整和变化，届时将及时向县人大常委会报告。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二、2025年财政主要工作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是“十四五”规划的收官之年，也是财政攻坚克难、砥砺奋进的关键一年。一年来，面对复杂严峻的经济形势和持续加大的收支矛盾，财政部门严格落实“过紧日子”要求，紧紧围绕全县发展大局，聚焦主责主业。通过狠抓财政收入征管、大力优化支出结构、全力保障重点领域、严密防范运行风险等务实举措，充分发挥财政职能作用，统筹推进稳增长、促改革、调结构、惠民生、防风险各项工作，为全县经济社会高质量发展提供了坚实可靠的财力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（一）挖掘财源潜力，着力破解收支矛盾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狠抓收入组织，确保存量盘活。积极与税务和各乡镇结合，挖掘税源增收潜力，按照年度收入预算，抓好收入计划分解落实，做到依法征收、应收尽收，确保收入及时足额入库。成立专项治理专班，针对税收征管的薄弱环节进行专项清理和规范，加强财税联动分析研判和涉税信息共享，开展欠税清理，杜绝“跑冒滴漏”。同时，深挖非税收入潜力，全面清理盘活闲置国有资产，推进资源资产化、资产资本化，多渠道拓宽财政增收渠道，确保财政收入质效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强化财源建设，培育增量动能。不折不扣落实减税降费政策，优化营商环境，激发市场主体活力。统筹安排产业引导资金，支持重点项目建设与优势产业发展，大力培植骨干税源，涵养可持续财源，夯实财政增收的经济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优化支出结构，提升资金效能。牢固树立“过紧日子”思想，严控一般性支出，大力压减“三公”经费，腾出资金优先保障“三保”支出及重点民生领域。全面实施预算绩效管理，坚持“花钱必问效、无效必问责”，切实提高财政资金使用效益，增强财政保障的精准性和可持续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（二）围绕重点工作，服务重大战略实施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力保障粮食安全。始终坚持保障粮食安全头等大事地位，全力促进农业高质量发展。一是夯实农业发展根基。着力推进水利设施建设，2025年实施2个超长期国债项目，投入资金3.58亿元，用于汤阴县蓄滞洪区建设工程，切实提升防灾减灾与综合生产能力。二是强化科技稳产支撑。统筹资金0.08亿元开展小麦“一喷三防”，飞防覆盖率100%，稳定秋粮面积55万余亩。投入0.03亿元运行“蓝天卫士”平台。安排畜牧业资金0.04亿元，保障重大动物疫病防控与物资安全。三是精准落实惠农政策。2025年发放耕地地力补贴0.56亿元，补贴86938户、54.27万亩。发放农机购置补贴0.23亿元，其中国补受益1189户，省补受益925户，确保资金精准直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扎实推进乡村振兴。严格按照上级关于衔接推进乡村振兴补助资金管理规定，2025年安排各级财政衔接推进乡村振兴补助资金0.71亿元，对接项目117个，其中：产业发展项目14个，投入资金0.2亿元，重点支持城关镇、韩庄镇等地的标准化厂房建设和食用菌种植等特色产业项目，增加村集体和脱贫群众收入。乡村建设行动项目99个，投入资金0.47亿元，主要用于村庄道路硬化、排水管网建设、坑塘治理、安全饮水等基础设施建设，改善农村人居环境，提升村民生活品质。同时，争取农村公益事业财政奖补和县级配套资金共0.08亿元，用于28个村的基础设施建设，并安排0.03亿元重点打造白营镇西木佛村等示范村。此外，足额安排村干部工资0.68亿元，有效夯实农村基层组织基础，激发了干部干事创业热情，为乡村振兴提供了坚强保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化环境污染防治。深入贯彻习近平总书记关于黄河流域生态保护和高质量发展重要讲话精神，科学统筹山水林田湖草沙一体化保护和系统治理。2025年，我县统筹安排环保专项资金0.67亿元，争取上级资金0.19亿元，有力支持环境污染防治攻坚战，保障全县环保工作有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力提振消费市场。2025年我县统筹落实促消费资金，争取上级以旧换新补贴资金0.2亿元，扎实开展商贸餐饮促销及家电、汽车、家居厨卫、电动自行车以旧换新活动。全县完成以旧换新3.3万件（辆），带动商贸流通等重点领域销售快速增长，有效激发群众消费热情，推动县域经济加速回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（三）精准投入资金，推动各类项目建设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以项目建设为中心。统筹中央基建、地方政府债券等资金，主动谋划资金筹措方案。2025年共争取资金9.9亿元，包括上级专项建设资金、地方专项债券和超长期国债资金。大力支持我县养老服务设施、医疗卫生体系建设、文化基础设施、城市供排水基础设施等灾后恢复重建项目加快实施，保证财政支出强度，确保重大项目尽快落地生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推进一二三产融合。我县坚持以产业平台建设为抓手，深化一二三产融合，全面提升现代农业综合发展水平。一是扎实推进省级现代农业产业园建设。高质量完成首批0.1亿元省级财政奖补资金建设任务，项目建设进展顺利，发挥了良好的示范带动作用。二是加快国家现代农业产业园项目实施。2025年大力推进汤阴县国家现代农业产业园项目，落实首批中央财政奖补资金，实施重点项目6个，项目覆盖任固镇、古贤镇等4个乡镇及高新区，总面积达42.5万亩，并于3月顺利通过农业农村部首次绩效评估。三是成功争取国家产业强镇项目落地。积极对接上级政策，成功争取伏道国家艾草产业强镇项目，获批中央财政奖补资金0.1亿元，进一步壮大特色产业实力，有效促进农业资源高效利用，推动农业发展由数量增长向质量效益转变，带动关联产业协同发展，有力提升了县域现代农业发展能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快农村交通物流体系建设。多渠道筹集资金，争取中央车购税、成品油转移支付资金0.17亿元，县本级投入0.08亿元农村公路建设资金，持续推动“农村公路提升”建设；推进农村客运班线公交化运营，补助运营补贴0.23亿元，提升农业农村服务效能，畅通群众出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（四）倾力教育社保，抓实民生保障政策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对教育保障经费的投入。始终坚守教育优先发展战略，严格落实义务教育生均经费“两个只增不减”要求，全年累计安排教育支出7.5亿元，全面覆盖各学段教育教学需求。精准落实学生资助政策，全年发放各学段学生资助资金0.2亿元，惠及学生2.66万人次，实现应助尽助、精准资助，确保不让一名学生因贫失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大对社保资金投入。投入城乡居民养老保险1.97亿元、机关事业单位养老保险金2.8亿元，确保养老金提标政策落实到位；拨付城乡医疗救助金0.08亿元，落实困难群众医疗救助，强化三重制度保障；拨付就业补助资金0.15亿元，支持重点群体就业及技能培训，稳定就业形势；拨付困难群众生活补助、残疾人补贴和高龄津贴共0.69亿元，保障困难群体基本生活；拨付“两癌”筛查、基本公共卫生服务补助0.44亿元，增强应急处置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（五）强化债务管理，筑牢财政安全防线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严守债务规模红线。坚持限额管理，截至2025年末，我县法定政府债务严格控制在限额以内，债务结构合理可控。二是高效发行项目债券。支持6个重点项目建设，为项目提供了资金支持，有力推进项目建设进度，为我县经济社会发展贡献了重要力量。三是严控债务风险底线。树立底线思维，建立防范化解地方债务风险长效机制，全力打好地方债务风险防控主动仗，守住了不发生系统性风险的底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县财政工作在攻坚克难中砥砺前行，圆满完成了年度预算目标任务，有力保障了县委、县政府重大决策部署落实，成绩来之不易。同时，我们也清醒地认识到，当前财政运行中仍存在一些突出矛盾和问题：财政收入稳增长压力依然较大，重点产业税源支撑尚显不足；“三保”等刚性支出增长，财政保障压力持续加大；政府债券进入偿还高峰期，债务还本付息占用财力比重上升，财政资源统筹配置压力依然存在。我们高度重视上述问题，将坚持系统观念、综合施策，采取切实有效措施予以解决，提升财政治理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三、2026年财政预算草案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财政工作总体要求是：坚持以习近平新时代中国特色社会主义思想为指导，全面贯彻党的二十大和二十届历次全会及中央、省、市、县经济工作会议精神，深入学习贯彻习近平总书记视察河南重要讲话重要指示精神，聚焦“两高四着力”重大要求，完整准确全面贯彻新发展理念，融入和服务加快构建新发展格局，着力推动我县高质量发展，坚持稳中求进工作总基调，更好统筹发展和安全，继续落实更加积极有为的财政政策，更加注重精准发力、提高效能，保持必要的支出强度，优化支出结构，加强财政科学管理，继续坚持“过紧日子”要求，兜牢“三保”底线，持续防范化解债务风险，落实深化体制改革部署，推动经济实现质的有效提升和量的合理增长，为积极打造“三区六基地”，加快建设豫北区域现代化建设先行县、奋力谱写中国式现代化汤阴实践新篇章、实现“十五五”良好开局提供坚实财力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结合我县社会经济发展目标，2026年财政预算草案如下：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（一）全县一般公共财政预算草案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2026年全县一般公共预算收入预计完成27.22亿元，同比增长3%。其中，税收收入19.13亿元，同比增长8.4%；非税收入8.09亿元，同比下降7.9%（具体收入项目见附表12）。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一般公共预算收入的27.22亿元的基础上，加上一般性转移支付收入及专项转移支付收入等项目14.11亿元，税收返还收入0.71亿元，预算稳定调节基金调入0.06亿元，从政府性基金中调入4.84亿元，上年结余结转收入3.15亿元，预计省市上解我县支出6亿元，可安排支出为44.09亿元（具体支出安排项目见附表13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县本级一般公共预算收入预计完成6.09亿元，较上年完成增长1.9%。分项目看，税收收入1.06亿元，较上年完成增长0.9%；非税收入5.03亿元，较上年完成增长2.1%。（具体收入项目见附表14）</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县本级一般公共预算收入6.09亿元的基础上，加上体制结算收入、一般性转移支付收入及专项转移支付收入等项目22.3亿元，税收返还收入0.71亿元，预算稳定调节基金调入0.06亿元，从政府性基金中调入4.84亿元，上年结余结转收入3.15亿元，预计省市上解我县支出6亿元，可安排支出为31.15亿元（具体支出安排项目见附表15）。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乡镇级一般公共预算收入预计完成21.13亿元，较上年完成增长3.3%，支出预计12.94亿元，较上年同期下降2.11%。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（二）全县政府性基金预算草案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考虑2026年政府性基金收入项目和支出需要，按照以收定支，并加大与一般公共预算统筹力度的要求，全县政府性基金预算收入预计完成13.5亿元，其中：国有土地使用权出让收入11.3亿元，国有土地收益基金收入0.3亿元，农业土地开发基金收入0.15亿元，城市基础设施配套费收入1亿元，污水处理费收入0.25万元，专项债务对应项目专项收入0.5亿元，加上年结转本年12.22亿元，上级提前下达政府性基金专项转移支付0.42万元，政府性基金预算可安排支出26.14亿元（支出详细情况见附表16和17）。</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（三）全县社会保障基金预算草案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2026年，全县社会保障基金预算收入2.7亿元，社会保障基金预算支出2.09亿元。其中：城乡居民基本养老保险收入2.7亿元，支出2.09亿元。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（四）国有资本经营预算草案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2026年，全县国有资本经营预算收入138万元，其中：上级提前下达国有资本经营预算转移支付收入46万元，上年结转92万元；国有资本经营预算支出138万元，按规定用于解决历史遗留问题支出。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（五）政府债务预算草案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预计法定到期债务本息为4.11亿元，其中一般债务本金1.18亿元，应付利息0.21亿元，专项债务本金0.87亿元，应付利息1.85亿元。计划一般债务还本资金通过一般公共预算安排0.12亿元，申请再融资债券安排还本1.06亿元；专项债务还本资金通过政府性基金预算安排0.04亿元，申请再融资债券安排还本0.83亿元。付息资金从一般公共预算安排0.21亿元，从政府性基金预算安排1.85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2020年上级补助我县抗疫特别国债资金1.04亿元，根据省拟定的2025-2029年偿付计划，当年应付本金0.21亿元，计划通过政府性基金预算安排。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（六）2026年我县重点支出和重大项目预算安排情况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2026年是“十五五”规划的开局之年，合理编制财政预算、做好各项财政工作，具有十分重要的意义。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2026年预算安排坚持以下基本原则：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一是遵循实事求是、积极稳妥原则。结合自身财力，并与我县经济社会发展状况相适应，实事求是编制收支预算，做到量入为出，收支平衡。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二是遵循统筹兼顾、有保有压原则。进一步优化财政支出结构，保障重点支出，坚持厉行节约，从严控制一般性支出和“三公经费”，压减非急非刚性支出，着力提高财政资金的使用效益。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三是遵循讲求实效、提高效益原则。强化预算绩效理念，深化预算绩效管理，实施绩效运行监控，运用绩效评价结果，建立以绩效为导向的财政资金预算安排。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四是遵循坚持底线、防范风险原则。加强政府性债务管理，遏制新增政府性债务，认真落实政府性债务化解方案，防范财政运行风险。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根据2026年我县可支配财力情况及零基预算编制原则，重点支出和重大项目预算安排如下：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1.坚持教育优先发展战略，推动文体事业繁荣发展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支出方面。重点保障城乡义务教育经费，安排学前教育幼儿资助和小学、初中城乡义务教育经费0.63亿元；落实家庭经济困难学生生活补助和国家助学金、义务教育阶段特殊教育学生和随班就读残疾学生经费等0.38亿元。实施教育信息化与装备升级，安排教育局中小学数字化校园转型升级（第一期）建设项目0.36亿元，学前教育保育教育、教师培训和体检、教学设备更新采购等0.74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与文化类支出方面。安排科技创新专项资金0.1亿元，助力产业技术升级；安排公共文化服务支出0.31亿元，主要用于文化流动大舞台、文旅宣传推广活动及新媒体运营、全民健身馆运营和半程马拉松赛相关支出，丰富群众精神文化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2.强化兜底保障功能，织密扎牢民生福利网底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三保”无缺口编列预算要求，结合财政部基本民生保障标准，优先保障基本民生。社会保障类安排资金力度不减。其中，城乡居民和机关事业基本养老保险基金补助1.5亿元；农村低保和城乡特困人员供养资金0.5亿元；特殊儿童群体基本生活保障、临时和流浪乞讨人员救助、残疾人补贴0.14亿元；高龄津贴、就业补助和优抚对象抚恤和生活补助等0.49亿元；被征地农民社会保障费0.2亿元。安排城乡居民基本医疗保险、基本公共卫生服务和计划生育1.13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安排补贴类资金0.13亿元，主要包括促消费专项资金0.04亿元，以及双替代设备补贴、电采暖补贴、猪肉应急储备及投放补贴专项和养殖业保险财政保费补贴资金0.09亿元等，切实减轻群众生活负担。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3.深化城市精细管理，保障城市运行平稳有序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聚焦城市精细化管理。城市运行维护方面，安排城市运行支出2.48亿元，主要包括城区路灯照明设施维护、城区绿化养护、环卫运行、水、电、污水处理和公共交通支出等，补齐公共服务短板。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城市载体性功能。城市整体提质方面，安排PPP当年付费0.25亿元，主要包括城市建设提质工程（城区基础设施）、河道治理与生态修复工程PPP项目运营费和国储林运营期财政补贴，保障政府与社会资本合作项目顺利履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4.聚焦重点项目建设，筑牢高质量发展硬支撑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财力保障重点工程。工程类项目及前期费用共安排1.3亿元，主要有219、汤屯路等道路、京港澳高速项目、302机场快速通道绿化工程和市政工程、背街小巷路面提升改造和人才周转房建设等项目0.7亿元；汤阴一中北校区迁建项目0.19亿元；上级投资项目县配套资金0.2亿元；工程项目前期费0.1亿元；永通河治理项目图斑整改等其他零星改造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办好重点民生实事。坚持以人民为中心的发展思想，聚焦群众急难愁盼，统筹推进医疗健康、社会保障和改善道路安全等重点民生实事，共安排0.33亿元，用心用力解决群众关心的实际问题，让成果更公平惠及全县人民，持续提升群众获得感、幸福感、安全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5.全面推进乡村振兴，绘就宜居宜业生态画卷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推进农业农村现代化与生态文明建设。乡村振兴与村级支出方面，保基本民生类项目中包含乡村振兴和村级支出1.11亿元，用于巩固拓展脱贫攻坚成果同乡村振兴有效衔接。农林水项目安排0.76亿元，主要有历年国土绿化造林项目土地流转费和河道治理及水毁项目占地补偿费0.32亿元；山水林田湖草沙生态修复工程县配套、重点村项目县级配套、国债水利工程建设项目县配套和森林草原湿地荒漠普查、监测和林地规划、农田水利设施管护等0.24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6.优化土地要素配置，保障县域发展空间需求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县域发展大局，做好土地要素保障。安排被征地农民土地收储补偿款0.35亿元、购买补充耕地指标和土地复垦项目0.3亿元、报批土地应缴耕地占用税及滞纳金和印花税0.25亿元、土地土壤污染状况调查和土地测绘及国土空间规划实施评等共1.36亿元，确保土地资源高效配置与合理利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7.深化平安法治建设，筑牢社会安全稳定防线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深化平安建设，维护社会和谐稳定。安排公安、司法机关和纪检业务支出0.5亿元，支持加强社会治安综合治理，维护人民群众安全，为经济社会发展保驾护航。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说明的是，按照《预算法》规定，预算年度开始后，各级预算草案在本级人民代表大会批准前，可以安排下列支出：一是上一年度结转的支出；二是参照上一年同期的预算支出数额，安排必须支付的本年度部门基本支出、项目支出，以及对下级政府的转移性支出；三是法律规定必须履行支付义务的支出，以及用于自然灾害等突发事件处理的支出。根据今年人代会前的支出需要，县政府除拨付基本支出外，参照上年同期预算支出情况，对民生类支出、衔接推进乡村振兴、县域综合提升项目和债券到期还本等项目支出进行了拨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四、切实做好2026年财政管理和预算执行工作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（一）聚力深化预算改革，科学精准编制预算。</w:t>
      </w:r>
      <w:r>
        <w:rPr>
          <w:rFonts w:hint="eastAsia" w:ascii="仿宋_GB2312" w:hAnsi="仿宋_GB2312" w:eastAsia="仿宋_GB2312" w:cs="仿宋_GB2312"/>
          <w:sz w:val="32"/>
          <w:szCs w:val="32"/>
        </w:rPr>
        <w:t>全面深化零基预算改革，彻底打破“基数+增长”的固化格局。彻底取消支出基数，所有预算支出以零为基点，依据县委、县政府年度重点决策部署，逐项审核必要性、合理性。规范项目分类管理，将所有支出精确划分为人员类、运转类、特定目标类项目，实现项目库的动态管理与精准对应。强化分类保障顺序，严格执行“保基本民生、保工资、保运转、上级硬性支出、债务还本付息、县级重点事项、其他支出”的保障序列，确保“三保”底线绝对安全。持续清理政策到期、低效无效项目，继续大力压减非急需非刚性支出，将有限资金集中投向乡村振兴、产业升级、民生保障等重大战略领域，实现“该保必保、应压尽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（二）聚力严控一般性支出，坚决守牢紧日子底线。</w:t>
      </w:r>
      <w:r>
        <w:rPr>
          <w:rFonts w:hint="eastAsia" w:ascii="仿宋_GB2312" w:hAnsi="仿宋_GB2312" w:eastAsia="仿宋_GB2312" w:cs="仿宋_GB2312"/>
          <w:sz w:val="32"/>
          <w:szCs w:val="32"/>
        </w:rPr>
        <w:t>将“习惯过紧日子”作为长期方针，贯穿预算编制、执行全过程。一是严控“三公”经费，严把公务接待、因公出国、公务用车管理关口。二是压减机关运行成本，严格控制办公用房维修改造、办公设备购置等一般性支出，严控会议、培训等公务活动规模。通过精打细算，将节省下的资金优先用于民生、保障重大项目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（三）聚力拓宽财源渠道，全面提升收入质量。</w:t>
      </w:r>
      <w:r>
        <w:rPr>
          <w:rFonts w:hint="eastAsia" w:ascii="仿宋_GB2312" w:hAnsi="仿宋_GB2312" w:eastAsia="仿宋_GB2312" w:cs="仿宋_GB2312"/>
          <w:sz w:val="32"/>
          <w:szCs w:val="32"/>
        </w:rPr>
        <w:t>面对收入增长乏力的挑战，多措并举拓宽财源，提升财政收入质量与可持续性。强化财税协同机制，加强重点行业、重点税源监控分析，依法依规应收尽收，堵塞征管漏洞。培植壮大优质税源，全力服务招商引资和项目建设，促进产业项目尽快投产达效，形成可持续的税收增长点。规范管理非税收入，严格执行“收支两条线”，特别是加大闲置低效资产等处置力度。积极向上争取，精准对接超长期特别国债、地方政府专项债券、中央预算内投资等政策机遇，做实项目前期，全力争取上级转移支付和债券资金，弥补自身财力缺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（四）聚力深化绩效管理，切实提升资金效能。</w:t>
      </w:r>
      <w:r>
        <w:rPr>
          <w:rFonts w:hint="eastAsia" w:ascii="仿宋_GB2312" w:hAnsi="仿宋_GB2312" w:eastAsia="仿宋_GB2312" w:cs="仿宋_GB2312"/>
          <w:sz w:val="32"/>
          <w:szCs w:val="32"/>
        </w:rPr>
        <w:t>坚持“花钱必问效，无效必问责”，推动预算绩效管理提质增效。做实事前评估，对新增重大政策和项目开展必要性、可行性、经济性评估，评估结果作为预算安排的前置条件。强化事中监控，依托预算管理一体化系统，对项目资金执行进度和绩效目标实现程度进行“双监控”。硬化事后评价，对项目支出和政策实施效果开展全面绩效评价，并将评价结果作为以后年度预算安排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（五）聚力统筹资产管理，激活存量资源潜力。</w:t>
      </w:r>
      <w:r>
        <w:rPr>
          <w:rFonts w:hint="eastAsia" w:ascii="仿宋_GB2312" w:hAnsi="仿宋_GB2312" w:eastAsia="仿宋_GB2312" w:cs="仿宋_GB2312"/>
          <w:sz w:val="32"/>
          <w:szCs w:val="32"/>
        </w:rPr>
        <w:t>健全资产配置与预算衔接机制，新增资产配置必须编制预算，杜绝超标准、超需求配置。加大资产盘活力度，全面清查行政事业单位闲置、低效资产，推动资产共享共用，鼓励部门间车辆、办公设备和会议室等资源共享，避免重复购置和浪费，实现资产从“入口”到“出口”的全过程监管。规范资产收益管理，将资产处置、出租出借等收入全部纳入预算管理，实现“收支两条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（六）聚力筑牢安全防线，有效防范化解风险。</w:t>
      </w:r>
      <w:r>
        <w:rPr>
          <w:rFonts w:hint="eastAsia" w:ascii="仿宋_GB2312" w:hAnsi="仿宋_GB2312" w:eastAsia="仿宋_GB2312" w:cs="仿宋_GB2312"/>
          <w:sz w:val="32"/>
          <w:szCs w:val="32"/>
        </w:rPr>
        <w:t>坚决兜牢“三保”底线，足额预算、优先拨付，建立“三保”支出动态监控和应急处置机制，确保工资正常发放、机构平稳运转、民生政策兑现。严控债务风险，加强法定债务管理，严格项目收益评估，对收益不能覆盖支出的项目坚决不予申报，确保项目收益覆盖成本，按时足额偿还本息。加强债务监测预警，全力打好地方债务风险防控主动仗，牢牢守住不发生系统性风险的底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（七）聚力完善监督体系，严肃维护财经纪律。</w:t>
      </w:r>
      <w:r>
        <w:rPr>
          <w:rFonts w:hint="eastAsia" w:ascii="仿宋_GB2312" w:hAnsi="仿宋_GB2312" w:eastAsia="仿宋_GB2312" w:cs="仿宋_GB2312"/>
          <w:sz w:val="32"/>
          <w:szCs w:val="32"/>
        </w:rPr>
        <w:t>健全监督机制，聚焦预算执行、政府债务、政府采购、会计信息质量等重点领域，常态化开展财会监督专项行动。强化协同联动，推动财会监督与纪检监察、审计监督、人大监督的贯通协调，形成监督合力。深化内控建设，完善财政内部风险防控流程，规范权力运行，从源头上预防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2026年财政工作任务艰巨、使命光荣。财政部门将在县委、县政府坚强领导下，在县人大、县政协有力监督与大力支持下，以更加坚定的政治站位、更加务实的工作作风、更加昂扬的奋进姿态、更加过硬的担当精神，踔厉奋发、笃行不怠，牢牢扛起生财有道、聚财有法、用财有度、理财有方、管财有效职责使命，精筹为公，理财为民，为加快建设豫北区域现代化建设先行县、奋力谱写中国式现代化汤阴实践新篇章贡献更大财政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sectPr>
      <w:footerReference r:id="rId3" w:type="default"/>
      <w:pgSz w:w="11906" w:h="16838"/>
      <w:pgMar w:top="2041" w:right="1474" w:bottom="1928"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D5B2F"/>
    <w:rsid w:val="01F96EC8"/>
    <w:rsid w:val="22D86BB8"/>
    <w:rsid w:val="29AF6870"/>
    <w:rsid w:val="2B5F308F"/>
    <w:rsid w:val="2C5D5B2F"/>
    <w:rsid w:val="3831798A"/>
    <w:rsid w:val="438B475E"/>
    <w:rsid w:val="539A4AC7"/>
    <w:rsid w:val="55366A71"/>
    <w:rsid w:val="5DEB4262"/>
    <w:rsid w:val="73CF3EC1"/>
    <w:rsid w:val="763E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2026-03-02T08:13:00Z</dcterms:created>
  <dc:creator>Administrator</dc:creator>
  <cp:lastModifiedBy>Administrator</cp:lastModifiedBy>
  <dcterms:modified xsi:type="dcterms:W3CDTF">2026-03-16T02:31:15Z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89B0894D48464E7ABD268D0BD58C890A</vt:lpwstr>
  </property>
</Properties>
</file>