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topLinePunct/>
        <w:adjustRightInd/>
        <w:snapToGrid/>
        <w:spacing w:before="0" w:after="0" w:line="600" w:lineRule="exact"/>
        <w:ind w:left="0" w:leftChars="0" w:right="0" w:firstLine="0" w:firstLineChars="0"/>
        <w:jc w:val="center"/>
        <w:textAlignment w:val="auto"/>
        <w:outlineLvl w:val="9"/>
        <w:rPr>
          <w:rFonts w:ascii="方正小标宋简体" w:hAnsi="仿宋" w:eastAsia="方正小标宋简体"/>
          <w:color w:val="000000"/>
          <w:sz w:val="44"/>
          <w:szCs w:val="44"/>
          <w:highlight w:val="none"/>
        </w:rPr>
      </w:pPr>
      <w:r>
        <w:rPr>
          <w:rFonts w:hint="eastAsia" w:ascii="方正小标宋简体" w:hAnsi="仿宋" w:eastAsia="方正小标宋简体"/>
          <w:color w:val="000000"/>
          <w:sz w:val="44"/>
          <w:szCs w:val="44"/>
          <w:highlight w:val="none"/>
        </w:rPr>
        <w:t>202</w:t>
      </w:r>
      <w:r>
        <w:rPr>
          <w:rFonts w:hint="eastAsia" w:ascii="方正小标宋简体" w:hAnsi="仿宋" w:eastAsia="方正小标宋简体"/>
          <w:color w:val="000000"/>
          <w:sz w:val="44"/>
          <w:szCs w:val="44"/>
          <w:highlight w:val="none"/>
          <w:lang w:val="en-US" w:eastAsia="zh-CN"/>
        </w:rPr>
        <w:t>6</w:t>
      </w:r>
      <w:r>
        <w:rPr>
          <w:rFonts w:hint="eastAsia" w:ascii="方正小标宋简体" w:hAnsi="仿宋" w:eastAsia="方正小标宋简体"/>
          <w:color w:val="000000"/>
          <w:sz w:val="44"/>
          <w:szCs w:val="44"/>
          <w:highlight w:val="none"/>
        </w:rPr>
        <w:t>年汤阴县本级公共财政预算公开情况</w:t>
      </w:r>
    </w:p>
    <w:p>
      <w:pPr>
        <w:widowControl w:val="0"/>
        <w:wordWrap/>
        <w:topLinePunct/>
        <w:adjustRightInd/>
        <w:snapToGrid/>
        <w:spacing w:before="0" w:after="0" w:line="600" w:lineRule="exact"/>
        <w:ind w:left="0" w:leftChars="0" w:right="0" w:firstLine="0" w:firstLineChars="0"/>
        <w:jc w:val="center"/>
        <w:textAlignment w:val="auto"/>
        <w:outlineLvl w:val="9"/>
        <w:rPr>
          <w:rFonts w:ascii="方正小标宋简体" w:hAnsi="仿宋" w:eastAsia="方正小标宋简体"/>
          <w:color w:val="000000"/>
          <w:sz w:val="44"/>
          <w:szCs w:val="44"/>
          <w:highlight w:val="none"/>
        </w:rPr>
      </w:pPr>
      <w:r>
        <w:rPr>
          <w:rFonts w:hint="eastAsia" w:ascii="方正小标宋简体" w:hAnsi="仿宋" w:eastAsia="方正小标宋简体"/>
          <w:color w:val="000000"/>
          <w:sz w:val="44"/>
          <w:szCs w:val="44"/>
          <w:highlight w:val="none"/>
        </w:rPr>
        <w:t>说明目录</w:t>
      </w:r>
    </w:p>
    <w:p>
      <w:pPr>
        <w:widowControl w:val="0"/>
        <w:wordWrap/>
        <w:topLinePunct/>
        <w:adjustRightInd/>
        <w:snapToGrid/>
        <w:spacing w:before="0" w:after="0" w:line="600" w:lineRule="exact"/>
        <w:ind w:left="0" w:leftChars="0" w:right="0" w:firstLine="880" w:firstLineChars="200"/>
        <w:jc w:val="center"/>
        <w:textAlignment w:val="auto"/>
        <w:outlineLvl w:val="9"/>
        <w:rPr>
          <w:rFonts w:ascii="方正小标宋简体" w:hAnsi="仿宋" w:eastAsia="方正小标宋简体"/>
          <w:color w:val="000000"/>
          <w:sz w:val="44"/>
          <w:szCs w:val="44"/>
          <w:highlight w:val="none"/>
        </w:rPr>
      </w:pPr>
    </w:p>
    <w:p>
      <w:pPr>
        <w:pStyle w:val="8"/>
        <w:widowControl w:val="0"/>
        <w:numPr>
          <w:ilvl w:val="0"/>
          <w:numId w:val="0"/>
        </w:numPr>
        <w:wordWrap/>
        <w:topLinePunct/>
        <w:adjustRightInd/>
        <w:snapToGrid/>
        <w:spacing w:before="0" w:after="0" w:line="60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一、预算编制原则</w:t>
      </w:r>
    </w:p>
    <w:p>
      <w:pPr>
        <w:pStyle w:val="8"/>
        <w:widowControl w:val="0"/>
        <w:numPr>
          <w:ilvl w:val="0"/>
          <w:numId w:val="0"/>
        </w:numPr>
        <w:wordWrap/>
        <w:topLinePunct/>
        <w:adjustRightInd/>
        <w:snapToGrid/>
        <w:spacing w:before="0" w:after="0" w:line="60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二、一般公共预算安排情况说明</w:t>
      </w:r>
    </w:p>
    <w:p>
      <w:pPr>
        <w:pStyle w:val="8"/>
        <w:widowControl w:val="0"/>
        <w:numPr>
          <w:ilvl w:val="0"/>
          <w:numId w:val="0"/>
        </w:numPr>
        <w:wordWrap/>
        <w:topLinePunct/>
        <w:adjustRightInd/>
        <w:snapToGrid/>
        <w:spacing w:before="0" w:after="0" w:line="60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三、政府性基金预算情况说明</w:t>
      </w:r>
    </w:p>
    <w:p>
      <w:pPr>
        <w:pStyle w:val="8"/>
        <w:widowControl w:val="0"/>
        <w:numPr>
          <w:ilvl w:val="0"/>
          <w:numId w:val="0"/>
        </w:numPr>
        <w:wordWrap/>
        <w:topLinePunct/>
        <w:adjustRightInd/>
        <w:snapToGrid/>
        <w:spacing w:before="0" w:after="0" w:line="60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四、全县社会保障基金预算说明</w:t>
      </w:r>
    </w:p>
    <w:p>
      <w:pPr>
        <w:pStyle w:val="8"/>
        <w:widowControl w:val="0"/>
        <w:numPr>
          <w:ilvl w:val="0"/>
          <w:numId w:val="0"/>
        </w:numPr>
        <w:wordWrap/>
        <w:topLinePunct/>
        <w:adjustRightInd/>
        <w:snapToGrid/>
        <w:spacing w:before="0" w:after="0" w:line="60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五、国有资本经营预算说明</w:t>
      </w:r>
    </w:p>
    <w:p>
      <w:pPr>
        <w:pStyle w:val="8"/>
        <w:widowControl w:val="0"/>
        <w:numPr>
          <w:ilvl w:val="0"/>
          <w:numId w:val="0"/>
        </w:numPr>
        <w:wordWrap/>
        <w:topLinePunct/>
        <w:adjustRightInd/>
        <w:snapToGrid/>
        <w:spacing w:before="0" w:after="0" w:line="60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六、政府债务情况说明</w:t>
      </w:r>
    </w:p>
    <w:p>
      <w:pPr>
        <w:pStyle w:val="8"/>
        <w:widowControl w:val="0"/>
        <w:numPr>
          <w:ilvl w:val="0"/>
          <w:numId w:val="0"/>
        </w:numPr>
        <w:wordWrap/>
        <w:topLinePunct/>
        <w:adjustRightInd/>
        <w:snapToGrid/>
        <w:spacing w:before="0" w:after="0" w:line="60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七、转移支付情况说明</w:t>
      </w:r>
    </w:p>
    <w:p>
      <w:pPr>
        <w:pStyle w:val="8"/>
        <w:widowControl w:val="0"/>
        <w:numPr>
          <w:ilvl w:val="0"/>
          <w:numId w:val="0"/>
        </w:numPr>
        <w:wordWrap/>
        <w:topLinePunct/>
        <w:adjustRightInd/>
        <w:snapToGrid/>
        <w:spacing w:before="0" w:after="0" w:line="60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八、县本级一般公共预算“三公”经费预算情况说明</w:t>
      </w:r>
    </w:p>
    <w:p>
      <w:pPr>
        <w:pStyle w:val="8"/>
        <w:widowControl w:val="0"/>
        <w:numPr>
          <w:ilvl w:val="0"/>
          <w:numId w:val="0"/>
        </w:numPr>
        <w:wordWrap/>
        <w:topLinePunct/>
        <w:adjustRightInd/>
        <w:snapToGrid/>
        <w:spacing w:before="0" w:after="0" w:line="60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九、重大政策和重点项目等绩效目标管理情况</w:t>
      </w:r>
    </w:p>
    <w:p>
      <w:pPr>
        <w:widowControl w:val="0"/>
        <w:wordWrap/>
        <w:topLinePunct/>
        <w:spacing w:before="0" w:after="0" w:line="580" w:lineRule="exact"/>
        <w:ind w:left="0" w:leftChars="0" w:right="0" w:firstLine="883" w:firstLineChars="200"/>
        <w:jc w:val="center"/>
        <w:textAlignment w:val="auto"/>
        <w:outlineLvl w:val="9"/>
        <w:rPr>
          <w:rFonts w:ascii="仿宋" w:hAnsi="仿宋" w:eastAsia="仿宋"/>
          <w:b/>
          <w:color w:val="000000"/>
          <w:sz w:val="44"/>
          <w:szCs w:val="44"/>
          <w:highlight w:val="none"/>
        </w:rPr>
      </w:pPr>
    </w:p>
    <w:p>
      <w:pPr>
        <w:widowControl w:val="0"/>
        <w:wordWrap/>
        <w:topLinePunct/>
        <w:spacing w:before="0" w:after="0" w:line="580" w:lineRule="exact"/>
        <w:ind w:left="0" w:leftChars="0" w:right="0" w:firstLine="883" w:firstLineChars="200"/>
        <w:jc w:val="center"/>
        <w:textAlignment w:val="auto"/>
        <w:outlineLvl w:val="9"/>
        <w:rPr>
          <w:rFonts w:ascii="仿宋" w:hAnsi="仿宋" w:eastAsia="仿宋"/>
          <w:b/>
          <w:color w:val="000000"/>
          <w:sz w:val="44"/>
          <w:szCs w:val="44"/>
          <w:highlight w:val="none"/>
        </w:rPr>
      </w:pPr>
    </w:p>
    <w:p>
      <w:pPr>
        <w:widowControl w:val="0"/>
        <w:wordWrap/>
        <w:topLinePunct/>
        <w:spacing w:before="0" w:after="0" w:line="580" w:lineRule="exact"/>
        <w:ind w:left="0" w:leftChars="0" w:right="0" w:firstLine="883" w:firstLineChars="200"/>
        <w:jc w:val="center"/>
        <w:textAlignment w:val="auto"/>
        <w:outlineLvl w:val="9"/>
        <w:rPr>
          <w:rFonts w:ascii="仿宋" w:hAnsi="仿宋" w:eastAsia="仿宋"/>
          <w:b/>
          <w:color w:val="000000"/>
          <w:sz w:val="44"/>
          <w:szCs w:val="44"/>
          <w:highlight w:val="none"/>
        </w:rPr>
      </w:pPr>
    </w:p>
    <w:p>
      <w:pPr>
        <w:widowControl w:val="0"/>
        <w:wordWrap/>
        <w:topLinePunct/>
        <w:spacing w:before="0" w:after="0" w:line="580" w:lineRule="exact"/>
        <w:ind w:left="0" w:leftChars="0" w:right="0" w:firstLine="883" w:firstLineChars="200"/>
        <w:jc w:val="center"/>
        <w:textAlignment w:val="auto"/>
        <w:outlineLvl w:val="9"/>
        <w:rPr>
          <w:rFonts w:ascii="仿宋" w:hAnsi="仿宋" w:eastAsia="仿宋"/>
          <w:b/>
          <w:color w:val="000000"/>
          <w:sz w:val="44"/>
          <w:szCs w:val="44"/>
          <w:highlight w:val="none"/>
        </w:rPr>
      </w:pPr>
    </w:p>
    <w:p>
      <w:pPr>
        <w:widowControl w:val="0"/>
        <w:wordWrap/>
        <w:topLinePunct/>
        <w:spacing w:before="0" w:after="0" w:line="580" w:lineRule="exact"/>
        <w:ind w:left="0" w:leftChars="0" w:right="0" w:firstLine="883" w:firstLineChars="200"/>
        <w:jc w:val="center"/>
        <w:textAlignment w:val="auto"/>
        <w:outlineLvl w:val="9"/>
        <w:rPr>
          <w:rFonts w:ascii="仿宋" w:hAnsi="仿宋" w:eastAsia="仿宋"/>
          <w:b/>
          <w:color w:val="000000"/>
          <w:sz w:val="44"/>
          <w:szCs w:val="44"/>
          <w:highlight w:val="none"/>
        </w:rPr>
      </w:pPr>
    </w:p>
    <w:p>
      <w:pPr>
        <w:widowControl w:val="0"/>
        <w:wordWrap/>
        <w:topLinePunct/>
        <w:spacing w:before="0" w:after="0" w:line="580" w:lineRule="exact"/>
        <w:ind w:left="0" w:leftChars="0" w:right="0" w:firstLine="883" w:firstLineChars="200"/>
        <w:jc w:val="center"/>
        <w:textAlignment w:val="auto"/>
        <w:outlineLvl w:val="9"/>
        <w:rPr>
          <w:rFonts w:ascii="仿宋" w:hAnsi="仿宋" w:eastAsia="仿宋"/>
          <w:b/>
          <w:color w:val="000000"/>
          <w:sz w:val="44"/>
          <w:szCs w:val="44"/>
          <w:highlight w:val="none"/>
        </w:rPr>
      </w:pPr>
    </w:p>
    <w:p>
      <w:pPr>
        <w:widowControl w:val="0"/>
        <w:wordWrap/>
        <w:topLinePunct/>
        <w:spacing w:before="0" w:after="0" w:line="580" w:lineRule="exact"/>
        <w:ind w:left="0" w:leftChars="0" w:right="0" w:firstLine="883" w:firstLineChars="200"/>
        <w:jc w:val="center"/>
        <w:textAlignment w:val="auto"/>
        <w:outlineLvl w:val="9"/>
        <w:rPr>
          <w:rFonts w:ascii="仿宋" w:hAnsi="仿宋" w:eastAsia="仿宋"/>
          <w:b/>
          <w:color w:val="000000"/>
          <w:sz w:val="44"/>
          <w:szCs w:val="44"/>
          <w:highlight w:val="none"/>
        </w:rPr>
      </w:pPr>
    </w:p>
    <w:p>
      <w:pPr>
        <w:widowControl w:val="0"/>
        <w:wordWrap/>
        <w:topLinePunct/>
        <w:spacing w:before="0" w:after="0"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color w:val="000000"/>
          <w:sz w:val="44"/>
          <w:szCs w:val="44"/>
          <w:highlight w:val="none"/>
        </w:rPr>
      </w:pPr>
      <w:r>
        <w:rPr>
          <w:rFonts w:hint="eastAsia" w:ascii="仿宋" w:hAnsi="仿宋" w:eastAsia="仿宋"/>
          <w:b/>
          <w:color w:val="000000"/>
          <w:sz w:val="44"/>
          <w:szCs w:val="44"/>
          <w:highlight w:val="none"/>
        </w:rPr>
        <w:br w:type="page"/>
      </w:r>
      <w:r>
        <w:rPr>
          <w:rFonts w:hint="eastAsia" w:ascii="方正小标宋简体" w:hAnsi="方正小标宋简体" w:eastAsia="方正小标宋简体" w:cs="方正小标宋简体"/>
          <w:b w:val="0"/>
          <w:bCs/>
          <w:color w:val="000000"/>
          <w:sz w:val="44"/>
          <w:szCs w:val="44"/>
          <w:highlight w:val="none"/>
        </w:rPr>
        <w:t>202</w:t>
      </w:r>
      <w:r>
        <w:rPr>
          <w:rFonts w:hint="eastAsia" w:ascii="方正小标宋简体" w:hAnsi="方正小标宋简体" w:eastAsia="方正小标宋简体" w:cs="方正小标宋简体"/>
          <w:b w:val="0"/>
          <w:bCs/>
          <w:color w:val="000000"/>
          <w:sz w:val="44"/>
          <w:szCs w:val="44"/>
          <w:highlight w:val="none"/>
          <w:lang w:val="en-US" w:eastAsia="zh-CN"/>
        </w:rPr>
        <w:t>6</w:t>
      </w:r>
      <w:r>
        <w:rPr>
          <w:rFonts w:hint="eastAsia" w:ascii="方正小标宋简体" w:hAnsi="方正小标宋简体" w:eastAsia="方正小标宋简体" w:cs="方正小标宋简体"/>
          <w:b w:val="0"/>
          <w:bCs/>
          <w:color w:val="000000"/>
          <w:sz w:val="44"/>
          <w:szCs w:val="44"/>
          <w:highlight w:val="none"/>
        </w:rPr>
        <w:t>年汤阴县本级公共财政预算情况说明</w:t>
      </w:r>
    </w:p>
    <w:p>
      <w:pPr>
        <w:widowControl w:val="0"/>
        <w:wordWrap/>
        <w:topLinePunct/>
        <w:spacing w:before="0" w:after="0"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color w:val="000000"/>
          <w:sz w:val="44"/>
          <w:szCs w:val="44"/>
          <w:highlight w:val="none"/>
        </w:rPr>
      </w:pPr>
    </w:p>
    <w:p>
      <w:pPr>
        <w:widowControl w:val="0"/>
        <w:wordWrap/>
        <w:topLinePunct/>
        <w:spacing w:before="0" w:after="0" w:line="580" w:lineRule="exact"/>
        <w:ind w:left="0" w:leftChars="0" w:right="0" w:firstLine="640" w:firstLineChars="200"/>
        <w:jc w:val="both"/>
        <w:textAlignment w:val="auto"/>
        <w:outlineLvl w:val="9"/>
        <w:rPr>
          <w:rFonts w:hint="eastAsia" w:ascii="Times New Roman" w:hAnsi="Times New Roman" w:eastAsia="仿宋_GB2312" w:cs="仿宋_GB2312"/>
          <w:color w:val="000000"/>
          <w:sz w:val="32"/>
          <w:szCs w:val="32"/>
          <w:highlight w:val="none"/>
        </w:rPr>
      </w:pPr>
      <w:r>
        <w:rPr>
          <w:rFonts w:hint="eastAsia" w:ascii="仿宋" w:hAnsi="仿宋" w:eastAsia="仿宋" w:cs="黑体"/>
          <w:kern w:val="2"/>
          <w:sz w:val="32"/>
          <w:szCs w:val="32"/>
          <w:highlight w:val="none"/>
          <w:lang w:val="en-US" w:eastAsia="zh-CN" w:bidi="ar-SA"/>
        </w:rPr>
        <w:t>根据我县2026年财政收入支出预计和县委、县政府工作安排以及县人代会审议情况，现将我县2026年财政预算编制情况说明如下：</w:t>
      </w:r>
    </w:p>
    <w:p>
      <w:pPr>
        <w:widowControl w:val="0"/>
        <w:wordWrap/>
        <w:topLinePunct/>
        <w:spacing w:before="0" w:after="0" w:line="580" w:lineRule="exact"/>
        <w:ind w:left="0" w:leftChars="0" w:right="0" w:firstLine="640" w:firstLineChars="200"/>
        <w:jc w:val="both"/>
        <w:textAlignment w:val="auto"/>
        <w:outlineLvl w:val="9"/>
        <w:rPr>
          <w:rFonts w:hint="eastAsia" w:ascii="Times New Roman" w:hAnsi="Times New Roman" w:eastAsia="仿宋_GB2312" w:cs="仿宋_GB2312"/>
          <w:color w:val="000000"/>
          <w:sz w:val="32"/>
          <w:szCs w:val="32"/>
          <w:highlight w:val="none"/>
        </w:rPr>
      </w:pP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rPr>
      </w:pPr>
      <w:r>
        <w:rPr>
          <w:rFonts w:hint="eastAsia" w:ascii="Times New Roman" w:hAnsi="Times New Roman" w:eastAsia="黑体" w:cs="黑体"/>
          <w:b w:val="0"/>
          <w:bCs/>
          <w:sz w:val="32"/>
          <w:szCs w:val="32"/>
          <w:highlight w:val="none"/>
          <w:lang w:eastAsia="zh-CN"/>
        </w:rPr>
        <w:t>一、</w:t>
      </w:r>
      <w:r>
        <w:rPr>
          <w:rFonts w:hint="eastAsia" w:ascii="Times New Roman" w:hAnsi="Times New Roman" w:eastAsia="黑体" w:cs="黑体"/>
          <w:b w:val="0"/>
          <w:bCs/>
          <w:sz w:val="32"/>
          <w:szCs w:val="32"/>
          <w:highlight w:val="none"/>
        </w:rPr>
        <w:t>预算编制原则</w:t>
      </w:r>
    </w:p>
    <w:p>
      <w:pPr>
        <w:pStyle w:val="8"/>
        <w:widowControl w:val="0"/>
        <w:numPr>
          <w:ilvl w:val="0"/>
          <w:numId w:val="0"/>
        </w:numPr>
        <w:wordWrap/>
        <w:topLinePunct/>
        <w:adjustRightInd/>
        <w:snapToGrid/>
        <w:spacing w:before="0" w:after="0" w:line="580" w:lineRule="exact"/>
        <w:ind w:left="0" w:leftChars="0" w:right="0" w:firstLine="640" w:firstLineChars="200"/>
        <w:jc w:val="both"/>
        <w:textAlignment w:val="auto"/>
        <w:outlineLvl w:val="9"/>
        <w:rPr>
          <w:rFonts w:hint="eastAsia" w:ascii="Times New Roman" w:hAnsi="Times New Roman" w:eastAsia="黑体" w:cs="黑体"/>
          <w:b w:val="0"/>
          <w:bCs/>
          <w:sz w:val="32"/>
          <w:szCs w:val="32"/>
          <w:highlight w:val="none"/>
        </w:rPr>
      </w:pP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（一）优先保障“三保”支出需要。</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（二）到期债券还本付息、消化隐性债务工作。</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（三）保证各项必要的配套资金支出。</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（四）保证乡村振兴、环保治理、林业绿化等重点工作资金需求。</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（五）保障县委、县政府确定的重点工作需要。</w:t>
      </w:r>
    </w:p>
    <w:p>
      <w:pPr>
        <w:widowControl w:val="0"/>
        <w:wordWrap/>
        <w:topLinePunct/>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lang w:eastAsia="zh-CN"/>
        </w:rPr>
      </w:pPr>
      <w:r>
        <w:rPr>
          <w:rFonts w:hint="eastAsia" w:ascii="Times New Roman" w:hAnsi="Times New Roman" w:eastAsia="黑体" w:cs="黑体"/>
          <w:b w:val="0"/>
          <w:bCs/>
          <w:sz w:val="32"/>
          <w:szCs w:val="32"/>
          <w:highlight w:val="none"/>
          <w:lang w:eastAsia="zh-CN"/>
        </w:rPr>
        <w:t>二、一般公共预算安排情况说明</w:t>
      </w:r>
    </w:p>
    <w:p>
      <w:pPr>
        <w:widowControl w:val="0"/>
        <w:wordWrap/>
        <w:topLinePunct/>
        <w:adjustRightInd/>
        <w:snapToGrid/>
        <w:spacing w:before="0" w:after="0" w:line="580" w:lineRule="exact"/>
        <w:ind w:left="0" w:leftChars="0" w:right="0" w:firstLine="640" w:firstLineChars="200"/>
        <w:jc w:val="both"/>
        <w:textAlignment w:val="auto"/>
        <w:outlineLvl w:val="9"/>
        <w:rPr>
          <w:rFonts w:hint="eastAsia" w:ascii="Times New Roman" w:hAnsi="Times New Roman" w:eastAsia="仿宋_GB2312" w:cs="仿宋_GB2312"/>
          <w:sz w:val="32"/>
          <w:szCs w:val="32"/>
          <w:highlight w:val="none"/>
          <w:lang w:val="en-US" w:eastAsia="zh-CN"/>
        </w:rPr>
      </w:pP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（一）收入预算安排情况</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全县一般公共预算收入预计完成272230万元，增长3%。其中：县本级60965万元，乡镇级211265万元。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（二）财力情况</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一般公共预算财力：根据上级转移支付、提前告知支出项目和我县收入预计情况，2026年年初全县财力预计440941万元，较上年完成下降1.6%。其中：县本级财力预计311546万元，较上年完成下降2.2%；乡镇级财力129395万元，较上年完成下降0.04%。</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县本级一般公共预算财力主要项目包括以下几项：</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1、县本级一般公共预算收入60965万元。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2、上级均衡性转移支付和返还性收入105262万元。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3、提前下达一般和专项转移支付收入43523万元。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4、财政体制上解乡镇资金81870万元。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5、从政府性基金中调入48371万元。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6、上年结转项目资金31555万元。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7、预计省、市上解我县资金60000万元（减项）。</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（三）县本级一般公共预算支出</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一般公共预算支出311546万元。其中主要包括以下支出项目：</w:t>
      </w:r>
    </w:p>
    <w:p>
      <w:pPr>
        <w:widowControl w:val="0"/>
        <w:wordWrap/>
        <w:topLinePunct/>
        <w:spacing w:before="0" w:after="0" w:line="580" w:lineRule="exact"/>
        <w:ind w:left="0" w:leftChars="0" w:right="0" w:firstLine="640" w:firstLineChars="200"/>
        <w:jc w:val="both"/>
        <w:textAlignment w:val="auto"/>
        <w:outlineLvl w:val="9"/>
        <w:rPr>
          <w:rFonts w:hint="default"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1、工资福利性支出109126万元，包括各类人员工资、奖金和各类补贴等。对个人和家庭的补助5967万元。其他人员经费7326.44万元，遗属补助604.22万元。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2、公用经费定额7541万元和机关运行补充经费6033万元。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3、上级提前告知专项转移支付安排支出43523万元。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4、本级配套安排的保基本民生类项目45504万元（按照“三保”无缺口编列预算要求，结合财政部基本民生保障标准和基本公共服务领域内容优先保障，经省厅审定）。主要包括学前教育幼儿资助和小学、初中城乡义务教育经费、家庭经济困难学生生活补助和国家助学金、义务教育阶段特殊教育学生和随班就读残疾学生经费等教育类支出；农村低保和城乡特困人员供养资金、特殊儿童群体基本生活保障、临时和流浪乞讨人员救助、残疾人补贴、城乡居民和机关事业基本养老保险基金补助、高龄津贴、就业补助、优抚对象抚恤和生活补助等社会保障类支出，城乡居民基本医疗保险、基本公共卫生服务和计划生育支出；乡村振兴和村级支出以及水、电、污水处理、环卫和公共交通支出等。</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5、加强社会治安综合治理，维护人民群众需要安排的项目共7233万元。主要包括科技创新专项资金1000万元；教育局中小学数字化校园转型升级（第一期）建设项目3550万元；汤阴一中北校区迁建项目1950万元；公安、司法机关和纪检业务支出等。</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6、补贴类资金1210万元，主要有促消费专项资金350万元、双替代设备补贴、电采暖补贴、猪肉应急储备及投放补贴专项和养殖业保险财政保费补贴资金860万元等。</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7、到期债务需本级财力还本付息支出3309.69万元，预备费安排5000万元，预留增资调资和以前年度应付未付已收回资金10000万元，消化暂付款2300万元。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8、上年结转项目资金56869万元。</w:t>
      </w:r>
    </w:p>
    <w:p>
      <w:pPr>
        <w:pStyle w:val="8"/>
        <w:widowControl w:val="0"/>
        <w:numPr>
          <w:ilvl w:val="0"/>
          <w:numId w:val="0"/>
        </w:numPr>
        <w:wordWrap/>
        <w:topLinePunct/>
        <w:adjustRightInd/>
        <w:snapToGrid/>
        <w:spacing w:before="0" w:after="0" w:line="580" w:lineRule="exact"/>
        <w:ind w:left="0" w:leftChars="0" w:right="0" w:firstLine="640" w:firstLineChars="200"/>
        <w:jc w:val="both"/>
        <w:textAlignment w:val="auto"/>
        <w:outlineLvl w:val="9"/>
        <w:rPr>
          <w:rFonts w:hint="eastAsia" w:ascii="Times New Roman" w:hAnsi="Times New Roman" w:eastAsia="黑体" w:cs="黑体"/>
          <w:b w:val="0"/>
          <w:bCs/>
          <w:sz w:val="32"/>
          <w:szCs w:val="32"/>
          <w:highlight w:val="none"/>
          <w:lang w:eastAsia="zh-CN"/>
        </w:rPr>
      </w:pP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lang w:eastAsia="zh-CN"/>
        </w:rPr>
      </w:pPr>
      <w:r>
        <w:rPr>
          <w:rFonts w:hint="eastAsia" w:ascii="Times New Roman" w:hAnsi="Times New Roman" w:eastAsia="黑体" w:cs="黑体"/>
          <w:b w:val="0"/>
          <w:bCs/>
          <w:sz w:val="32"/>
          <w:szCs w:val="32"/>
          <w:highlight w:val="none"/>
          <w:lang w:eastAsia="zh-CN"/>
        </w:rPr>
        <w:t>三、政府性基金预算情况说明</w:t>
      </w:r>
    </w:p>
    <w:p>
      <w:pPr>
        <w:widowControl w:val="0"/>
        <w:wordWrap/>
        <w:topLinePunct/>
        <w:spacing w:before="0" w:after="0" w:line="580" w:lineRule="exact"/>
        <w:ind w:left="0" w:leftChars="0" w:right="0" w:firstLine="640" w:firstLineChars="200"/>
        <w:jc w:val="both"/>
        <w:textAlignment w:val="auto"/>
        <w:outlineLvl w:val="9"/>
        <w:rPr>
          <w:rFonts w:hint="eastAsia" w:ascii="Times New Roman" w:hAnsi="Times New Roman" w:eastAsia="仿宋_GB2312" w:cs="仿宋_GB2312"/>
          <w:sz w:val="32"/>
          <w:szCs w:val="32"/>
          <w:highlight w:val="none"/>
        </w:rPr>
      </w:pP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（一）根据我县政府性基金实际支出需要和预计收入情况，计划全县政府性基金预算收入为135000万元。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（二）政府性基金预算财力：预计政府性基金财力211985万元，主要项目包括以下几项：</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1、政府性基金预算收入135000万元。其中：国有土地使用权出让收入113000万元，国有土地收益基金收入3000万元，农业土地开发资金收入1500万元，城市基础设施配套费收入10000万元，污水处理费收入2500万元，专项债务对应项目专项收5000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2、上年结余122145万元。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3、提前告知专项资金4211万元。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4、从政府性基金收入调入一般预算48371万元（减项）。</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5、预计省、市上解我县资金1000万元（减项）。</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（三）政府性基金支出</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政府性基金支出211985万元。其中主要包括以下支出项目：</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1、城市运行支出10600万元。主要包括城区路灯照明设施维护费、城区绿化养护费用、公厕、垃圾中转站、示范点、环卫运行费、环卫市场化服务费等。</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2、PPP当年付费2520万元。主要包括城市建设提质工程（城区基础设施）、河道治理与生态修复工程PPP项目运营费和国储林运营期财政补贴。</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3、工程款及前期费用支出共10260万元。主要有219、汤屯路等道路、京港澳高速项目、302机场快速通道绿化工程和市政工程、老旧小区改造和人才周转房建设等项目7000万元，上级投资项目县配套资金2000万元，工程项目前期费1000万元，永通河治理项目图斑整改等其他零星改造工程安排260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4、被征地农民土地收储补偿款3500万元、被征地农民社会保障费2000万元、购买补充耕地指标和土地复垦项目3000万元、报批土地应缴耕地占用税及滞纳金和印花税2500万元、土地土壤污染状况调查和土地测绘及国土空间规划实施评等共9048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5、农林水项目安排5600万元，主要有历年国土绿化造林项目土地流转费和河道治理及水毁项目占地补偿费3200万元，山水林田湖草生态修复工程县配套、重点村项目县级配套、国债水利工程建设项目县配套和森林草原湿地荒漠普查、监测和林地规划、农田水利设施管护等2400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6、预计专项债券还本付息支出20920.48万元。注册资本金6050万元。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7、水、电、污水处理和公共交通支出9630万元。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8、上级提前告知专项转移支付安排支出4211万元。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9、上年结转项目资金122145万元。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p>
    <w:p>
      <w:pPr>
        <w:widowControl w:val="0"/>
        <w:wordWrap/>
        <w:topLinePunct/>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lang w:eastAsia="zh-CN"/>
        </w:rPr>
      </w:pPr>
      <w:r>
        <w:rPr>
          <w:rFonts w:hint="eastAsia" w:ascii="Times New Roman" w:hAnsi="Times New Roman" w:eastAsia="黑体" w:cs="黑体"/>
          <w:b w:val="0"/>
          <w:bCs/>
          <w:sz w:val="32"/>
          <w:szCs w:val="32"/>
          <w:highlight w:val="none"/>
          <w:lang w:eastAsia="zh-CN"/>
        </w:rPr>
        <w:t>四、关于202</w:t>
      </w:r>
      <w:r>
        <w:rPr>
          <w:rFonts w:hint="eastAsia" w:ascii="Times New Roman" w:hAnsi="Times New Roman" w:eastAsia="黑体" w:cs="黑体"/>
          <w:b w:val="0"/>
          <w:bCs/>
          <w:sz w:val="32"/>
          <w:szCs w:val="32"/>
          <w:highlight w:val="none"/>
          <w:lang w:val="en-US" w:eastAsia="zh-CN"/>
        </w:rPr>
        <w:t>6</w:t>
      </w:r>
      <w:r>
        <w:rPr>
          <w:rFonts w:hint="eastAsia" w:ascii="Times New Roman" w:hAnsi="Times New Roman" w:eastAsia="黑体" w:cs="黑体"/>
          <w:b w:val="0"/>
          <w:bCs/>
          <w:sz w:val="32"/>
          <w:szCs w:val="32"/>
          <w:highlight w:val="none"/>
          <w:lang w:eastAsia="zh-CN"/>
        </w:rPr>
        <w:t>年社会保险基金</w:t>
      </w:r>
    </w:p>
    <w:p>
      <w:pPr>
        <w:widowControl w:val="0"/>
        <w:wordWrap/>
        <w:topLinePunct/>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lang w:eastAsia="zh-CN"/>
        </w:rPr>
      </w:pPr>
      <w:r>
        <w:rPr>
          <w:rFonts w:hint="eastAsia" w:ascii="Times New Roman" w:hAnsi="Times New Roman" w:eastAsia="黑体" w:cs="黑体"/>
          <w:b w:val="0"/>
          <w:bCs/>
          <w:sz w:val="32"/>
          <w:szCs w:val="32"/>
          <w:highlight w:val="none"/>
          <w:lang w:eastAsia="zh-CN"/>
        </w:rPr>
        <w:t>预算收支情况说明</w:t>
      </w:r>
    </w:p>
    <w:p>
      <w:pPr>
        <w:widowControl w:val="0"/>
        <w:wordWrap/>
        <w:topLinePunct/>
        <w:spacing w:before="0" w:after="0" w:line="580" w:lineRule="exact"/>
        <w:ind w:right="0"/>
        <w:jc w:val="both"/>
        <w:textAlignment w:val="auto"/>
        <w:outlineLvl w:val="9"/>
        <w:rPr>
          <w:rFonts w:hint="eastAsia" w:ascii="Times New Roman" w:hAnsi="Times New Roman" w:eastAsia="仿宋_GB2312" w:cs="仿宋_GB2312"/>
          <w:b/>
          <w:sz w:val="32"/>
          <w:szCs w:val="32"/>
          <w:highlight w:val="none"/>
        </w:rPr>
      </w:pP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2026年社会保险基金预算收入27043万元，比上年完成数下降11.2%。2026年社会保险基金预算支出20926万元，比上年完成数增长6.1%。</w:t>
      </w:r>
    </w:p>
    <w:p>
      <w:pPr>
        <w:pStyle w:val="8"/>
        <w:widowControl w:val="0"/>
        <w:numPr>
          <w:ilvl w:val="0"/>
          <w:numId w:val="0"/>
        </w:numPr>
        <w:wordWrap/>
        <w:topLinePunct/>
        <w:adjustRightInd/>
        <w:snapToGrid/>
        <w:spacing w:before="0" w:after="0" w:line="580" w:lineRule="exact"/>
        <w:ind w:left="0" w:leftChars="0" w:right="0" w:firstLine="0" w:firstLineChars="0"/>
        <w:jc w:val="both"/>
        <w:textAlignment w:val="auto"/>
        <w:outlineLvl w:val="9"/>
        <w:rPr>
          <w:rFonts w:hint="eastAsia" w:ascii="Times New Roman" w:hAnsi="Times New Roman" w:eastAsia="黑体" w:cs="黑体"/>
          <w:b w:val="0"/>
          <w:bCs/>
          <w:sz w:val="32"/>
          <w:szCs w:val="32"/>
          <w:highlight w:val="none"/>
          <w:lang w:eastAsia="zh-CN"/>
        </w:rPr>
      </w:pP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lang w:eastAsia="zh-CN"/>
        </w:rPr>
      </w:pP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lang w:eastAsia="zh-CN"/>
        </w:rPr>
      </w:pP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黑体" w:cs="黑体"/>
          <w:b w:val="0"/>
          <w:bCs/>
          <w:sz w:val="32"/>
          <w:szCs w:val="32"/>
          <w:highlight w:val="none"/>
          <w:lang w:eastAsia="zh-CN"/>
        </w:rPr>
        <w:t>五、国有资本经营预算说明</w:t>
      </w:r>
    </w:p>
    <w:p>
      <w:pPr>
        <w:widowControl w:val="0"/>
        <w:wordWrap/>
        <w:topLinePunct/>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p>
    <w:p>
      <w:pPr>
        <w:widowControl w:val="0"/>
        <w:wordWrap/>
        <w:topLinePunct/>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 w:hAnsi="仿宋" w:eastAsia="仿宋" w:cs="黑体"/>
          <w:kern w:val="2"/>
          <w:sz w:val="32"/>
          <w:szCs w:val="32"/>
          <w:highlight w:val="none"/>
          <w:lang w:val="en-US" w:eastAsia="zh-CN" w:bidi="ar-SA"/>
        </w:rPr>
        <w:t>2026年我县国有资本经营预算收入138万元，比上年完成数增长50%，其中：上级提前下达国有资本经营预算转移支付收入46万元，上年结转92万元；2026年我县国有资本经营预算支出138万元，同比增长50%，全部用于上级转移支付规定的用途。</w:t>
      </w:r>
    </w:p>
    <w:p>
      <w:pPr>
        <w:pStyle w:val="8"/>
        <w:widowControl w:val="0"/>
        <w:numPr>
          <w:ilvl w:val="0"/>
          <w:numId w:val="0"/>
        </w:numPr>
        <w:wordWrap/>
        <w:topLinePunct/>
        <w:adjustRightInd/>
        <w:snapToGrid/>
        <w:spacing w:before="0" w:after="0" w:line="580" w:lineRule="exact"/>
        <w:ind w:left="0" w:leftChars="0" w:right="0" w:firstLine="640" w:firstLineChars="200"/>
        <w:jc w:val="both"/>
        <w:textAlignment w:val="auto"/>
        <w:outlineLvl w:val="9"/>
        <w:rPr>
          <w:rFonts w:hint="eastAsia" w:ascii="Times New Roman" w:hAnsi="Times New Roman" w:eastAsia="黑体" w:cs="黑体"/>
          <w:b w:val="0"/>
          <w:bCs/>
          <w:sz w:val="32"/>
          <w:szCs w:val="32"/>
          <w:highlight w:val="none"/>
          <w:lang w:eastAsia="zh-CN"/>
        </w:rPr>
      </w:pP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lang w:eastAsia="zh-CN"/>
        </w:rPr>
      </w:pPr>
      <w:r>
        <w:rPr>
          <w:rFonts w:hint="eastAsia" w:ascii="Times New Roman" w:hAnsi="Times New Roman" w:eastAsia="黑体" w:cs="黑体"/>
          <w:b w:val="0"/>
          <w:bCs/>
          <w:sz w:val="32"/>
          <w:szCs w:val="32"/>
          <w:highlight w:val="none"/>
          <w:lang w:eastAsia="zh-CN"/>
        </w:rPr>
        <w:t>六、政府债务情况说明</w:t>
      </w:r>
    </w:p>
    <w:p>
      <w:pPr>
        <w:widowControl w:val="0"/>
        <w:wordWrap/>
        <w:topLinePunct/>
        <w:spacing w:before="0" w:after="0" w:line="580" w:lineRule="exact"/>
        <w:ind w:left="0" w:leftChars="0" w:right="0" w:firstLine="640" w:firstLineChars="200"/>
        <w:jc w:val="both"/>
        <w:textAlignment w:val="auto"/>
        <w:outlineLvl w:val="9"/>
        <w:rPr>
          <w:rFonts w:hint="eastAsia" w:ascii="Times New Roman" w:hAnsi="Times New Roman" w:eastAsia="仿宋_GB2312" w:cs="仿宋_GB2312"/>
          <w:sz w:val="32"/>
          <w:szCs w:val="32"/>
          <w:highlight w:val="none"/>
        </w:rPr>
      </w:pP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 xml:space="preserve">2025年我县政府债务限额为769499万元，其中：专项债务限额691113万元，一般债务限额78386万元；截止2025年年末，我县实际债务余额756011.4万元，其中：专项债务余额679289.4万元，一般债务余额76722万元，总体债务规模控制在限额以内。2025年当年新增政府债务141270万元，其中：一般债务11170万元，专项债务130100万元。2025年当年偿还政府债务33349.07万元，其中一般债务11901.79万元，专项债务21447.28万元。  </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2026年，预计到期债务本息为41021.17万元，其中一般债务本金11765万元，应付利息2131.69万元，专项债务本金8669.4万元，应付利息18455.08万元。计划一般债务还本资金通过一般公共预算安排1178万元，申请再融资债券安排还本10587万元；专项债务还本资金通过政府性基金预算安排377.4万元，申请再融资债券安排还本8292万元。付息资金从一般公共预算安排2131.69万元，从政府性基金预算安排18455.08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2026年抗疫特别国债应付本金2088万元，计划通过政府性基金预算安排。</w:t>
      </w: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lang w:eastAsia="zh-CN"/>
        </w:rPr>
      </w:pPr>
      <w:r>
        <w:rPr>
          <w:rFonts w:hint="eastAsia" w:ascii="Times New Roman" w:hAnsi="Times New Roman" w:eastAsia="黑体" w:cs="黑体"/>
          <w:b w:val="0"/>
          <w:bCs/>
          <w:sz w:val="32"/>
          <w:szCs w:val="32"/>
          <w:highlight w:val="none"/>
          <w:lang w:eastAsia="zh-CN"/>
        </w:rPr>
        <w:t>七、转移支付情况说明</w:t>
      </w:r>
    </w:p>
    <w:p>
      <w:pPr>
        <w:widowControl w:val="0"/>
        <w:wordWrap/>
        <w:topLinePunct/>
        <w:adjustRightInd w:val="0"/>
        <w:snapToGrid w:val="0"/>
        <w:spacing w:before="0" w:after="0" w:line="580" w:lineRule="exact"/>
        <w:ind w:left="0" w:leftChars="0" w:right="0" w:firstLine="640" w:firstLineChars="200"/>
        <w:jc w:val="both"/>
        <w:textAlignment w:val="auto"/>
        <w:outlineLvl w:val="9"/>
        <w:rPr>
          <w:rFonts w:hint="eastAsia" w:ascii="Times New Roman" w:hAnsi="Times New Roman" w:eastAsia="仿宋_GB2312" w:cs="仿宋_GB2312"/>
          <w:sz w:val="32"/>
          <w:szCs w:val="32"/>
          <w:highlight w:val="none"/>
        </w:rPr>
      </w:pP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2026年年初我县财政转移支付资金情况如下：</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一、上级补助收入149378万元，其中：返还性收入7103万元，一般性转移支付收入137477万元，专项转移支付收入4798万元。主要包括：</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（一）返还性收入7103万元，其中，增值税税收返还1926万元，消费税税收返还1万元，所得税基数返还571万元，成品油税费改革税收返还861万元，增值税“五五”分享税收返还3744万元。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二）一般性转移支付收入137477万元，其中主要包括：均衡性转移支付31428万元，县级基本财力保障机制奖补资金收入17227万元，结算补助368万元，固定数额补助资金19411万元，共同财政事权转移支付收入等42060万元，其他一般性转移支付收入26983万元。</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（三）专项转移支付收入4798万元，主要为卫生健康、节能环保和农林水的补助，具体支出项目明细请查阅一般公共预算转移支付情况表。</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二、政府性基金中列支的专项转移支付资金4211万元，主要为农林水补助等支出，具体支出项目明细请查阅政府性基金转移支付情况表。</w:t>
      </w:r>
    </w:p>
    <w:p>
      <w:pPr>
        <w:pStyle w:val="8"/>
        <w:widowControl w:val="0"/>
        <w:numPr>
          <w:ilvl w:val="0"/>
          <w:numId w:val="0"/>
        </w:numPr>
        <w:wordWrap/>
        <w:topLinePunct/>
        <w:adjustRightInd/>
        <w:snapToGrid/>
        <w:spacing w:before="0" w:after="0" w:line="580" w:lineRule="exact"/>
        <w:ind w:left="0" w:leftChars="0" w:right="0" w:firstLine="640" w:firstLineChars="200"/>
        <w:jc w:val="both"/>
        <w:textAlignment w:val="auto"/>
        <w:outlineLvl w:val="9"/>
        <w:rPr>
          <w:rFonts w:hint="eastAsia" w:ascii="Times New Roman" w:hAnsi="Times New Roman" w:eastAsia="黑体" w:cs="黑体"/>
          <w:b w:val="0"/>
          <w:bCs/>
          <w:sz w:val="32"/>
          <w:szCs w:val="32"/>
          <w:highlight w:val="none"/>
          <w:lang w:eastAsia="zh-CN"/>
        </w:rPr>
      </w:pP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sz w:val="32"/>
          <w:szCs w:val="32"/>
          <w:highlight w:val="none"/>
          <w:lang w:eastAsia="zh-CN"/>
        </w:rPr>
      </w:pPr>
      <w:r>
        <w:rPr>
          <w:rFonts w:hint="eastAsia" w:ascii="Times New Roman" w:hAnsi="Times New Roman" w:eastAsia="黑体" w:cs="黑体"/>
          <w:b w:val="0"/>
          <w:bCs/>
          <w:sz w:val="32"/>
          <w:szCs w:val="32"/>
          <w:highlight w:val="none"/>
          <w:lang w:eastAsia="zh-CN"/>
        </w:rPr>
        <w:t>八、县本级一般公共预算“三公”经费预算情况说明</w:t>
      </w:r>
    </w:p>
    <w:p>
      <w:pPr>
        <w:widowControl w:val="0"/>
        <w:wordWrap/>
        <w:topLinePunct/>
        <w:adjustRightInd w:val="0"/>
        <w:snapToGrid w:val="0"/>
        <w:spacing w:before="0" w:after="0" w:line="580" w:lineRule="exact"/>
        <w:ind w:left="0" w:leftChars="0" w:right="0" w:firstLine="640" w:firstLineChars="200"/>
        <w:jc w:val="both"/>
        <w:textAlignment w:val="auto"/>
        <w:outlineLvl w:val="9"/>
        <w:rPr>
          <w:rFonts w:hint="eastAsia" w:ascii="Times New Roman" w:hAnsi="Times New Roman" w:eastAsia="仿宋_GB2312" w:cs="仿宋_GB2312"/>
          <w:sz w:val="32"/>
          <w:szCs w:val="32"/>
          <w:highlight w:val="none"/>
        </w:rPr>
      </w:pP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按照党中央、国务院以及部门预算管理有关规定，“三公”经费包括因公出国（境）费、公务用车购置及运行费和公务接待费。（1）因公出国（境）费，指单位工作人员公务出国（境）的住宿费、差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经汇总县直部门预算，2026年县本级一般公共预算安排“三公”经费支出为1288万元，同比下降29.6%，下降的主要原因是预算编制单位均压减了机关运行成本，严把公务接待、因公出国、公务用车管理关口，严格按照政府采购相关规定实施车辆采购，通过精打细算，将节省下的资金优先用于民生。其中：因公出国（境）费用20万元，同比上年持平，主要是为推动侨务工作、招商引资、项目洽谈安排因公出国（境）预算；公务接待费预算 79万元，同比下降47.3%，今年继续严控，严把各个关口压缩各个部门预算；公务用车费用预算1189万元，</w:t>
      </w:r>
      <w:bookmarkStart w:id="0" w:name="_Hlk140433992"/>
      <w:r>
        <w:rPr>
          <w:rFonts w:hint="eastAsia" w:ascii="仿宋" w:hAnsi="仿宋" w:eastAsia="仿宋" w:cs="黑体"/>
          <w:kern w:val="2"/>
          <w:sz w:val="32"/>
          <w:szCs w:val="32"/>
          <w:highlight w:val="none"/>
          <w:lang w:val="en-US" w:eastAsia="zh-CN" w:bidi="ar-SA"/>
        </w:rPr>
        <w:t>同比下降28.3%</w:t>
      </w:r>
      <w:bookmarkEnd w:id="0"/>
      <w:r>
        <w:rPr>
          <w:rFonts w:hint="eastAsia" w:ascii="仿宋" w:hAnsi="仿宋" w:eastAsia="仿宋" w:cs="黑体"/>
          <w:kern w:val="2"/>
          <w:sz w:val="32"/>
          <w:szCs w:val="32"/>
          <w:highlight w:val="none"/>
          <w:lang w:val="en-US" w:eastAsia="zh-CN" w:bidi="ar-SA"/>
        </w:rPr>
        <w:t>，其中：公务用车运行费预算767万元，同比上年持平，公务用车购置费422万元，同比下降52.7%，在预算执行过程中，严格按照政府采购相关规定实施车辆采购，财政部门将严格控制“三公经费”支出，确保年末“三公经费”实际支出实现下降。</w:t>
      </w:r>
    </w:p>
    <w:p>
      <w:pPr>
        <w:pStyle w:val="8"/>
        <w:widowControl w:val="0"/>
        <w:numPr>
          <w:ilvl w:val="0"/>
          <w:numId w:val="0"/>
        </w:numPr>
        <w:wordWrap/>
        <w:topLinePunct/>
        <w:adjustRightInd/>
        <w:snapToGrid/>
        <w:spacing w:before="0" w:after="0" w:line="580" w:lineRule="exact"/>
        <w:ind w:left="0" w:leftChars="0" w:right="0" w:firstLine="640" w:firstLineChars="200"/>
        <w:jc w:val="both"/>
        <w:textAlignment w:val="auto"/>
        <w:outlineLvl w:val="9"/>
        <w:rPr>
          <w:rFonts w:hint="eastAsia" w:ascii="Times New Roman" w:hAnsi="Times New Roman" w:eastAsia="黑体" w:cs="黑体"/>
          <w:b w:val="0"/>
          <w:bCs/>
          <w:sz w:val="32"/>
          <w:szCs w:val="32"/>
          <w:highlight w:val="none"/>
          <w:lang w:eastAsia="zh-CN"/>
        </w:rPr>
      </w:pPr>
    </w:p>
    <w:p>
      <w:pPr>
        <w:pStyle w:val="8"/>
        <w:widowControl w:val="0"/>
        <w:numPr>
          <w:ilvl w:val="0"/>
          <w:numId w:val="0"/>
        </w:numPr>
        <w:wordWrap/>
        <w:topLinePunct/>
        <w:adjustRightInd/>
        <w:snapToGrid/>
        <w:spacing w:before="0" w:after="0" w:line="580" w:lineRule="exact"/>
        <w:ind w:left="0" w:leftChars="0" w:right="0" w:firstLine="0" w:firstLineChars="0"/>
        <w:jc w:val="center"/>
        <w:textAlignment w:val="auto"/>
        <w:outlineLvl w:val="9"/>
        <w:rPr>
          <w:rFonts w:hint="eastAsia" w:ascii="Times New Roman" w:hAnsi="Times New Roman" w:eastAsia="黑体" w:cs="黑体"/>
          <w:b w:val="0"/>
          <w:bCs/>
          <w:color w:val="auto"/>
          <w:sz w:val="32"/>
          <w:szCs w:val="32"/>
          <w:highlight w:val="none"/>
          <w:lang w:eastAsia="zh-CN"/>
        </w:rPr>
      </w:pPr>
      <w:r>
        <w:rPr>
          <w:rFonts w:hint="eastAsia" w:ascii="Times New Roman" w:hAnsi="Times New Roman" w:eastAsia="黑体" w:cs="黑体"/>
          <w:b w:val="0"/>
          <w:bCs/>
          <w:color w:val="auto"/>
          <w:sz w:val="32"/>
          <w:szCs w:val="32"/>
          <w:highlight w:val="none"/>
          <w:lang w:eastAsia="zh-CN"/>
        </w:rPr>
        <w:t>九、重大政策和重点项目等绩效目标管理情况</w:t>
      </w:r>
    </w:p>
    <w:p>
      <w:pPr>
        <w:widowControl w:val="0"/>
        <w:wordWrap/>
        <w:topLinePunct/>
        <w:spacing w:before="0" w:after="0" w:line="580" w:lineRule="exact"/>
        <w:ind w:left="0" w:leftChars="0" w:right="0" w:firstLine="640" w:firstLineChars="200"/>
        <w:jc w:val="both"/>
        <w:textAlignment w:val="auto"/>
        <w:outlineLvl w:val="9"/>
        <w:rPr>
          <w:rFonts w:hint="eastAsia" w:ascii="Times New Roman" w:hAnsi="Times New Roman" w:eastAsia="仿宋_GB2312" w:cs="仿宋_GB2312"/>
          <w:color w:val="auto"/>
          <w:sz w:val="32"/>
          <w:szCs w:val="32"/>
          <w:highlight w:val="none"/>
        </w:rPr>
      </w:pPr>
    </w:p>
    <w:p>
      <w:pPr>
        <w:widowControl w:val="0"/>
        <w:wordWrap/>
        <w:topLinePunct/>
        <w:spacing w:before="0" w:after="0" w:line="580" w:lineRule="exact"/>
        <w:ind w:left="0" w:leftChars="0" w:right="0" w:firstLine="640" w:firstLineChars="200"/>
        <w:jc w:val="both"/>
        <w:textAlignment w:val="auto"/>
        <w:outlineLvl w:val="9"/>
        <w:rPr>
          <w:rFonts w:hint="eastAsia" w:ascii="仿宋" w:hAnsi="仿宋" w:eastAsia="仿宋" w:cs="黑体"/>
          <w:kern w:val="2"/>
          <w:sz w:val="32"/>
          <w:szCs w:val="32"/>
          <w:highlight w:val="none"/>
          <w:lang w:val="en-US" w:eastAsia="zh-CN" w:bidi="ar-SA"/>
        </w:rPr>
      </w:pPr>
      <w:r>
        <w:rPr>
          <w:rFonts w:hint="eastAsia" w:ascii="仿宋" w:hAnsi="仿宋" w:eastAsia="仿宋" w:cs="黑体"/>
          <w:kern w:val="2"/>
          <w:sz w:val="32"/>
          <w:szCs w:val="32"/>
          <w:highlight w:val="none"/>
          <w:lang w:val="en-US" w:eastAsia="zh-CN" w:bidi="ar-SA"/>
        </w:rPr>
        <w:t>2025年预算绩效管理工作紧紧围绕全县财政中心工作，锚定“全方位、全过程、全覆盖”预算绩效管理目标，以提质增效为核心，以制度完善为支撑，以结果应用为关键，稳步推进各项工作落地见效。2025年，结合我县实际修改了《事前绩效评估管理办法》，进一步完善了全周期管理机制，使绩效管理有章可循、有据可依。同步梳理重点领域绩效指标库，提升指标设置的科学性和针对性。按照“无目标不预算、有目标必审核”的原则，全年累计审核全县79个部门、1341个项目的绩效目标，涉及资金42亿元。对其目标填报完整性、规范性、合理性、匹配度进行“一对一”审核，审减500余项目,抓实绩效监控跟踪。于10月份，对全县所有预算项目1-9月份预算执行情况和落实绩效目标进行“双监控”工作，按照规定程序调整项目预算或绩效目标。</w:t>
      </w:r>
      <w:bookmarkStart w:id="1" w:name="_GoBack"/>
      <w:bookmarkEnd w:id="1"/>
    </w:p>
    <w:sectPr>
      <w:footerReference r:id="rId3" w:type="default"/>
      <w:pgSz w:w="11906" w:h="16838"/>
      <w:pgMar w:top="2041" w:right="1474" w:bottom="1928" w:left="1531" w:header="851" w:footer="1587" w:gutter="0"/>
      <w:pgNumType w:fmt="decimal"/>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Calibri" w:hAnsi="Calibri" w:eastAsia="宋体" w:cs="黑体"/>
        <w:kern w:val="2"/>
        <w:sz w:val="18"/>
        <w:szCs w:val="18"/>
        <w:lang w:val="en-US" w:eastAsia="zh-CN" w:bidi="ar-SA"/>
      </w:rPr>
      <w:pict>
        <v:shape id="文本框1" o:spid="_x0000_s4097"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U4ZWEzY2IyMjhhZjJjMGVmMTY3MmMwN2UzOTNlMTcifQ=="/>
  </w:docVars>
  <w:rsids>
    <w:rsidRoot w:val="00000000"/>
    <w:rsid w:val="00770051"/>
    <w:rsid w:val="008102F1"/>
    <w:rsid w:val="009C512B"/>
    <w:rsid w:val="00AD558A"/>
    <w:rsid w:val="00C05EC7"/>
    <w:rsid w:val="00C87E3A"/>
    <w:rsid w:val="00F95E02"/>
    <w:rsid w:val="014A2DD9"/>
    <w:rsid w:val="017E38FB"/>
    <w:rsid w:val="01990C87"/>
    <w:rsid w:val="019C23B2"/>
    <w:rsid w:val="01E65CA9"/>
    <w:rsid w:val="02025461"/>
    <w:rsid w:val="021F4265"/>
    <w:rsid w:val="0264611C"/>
    <w:rsid w:val="02903F44"/>
    <w:rsid w:val="02E0514E"/>
    <w:rsid w:val="030E7E36"/>
    <w:rsid w:val="048E6904"/>
    <w:rsid w:val="04A610B0"/>
    <w:rsid w:val="04E946B7"/>
    <w:rsid w:val="04ED1825"/>
    <w:rsid w:val="050A7740"/>
    <w:rsid w:val="054D72C0"/>
    <w:rsid w:val="05C9468B"/>
    <w:rsid w:val="060C3E7B"/>
    <w:rsid w:val="06557AF2"/>
    <w:rsid w:val="06E635A4"/>
    <w:rsid w:val="072B636A"/>
    <w:rsid w:val="074628FE"/>
    <w:rsid w:val="078E79D1"/>
    <w:rsid w:val="07AB4175"/>
    <w:rsid w:val="07DD0873"/>
    <w:rsid w:val="080829BC"/>
    <w:rsid w:val="08145CF0"/>
    <w:rsid w:val="085B3B1D"/>
    <w:rsid w:val="086A1FB2"/>
    <w:rsid w:val="089D0CB1"/>
    <w:rsid w:val="09024A32"/>
    <w:rsid w:val="091031EE"/>
    <w:rsid w:val="09336848"/>
    <w:rsid w:val="09B04643"/>
    <w:rsid w:val="0A3208AE"/>
    <w:rsid w:val="0A6B1E54"/>
    <w:rsid w:val="0A7315F2"/>
    <w:rsid w:val="0A747118"/>
    <w:rsid w:val="0AB1211B"/>
    <w:rsid w:val="0AFF4C34"/>
    <w:rsid w:val="0B2473D6"/>
    <w:rsid w:val="0B29385D"/>
    <w:rsid w:val="0B3F095E"/>
    <w:rsid w:val="0B505490"/>
    <w:rsid w:val="0C410AA7"/>
    <w:rsid w:val="0C590374"/>
    <w:rsid w:val="0C7F5F3D"/>
    <w:rsid w:val="0C9D1956"/>
    <w:rsid w:val="0CA35A93"/>
    <w:rsid w:val="0CB41A4E"/>
    <w:rsid w:val="0CE9794A"/>
    <w:rsid w:val="0D082A6E"/>
    <w:rsid w:val="0D4B23B2"/>
    <w:rsid w:val="0D6E60A1"/>
    <w:rsid w:val="0D7630A2"/>
    <w:rsid w:val="0DE87A43"/>
    <w:rsid w:val="0E170543"/>
    <w:rsid w:val="0E192E50"/>
    <w:rsid w:val="0E2E2851"/>
    <w:rsid w:val="0EB43DAF"/>
    <w:rsid w:val="0ED47E83"/>
    <w:rsid w:val="0ED87F1C"/>
    <w:rsid w:val="0F2E5C77"/>
    <w:rsid w:val="0F503CB0"/>
    <w:rsid w:val="0F5F5CA1"/>
    <w:rsid w:val="0F694D72"/>
    <w:rsid w:val="0FDC5544"/>
    <w:rsid w:val="10196798"/>
    <w:rsid w:val="11445984"/>
    <w:rsid w:val="117D084A"/>
    <w:rsid w:val="11880464"/>
    <w:rsid w:val="11AD38CB"/>
    <w:rsid w:val="11B5691A"/>
    <w:rsid w:val="12550A22"/>
    <w:rsid w:val="128B4FFF"/>
    <w:rsid w:val="12C81DAF"/>
    <w:rsid w:val="13176561"/>
    <w:rsid w:val="132A0CBC"/>
    <w:rsid w:val="14596B6E"/>
    <w:rsid w:val="14E31122"/>
    <w:rsid w:val="14EE06E6"/>
    <w:rsid w:val="154C4F1A"/>
    <w:rsid w:val="15861B5E"/>
    <w:rsid w:val="15CC43A4"/>
    <w:rsid w:val="160F4041"/>
    <w:rsid w:val="161271C4"/>
    <w:rsid w:val="162C5E35"/>
    <w:rsid w:val="1649415B"/>
    <w:rsid w:val="16EA1425"/>
    <w:rsid w:val="170610F8"/>
    <w:rsid w:val="176E561B"/>
    <w:rsid w:val="17885842"/>
    <w:rsid w:val="178F10EE"/>
    <w:rsid w:val="17A76437"/>
    <w:rsid w:val="17F67CA8"/>
    <w:rsid w:val="18CC73BC"/>
    <w:rsid w:val="18DA1F55"/>
    <w:rsid w:val="18FA6A3B"/>
    <w:rsid w:val="191B532F"/>
    <w:rsid w:val="19235F91"/>
    <w:rsid w:val="195B4138"/>
    <w:rsid w:val="196A036B"/>
    <w:rsid w:val="198B64F6"/>
    <w:rsid w:val="19965E1E"/>
    <w:rsid w:val="19BD31DA"/>
    <w:rsid w:val="1A46187F"/>
    <w:rsid w:val="1A886EFD"/>
    <w:rsid w:val="1AAC1E50"/>
    <w:rsid w:val="1AC34C38"/>
    <w:rsid w:val="1ADC0AEE"/>
    <w:rsid w:val="1AE97309"/>
    <w:rsid w:val="1B0F0EC3"/>
    <w:rsid w:val="1B481CCF"/>
    <w:rsid w:val="1B971B65"/>
    <w:rsid w:val="1BB36E00"/>
    <w:rsid w:val="1C4B36CF"/>
    <w:rsid w:val="1C7A17A2"/>
    <w:rsid w:val="1C7A3345"/>
    <w:rsid w:val="1CB41E1B"/>
    <w:rsid w:val="1CF76192"/>
    <w:rsid w:val="1CF85987"/>
    <w:rsid w:val="1D1D08C4"/>
    <w:rsid w:val="1D266050"/>
    <w:rsid w:val="1D54652C"/>
    <w:rsid w:val="1D561100"/>
    <w:rsid w:val="1DB1172E"/>
    <w:rsid w:val="1DED4DC0"/>
    <w:rsid w:val="1E2B4A60"/>
    <w:rsid w:val="1E5C71FB"/>
    <w:rsid w:val="1E7A24C4"/>
    <w:rsid w:val="1E7D7293"/>
    <w:rsid w:val="1E803EE7"/>
    <w:rsid w:val="1E8B65A8"/>
    <w:rsid w:val="1E9239B5"/>
    <w:rsid w:val="1E944CBA"/>
    <w:rsid w:val="1EB342A2"/>
    <w:rsid w:val="1EC92B37"/>
    <w:rsid w:val="1F3B094B"/>
    <w:rsid w:val="1F4D1EEA"/>
    <w:rsid w:val="1F8110BF"/>
    <w:rsid w:val="1F897C90"/>
    <w:rsid w:val="1FE03657"/>
    <w:rsid w:val="200E1FA8"/>
    <w:rsid w:val="207B68E2"/>
    <w:rsid w:val="20831F67"/>
    <w:rsid w:val="20975384"/>
    <w:rsid w:val="209A1BA3"/>
    <w:rsid w:val="20B9542D"/>
    <w:rsid w:val="20BD316F"/>
    <w:rsid w:val="21AB524C"/>
    <w:rsid w:val="22252D7A"/>
    <w:rsid w:val="22361439"/>
    <w:rsid w:val="22417DE0"/>
    <w:rsid w:val="22623FCE"/>
    <w:rsid w:val="227C7B23"/>
    <w:rsid w:val="22851A6B"/>
    <w:rsid w:val="22B83BEE"/>
    <w:rsid w:val="22D86BB8"/>
    <w:rsid w:val="22FB7F7F"/>
    <w:rsid w:val="2377323E"/>
    <w:rsid w:val="23CC074A"/>
    <w:rsid w:val="24105CD7"/>
    <w:rsid w:val="24175346"/>
    <w:rsid w:val="241C1F5B"/>
    <w:rsid w:val="24857B00"/>
    <w:rsid w:val="24857B78"/>
    <w:rsid w:val="249F40CA"/>
    <w:rsid w:val="24A73F1B"/>
    <w:rsid w:val="24F028B0"/>
    <w:rsid w:val="25760785"/>
    <w:rsid w:val="259507C1"/>
    <w:rsid w:val="25C12DBA"/>
    <w:rsid w:val="25CF559C"/>
    <w:rsid w:val="25E35426"/>
    <w:rsid w:val="26405C4F"/>
    <w:rsid w:val="26916953"/>
    <w:rsid w:val="26AD1EEB"/>
    <w:rsid w:val="272B10D0"/>
    <w:rsid w:val="27BF5A1F"/>
    <w:rsid w:val="27EB5C8B"/>
    <w:rsid w:val="282E04AF"/>
    <w:rsid w:val="284321AC"/>
    <w:rsid w:val="2845181D"/>
    <w:rsid w:val="289E31B0"/>
    <w:rsid w:val="28A450B9"/>
    <w:rsid w:val="28CC03F4"/>
    <w:rsid w:val="28D57001"/>
    <w:rsid w:val="28EA3630"/>
    <w:rsid w:val="29E277A3"/>
    <w:rsid w:val="2A1A518F"/>
    <w:rsid w:val="2A2E29E8"/>
    <w:rsid w:val="2A34234D"/>
    <w:rsid w:val="2A434D11"/>
    <w:rsid w:val="2A4E2EF7"/>
    <w:rsid w:val="2A7121B2"/>
    <w:rsid w:val="2A8B2D5C"/>
    <w:rsid w:val="2A9232F3"/>
    <w:rsid w:val="2AF51106"/>
    <w:rsid w:val="2B1F57CD"/>
    <w:rsid w:val="2B372E74"/>
    <w:rsid w:val="2B470F10"/>
    <w:rsid w:val="2B473CFD"/>
    <w:rsid w:val="2B694C8C"/>
    <w:rsid w:val="2BF57C61"/>
    <w:rsid w:val="2C324391"/>
    <w:rsid w:val="2C904C58"/>
    <w:rsid w:val="2CC71744"/>
    <w:rsid w:val="2CCD64E8"/>
    <w:rsid w:val="2CF808D7"/>
    <w:rsid w:val="2D3E2F42"/>
    <w:rsid w:val="2D7E652C"/>
    <w:rsid w:val="2D8B73E4"/>
    <w:rsid w:val="2D991A9D"/>
    <w:rsid w:val="2DE03AC3"/>
    <w:rsid w:val="2DE73DBF"/>
    <w:rsid w:val="2E1348A7"/>
    <w:rsid w:val="2E456552"/>
    <w:rsid w:val="2E50117F"/>
    <w:rsid w:val="2EBA0537"/>
    <w:rsid w:val="2F051F6C"/>
    <w:rsid w:val="2F2A7C22"/>
    <w:rsid w:val="2F967065"/>
    <w:rsid w:val="2F9724A4"/>
    <w:rsid w:val="3028070E"/>
    <w:rsid w:val="30760C45"/>
    <w:rsid w:val="30AF6F4C"/>
    <w:rsid w:val="31175E18"/>
    <w:rsid w:val="31E542D4"/>
    <w:rsid w:val="31E87920"/>
    <w:rsid w:val="322C5A5F"/>
    <w:rsid w:val="324234D5"/>
    <w:rsid w:val="324F174E"/>
    <w:rsid w:val="3289261E"/>
    <w:rsid w:val="32CD1B51"/>
    <w:rsid w:val="32F01183"/>
    <w:rsid w:val="330C4FCE"/>
    <w:rsid w:val="339D4B9D"/>
    <w:rsid w:val="340329A9"/>
    <w:rsid w:val="345A42D9"/>
    <w:rsid w:val="34843C36"/>
    <w:rsid w:val="34883693"/>
    <w:rsid w:val="350B22A4"/>
    <w:rsid w:val="352D2429"/>
    <w:rsid w:val="356030DC"/>
    <w:rsid w:val="361A4C88"/>
    <w:rsid w:val="36723C5D"/>
    <w:rsid w:val="36D65004"/>
    <w:rsid w:val="36F01431"/>
    <w:rsid w:val="36F6333B"/>
    <w:rsid w:val="370276FA"/>
    <w:rsid w:val="37083929"/>
    <w:rsid w:val="37432A88"/>
    <w:rsid w:val="37C62A84"/>
    <w:rsid w:val="382E459C"/>
    <w:rsid w:val="382F433C"/>
    <w:rsid w:val="38545D10"/>
    <w:rsid w:val="387202A9"/>
    <w:rsid w:val="38A821E7"/>
    <w:rsid w:val="38B52D78"/>
    <w:rsid w:val="38EE7BF2"/>
    <w:rsid w:val="394D7723"/>
    <w:rsid w:val="39657AA9"/>
    <w:rsid w:val="39C259E1"/>
    <w:rsid w:val="39C73159"/>
    <w:rsid w:val="39DE1D35"/>
    <w:rsid w:val="3A4E3759"/>
    <w:rsid w:val="3A971EE4"/>
    <w:rsid w:val="3AAF547F"/>
    <w:rsid w:val="3AB40624"/>
    <w:rsid w:val="3AD273C0"/>
    <w:rsid w:val="3B8763FC"/>
    <w:rsid w:val="3BBA40DC"/>
    <w:rsid w:val="3BCE4343"/>
    <w:rsid w:val="3C7E77FF"/>
    <w:rsid w:val="3D9A2417"/>
    <w:rsid w:val="3DAE273F"/>
    <w:rsid w:val="3DEE62BF"/>
    <w:rsid w:val="3DF33233"/>
    <w:rsid w:val="3DF9513C"/>
    <w:rsid w:val="3E150198"/>
    <w:rsid w:val="3E4010BA"/>
    <w:rsid w:val="3E4464B5"/>
    <w:rsid w:val="3E4C1343"/>
    <w:rsid w:val="3E810519"/>
    <w:rsid w:val="3E9C3F6D"/>
    <w:rsid w:val="3EE427BB"/>
    <w:rsid w:val="3EFB28CA"/>
    <w:rsid w:val="3F46155B"/>
    <w:rsid w:val="3F544847"/>
    <w:rsid w:val="3F8E16B6"/>
    <w:rsid w:val="40277950"/>
    <w:rsid w:val="406242B1"/>
    <w:rsid w:val="407F1598"/>
    <w:rsid w:val="410305B7"/>
    <w:rsid w:val="413D3C14"/>
    <w:rsid w:val="41585E24"/>
    <w:rsid w:val="41B058EC"/>
    <w:rsid w:val="41EC3DB8"/>
    <w:rsid w:val="42117470"/>
    <w:rsid w:val="421D3AAA"/>
    <w:rsid w:val="425546E1"/>
    <w:rsid w:val="42823A7B"/>
    <w:rsid w:val="42DF27C6"/>
    <w:rsid w:val="43190ED5"/>
    <w:rsid w:val="43571BEB"/>
    <w:rsid w:val="447137A5"/>
    <w:rsid w:val="449C7E1E"/>
    <w:rsid w:val="44FF7003"/>
    <w:rsid w:val="450D0AE4"/>
    <w:rsid w:val="45BF6C7C"/>
    <w:rsid w:val="45C53DA9"/>
    <w:rsid w:val="45CA7A30"/>
    <w:rsid w:val="45D74323"/>
    <w:rsid w:val="45E510BA"/>
    <w:rsid w:val="46190610"/>
    <w:rsid w:val="461D3BE5"/>
    <w:rsid w:val="467F42E2"/>
    <w:rsid w:val="47757377"/>
    <w:rsid w:val="478607E6"/>
    <w:rsid w:val="47A82020"/>
    <w:rsid w:val="47E21573"/>
    <w:rsid w:val="481A5414"/>
    <w:rsid w:val="482573EB"/>
    <w:rsid w:val="485C7545"/>
    <w:rsid w:val="48641F10"/>
    <w:rsid w:val="48686D16"/>
    <w:rsid w:val="48895562"/>
    <w:rsid w:val="48965AD3"/>
    <w:rsid w:val="491C4628"/>
    <w:rsid w:val="4950709D"/>
    <w:rsid w:val="49670CFC"/>
    <w:rsid w:val="49A10911"/>
    <w:rsid w:val="49D203AB"/>
    <w:rsid w:val="49E360C7"/>
    <w:rsid w:val="4A301A0D"/>
    <w:rsid w:val="4A6718D3"/>
    <w:rsid w:val="4A8A3813"/>
    <w:rsid w:val="4AE03433"/>
    <w:rsid w:val="4AE41175"/>
    <w:rsid w:val="4B043FA0"/>
    <w:rsid w:val="4B7A47B8"/>
    <w:rsid w:val="4B8557F3"/>
    <w:rsid w:val="4BB8645E"/>
    <w:rsid w:val="4BE215CD"/>
    <w:rsid w:val="4C067CA4"/>
    <w:rsid w:val="4C275C3D"/>
    <w:rsid w:val="4C3C5020"/>
    <w:rsid w:val="4C4C733F"/>
    <w:rsid w:val="4C5713CF"/>
    <w:rsid w:val="4C7F6D10"/>
    <w:rsid w:val="4CA46E0E"/>
    <w:rsid w:val="4CF8208F"/>
    <w:rsid w:val="4D07739D"/>
    <w:rsid w:val="4D227D33"/>
    <w:rsid w:val="4D6D4946"/>
    <w:rsid w:val="4DDD6C4C"/>
    <w:rsid w:val="4DF75238"/>
    <w:rsid w:val="4E295882"/>
    <w:rsid w:val="4E4478F5"/>
    <w:rsid w:val="4E462DF8"/>
    <w:rsid w:val="4E5B221C"/>
    <w:rsid w:val="4E7F6455"/>
    <w:rsid w:val="4EBD3CAB"/>
    <w:rsid w:val="4F416513"/>
    <w:rsid w:val="4F4E3061"/>
    <w:rsid w:val="4FA03191"/>
    <w:rsid w:val="4FA60792"/>
    <w:rsid w:val="4FC83EEB"/>
    <w:rsid w:val="4FF5172F"/>
    <w:rsid w:val="50525457"/>
    <w:rsid w:val="512E60BF"/>
    <w:rsid w:val="51B80C66"/>
    <w:rsid w:val="52707792"/>
    <w:rsid w:val="52CB49C9"/>
    <w:rsid w:val="53DF072C"/>
    <w:rsid w:val="53E775E0"/>
    <w:rsid w:val="540A21A6"/>
    <w:rsid w:val="54260108"/>
    <w:rsid w:val="54332825"/>
    <w:rsid w:val="545D53B3"/>
    <w:rsid w:val="546A778A"/>
    <w:rsid w:val="551F53D1"/>
    <w:rsid w:val="55487179"/>
    <w:rsid w:val="55C65A2A"/>
    <w:rsid w:val="55CE6CAA"/>
    <w:rsid w:val="560662B2"/>
    <w:rsid w:val="566B5E16"/>
    <w:rsid w:val="56AC4730"/>
    <w:rsid w:val="56CB4F97"/>
    <w:rsid w:val="56CC57AD"/>
    <w:rsid w:val="56FE711B"/>
    <w:rsid w:val="57426948"/>
    <w:rsid w:val="57675ECC"/>
    <w:rsid w:val="576B119C"/>
    <w:rsid w:val="578754A9"/>
    <w:rsid w:val="579B08C7"/>
    <w:rsid w:val="57B27F05"/>
    <w:rsid w:val="57E3453E"/>
    <w:rsid w:val="57FF05EB"/>
    <w:rsid w:val="58176299"/>
    <w:rsid w:val="582726A1"/>
    <w:rsid w:val="582C415B"/>
    <w:rsid w:val="58405511"/>
    <w:rsid w:val="58CA6DBA"/>
    <w:rsid w:val="59126EAD"/>
    <w:rsid w:val="596127B1"/>
    <w:rsid w:val="597C0DDC"/>
    <w:rsid w:val="598D29D8"/>
    <w:rsid w:val="59BC506B"/>
    <w:rsid w:val="59D800F7"/>
    <w:rsid w:val="59E00D5A"/>
    <w:rsid w:val="5A245D72"/>
    <w:rsid w:val="5A581238"/>
    <w:rsid w:val="5A5A6355"/>
    <w:rsid w:val="5AB4435C"/>
    <w:rsid w:val="5AFA4AD0"/>
    <w:rsid w:val="5B1D730F"/>
    <w:rsid w:val="5B24736C"/>
    <w:rsid w:val="5B4B51A2"/>
    <w:rsid w:val="5B991157"/>
    <w:rsid w:val="5BBA388A"/>
    <w:rsid w:val="5CA00684"/>
    <w:rsid w:val="5CDC6150"/>
    <w:rsid w:val="5DD539BC"/>
    <w:rsid w:val="5E4D0988"/>
    <w:rsid w:val="5E595457"/>
    <w:rsid w:val="5F017B72"/>
    <w:rsid w:val="5FB16D0D"/>
    <w:rsid w:val="5FC86518"/>
    <w:rsid w:val="5FDF3861"/>
    <w:rsid w:val="602A5045"/>
    <w:rsid w:val="608B6216"/>
    <w:rsid w:val="60C56EFB"/>
    <w:rsid w:val="60E73507"/>
    <w:rsid w:val="61761FA3"/>
    <w:rsid w:val="617A11EA"/>
    <w:rsid w:val="620307DC"/>
    <w:rsid w:val="620D6DAC"/>
    <w:rsid w:val="629A14FB"/>
    <w:rsid w:val="62A717AA"/>
    <w:rsid w:val="62C970FF"/>
    <w:rsid w:val="62D81C2B"/>
    <w:rsid w:val="634467FD"/>
    <w:rsid w:val="63695FA6"/>
    <w:rsid w:val="63957059"/>
    <w:rsid w:val="63BE70A2"/>
    <w:rsid w:val="63DC1E2E"/>
    <w:rsid w:val="63F7410E"/>
    <w:rsid w:val="641930C8"/>
    <w:rsid w:val="64671727"/>
    <w:rsid w:val="646D53D2"/>
    <w:rsid w:val="65372126"/>
    <w:rsid w:val="654D1CB1"/>
    <w:rsid w:val="65821697"/>
    <w:rsid w:val="661029C7"/>
    <w:rsid w:val="661D3D64"/>
    <w:rsid w:val="66216982"/>
    <w:rsid w:val="66521231"/>
    <w:rsid w:val="66617209"/>
    <w:rsid w:val="66660410"/>
    <w:rsid w:val="674B0C82"/>
    <w:rsid w:val="6782140E"/>
    <w:rsid w:val="679113F7"/>
    <w:rsid w:val="67A6391B"/>
    <w:rsid w:val="67BE0FC1"/>
    <w:rsid w:val="67C64478"/>
    <w:rsid w:val="67D11E1C"/>
    <w:rsid w:val="67D75E41"/>
    <w:rsid w:val="67DF7076"/>
    <w:rsid w:val="67E50E81"/>
    <w:rsid w:val="67F51E74"/>
    <w:rsid w:val="67FE782C"/>
    <w:rsid w:val="683C7AA3"/>
    <w:rsid w:val="683E4D93"/>
    <w:rsid w:val="683F683A"/>
    <w:rsid w:val="684D1945"/>
    <w:rsid w:val="687D5B7C"/>
    <w:rsid w:val="68EC18B0"/>
    <w:rsid w:val="69242AFE"/>
    <w:rsid w:val="69732C11"/>
    <w:rsid w:val="698536CB"/>
    <w:rsid w:val="6A572E84"/>
    <w:rsid w:val="6A5B6582"/>
    <w:rsid w:val="6AAA163C"/>
    <w:rsid w:val="6AF705F9"/>
    <w:rsid w:val="6B044C71"/>
    <w:rsid w:val="6B122D3D"/>
    <w:rsid w:val="6B510E38"/>
    <w:rsid w:val="6B665FEC"/>
    <w:rsid w:val="6C156F89"/>
    <w:rsid w:val="6C7C3AAF"/>
    <w:rsid w:val="6CA43E69"/>
    <w:rsid w:val="6CA51091"/>
    <w:rsid w:val="6CD43218"/>
    <w:rsid w:val="6D8049B5"/>
    <w:rsid w:val="6E2E4332"/>
    <w:rsid w:val="6EB072A6"/>
    <w:rsid w:val="6EBC693B"/>
    <w:rsid w:val="6EE964AB"/>
    <w:rsid w:val="6F743FC6"/>
    <w:rsid w:val="6F8B7F0D"/>
    <w:rsid w:val="6FD6290B"/>
    <w:rsid w:val="7000374F"/>
    <w:rsid w:val="702E0619"/>
    <w:rsid w:val="70363C29"/>
    <w:rsid w:val="706A7177"/>
    <w:rsid w:val="706E7DD8"/>
    <w:rsid w:val="70C04FE9"/>
    <w:rsid w:val="715916C6"/>
    <w:rsid w:val="71771B4C"/>
    <w:rsid w:val="71A01B77"/>
    <w:rsid w:val="71BB5EDC"/>
    <w:rsid w:val="71FC4BC8"/>
    <w:rsid w:val="721D373C"/>
    <w:rsid w:val="723D4B43"/>
    <w:rsid w:val="72534E9D"/>
    <w:rsid w:val="72A77130"/>
    <w:rsid w:val="72E4201F"/>
    <w:rsid w:val="72F43335"/>
    <w:rsid w:val="731D5BEB"/>
    <w:rsid w:val="73715675"/>
    <w:rsid w:val="737427E7"/>
    <w:rsid w:val="73B70214"/>
    <w:rsid w:val="7409326A"/>
    <w:rsid w:val="746E0A10"/>
    <w:rsid w:val="74820E90"/>
    <w:rsid w:val="74A44F6F"/>
    <w:rsid w:val="74B46F86"/>
    <w:rsid w:val="74E41CD4"/>
    <w:rsid w:val="74F46767"/>
    <w:rsid w:val="75003802"/>
    <w:rsid w:val="752D7209"/>
    <w:rsid w:val="752E0E4E"/>
    <w:rsid w:val="753374D4"/>
    <w:rsid w:val="75671ED7"/>
    <w:rsid w:val="75761242"/>
    <w:rsid w:val="762A586E"/>
    <w:rsid w:val="765D3A06"/>
    <w:rsid w:val="76804F78"/>
    <w:rsid w:val="769E7B7B"/>
    <w:rsid w:val="76FC1F87"/>
    <w:rsid w:val="770B70DA"/>
    <w:rsid w:val="77795190"/>
    <w:rsid w:val="77A8708E"/>
    <w:rsid w:val="7803238B"/>
    <w:rsid w:val="78624A34"/>
    <w:rsid w:val="78A371FC"/>
    <w:rsid w:val="78B96EEE"/>
    <w:rsid w:val="79221113"/>
    <w:rsid w:val="79362AA8"/>
    <w:rsid w:val="796F3ADB"/>
    <w:rsid w:val="79952007"/>
    <w:rsid w:val="799C2A97"/>
    <w:rsid w:val="799D787B"/>
    <w:rsid w:val="79DC10E6"/>
    <w:rsid w:val="79E05B4F"/>
    <w:rsid w:val="79E32D0C"/>
    <w:rsid w:val="79E5308B"/>
    <w:rsid w:val="79E60B0D"/>
    <w:rsid w:val="79F9484F"/>
    <w:rsid w:val="7AB15C57"/>
    <w:rsid w:val="7ACB2084"/>
    <w:rsid w:val="7AE973D5"/>
    <w:rsid w:val="7B2A209D"/>
    <w:rsid w:val="7BFF7889"/>
    <w:rsid w:val="7C207AE9"/>
    <w:rsid w:val="7C364B59"/>
    <w:rsid w:val="7CE107C1"/>
    <w:rsid w:val="7D2863F0"/>
    <w:rsid w:val="7D2E4AE1"/>
    <w:rsid w:val="7D3D7EE1"/>
    <w:rsid w:val="7DA4016C"/>
    <w:rsid w:val="7DD31FFC"/>
    <w:rsid w:val="7DD81BC4"/>
    <w:rsid w:val="7DFF4145"/>
    <w:rsid w:val="7E5A355A"/>
    <w:rsid w:val="7E8C7A49"/>
    <w:rsid w:val="7EC02D84"/>
    <w:rsid w:val="7ED72A0A"/>
    <w:rsid w:val="7F01514B"/>
    <w:rsid w:val="7F27031D"/>
    <w:rsid w:val="7F3D15CE"/>
    <w:rsid w:val="7F8F5B55"/>
    <w:rsid w:val="7F907092"/>
    <w:rsid w:val="7F9A1968"/>
    <w:rsid w:val="7FC75266"/>
    <w:rsid w:val="7FFD61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cs="Times New Roman"/>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纯文本 字符"/>
    <w:basedOn w:val="7"/>
    <w:link w:val="2"/>
    <w:qFormat/>
    <w:uiPriority w:val="0"/>
    <w:rPr>
      <w:rFonts w:ascii="宋体" w:hAnsi="Courier New" w:eastAsia="宋体" w:cs="Courier New"/>
      <w:szCs w:val="21"/>
    </w:rPr>
  </w:style>
  <w:style w:type="character" w:customStyle="1" w:styleId="12">
    <w:name w:val="apple-style-span"/>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675</Words>
  <Characters>3848</Characters>
  <Lines>32</Lines>
  <Paragraphs>9</Paragraphs>
  <TotalTime>14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2019-04-03T08:32:00Z</dcterms:created>
  <dc:creator>null,null,总收发</dc:creator>
  <cp:lastModifiedBy>Administrator</cp:lastModifiedBy>
  <cp:lastPrinted>2026-03-19T08:33:00Z</cp:lastPrinted>
  <dcterms:modified xsi:type="dcterms:W3CDTF">2026-03-19T08:47:36Z</dcterms:modified>
  <dc:title>2024年汤阴县本级公共财政预算公开情况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A971787D2AEE487BACC1D67F46FE5853</vt:lpwstr>
  </property>
</Properties>
</file>