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703FD4">
      <w:pPr>
        <w:pStyle w:val="4"/>
        <w:jc w:val="center"/>
        <w:rPr>
          <w:rFonts w:hint="eastAsia" w:ascii="方正小标宋简体" w:hAnsi="方正小标宋简体" w:eastAsia="方正小标宋简体" w:cs="方正小标宋简体"/>
          <w:color w:val="auto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60"/>
          <w:szCs w:val="60"/>
        </w:rPr>
        <w:t>第三部分</w:t>
      </w:r>
    </w:p>
    <w:p w14:paraId="00EDB33F">
      <w:pPr>
        <w:jc w:val="center"/>
        <w:rPr>
          <w:rFonts w:hint="eastAsia" w:ascii="方正小标宋简体" w:hAnsi="方正小标宋简体" w:eastAsia="方正小标宋简体" w:cs="方正小标宋简体"/>
          <w:color w:val="auto"/>
          <w:w w:val="80"/>
          <w:sz w:val="60"/>
          <w:szCs w:val="6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w w:val="80"/>
          <w:sz w:val="60"/>
          <w:szCs w:val="60"/>
        </w:rPr>
        <w:t>高新区</w:t>
      </w:r>
      <w:r>
        <w:rPr>
          <w:rFonts w:hint="eastAsia" w:ascii="方正小标宋简体" w:hAnsi="方正小标宋简体" w:eastAsia="方正小标宋简体" w:cs="方正小标宋简体"/>
          <w:color w:val="auto"/>
          <w:w w:val="80"/>
          <w:sz w:val="60"/>
          <w:szCs w:val="60"/>
          <w:lang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color w:val="auto"/>
          <w:w w:val="80"/>
          <w:sz w:val="60"/>
          <w:szCs w:val="60"/>
        </w:rPr>
        <w:t>财政预算执行情况及</w:t>
      </w:r>
    </w:p>
    <w:p w14:paraId="375BFC36">
      <w:pPr>
        <w:jc w:val="center"/>
        <w:rPr>
          <w:rFonts w:hint="eastAsia" w:ascii="方正小标宋简体" w:hAnsi="方正小标宋简体" w:eastAsia="方正小标宋简体" w:cs="方正小标宋简体"/>
          <w:color w:val="auto"/>
          <w:w w:val="8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color w:val="auto"/>
          <w:w w:val="80"/>
          <w:sz w:val="60"/>
          <w:szCs w:val="60"/>
          <w:lang w:eastAsia="zh-CN"/>
        </w:rPr>
        <w:t>2026年</w:t>
      </w:r>
      <w:r>
        <w:rPr>
          <w:rFonts w:hint="eastAsia" w:ascii="方正小标宋简体" w:hAnsi="方正小标宋简体" w:eastAsia="方正小标宋简体" w:cs="方正小标宋简体"/>
          <w:color w:val="auto"/>
          <w:w w:val="80"/>
          <w:sz w:val="60"/>
          <w:szCs w:val="60"/>
        </w:rPr>
        <w:t>财政预算（草案）</w:t>
      </w:r>
    </w:p>
    <w:p w14:paraId="5419BF0B">
      <w:pPr>
        <w:widowControl/>
        <w:jc w:val="left"/>
        <w:rPr>
          <w:rFonts w:hint="eastAsia" w:ascii="仿宋_GB2312" w:hAnsi="仿宋_GB2312" w:eastAsia="仿宋_GB2312" w:cs="仿宋_GB2312"/>
          <w:color w:val="auto"/>
          <w:w w:val="80"/>
          <w:sz w:val="60"/>
          <w:szCs w:val="60"/>
        </w:rPr>
      </w:pPr>
      <w:r>
        <w:rPr>
          <w:rFonts w:hint="eastAsia" w:ascii="仿宋_GB2312" w:hAnsi="仿宋_GB2312" w:eastAsia="仿宋_GB2312" w:cs="仿宋_GB2312"/>
          <w:color w:val="auto"/>
          <w:w w:val="80"/>
          <w:sz w:val="60"/>
          <w:szCs w:val="60"/>
        </w:rPr>
        <w:br w:type="page"/>
      </w:r>
    </w:p>
    <w:p w14:paraId="4CB9B827">
      <w:pPr>
        <w:pStyle w:val="4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关于2025年高新区财政预算执行</w:t>
      </w:r>
    </w:p>
    <w:p w14:paraId="1821C0CC">
      <w:pPr>
        <w:pStyle w:val="4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情况的说明</w:t>
      </w:r>
    </w:p>
    <w:p w14:paraId="4C4F0FD0">
      <w:pPr>
        <w:pStyle w:val="5"/>
        <w:rPr>
          <w:rFonts w:hint="eastAsia" w:ascii="仿宋_GB2312" w:hAnsi="仿宋_GB2312" w:eastAsia="仿宋_GB2312" w:cs="仿宋_GB2312"/>
          <w:color w:val="auto"/>
        </w:rPr>
      </w:pPr>
    </w:p>
    <w:p w14:paraId="60F7D94C">
      <w:pPr>
        <w:pStyle w:val="5"/>
        <w:rPr>
          <w:rFonts w:hint="eastAsia" w:ascii="仿宋_GB2312" w:hAnsi="仿宋_GB2312" w:eastAsia="仿宋_GB2312" w:cs="仿宋_GB2312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lang w:eastAsia="zh-CN"/>
        </w:rPr>
        <w:t>2025年</w:t>
      </w:r>
      <w:r>
        <w:rPr>
          <w:rFonts w:hint="eastAsia" w:ascii="仿宋_GB2312" w:hAnsi="仿宋_GB2312" w:eastAsia="仿宋_GB2312" w:cs="仿宋_GB2312"/>
          <w:color w:val="auto"/>
        </w:rPr>
        <w:t>，在党工委、管委会的正确领导下，在市人大的依法监督下，高新区财政部门充分发挥财政职能作用，提升科学聚财理财能力，不断完善公共财政体系建设，为高新区经济和社会各项事业平稳较快发展提供财力保障。</w:t>
      </w:r>
    </w:p>
    <w:p w14:paraId="2CD49DF2">
      <w:pPr>
        <w:pStyle w:val="5"/>
        <w:rPr>
          <w:rFonts w:hint="eastAsia" w:ascii="黑体" w:hAnsi="黑体" w:eastAsia="黑体" w:cs="黑体"/>
          <w:color w:val="auto"/>
          <w:highlight w:val="none"/>
        </w:rPr>
      </w:pPr>
      <w:r>
        <w:rPr>
          <w:rStyle w:val="6"/>
          <w:rFonts w:hint="eastAsia" w:ascii="黑体" w:hAnsi="黑体" w:eastAsia="黑体" w:cs="黑体"/>
          <w:color w:val="auto"/>
        </w:rPr>
        <w:t>（</w:t>
      </w:r>
      <w:r>
        <w:rPr>
          <w:rStyle w:val="6"/>
          <w:rFonts w:hint="eastAsia" w:ascii="黑体" w:hAnsi="黑体" w:eastAsia="黑体" w:cs="黑体"/>
          <w:color w:val="auto"/>
          <w:highlight w:val="none"/>
        </w:rPr>
        <w:t>一）</w:t>
      </w:r>
      <w:r>
        <w:rPr>
          <w:rStyle w:val="6"/>
          <w:rFonts w:hint="eastAsia" w:ascii="黑体" w:hAnsi="黑体" w:eastAsia="黑体" w:cs="黑体"/>
          <w:color w:val="auto"/>
          <w:highlight w:val="none"/>
          <w:lang w:eastAsia="zh-CN"/>
        </w:rPr>
        <w:t>2025年</w:t>
      </w:r>
      <w:r>
        <w:rPr>
          <w:rStyle w:val="6"/>
          <w:rFonts w:hint="eastAsia" w:ascii="黑体" w:hAnsi="黑体" w:eastAsia="黑体" w:cs="黑体"/>
          <w:color w:val="auto"/>
          <w:highlight w:val="none"/>
        </w:rPr>
        <w:t>一般公共预算执行情况</w:t>
      </w:r>
    </w:p>
    <w:p w14:paraId="1251FBBA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2025年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高新区一般公共预算收入完成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8.1亿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元，同比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增长6.2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%。其中：税收收入完成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4.9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亿元，占一般公共预算收入比重的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60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%，非税收入完成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3.2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亿元，占一般公共预算收入比重的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%。一般公共预算支出完成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8.7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亿元，同比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增长58.2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%。</w:t>
      </w:r>
    </w:p>
    <w:p w14:paraId="02204A59">
      <w:pPr>
        <w:pStyle w:val="5"/>
        <w:rPr>
          <w:rStyle w:val="7"/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highlight w:val="none"/>
        </w:rPr>
        <w:t>1、一般公共预算收</w:t>
      </w:r>
      <w:r>
        <w:rPr>
          <w:rStyle w:val="7"/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入</w:t>
      </w:r>
      <w:r>
        <w:rPr>
          <w:rStyle w:val="7"/>
          <w:rFonts w:hint="eastAsia" w:ascii="仿宋_GB2312" w:hAnsi="仿宋_GB2312" w:eastAsia="仿宋_GB2312" w:cs="仿宋_GB2312"/>
          <w:color w:val="auto"/>
          <w:highlight w:val="none"/>
        </w:rPr>
        <w:t>执行情况</w:t>
      </w:r>
      <w:r>
        <w:rPr>
          <w:rStyle w:val="7"/>
          <w:rFonts w:hint="eastAsia" w:ascii="仿宋_GB2312" w:hAnsi="仿宋_GB2312" w:eastAsia="仿宋_GB2312" w:cs="仿宋_GB2312"/>
          <w:color w:val="auto"/>
          <w:highlight w:val="none"/>
        </w:rPr>
        <w:tab/>
      </w:r>
    </w:p>
    <w:p w14:paraId="309CFA6D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增值税完成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1.6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亿元，为预算数的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72.7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%，同比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下降11.1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%。</w:t>
      </w:r>
    </w:p>
    <w:p w14:paraId="25547CCF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企业所得税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5758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万元，为预算数的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104.7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%，同比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增长13.2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%。</w:t>
      </w:r>
    </w:p>
    <w:p w14:paraId="62B88EC0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个人所得税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3050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万元，为预算数的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138.6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%，同比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增长52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%。</w:t>
      </w:r>
    </w:p>
    <w:p w14:paraId="4D93978A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城市维护建设税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1854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万元，为预算数的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80.6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%，同比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下降10.8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%。</w:t>
      </w:r>
    </w:p>
    <w:p w14:paraId="78B25F8D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土地增值税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8398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万元，为预算数的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97.7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%，同比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增长18.9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%。</w:t>
      </w:r>
    </w:p>
    <w:p w14:paraId="4D8172A3">
      <w:pPr>
        <w:pStyle w:val="5"/>
        <w:spacing w:line="580" w:lineRule="atLeast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城镇土地使用税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5030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万元，为预算数的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 xml:space="preserve">104.8 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%，同比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增长12.1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%。</w:t>
      </w:r>
    </w:p>
    <w:p w14:paraId="05E466F7">
      <w:pPr>
        <w:pStyle w:val="5"/>
        <w:spacing w:line="580" w:lineRule="atLeast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非税收入完成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3.3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亿元，为预算数的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133.1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%，</w:t>
      </w: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同比增长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13.8%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。</w:t>
      </w:r>
    </w:p>
    <w:p w14:paraId="5F31AA86">
      <w:pPr>
        <w:pStyle w:val="5"/>
        <w:spacing w:line="580" w:lineRule="atLeast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2、</w:t>
      </w: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2025年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一般公共预算支出执行情况</w:t>
      </w:r>
    </w:p>
    <w:p w14:paraId="273E02E1">
      <w:pPr>
        <w:pStyle w:val="5"/>
        <w:spacing w:line="580" w:lineRule="atLeast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高新区一般公共财政预算支出完成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8.6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亿元，完成调整预算数的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101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%。各主要项目具体情况如下：</w:t>
      </w:r>
    </w:p>
    <w:p w14:paraId="4DAB1CD3">
      <w:pPr>
        <w:pStyle w:val="5"/>
        <w:spacing w:line="580" w:lineRule="atLeast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一般公共服务支出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2.7亿元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，同比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增长373.2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 xml:space="preserve">%。 </w:t>
      </w:r>
    </w:p>
    <w:p w14:paraId="019689D0">
      <w:pPr>
        <w:pStyle w:val="5"/>
        <w:spacing w:line="580" w:lineRule="atLeast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城乡社区事务支出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7853万元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，同比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下降8.8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%。</w:t>
      </w:r>
    </w:p>
    <w:p w14:paraId="56B157DD">
      <w:pPr>
        <w:pStyle w:val="5"/>
        <w:spacing w:line="580" w:lineRule="atLeast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农林水事务支出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3282万元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，同比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增长24.9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%。</w:t>
      </w:r>
    </w:p>
    <w:p w14:paraId="00A50AC8">
      <w:pPr>
        <w:pStyle w:val="5"/>
        <w:spacing w:line="580" w:lineRule="atLeast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教育支出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1.7亿元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，同比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增长26.4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 。</w:t>
      </w:r>
    </w:p>
    <w:p w14:paraId="6A05EFB2">
      <w:pPr>
        <w:pStyle w:val="5"/>
        <w:spacing w:line="580" w:lineRule="atLeast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卫生健康支出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2329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万元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5212万元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，同比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增长123.8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%。</w:t>
      </w:r>
    </w:p>
    <w:p w14:paraId="2DB7A8BB">
      <w:pPr>
        <w:pStyle w:val="5"/>
        <w:spacing w:line="580" w:lineRule="atLeast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社会保障和就业支出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6085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万元，同比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增长46.2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%。</w:t>
      </w:r>
    </w:p>
    <w:p w14:paraId="43462090">
      <w:pPr>
        <w:pStyle w:val="5"/>
        <w:spacing w:line="580" w:lineRule="atLeast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科学技术支出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1.3亿元1.1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，同比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下降8.5%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。</w:t>
      </w:r>
    </w:p>
    <w:p w14:paraId="13E4EFE4">
      <w:pPr>
        <w:pStyle w:val="5"/>
        <w:spacing w:line="580" w:lineRule="atLeast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Style w:val="6"/>
          <w:rFonts w:hint="eastAsia" w:ascii="仿宋_GB2312" w:hAnsi="仿宋_GB2312" w:eastAsia="仿宋_GB2312" w:cs="仿宋_GB2312"/>
          <w:color w:val="auto"/>
          <w:highlight w:val="none"/>
        </w:rPr>
        <w:t>（二）</w:t>
      </w:r>
      <w:r>
        <w:rPr>
          <w:rStyle w:val="6"/>
          <w:rFonts w:hint="eastAsia" w:ascii="仿宋_GB2312" w:hAnsi="仿宋_GB2312" w:eastAsia="仿宋_GB2312" w:cs="仿宋_GB2312"/>
          <w:color w:val="auto"/>
          <w:highlight w:val="none"/>
          <w:lang w:eastAsia="zh-CN"/>
        </w:rPr>
        <w:t>2025年</w:t>
      </w:r>
      <w:r>
        <w:rPr>
          <w:rStyle w:val="6"/>
          <w:rFonts w:hint="eastAsia" w:ascii="仿宋_GB2312" w:hAnsi="仿宋_GB2312" w:eastAsia="仿宋_GB2312" w:cs="仿宋_GB2312"/>
          <w:color w:val="auto"/>
          <w:highlight w:val="none"/>
        </w:rPr>
        <w:t>政府性基金预算执行情况</w:t>
      </w:r>
    </w:p>
    <w:p w14:paraId="24E20305">
      <w:pPr>
        <w:pStyle w:val="5"/>
        <w:spacing w:line="580" w:lineRule="atLeast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2025年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高新区政府性基金收入完成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2.16亿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元，同比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增长1.2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%，完成预算数的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37.9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%。</w:t>
      </w:r>
    </w:p>
    <w:p w14:paraId="4ED531C4">
      <w:pPr>
        <w:pStyle w:val="5"/>
        <w:spacing w:line="580" w:lineRule="atLeast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2025年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高新区政府性基金支出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6.4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亿元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8.19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，同比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增长27.9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%，完成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/>
        </w:rPr>
        <w:t>调整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预算数的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143.7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%。</w:t>
      </w:r>
    </w:p>
    <w:p w14:paraId="4254369E">
      <w:pPr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br w:type="page"/>
      </w:r>
    </w:p>
    <w:p w14:paraId="0819EED7">
      <w:pPr>
        <w:pStyle w:val="5"/>
        <w:spacing w:line="580" w:lineRule="atLeast"/>
        <w:rPr>
          <w:rFonts w:hint="eastAsia" w:ascii="仿宋_GB2312" w:hAnsi="仿宋_GB2312" w:eastAsia="仿宋_GB2312" w:cs="仿宋_GB2312"/>
          <w:color w:val="auto"/>
          <w:highlight w:val="none"/>
        </w:rPr>
      </w:pPr>
    </w:p>
    <w:p w14:paraId="7F0EA11F">
      <w:pPr>
        <w:pStyle w:val="4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关于2026年高新区财政预算的说明</w:t>
      </w:r>
    </w:p>
    <w:p w14:paraId="5895D6D7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</w:p>
    <w:p w14:paraId="15BF56E4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2026年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，高新区以习近平新时代中国特色社会主义思想为指导，全面贯彻落实党的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二十大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全会精神，坚持稳中求进工作总基调，按照高质量发展的要求,围绕市委、市政府决策部署，坚持以供给侧结构性改革为主线，落实积极的财政政策；既尽力而为、又量力而行，持续保障和改善民生，不断满足人民日益增长的美好生活需要,从严管控政府性债务，积极防范化解风险，促进经济社会持续健康发展。</w:t>
      </w:r>
    </w:p>
    <w:p w14:paraId="3468A3CF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Style w:val="6"/>
          <w:rFonts w:hint="eastAsia" w:ascii="仿宋_GB2312" w:hAnsi="仿宋_GB2312" w:eastAsia="仿宋_GB2312" w:cs="仿宋_GB2312"/>
          <w:color w:val="auto"/>
          <w:highlight w:val="none"/>
        </w:rPr>
        <w:t>一、高新区收入预算</w:t>
      </w:r>
    </w:p>
    <w:p w14:paraId="17669701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2026年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，高新区财政收入预算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21.7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亿元，较</w:t>
      </w: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2025年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预算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增加5.1亿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元，具体情况是：</w:t>
      </w:r>
    </w:p>
    <w:p w14:paraId="408ACD15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Style w:val="7"/>
          <w:rFonts w:hint="eastAsia" w:ascii="仿宋_GB2312" w:hAnsi="仿宋_GB2312" w:eastAsia="仿宋_GB2312" w:cs="仿宋_GB2312"/>
          <w:color w:val="auto"/>
          <w:highlight w:val="none"/>
        </w:rPr>
        <w:t>1、一般公共预算收入</w:t>
      </w:r>
    </w:p>
    <w:p w14:paraId="2BC589F4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（1）</w:t>
      </w: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2026年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高新区一般公共预算预计收入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8.4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亿元，同比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增长3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%。分部门情况是：</w:t>
      </w:r>
    </w:p>
    <w:p w14:paraId="2FBF29F8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税务部门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亿元，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同比下降11.4%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；财政部门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3.4亿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元，同比</w:t>
      </w: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增长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37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%。</w:t>
      </w:r>
    </w:p>
    <w:p w14:paraId="529D50DB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（2）转移性收入</w:t>
      </w:r>
    </w:p>
    <w:p w14:paraId="3D49B90B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转移性收入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5亿元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，较</w:t>
      </w: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2025年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预算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增加2.2亿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元。</w:t>
      </w:r>
    </w:p>
    <w:p w14:paraId="2FAE9F71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Style w:val="7"/>
          <w:rFonts w:hint="eastAsia" w:ascii="仿宋_GB2312" w:hAnsi="仿宋_GB2312" w:eastAsia="仿宋_GB2312" w:cs="仿宋_GB2312"/>
          <w:color w:val="auto"/>
          <w:highlight w:val="none"/>
        </w:rPr>
        <w:t>2、基金预算收入</w:t>
      </w:r>
    </w:p>
    <w:p w14:paraId="078AB4E3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2026年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高新区基金预算收入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8.3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亿元，较上年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增加2.6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亿元。</w:t>
      </w:r>
    </w:p>
    <w:p w14:paraId="5CA67780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Style w:val="6"/>
          <w:rFonts w:hint="eastAsia" w:ascii="仿宋_GB2312" w:hAnsi="仿宋_GB2312" w:eastAsia="仿宋_GB2312" w:cs="仿宋_GB2312"/>
          <w:color w:val="auto"/>
          <w:highlight w:val="none"/>
        </w:rPr>
        <w:t>二、高新区支出预算</w:t>
      </w:r>
    </w:p>
    <w:p w14:paraId="7219A9FD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2026年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高新区财政预算支出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21.7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亿元，较</w:t>
      </w: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2025年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预算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增加5.1亿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元。具体安排情况是：</w:t>
      </w:r>
    </w:p>
    <w:p w14:paraId="6E2CCD2B">
      <w:pPr>
        <w:pStyle w:val="5"/>
        <w:rPr>
          <w:rStyle w:val="7"/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Style w:val="7"/>
          <w:rFonts w:hint="eastAsia" w:ascii="仿宋_GB2312" w:hAnsi="仿宋_GB2312" w:eastAsia="仿宋_GB2312" w:cs="仿宋_GB2312"/>
          <w:color w:val="auto"/>
          <w:highlight w:val="none"/>
        </w:rPr>
        <w:t>1、一般公共预算支出</w:t>
      </w:r>
    </w:p>
    <w:p w14:paraId="63901594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2026年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高新区一般公共预算本级支出安排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11.2亿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元，较</w:t>
      </w: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2025年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预算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增加2.7亿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元。分项目安排情况为：</w:t>
      </w:r>
    </w:p>
    <w:p w14:paraId="1F761110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工资福利支出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2亿元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增加2266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万元；</w:t>
      </w:r>
    </w:p>
    <w:p w14:paraId="548B91EF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商品和服务支出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351万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元，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增加99万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元；</w:t>
      </w:r>
    </w:p>
    <w:p w14:paraId="3CBBC11B">
      <w:pPr>
        <w:pStyle w:val="5"/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对个人和家庭补助528万元，减少71万元；</w:t>
      </w:r>
    </w:p>
    <w:p w14:paraId="00CAED52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项目经费支出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6.4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亿元，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增加3450万元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；</w:t>
      </w:r>
    </w:p>
    <w:p w14:paraId="0EFE4828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预备费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支出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900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万元，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较上年减少100万元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。</w:t>
      </w:r>
    </w:p>
    <w:p w14:paraId="232A83FC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Style w:val="7"/>
          <w:rFonts w:hint="eastAsia" w:ascii="仿宋_GB2312" w:hAnsi="仿宋_GB2312" w:eastAsia="仿宋_GB2312" w:cs="仿宋_GB2312"/>
          <w:color w:val="auto"/>
          <w:highlight w:val="none"/>
        </w:rPr>
        <w:t>2、转移性支出</w:t>
      </w:r>
    </w:p>
    <w:p w14:paraId="0598F5B6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转移性支出安排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2.2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亿元，较</w:t>
      </w: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2025年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预算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减少2166万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元。上解上级支出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2.2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亿元。</w:t>
      </w:r>
    </w:p>
    <w:p w14:paraId="0C05ECC4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Style w:val="7"/>
          <w:rFonts w:hint="eastAsia" w:ascii="仿宋_GB2312" w:hAnsi="仿宋_GB2312" w:eastAsia="仿宋_GB2312" w:cs="仿宋_GB2312"/>
          <w:color w:val="auto"/>
          <w:highlight w:val="none"/>
        </w:rPr>
        <w:t>3、基金预算支出</w:t>
      </w:r>
    </w:p>
    <w:p w14:paraId="11E91004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2026年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高新区基金预算支出安排当年支出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8.3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亿元，较</w:t>
      </w: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2025年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预算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增加2.6亿元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。</w:t>
      </w:r>
    </w:p>
    <w:p w14:paraId="1D3DA712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</w:p>
    <w:p w14:paraId="1BB35F28">
      <w:pPr>
        <w:pStyle w:val="5"/>
        <w:ind w:firstLine="0"/>
        <w:rPr>
          <w:rFonts w:hint="eastAsia" w:ascii="仿宋_GB2312" w:hAnsi="仿宋_GB2312" w:eastAsia="仿宋_GB2312" w:cs="仿宋_GB2312"/>
          <w:color w:val="auto"/>
          <w:highlight w:val="none"/>
        </w:rPr>
      </w:pPr>
    </w:p>
    <w:p w14:paraId="7A4001D0">
      <w:pPr>
        <w:pStyle w:val="5"/>
        <w:ind w:firstLine="0"/>
        <w:rPr>
          <w:rFonts w:hint="eastAsia" w:ascii="仿宋_GB2312" w:hAnsi="仿宋_GB2312" w:eastAsia="仿宋_GB2312" w:cs="仿宋_GB2312"/>
          <w:color w:val="auto"/>
          <w:highlight w:val="none"/>
        </w:rPr>
      </w:pPr>
    </w:p>
    <w:p w14:paraId="05B1058A">
      <w:pPr>
        <w:pStyle w:val="5"/>
        <w:ind w:firstLine="0"/>
        <w:rPr>
          <w:rFonts w:hint="eastAsia" w:ascii="仿宋_GB2312" w:hAnsi="仿宋_GB2312" w:eastAsia="仿宋_GB2312" w:cs="仿宋_GB2312"/>
          <w:color w:val="auto"/>
          <w:highlight w:val="none"/>
        </w:rPr>
      </w:pPr>
    </w:p>
    <w:p w14:paraId="65124311">
      <w:pPr>
        <w:pStyle w:val="5"/>
        <w:ind w:firstLine="0"/>
        <w:rPr>
          <w:rFonts w:hint="eastAsia" w:ascii="仿宋_GB2312" w:hAnsi="仿宋_GB2312" w:eastAsia="仿宋_GB2312" w:cs="仿宋_GB2312"/>
          <w:color w:val="auto"/>
          <w:highlight w:val="none"/>
        </w:rPr>
      </w:pPr>
    </w:p>
    <w:p w14:paraId="74B04ED8">
      <w:pPr>
        <w:pStyle w:val="4"/>
        <w:rPr>
          <w:rFonts w:hint="eastAsia" w:ascii="方正小标宋简体" w:hAnsi="方正小标宋简体" w:eastAsia="方正小标宋简体" w:cs="方正小标宋简体"/>
          <w:color w:val="auto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highlight w:val="none"/>
          <w:lang w:eastAsia="zh-CN"/>
        </w:rPr>
        <w:t>关于2026年</w:t>
      </w:r>
      <w:r>
        <w:rPr>
          <w:rFonts w:hint="eastAsia" w:ascii="方正小标宋简体" w:hAnsi="方正小标宋简体" w:eastAsia="方正小标宋简体" w:cs="方正小标宋简体"/>
          <w:color w:val="auto"/>
          <w:highlight w:val="none"/>
        </w:rPr>
        <w:t>高新区</w:t>
      </w:r>
    </w:p>
    <w:p w14:paraId="4B6FD54B">
      <w:pPr>
        <w:pStyle w:val="4"/>
        <w:rPr>
          <w:rFonts w:hint="eastAsia" w:ascii="方正小标宋简体" w:hAnsi="方正小标宋简体" w:eastAsia="方正小标宋简体" w:cs="方正小标宋简体"/>
          <w:color w:val="auto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highlight w:val="none"/>
        </w:rPr>
        <w:t>一般公共预算收支情况的说明</w:t>
      </w:r>
    </w:p>
    <w:p w14:paraId="0C1F2EF3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</w:p>
    <w:p w14:paraId="20713A4B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2026年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本级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一般公共预算收入安排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8.4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亿元，同比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增长3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%。</w:t>
      </w:r>
    </w:p>
    <w:p w14:paraId="4561EDF1">
      <w:pPr>
        <w:pStyle w:val="5"/>
        <w:ind w:firstLine="0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其中：税务部门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亿元，同比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减少11.4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%；财政部门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.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亿元，同比增长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37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%。</w:t>
      </w:r>
    </w:p>
    <w:p w14:paraId="67A29A01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2026年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本级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一般公共预算支出安排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11.2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亿元，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转移性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支出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2.2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亿元，一般公共预算支出合计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13.4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亿元。</w:t>
      </w:r>
    </w:p>
    <w:p w14:paraId="798668EC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各主要项目具体情况如下：</w:t>
      </w:r>
    </w:p>
    <w:p w14:paraId="305D9F77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一般公共服务支出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3.3亿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元，同比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增长11.5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%。</w:t>
      </w:r>
    </w:p>
    <w:p w14:paraId="4652FDC2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教育支出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2.2亿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元，同比增长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64.5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%。</w:t>
      </w:r>
    </w:p>
    <w:p w14:paraId="5632B883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科学技术支出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1.3亿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元，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同比增长4.3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%。</w:t>
      </w:r>
    </w:p>
    <w:p w14:paraId="3E94F123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社会保障与就业支出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7068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万元，同比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增长29.1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%。</w:t>
      </w:r>
    </w:p>
    <w:p w14:paraId="61C22CF4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卫生健康支出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2720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万元，同比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增长69.6%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。</w:t>
      </w:r>
    </w:p>
    <w:p w14:paraId="43CA6431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城乡社区支出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1.7亿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元，同比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增长36.7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%。</w:t>
      </w:r>
    </w:p>
    <w:p w14:paraId="0D9DE9AC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t>农林水支出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5468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万元，同比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增长60.1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%。</w:t>
      </w:r>
    </w:p>
    <w:p w14:paraId="4411D077">
      <w:pPr>
        <w:widowControl/>
        <w:jc w:val="left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</w:rPr>
        <w:br w:type="page"/>
      </w:r>
    </w:p>
    <w:p w14:paraId="552B4B21">
      <w:pPr>
        <w:pStyle w:val="4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关于2026年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高新区</w:t>
      </w:r>
    </w:p>
    <w:p w14:paraId="06A65BF1">
      <w:pPr>
        <w:pStyle w:val="4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政府性基金预算收支情况的说明</w:t>
      </w:r>
    </w:p>
    <w:p w14:paraId="54062037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</w:p>
    <w:p w14:paraId="2065A5F3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2026年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政府性基金收入预算安排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8.3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亿元，按照“以收定支、专款专用、集中财力、确保重点”的原则，安排</w:t>
      </w: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2025年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基金预算当年支出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8.3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亿元。</w:t>
      </w:r>
    </w:p>
    <w:p w14:paraId="18A0822D">
      <w:pPr>
        <w:widowControl/>
        <w:jc w:val="left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br w:type="page"/>
      </w:r>
    </w:p>
    <w:p w14:paraId="370FC098">
      <w:pPr>
        <w:pStyle w:val="5"/>
        <w:rPr>
          <w:rFonts w:hint="eastAsia" w:ascii="仿宋_GB2312" w:hAnsi="仿宋_GB2312" w:eastAsia="仿宋_GB2312" w:cs="仿宋_GB2312"/>
          <w:color w:val="auto"/>
        </w:rPr>
      </w:pPr>
    </w:p>
    <w:p w14:paraId="5D3558D7">
      <w:pPr>
        <w:pStyle w:val="4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关于2026年高新区</w:t>
      </w:r>
    </w:p>
    <w:p w14:paraId="3CBB64D0">
      <w:pPr>
        <w:pStyle w:val="4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社会保险基金预算收支情况的说明</w:t>
      </w:r>
    </w:p>
    <w:p w14:paraId="38B31A36">
      <w:pPr>
        <w:pStyle w:val="5"/>
        <w:rPr>
          <w:rFonts w:hint="eastAsia" w:ascii="仿宋_GB2312" w:hAnsi="仿宋_GB2312" w:eastAsia="仿宋_GB2312" w:cs="仿宋_GB2312"/>
          <w:color w:val="auto"/>
          <w:sz w:val="72"/>
          <w:szCs w:val="72"/>
          <w:highlight w:val="yellow"/>
        </w:rPr>
      </w:pPr>
    </w:p>
    <w:p w14:paraId="0149FDC7">
      <w:pPr>
        <w:pStyle w:val="5"/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highlight w:val="none"/>
          <w:lang w:eastAsia="zh-CN"/>
        </w:rPr>
        <w:t>2026年</w:t>
      </w:r>
      <w:r>
        <w:rPr>
          <w:rFonts w:hint="eastAsia" w:ascii="仿宋_GB2312" w:hAnsi="仿宋_GB2312" w:eastAsia="仿宋_GB2312" w:cs="仿宋_GB2312"/>
          <w:color w:val="auto"/>
          <w:highlight w:val="none"/>
        </w:rPr>
        <w:t>高新区社会保险基金</w:t>
      </w:r>
      <w:r>
        <w:rPr>
          <w:rFonts w:hint="eastAsia" w:ascii="仿宋_GB2312" w:hAnsi="仿宋_GB2312" w:eastAsia="仿宋_GB2312" w:cs="仿宋_GB2312"/>
          <w:color w:val="auto"/>
          <w:highlight w:val="none"/>
          <w:lang w:val="en-US" w:eastAsia="zh-CN"/>
        </w:rPr>
        <w:t>并入文峰区，高新区不再编制</w:t>
      </w:r>
      <w:r>
        <w:rPr>
          <w:rFonts w:hint="eastAsia" w:ascii="仿宋_GB2312" w:hAnsi="仿宋_GB2312" w:eastAsia="仿宋_GB2312" w:cs="仿宋_GB2312"/>
          <w:color w:val="auto"/>
          <w:lang w:eastAsia="zh-CN"/>
        </w:rPr>
        <w:t>社会保险基金预算。</w:t>
      </w:r>
    </w:p>
    <w:p w14:paraId="45C31B17">
      <w:pPr>
        <w:pStyle w:val="5"/>
        <w:rPr>
          <w:rFonts w:hint="eastAsia" w:ascii="仿宋_GB2312" w:hAnsi="仿宋_GB2312" w:eastAsia="仿宋_GB2312" w:cs="仿宋_GB2312"/>
          <w:color w:val="auto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00" w:usb3="00000000" w:csb0="00040001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dobe 宋体 Std L">
    <w:altName w:val="宋体"/>
    <w:panose1 w:val="02020300000000000000"/>
    <w:charset w:val="86"/>
    <w:family w:val="roman"/>
    <w:pitch w:val="default"/>
    <w:sig w:usb0="00000000" w:usb1="00000000" w:usb2="00000016" w:usb3="00000000" w:csb0="00060007" w:csb1="00000000"/>
  </w:font>
  <w:font w:name="方正书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jNWZmMDNkZDQzMzhiNWIxNzVmZDc1ODE3ZDA4YWYifQ=="/>
  </w:docVars>
  <w:rsids>
    <w:rsidRoot w:val="00A61009"/>
    <w:rsid w:val="001E1DFB"/>
    <w:rsid w:val="0024348F"/>
    <w:rsid w:val="002B7BDF"/>
    <w:rsid w:val="00305233"/>
    <w:rsid w:val="003675B3"/>
    <w:rsid w:val="003755EE"/>
    <w:rsid w:val="00390FB7"/>
    <w:rsid w:val="00467EA3"/>
    <w:rsid w:val="004A1DA0"/>
    <w:rsid w:val="004C5809"/>
    <w:rsid w:val="0050099B"/>
    <w:rsid w:val="00577D12"/>
    <w:rsid w:val="00581EA1"/>
    <w:rsid w:val="00663415"/>
    <w:rsid w:val="00880DBA"/>
    <w:rsid w:val="009E3D7F"/>
    <w:rsid w:val="00A61009"/>
    <w:rsid w:val="00D02121"/>
    <w:rsid w:val="00D75894"/>
    <w:rsid w:val="01BC2847"/>
    <w:rsid w:val="077F6E7F"/>
    <w:rsid w:val="07D7613B"/>
    <w:rsid w:val="092F5D52"/>
    <w:rsid w:val="0B2645BF"/>
    <w:rsid w:val="0C721829"/>
    <w:rsid w:val="0D6812C7"/>
    <w:rsid w:val="0F5243CF"/>
    <w:rsid w:val="115948FC"/>
    <w:rsid w:val="17610ABD"/>
    <w:rsid w:val="1C5B5C74"/>
    <w:rsid w:val="23DF16B8"/>
    <w:rsid w:val="25831B52"/>
    <w:rsid w:val="287E3A9E"/>
    <w:rsid w:val="29B904A0"/>
    <w:rsid w:val="2A0B49DA"/>
    <w:rsid w:val="2D923003"/>
    <w:rsid w:val="303309A8"/>
    <w:rsid w:val="305637DC"/>
    <w:rsid w:val="312F06CB"/>
    <w:rsid w:val="33EA785B"/>
    <w:rsid w:val="3448713E"/>
    <w:rsid w:val="346C7B0F"/>
    <w:rsid w:val="379B0794"/>
    <w:rsid w:val="3D5D5FDD"/>
    <w:rsid w:val="3FAA11D0"/>
    <w:rsid w:val="43FC0561"/>
    <w:rsid w:val="44006D4C"/>
    <w:rsid w:val="45B827F5"/>
    <w:rsid w:val="45C55D97"/>
    <w:rsid w:val="46930C0C"/>
    <w:rsid w:val="46E93C57"/>
    <w:rsid w:val="475A73DA"/>
    <w:rsid w:val="4D6879F2"/>
    <w:rsid w:val="4F006EB4"/>
    <w:rsid w:val="524C155F"/>
    <w:rsid w:val="55FF6E63"/>
    <w:rsid w:val="56BB723B"/>
    <w:rsid w:val="586C02DA"/>
    <w:rsid w:val="59542928"/>
    <w:rsid w:val="5D3B5327"/>
    <w:rsid w:val="5E2A1562"/>
    <w:rsid w:val="5E4E2754"/>
    <w:rsid w:val="60971725"/>
    <w:rsid w:val="615A3602"/>
    <w:rsid w:val="61A11016"/>
    <w:rsid w:val="6673473F"/>
    <w:rsid w:val="69C10692"/>
    <w:rsid w:val="6C861242"/>
    <w:rsid w:val="7106578A"/>
    <w:rsid w:val="74777CDB"/>
    <w:rsid w:val="75C11055"/>
    <w:rsid w:val="7AD56ED0"/>
    <w:rsid w:val="7C307917"/>
    <w:rsid w:val="7CDD7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一标"/>
    <w:basedOn w:val="1"/>
    <w:autoRedefine/>
    <w:qFormat/>
    <w:uiPriority w:val="99"/>
    <w:pPr>
      <w:autoSpaceDE w:val="0"/>
      <w:autoSpaceDN w:val="0"/>
      <w:adjustRightInd w:val="0"/>
      <w:spacing w:line="596" w:lineRule="atLeast"/>
      <w:jc w:val="center"/>
      <w:textAlignment w:val="center"/>
    </w:pPr>
    <w:rPr>
      <w:rFonts w:ascii="方正大标宋_GBK" w:eastAsia="方正大标宋_GBK" w:cs="方正大标宋_GBK"/>
      <w:color w:val="000000"/>
      <w:kern w:val="0"/>
      <w:sz w:val="42"/>
      <w:szCs w:val="42"/>
      <w:lang w:val="zh-CN"/>
    </w:rPr>
  </w:style>
  <w:style w:type="paragraph" w:customStyle="1" w:styleId="5">
    <w:name w:val="内文"/>
    <w:basedOn w:val="1"/>
    <w:autoRedefine/>
    <w:qFormat/>
    <w:uiPriority w:val="99"/>
    <w:pPr>
      <w:autoSpaceDE w:val="0"/>
      <w:autoSpaceDN w:val="0"/>
      <w:adjustRightInd w:val="0"/>
      <w:spacing w:line="596" w:lineRule="atLeast"/>
      <w:ind w:firstLine="624"/>
      <w:textAlignment w:val="center"/>
    </w:pPr>
    <w:rPr>
      <w:rFonts w:ascii="方正仿宋简体" w:eastAsia="方正仿宋简体" w:cs="方正仿宋简体"/>
      <w:color w:val="000000"/>
      <w:kern w:val="0"/>
      <w:sz w:val="31"/>
      <w:szCs w:val="31"/>
      <w:lang w:val="zh-CN"/>
    </w:rPr>
  </w:style>
  <w:style w:type="character" w:customStyle="1" w:styleId="6">
    <w:name w:val="黑"/>
    <w:autoRedefine/>
    <w:qFormat/>
    <w:uiPriority w:val="99"/>
    <w:rPr>
      <w:rFonts w:ascii="方正黑体_GBK" w:eastAsia="方正黑体_GBK" w:cs="方正黑体_GBK"/>
    </w:rPr>
  </w:style>
  <w:style w:type="character" w:customStyle="1" w:styleId="7">
    <w:name w:val="楷"/>
    <w:autoRedefine/>
    <w:qFormat/>
    <w:uiPriority w:val="99"/>
    <w:rPr>
      <w:rFonts w:ascii="方正楷体_GBK" w:eastAsia="方正楷体_GBK" w:cs="方正楷体_GBK"/>
    </w:rPr>
  </w:style>
  <w:style w:type="paragraph" w:customStyle="1" w:styleId="8">
    <w:name w:val="[无段落样式]"/>
    <w:autoRedefine/>
    <w:qFormat/>
    <w:uiPriority w:val="0"/>
    <w:pPr>
      <w:widowControl w:val="0"/>
      <w:autoSpaceDE w:val="0"/>
      <w:autoSpaceDN w:val="0"/>
      <w:adjustRightInd w:val="0"/>
      <w:spacing w:line="288" w:lineRule="auto"/>
      <w:jc w:val="both"/>
      <w:textAlignment w:val="center"/>
    </w:pPr>
    <w:rPr>
      <w:rFonts w:ascii="Adobe 宋体 Std L" w:eastAsia="Adobe 宋体 Std L" w:cs="Adobe 宋体 Std L" w:hAnsiTheme="minorHAnsi"/>
      <w:color w:val="000000"/>
      <w:sz w:val="24"/>
      <w:szCs w:val="24"/>
      <w:lang w:val="zh-CN" w:eastAsia="zh-CN" w:bidi="ar-SA"/>
    </w:rPr>
  </w:style>
  <w:style w:type="paragraph" w:customStyle="1" w:styleId="9">
    <w:name w:val="表格黑"/>
    <w:basedOn w:val="8"/>
    <w:autoRedefine/>
    <w:qFormat/>
    <w:uiPriority w:val="99"/>
    <w:pPr>
      <w:spacing w:after="170" w:line="560" w:lineRule="atLeast"/>
      <w:jc w:val="center"/>
    </w:pPr>
    <w:rPr>
      <w:rFonts w:ascii="方正黑体_GBK" w:eastAsia="方正黑体_GBK" w:cs="方正黑体_GBK"/>
      <w:sz w:val="36"/>
      <w:szCs w:val="36"/>
    </w:rPr>
  </w:style>
  <w:style w:type="paragraph" w:customStyle="1" w:styleId="10">
    <w:name w:val="表格内文"/>
    <w:basedOn w:val="1"/>
    <w:autoRedefine/>
    <w:qFormat/>
    <w:uiPriority w:val="99"/>
    <w:pPr>
      <w:autoSpaceDE w:val="0"/>
      <w:autoSpaceDN w:val="0"/>
      <w:adjustRightInd w:val="0"/>
      <w:spacing w:line="288" w:lineRule="auto"/>
      <w:jc w:val="center"/>
      <w:textAlignment w:val="center"/>
    </w:pPr>
    <w:rPr>
      <w:rFonts w:ascii="方正书宋_GBK" w:eastAsia="方正书宋_GBK" w:cs="方正书宋_GBK"/>
      <w:color w:val="000000"/>
      <w:kern w:val="0"/>
      <w:sz w:val="24"/>
      <w:szCs w:val="24"/>
      <w:lang w:val="zh-CN"/>
    </w:rPr>
  </w:style>
  <w:style w:type="paragraph" w:customStyle="1" w:styleId="11">
    <w:name w:val="表格左顶"/>
    <w:basedOn w:val="1"/>
    <w:autoRedefine/>
    <w:qFormat/>
    <w:uiPriority w:val="99"/>
    <w:pPr>
      <w:autoSpaceDE w:val="0"/>
      <w:autoSpaceDN w:val="0"/>
      <w:adjustRightInd w:val="0"/>
      <w:spacing w:line="288" w:lineRule="auto"/>
      <w:textAlignment w:val="center"/>
    </w:pPr>
    <w:rPr>
      <w:rFonts w:ascii="方正书宋_GBK" w:eastAsia="方正书宋_GBK" w:cs="方正书宋_GBK"/>
      <w:color w:val="000000"/>
      <w:kern w:val="0"/>
      <w:sz w:val="24"/>
      <w:szCs w:val="24"/>
      <w:lang w:val="zh-CN"/>
    </w:rPr>
  </w:style>
  <w:style w:type="paragraph" w:customStyle="1" w:styleId="12">
    <w:name w:val="表格居右"/>
    <w:basedOn w:val="10"/>
    <w:autoRedefine/>
    <w:qFormat/>
    <w:uiPriority w:val="99"/>
    <w:pPr>
      <w:jc w:val="right"/>
    </w:pPr>
  </w:style>
  <w:style w:type="paragraph" w:customStyle="1" w:styleId="13">
    <w:name w:val="[基本段落]"/>
    <w:basedOn w:val="8"/>
    <w:autoRedefine/>
    <w:qFormat/>
    <w:uiPriority w:val="99"/>
  </w:style>
  <w:style w:type="paragraph" w:customStyle="1" w:styleId="14">
    <w:name w:val="表格内文缩进2字"/>
    <w:basedOn w:val="10"/>
    <w:autoRedefine/>
    <w:qFormat/>
    <w:uiPriority w:val="99"/>
    <w:pPr>
      <w:ind w:firstLine="454"/>
      <w:jc w:val="both"/>
    </w:pPr>
  </w:style>
  <w:style w:type="paragraph" w:customStyle="1" w:styleId="15">
    <w:name w:val="表格-左"/>
    <w:basedOn w:val="10"/>
    <w:autoRedefine/>
    <w:qFormat/>
    <w:uiPriority w:val="99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1689</Words>
  <Characters>2088</Characters>
  <Lines>17</Lines>
  <Paragraphs>4</Paragraphs>
  <TotalTime>13</TotalTime>
  <ScaleCrop>false</ScaleCrop>
  <LinksUpToDate>false</LinksUpToDate>
  <CharactersWithSpaces>2093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2020-04-29T07:49:00Z</dcterms:created>
  <dc:creator>Windows</dc:creator>
  <cp:lastModifiedBy>海阔天空</cp:lastModifiedBy>
  <dcterms:modified xsi:type="dcterms:W3CDTF">2026-03-27T02:27:42Z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SaveFontToCloudKey">
    <vt:lpwstr>232873286_btnclosed</vt:lpwstr>
  </property>
  <property fmtid="{D5CDD505-2E9C-101B-9397-08002B2CF9AE}" pid="4" name="ICV">
    <vt:lpwstr>504D6BC9861F471AAE057504AEA3134F_13</vt:lpwstr>
  </property>
  <property fmtid="{D5CDD505-2E9C-101B-9397-08002B2CF9AE}" pid="5" name="KSOTemplateDocerSaveRecord">
    <vt:lpwstr>eyJoZGlkIjoiZjA3NDEzMmNmMjRkNjNmYmFlNWRmZGVjNzIwYjg0NGIiLCJ1c2VySWQiOiI1NjU1MTQyOTcifQ==</vt:lpwstr>
  </property>
</Properties>
</file>