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CABCD">
      <w:pPr>
        <w:pStyle w:val="4"/>
        <w:rPr>
          <w:rFonts w:hint="eastAsia" w:ascii="仿宋_GB2312" w:hAnsi="仿宋_GB2312" w:eastAsia="仿宋_GB2312" w:cs="仿宋_GB2312"/>
          <w:color w:val="auto"/>
          <w:sz w:val="60"/>
          <w:szCs w:val="60"/>
        </w:rPr>
      </w:pPr>
      <w:r>
        <w:rPr>
          <w:rFonts w:hint="eastAsia" w:ascii="仿宋_GB2312" w:hAnsi="仿宋_GB2312" w:eastAsia="仿宋_GB2312" w:cs="仿宋_GB2312"/>
          <w:color w:val="auto"/>
          <w:sz w:val="60"/>
          <w:szCs w:val="6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60"/>
          <w:szCs w:val="60"/>
        </w:rPr>
        <w:t>第三部分</w:t>
      </w:r>
    </w:p>
    <w:p w14:paraId="0DEB37A4">
      <w:pPr>
        <w:rPr>
          <w:rFonts w:hint="eastAsia" w:ascii="仿宋_GB2312" w:hAnsi="仿宋_GB2312" w:eastAsia="仿宋_GB2312" w:cs="仿宋_GB2312"/>
          <w:color w:val="auto"/>
          <w:w w:val="80"/>
          <w:sz w:val="60"/>
          <w:szCs w:val="6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w w:val="80"/>
          <w:sz w:val="60"/>
          <w:szCs w:val="60"/>
        </w:rPr>
        <w:t>高新区202</w:t>
      </w:r>
      <w:r>
        <w:rPr>
          <w:rFonts w:hint="eastAsia" w:ascii="仿宋_GB2312" w:hAnsi="仿宋_GB2312" w:eastAsia="仿宋_GB2312" w:cs="仿宋_GB2312"/>
          <w:color w:val="auto"/>
          <w:w w:val="80"/>
          <w:sz w:val="60"/>
          <w:szCs w:val="6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w w:val="80"/>
          <w:sz w:val="60"/>
          <w:szCs w:val="60"/>
        </w:rPr>
        <w:t>年财政预算执行情况及</w:t>
      </w:r>
    </w:p>
    <w:p w14:paraId="0D3B2755">
      <w:pPr>
        <w:rPr>
          <w:rFonts w:hint="eastAsia" w:ascii="仿宋_GB2312" w:hAnsi="仿宋_GB2312" w:eastAsia="仿宋_GB2312" w:cs="仿宋_GB2312"/>
          <w:color w:val="auto"/>
          <w:w w:val="80"/>
          <w:sz w:val="60"/>
          <w:szCs w:val="60"/>
        </w:rPr>
      </w:pPr>
      <w:r>
        <w:rPr>
          <w:rFonts w:hint="eastAsia" w:ascii="仿宋_GB2312" w:hAnsi="仿宋_GB2312" w:eastAsia="仿宋_GB2312" w:cs="仿宋_GB2312"/>
          <w:color w:val="auto"/>
          <w:w w:val="80"/>
          <w:sz w:val="60"/>
          <w:szCs w:val="60"/>
        </w:rPr>
        <w:t>202</w:t>
      </w:r>
      <w:r>
        <w:rPr>
          <w:rFonts w:hint="eastAsia" w:ascii="仿宋_GB2312" w:hAnsi="仿宋_GB2312" w:eastAsia="仿宋_GB2312" w:cs="仿宋_GB2312"/>
          <w:color w:val="auto"/>
          <w:w w:val="80"/>
          <w:sz w:val="60"/>
          <w:szCs w:val="6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w w:val="80"/>
          <w:sz w:val="60"/>
          <w:szCs w:val="60"/>
        </w:rPr>
        <w:t>年财政预算（草案）</w:t>
      </w:r>
    </w:p>
    <w:p w14:paraId="41C789C9">
      <w:pPr>
        <w:widowControl/>
        <w:jc w:val="left"/>
        <w:rPr>
          <w:rFonts w:hint="eastAsia" w:ascii="仿宋_GB2312" w:hAnsi="仿宋_GB2312" w:eastAsia="仿宋_GB2312" w:cs="仿宋_GB2312"/>
          <w:color w:val="auto"/>
          <w:w w:val="80"/>
          <w:sz w:val="60"/>
          <w:szCs w:val="60"/>
        </w:rPr>
      </w:pPr>
      <w:r>
        <w:rPr>
          <w:rFonts w:hint="eastAsia" w:ascii="仿宋_GB2312" w:hAnsi="仿宋_GB2312" w:eastAsia="仿宋_GB2312" w:cs="仿宋_GB2312"/>
          <w:color w:val="auto"/>
          <w:w w:val="80"/>
          <w:sz w:val="60"/>
          <w:szCs w:val="60"/>
        </w:rPr>
        <w:br w:type="page"/>
      </w:r>
    </w:p>
    <w:p w14:paraId="45E339F0">
      <w:pPr>
        <w:pStyle w:val="4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关于2</w:t>
      </w:r>
      <w:r>
        <w:rPr>
          <w:rFonts w:hint="eastAsia" w:ascii="仿宋_GB2312" w:hAnsi="仿宋_GB2312" w:eastAsia="仿宋_GB2312" w:cs="仿宋_GB2312"/>
          <w:color w:val="auto"/>
          <w:lang w:val="en-US"/>
        </w:rPr>
        <w:t>02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</w:rPr>
        <w:t>年高新区财政预算执行情况的说明</w:t>
      </w:r>
    </w:p>
    <w:p w14:paraId="2BA513D0">
      <w:pPr>
        <w:pStyle w:val="5"/>
        <w:rPr>
          <w:rFonts w:hint="eastAsia" w:ascii="仿宋_GB2312" w:hAnsi="仿宋_GB2312" w:eastAsia="仿宋_GB2312" w:cs="仿宋_GB2312"/>
          <w:color w:val="auto"/>
        </w:rPr>
      </w:pPr>
    </w:p>
    <w:p w14:paraId="257C46AA">
      <w:pPr>
        <w:pStyle w:val="5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</w:rPr>
        <w:t>20</w:t>
      </w:r>
      <w:r>
        <w:rPr>
          <w:rFonts w:hint="eastAsia" w:ascii="仿宋_GB2312" w:hAnsi="仿宋_GB2312" w:eastAsia="仿宋_GB2312" w:cs="仿宋_GB2312"/>
          <w:color w:val="auto"/>
          <w:lang w:val="en-US"/>
        </w:rPr>
        <w:t>2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</w:rPr>
        <w:t>年，在党工委、管委会的正确领导下，在市人大的依法监督下，高新区财政部门充分发挥财政职能作用，提升科学聚财理财能力，不断完善公共财政体系建设，为高新区经济和社会各项事业平稳较快发展提供财力保障。</w:t>
      </w:r>
    </w:p>
    <w:p w14:paraId="607766BC">
      <w:pPr>
        <w:pStyle w:val="5"/>
        <w:rPr>
          <w:rFonts w:hint="eastAsia" w:ascii="黑体" w:hAnsi="黑体" w:eastAsia="黑体" w:cs="黑体"/>
          <w:color w:val="auto"/>
        </w:rPr>
      </w:pPr>
      <w:r>
        <w:rPr>
          <w:rStyle w:val="6"/>
          <w:rFonts w:hint="eastAsia" w:ascii="黑体" w:hAnsi="黑体" w:eastAsia="黑体" w:cs="黑体"/>
          <w:color w:val="auto"/>
        </w:rPr>
        <w:t>（一）202</w:t>
      </w:r>
      <w:r>
        <w:rPr>
          <w:rStyle w:val="6"/>
          <w:rFonts w:hint="eastAsia" w:ascii="黑体" w:hAnsi="黑体" w:eastAsia="黑体" w:cs="黑体"/>
          <w:color w:val="auto"/>
          <w:lang w:val="en-US" w:eastAsia="zh-CN"/>
        </w:rPr>
        <w:t>3</w:t>
      </w:r>
      <w:r>
        <w:rPr>
          <w:rStyle w:val="6"/>
          <w:rFonts w:hint="eastAsia" w:ascii="黑体" w:hAnsi="黑体" w:eastAsia="黑体" w:cs="黑体"/>
          <w:color w:val="auto"/>
        </w:rPr>
        <w:t>年一般公共预算执行情况</w:t>
      </w:r>
    </w:p>
    <w:p w14:paraId="42C908EB">
      <w:pPr>
        <w:pStyle w:val="5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202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</w:rPr>
        <w:t>年高新区一般公共预算收入完成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7.13亿</w:t>
      </w:r>
      <w:r>
        <w:rPr>
          <w:rFonts w:hint="eastAsia" w:ascii="仿宋_GB2312" w:hAnsi="仿宋_GB2312" w:eastAsia="仿宋_GB2312" w:cs="仿宋_GB2312"/>
          <w:color w:val="auto"/>
        </w:rPr>
        <w:t>元，同比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增长13.2</w:t>
      </w:r>
      <w:r>
        <w:rPr>
          <w:rFonts w:hint="eastAsia" w:ascii="仿宋_GB2312" w:hAnsi="仿宋_GB2312" w:eastAsia="仿宋_GB2312" w:cs="仿宋_GB2312"/>
          <w:color w:val="auto"/>
        </w:rPr>
        <w:t>%。其中：税收收入完成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4.7</w:t>
      </w:r>
      <w:r>
        <w:rPr>
          <w:rFonts w:hint="eastAsia" w:ascii="仿宋_GB2312" w:hAnsi="仿宋_GB2312" w:eastAsia="仿宋_GB2312" w:cs="仿宋_GB2312"/>
          <w:color w:val="auto"/>
        </w:rPr>
        <w:t>亿元，占一般公共预算收入比重的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66.2</w:t>
      </w:r>
      <w:r>
        <w:rPr>
          <w:rFonts w:hint="eastAsia" w:ascii="仿宋_GB2312" w:hAnsi="仿宋_GB2312" w:eastAsia="仿宋_GB2312" w:cs="仿宋_GB2312"/>
          <w:color w:val="auto"/>
        </w:rPr>
        <w:t>%，非税收入完成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2.4</w:t>
      </w:r>
      <w:r>
        <w:rPr>
          <w:rFonts w:hint="eastAsia" w:ascii="仿宋_GB2312" w:hAnsi="仿宋_GB2312" w:eastAsia="仿宋_GB2312" w:cs="仿宋_GB2312"/>
          <w:color w:val="auto"/>
        </w:rPr>
        <w:t>亿元，占一般公共预算收入比重的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33.8</w:t>
      </w:r>
      <w:r>
        <w:rPr>
          <w:rFonts w:hint="eastAsia" w:ascii="仿宋_GB2312" w:hAnsi="仿宋_GB2312" w:eastAsia="仿宋_GB2312" w:cs="仿宋_GB2312"/>
          <w:color w:val="auto"/>
        </w:rPr>
        <w:t>%。一般公共预算支出完成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5.9</w:t>
      </w:r>
      <w:r>
        <w:rPr>
          <w:rFonts w:hint="eastAsia" w:ascii="仿宋_GB2312" w:hAnsi="仿宋_GB2312" w:eastAsia="仿宋_GB2312" w:cs="仿宋_GB2312"/>
          <w:color w:val="auto"/>
        </w:rPr>
        <w:t>亿元，同比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增长20</w:t>
      </w:r>
      <w:r>
        <w:rPr>
          <w:rFonts w:hint="eastAsia" w:ascii="仿宋_GB2312" w:hAnsi="仿宋_GB2312" w:eastAsia="仿宋_GB2312" w:cs="仿宋_GB2312"/>
          <w:color w:val="auto"/>
        </w:rPr>
        <w:t>%。</w:t>
      </w:r>
    </w:p>
    <w:p w14:paraId="034673C5">
      <w:pPr>
        <w:pStyle w:val="5"/>
        <w:rPr>
          <w:rStyle w:val="7"/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color w:val="auto"/>
        </w:rPr>
        <w:t>1、一般公共预算收</w:t>
      </w:r>
      <w:r>
        <w:rPr>
          <w:rStyle w:val="7"/>
          <w:rFonts w:hint="eastAsia" w:ascii="仿宋_GB2312" w:hAnsi="仿宋_GB2312" w:eastAsia="仿宋_GB2312" w:cs="仿宋_GB2312"/>
          <w:color w:val="auto"/>
          <w:lang w:val="en-US" w:eastAsia="zh-CN"/>
        </w:rPr>
        <w:t>入</w:t>
      </w:r>
      <w:r>
        <w:rPr>
          <w:rStyle w:val="7"/>
          <w:rFonts w:hint="eastAsia" w:ascii="仿宋_GB2312" w:hAnsi="仿宋_GB2312" w:eastAsia="仿宋_GB2312" w:cs="仿宋_GB2312"/>
          <w:color w:val="auto"/>
        </w:rPr>
        <w:t>执行情况</w:t>
      </w:r>
      <w:r>
        <w:rPr>
          <w:rStyle w:val="7"/>
          <w:rFonts w:hint="eastAsia" w:ascii="仿宋_GB2312" w:hAnsi="仿宋_GB2312" w:eastAsia="仿宋_GB2312" w:cs="仿宋_GB2312"/>
          <w:color w:val="auto"/>
        </w:rPr>
        <w:tab/>
      </w:r>
    </w:p>
    <w:p w14:paraId="67731D81">
      <w:pPr>
        <w:pStyle w:val="5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增值税完成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color w:val="auto"/>
        </w:rPr>
        <w:t>亿元，为预算数的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113.8</w:t>
      </w:r>
      <w:r>
        <w:rPr>
          <w:rFonts w:hint="eastAsia" w:ascii="仿宋_GB2312" w:hAnsi="仿宋_GB2312" w:eastAsia="仿宋_GB2312" w:cs="仿宋_GB2312"/>
          <w:color w:val="auto"/>
        </w:rPr>
        <w:t>%，同比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增长77.8</w:t>
      </w:r>
      <w:r>
        <w:rPr>
          <w:rFonts w:hint="eastAsia" w:ascii="仿宋_GB2312" w:hAnsi="仿宋_GB2312" w:eastAsia="仿宋_GB2312" w:cs="仿宋_GB2312"/>
          <w:color w:val="auto"/>
        </w:rPr>
        <w:t>%。</w:t>
      </w:r>
    </w:p>
    <w:p w14:paraId="2AD2BA31">
      <w:pPr>
        <w:pStyle w:val="5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企业所得税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5130</w:t>
      </w:r>
      <w:r>
        <w:rPr>
          <w:rFonts w:hint="eastAsia" w:ascii="仿宋_GB2312" w:hAnsi="仿宋_GB2312" w:eastAsia="仿宋_GB2312" w:cs="仿宋_GB2312"/>
          <w:color w:val="auto"/>
        </w:rPr>
        <w:t>万元，为预算数的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 xml:space="preserve">81.8 </w:t>
      </w:r>
      <w:r>
        <w:rPr>
          <w:rFonts w:hint="eastAsia" w:ascii="仿宋_GB2312" w:hAnsi="仿宋_GB2312" w:eastAsia="仿宋_GB2312" w:cs="仿宋_GB2312"/>
          <w:color w:val="auto"/>
        </w:rPr>
        <w:t>%，同比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增长17.3</w:t>
      </w:r>
      <w:r>
        <w:rPr>
          <w:rFonts w:hint="eastAsia" w:ascii="仿宋_GB2312" w:hAnsi="仿宋_GB2312" w:eastAsia="仿宋_GB2312" w:cs="仿宋_GB2312"/>
          <w:color w:val="auto"/>
        </w:rPr>
        <w:t>%。</w:t>
      </w:r>
    </w:p>
    <w:p w14:paraId="3B233664">
      <w:pPr>
        <w:pStyle w:val="5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个人所得税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2080</w:t>
      </w:r>
      <w:r>
        <w:rPr>
          <w:rFonts w:hint="eastAsia" w:ascii="仿宋_GB2312" w:hAnsi="仿宋_GB2312" w:eastAsia="仿宋_GB2312" w:cs="仿宋_GB2312"/>
          <w:color w:val="auto"/>
        </w:rPr>
        <w:t>万元，为预算数的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 xml:space="preserve">84.7 </w:t>
      </w:r>
      <w:r>
        <w:rPr>
          <w:rFonts w:hint="eastAsia" w:ascii="仿宋_GB2312" w:hAnsi="仿宋_GB2312" w:eastAsia="仿宋_GB2312" w:cs="仿宋_GB2312"/>
          <w:color w:val="auto"/>
        </w:rPr>
        <w:t>%，同比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 xml:space="preserve">增长9.7 </w:t>
      </w:r>
      <w:r>
        <w:rPr>
          <w:rFonts w:hint="eastAsia" w:ascii="仿宋_GB2312" w:hAnsi="仿宋_GB2312" w:eastAsia="仿宋_GB2312" w:cs="仿宋_GB2312"/>
          <w:color w:val="auto"/>
        </w:rPr>
        <w:t>%。</w:t>
      </w:r>
    </w:p>
    <w:p w14:paraId="35892A6B">
      <w:pPr>
        <w:pStyle w:val="5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城市维护建设税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2814</w:t>
      </w:r>
      <w:r>
        <w:rPr>
          <w:rFonts w:hint="eastAsia" w:ascii="仿宋_GB2312" w:hAnsi="仿宋_GB2312" w:eastAsia="仿宋_GB2312" w:cs="仿宋_GB2312"/>
          <w:color w:val="auto"/>
        </w:rPr>
        <w:t>万元，为预算数的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 xml:space="preserve">126.8 </w:t>
      </w:r>
      <w:r>
        <w:rPr>
          <w:rFonts w:hint="eastAsia" w:ascii="仿宋_GB2312" w:hAnsi="仿宋_GB2312" w:eastAsia="仿宋_GB2312" w:cs="仿宋_GB2312"/>
          <w:color w:val="auto"/>
        </w:rPr>
        <w:t>%，同比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 xml:space="preserve">增长63.4 </w:t>
      </w:r>
      <w:r>
        <w:rPr>
          <w:rFonts w:hint="eastAsia" w:ascii="仿宋_GB2312" w:hAnsi="仿宋_GB2312" w:eastAsia="仿宋_GB2312" w:cs="仿宋_GB2312"/>
          <w:color w:val="auto"/>
        </w:rPr>
        <w:t>%。</w:t>
      </w:r>
    </w:p>
    <w:p w14:paraId="50903272">
      <w:pPr>
        <w:pStyle w:val="5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土地增值税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1691</w:t>
      </w:r>
      <w:r>
        <w:rPr>
          <w:rFonts w:hint="eastAsia" w:ascii="仿宋_GB2312" w:hAnsi="仿宋_GB2312" w:eastAsia="仿宋_GB2312" w:cs="仿宋_GB2312"/>
          <w:color w:val="auto"/>
        </w:rPr>
        <w:t>万元，为预算数的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 xml:space="preserve">26.7 </w:t>
      </w:r>
      <w:r>
        <w:rPr>
          <w:rFonts w:hint="eastAsia" w:ascii="仿宋_GB2312" w:hAnsi="仿宋_GB2312" w:eastAsia="仿宋_GB2312" w:cs="仿宋_GB2312"/>
          <w:color w:val="auto"/>
        </w:rPr>
        <w:t>%，同比下降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32.8</w:t>
      </w:r>
      <w:r>
        <w:rPr>
          <w:rFonts w:hint="eastAsia" w:ascii="仿宋_GB2312" w:hAnsi="仿宋_GB2312" w:eastAsia="仿宋_GB2312" w:cs="仿宋_GB2312"/>
          <w:color w:val="auto"/>
        </w:rPr>
        <w:t>%。</w:t>
      </w:r>
    </w:p>
    <w:p w14:paraId="6A812A06">
      <w:pPr>
        <w:pStyle w:val="5"/>
        <w:spacing w:line="580" w:lineRule="atLeast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城镇土地使用税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4520</w:t>
      </w:r>
      <w:r>
        <w:rPr>
          <w:rFonts w:hint="eastAsia" w:ascii="仿宋_GB2312" w:hAnsi="仿宋_GB2312" w:eastAsia="仿宋_GB2312" w:cs="仿宋_GB2312"/>
          <w:color w:val="auto"/>
        </w:rPr>
        <w:t>万元，为预算数的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 xml:space="preserve">92.4 </w:t>
      </w:r>
      <w:r>
        <w:rPr>
          <w:rFonts w:hint="eastAsia" w:ascii="仿宋_GB2312" w:hAnsi="仿宋_GB2312" w:eastAsia="仿宋_GB2312" w:cs="仿宋_GB2312"/>
          <w:color w:val="auto"/>
        </w:rPr>
        <w:t>%，同比下降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 xml:space="preserve">10.8 </w:t>
      </w:r>
      <w:r>
        <w:rPr>
          <w:rFonts w:hint="eastAsia" w:ascii="仿宋_GB2312" w:hAnsi="仿宋_GB2312" w:eastAsia="仿宋_GB2312" w:cs="仿宋_GB2312"/>
          <w:color w:val="auto"/>
        </w:rPr>
        <w:t>%。</w:t>
      </w:r>
    </w:p>
    <w:p w14:paraId="3FE2DE38">
      <w:pPr>
        <w:pStyle w:val="5"/>
        <w:spacing w:line="580" w:lineRule="atLeast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非税收入完成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2.4</w:t>
      </w:r>
      <w:r>
        <w:rPr>
          <w:rFonts w:hint="eastAsia" w:ascii="仿宋_GB2312" w:hAnsi="仿宋_GB2312" w:eastAsia="仿宋_GB2312" w:cs="仿宋_GB2312"/>
          <w:color w:val="auto"/>
        </w:rPr>
        <w:t>亿元，为预算数的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 xml:space="preserve">107.3 </w:t>
      </w:r>
      <w:r>
        <w:rPr>
          <w:rFonts w:hint="eastAsia" w:ascii="仿宋_GB2312" w:hAnsi="仿宋_GB2312" w:eastAsia="仿宋_GB2312" w:cs="仿宋_GB2312"/>
          <w:color w:val="auto"/>
        </w:rPr>
        <w:t>%，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同比增长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17.9 %</w:t>
      </w:r>
      <w:r>
        <w:rPr>
          <w:rFonts w:hint="eastAsia" w:ascii="仿宋_GB2312" w:hAnsi="仿宋_GB2312" w:eastAsia="仿宋_GB2312" w:cs="仿宋_GB2312"/>
          <w:color w:val="auto"/>
        </w:rPr>
        <w:t>。</w:t>
      </w:r>
    </w:p>
    <w:p w14:paraId="4D4C0F95">
      <w:pPr>
        <w:pStyle w:val="5"/>
        <w:spacing w:line="580" w:lineRule="atLeast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2、202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</w:rPr>
        <w:t>年一般公共预算支出执行情况</w:t>
      </w:r>
    </w:p>
    <w:p w14:paraId="3D7E78B4">
      <w:pPr>
        <w:pStyle w:val="5"/>
        <w:spacing w:line="580" w:lineRule="atLeast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高新区一般公共财政预算支出完成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5.9</w:t>
      </w:r>
      <w:r>
        <w:rPr>
          <w:rFonts w:hint="eastAsia" w:ascii="仿宋_GB2312" w:hAnsi="仿宋_GB2312" w:eastAsia="仿宋_GB2312" w:cs="仿宋_GB2312"/>
          <w:color w:val="auto"/>
        </w:rPr>
        <w:t>亿元，完成调整预算数的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101.1</w:t>
      </w:r>
      <w:r>
        <w:rPr>
          <w:rFonts w:hint="eastAsia" w:ascii="仿宋_GB2312" w:hAnsi="仿宋_GB2312" w:eastAsia="仿宋_GB2312" w:cs="仿宋_GB2312"/>
          <w:color w:val="auto"/>
        </w:rPr>
        <w:t>%。各主要项目具体情况如下：</w:t>
      </w:r>
    </w:p>
    <w:p w14:paraId="1988054E">
      <w:pPr>
        <w:pStyle w:val="5"/>
        <w:spacing w:line="580" w:lineRule="atLeast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一般公共服务支出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12736万</w:t>
      </w:r>
      <w:r>
        <w:rPr>
          <w:rFonts w:hint="eastAsia" w:ascii="仿宋_GB2312" w:hAnsi="仿宋_GB2312" w:eastAsia="仿宋_GB2312" w:cs="仿宋_GB2312"/>
          <w:color w:val="auto"/>
        </w:rPr>
        <w:t>元，同比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 xml:space="preserve">增长126.6 </w:t>
      </w:r>
      <w:r>
        <w:rPr>
          <w:rFonts w:hint="eastAsia" w:ascii="仿宋_GB2312" w:hAnsi="仿宋_GB2312" w:eastAsia="仿宋_GB2312" w:cs="仿宋_GB2312"/>
          <w:color w:val="auto"/>
        </w:rPr>
        <w:t xml:space="preserve">%。 </w:t>
      </w:r>
    </w:p>
    <w:p w14:paraId="5C563E34">
      <w:pPr>
        <w:pStyle w:val="5"/>
        <w:spacing w:line="580" w:lineRule="atLeast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城乡社区事务支出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9366</w:t>
      </w:r>
      <w:r>
        <w:rPr>
          <w:rFonts w:hint="eastAsia" w:ascii="仿宋_GB2312" w:hAnsi="仿宋_GB2312" w:eastAsia="仿宋_GB2312" w:cs="仿宋_GB2312"/>
          <w:color w:val="auto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增长11.2</w:t>
      </w:r>
      <w:r>
        <w:rPr>
          <w:rFonts w:hint="eastAsia" w:ascii="仿宋_GB2312" w:hAnsi="仿宋_GB2312" w:eastAsia="仿宋_GB2312" w:cs="仿宋_GB2312"/>
          <w:color w:val="auto"/>
        </w:rPr>
        <w:t>%。</w:t>
      </w:r>
    </w:p>
    <w:p w14:paraId="6D94C842">
      <w:pPr>
        <w:pStyle w:val="5"/>
        <w:spacing w:line="580" w:lineRule="atLeast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农林水事务支出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3384</w:t>
      </w:r>
      <w:r>
        <w:rPr>
          <w:rFonts w:hint="eastAsia" w:ascii="仿宋_GB2312" w:hAnsi="仿宋_GB2312" w:eastAsia="仿宋_GB2312" w:cs="仿宋_GB2312"/>
          <w:color w:val="auto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下降10.1</w:t>
      </w:r>
      <w:r>
        <w:rPr>
          <w:rFonts w:hint="eastAsia" w:ascii="仿宋_GB2312" w:hAnsi="仿宋_GB2312" w:eastAsia="仿宋_GB2312" w:cs="仿宋_GB2312"/>
          <w:color w:val="auto"/>
        </w:rPr>
        <w:t>% 。</w:t>
      </w:r>
    </w:p>
    <w:p w14:paraId="694495E0">
      <w:pPr>
        <w:pStyle w:val="5"/>
        <w:spacing w:line="580" w:lineRule="atLeast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教育支出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13708万元</w:t>
      </w:r>
      <w:r>
        <w:rPr>
          <w:rFonts w:hint="eastAsia" w:ascii="仿宋_GB2312" w:hAnsi="仿宋_GB2312" w:eastAsia="仿宋_GB2312" w:cs="仿宋_GB2312"/>
          <w:color w:val="auto"/>
        </w:rPr>
        <w:t>元，同比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增长37.9</w:t>
      </w:r>
      <w:r>
        <w:rPr>
          <w:rFonts w:hint="eastAsia" w:ascii="仿宋_GB2312" w:hAnsi="仿宋_GB2312" w:eastAsia="仿宋_GB2312" w:cs="仿宋_GB2312"/>
          <w:color w:val="auto"/>
        </w:rPr>
        <w:t>% 。</w:t>
      </w:r>
    </w:p>
    <w:p w14:paraId="2CD3E5AB">
      <w:pPr>
        <w:pStyle w:val="5"/>
        <w:spacing w:line="580" w:lineRule="atLeast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卫生健康支出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1423</w:t>
      </w:r>
      <w:r>
        <w:rPr>
          <w:rFonts w:hint="eastAsia" w:ascii="仿宋_GB2312" w:hAnsi="仿宋_GB2312" w:eastAsia="仿宋_GB2312" w:cs="仿宋_GB2312"/>
          <w:color w:val="auto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下降18.8</w:t>
      </w:r>
      <w:r>
        <w:rPr>
          <w:rFonts w:hint="eastAsia" w:ascii="仿宋_GB2312" w:hAnsi="仿宋_GB2312" w:eastAsia="仿宋_GB2312" w:cs="仿宋_GB2312"/>
          <w:color w:val="auto"/>
        </w:rPr>
        <w:t>%。</w:t>
      </w:r>
    </w:p>
    <w:p w14:paraId="640C2D9F">
      <w:pPr>
        <w:pStyle w:val="5"/>
        <w:spacing w:line="580" w:lineRule="atLeast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社会保障和就业支出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3760</w:t>
      </w:r>
      <w:r>
        <w:rPr>
          <w:rFonts w:hint="eastAsia" w:ascii="仿宋_GB2312" w:hAnsi="仿宋_GB2312" w:eastAsia="仿宋_GB2312" w:cs="仿宋_GB2312"/>
          <w:color w:val="auto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增长19.1</w:t>
      </w:r>
      <w:r>
        <w:rPr>
          <w:rFonts w:hint="eastAsia" w:ascii="仿宋_GB2312" w:hAnsi="仿宋_GB2312" w:eastAsia="仿宋_GB2312" w:cs="仿宋_GB2312"/>
          <w:color w:val="auto"/>
        </w:rPr>
        <w:t>%。</w:t>
      </w:r>
    </w:p>
    <w:p w14:paraId="16E27979">
      <w:pPr>
        <w:pStyle w:val="5"/>
        <w:spacing w:line="580" w:lineRule="atLeast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科学技术支出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11100万</w:t>
      </w:r>
      <w:r>
        <w:rPr>
          <w:rFonts w:hint="eastAsia" w:ascii="仿宋_GB2312" w:hAnsi="仿宋_GB2312" w:eastAsia="仿宋_GB2312" w:cs="仿宋_GB2312"/>
          <w:color w:val="auto"/>
        </w:rPr>
        <w:t>元，同比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 xml:space="preserve">增长2.8 </w:t>
      </w:r>
      <w:r>
        <w:rPr>
          <w:rFonts w:hint="eastAsia" w:ascii="仿宋_GB2312" w:hAnsi="仿宋_GB2312" w:eastAsia="仿宋_GB2312" w:cs="仿宋_GB2312"/>
          <w:color w:val="auto"/>
        </w:rPr>
        <w:t>%。</w:t>
      </w:r>
    </w:p>
    <w:p w14:paraId="501269CF">
      <w:pPr>
        <w:pStyle w:val="5"/>
        <w:spacing w:line="580" w:lineRule="atLeast"/>
        <w:rPr>
          <w:rFonts w:hint="eastAsia" w:ascii="仿宋_GB2312" w:hAnsi="仿宋_GB2312" w:eastAsia="仿宋_GB2312" w:cs="仿宋_GB2312"/>
          <w:color w:val="auto"/>
        </w:rPr>
      </w:pPr>
      <w:r>
        <w:rPr>
          <w:rStyle w:val="6"/>
          <w:rFonts w:hint="eastAsia" w:ascii="仿宋_GB2312" w:hAnsi="仿宋_GB2312" w:eastAsia="仿宋_GB2312" w:cs="仿宋_GB2312"/>
          <w:color w:val="auto"/>
        </w:rPr>
        <w:t>（二）202</w:t>
      </w:r>
      <w:r>
        <w:rPr>
          <w:rStyle w:val="6"/>
          <w:rFonts w:hint="eastAsia" w:ascii="仿宋_GB2312" w:hAnsi="仿宋_GB2312" w:eastAsia="仿宋_GB2312" w:cs="仿宋_GB2312"/>
          <w:color w:val="auto"/>
          <w:lang w:val="en-US" w:eastAsia="zh-CN"/>
        </w:rPr>
        <w:t>3</w:t>
      </w:r>
      <w:r>
        <w:rPr>
          <w:rStyle w:val="6"/>
          <w:rFonts w:hint="eastAsia" w:ascii="仿宋_GB2312" w:hAnsi="仿宋_GB2312" w:eastAsia="仿宋_GB2312" w:cs="仿宋_GB2312"/>
          <w:color w:val="auto"/>
        </w:rPr>
        <w:t>年政府性基金预算执行情况</w:t>
      </w:r>
    </w:p>
    <w:p w14:paraId="3D5DE510">
      <w:pPr>
        <w:pStyle w:val="5"/>
        <w:spacing w:line="580" w:lineRule="atLeast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202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</w:rPr>
        <w:t>年高新区政府性基金收入完成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1.4亿</w:t>
      </w:r>
      <w:r>
        <w:rPr>
          <w:rFonts w:hint="eastAsia" w:ascii="仿宋_GB2312" w:hAnsi="仿宋_GB2312" w:eastAsia="仿宋_GB2312" w:cs="仿宋_GB2312"/>
          <w:color w:val="auto"/>
        </w:rPr>
        <w:t>元，同比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下降35.6</w:t>
      </w:r>
      <w:r>
        <w:rPr>
          <w:rFonts w:hint="eastAsia" w:ascii="仿宋_GB2312" w:hAnsi="仿宋_GB2312" w:eastAsia="仿宋_GB2312" w:cs="仿宋_GB2312"/>
          <w:color w:val="auto"/>
        </w:rPr>
        <w:t>%，完成预算数的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18.6</w:t>
      </w:r>
      <w:r>
        <w:rPr>
          <w:rFonts w:hint="eastAsia" w:ascii="仿宋_GB2312" w:hAnsi="仿宋_GB2312" w:eastAsia="仿宋_GB2312" w:cs="仿宋_GB2312"/>
          <w:color w:val="auto"/>
        </w:rPr>
        <w:t>%。</w:t>
      </w:r>
    </w:p>
    <w:p w14:paraId="121CA692">
      <w:pPr>
        <w:pStyle w:val="5"/>
        <w:spacing w:line="580" w:lineRule="atLeast"/>
        <w:rPr>
          <w:rFonts w:hint="eastAsia" w:ascii="仿宋_GB2312" w:hAnsi="仿宋_GB2312" w:eastAsia="仿宋_GB2312" w:cs="仿宋_GB2312"/>
          <w:color w:val="auto"/>
          <w:highlight w:val="yellow"/>
        </w:rPr>
      </w:pPr>
      <w:r>
        <w:rPr>
          <w:rFonts w:hint="eastAsia" w:ascii="仿宋_GB2312" w:hAnsi="仿宋_GB2312" w:eastAsia="仿宋_GB2312" w:cs="仿宋_GB2312"/>
          <w:color w:val="auto"/>
        </w:rPr>
        <w:t>202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</w:rPr>
        <w:t>年高新区政府性基金支出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5.1</w:t>
      </w:r>
      <w:r>
        <w:rPr>
          <w:rFonts w:hint="eastAsia" w:ascii="仿宋_GB2312" w:hAnsi="仿宋_GB2312" w:eastAsia="仿宋_GB2312" w:cs="仿宋_GB2312"/>
          <w:color w:val="auto"/>
        </w:rPr>
        <w:t>亿元，同比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下降32</w:t>
      </w:r>
      <w:r>
        <w:rPr>
          <w:rFonts w:hint="eastAsia" w:ascii="仿宋_GB2312" w:hAnsi="仿宋_GB2312" w:eastAsia="仿宋_GB2312" w:cs="仿宋_GB2312"/>
          <w:color w:val="auto"/>
        </w:rPr>
        <w:t>%，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完成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/>
        </w:rPr>
        <w:t>调整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预算数的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66.2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%。</w:t>
      </w:r>
    </w:p>
    <w:p w14:paraId="66F3D135">
      <w:pPr>
        <w:pStyle w:val="5"/>
        <w:spacing w:line="580" w:lineRule="atLeast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Style w:val="6"/>
          <w:rFonts w:hint="eastAsia" w:ascii="仿宋_GB2312" w:hAnsi="仿宋_GB2312" w:eastAsia="仿宋_GB2312" w:cs="仿宋_GB2312"/>
          <w:color w:val="auto"/>
          <w:highlight w:val="none"/>
        </w:rPr>
        <w:t>（三）202</w:t>
      </w:r>
      <w:r>
        <w:rPr>
          <w:rStyle w:val="6"/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3</w:t>
      </w:r>
      <w:r>
        <w:rPr>
          <w:rStyle w:val="6"/>
          <w:rFonts w:hint="eastAsia" w:ascii="仿宋_GB2312" w:hAnsi="仿宋_GB2312" w:eastAsia="仿宋_GB2312" w:cs="仿宋_GB2312"/>
          <w:color w:val="auto"/>
          <w:highlight w:val="none"/>
        </w:rPr>
        <w:t>年社会保险基金预算执行情况</w:t>
      </w:r>
    </w:p>
    <w:p w14:paraId="50DD5B5A">
      <w:pPr>
        <w:pStyle w:val="5"/>
        <w:spacing w:line="580" w:lineRule="atLeast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年高新区社会保险基金决算收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1141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万元，均为城乡居民基本养老保险基金收入。</w:t>
      </w:r>
    </w:p>
    <w:p w14:paraId="606BC43C">
      <w:pPr>
        <w:pStyle w:val="5"/>
        <w:spacing w:line="580" w:lineRule="atLeast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年高新区社会保险基金决算支出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752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均为城乡居民基本养老保险基金支出。</w:t>
      </w:r>
    </w:p>
    <w:p w14:paraId="27BAC217">
      <w:pPr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br w:type="page"/>
      </w:r>
    </w:p>
    <w:p w14:paraId="7DDBBB3F">
      <w:pPr>
        <w:pStyle w:val="5"/>
        <w:spacing w:line="580" w:lineRule="atLeast"/>
        <w:rPr>
          <w:rFonts w:hint="eastAsia" w:ascii="仿宋_GB2312" w:hAnsi="仿宋_GB2312" w:eastAsia="仿宋_GB2312" w:cs="仿宋_GB2312"/>
          <w:color w:val="auto"/>
        </w:rPr>
      </w:pPr>
    </w:p>
    <w:p w14:paraId="3D184F71">
      <w:pPr>
        <w:pStyle w:val="4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关于202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</w:rPr>
        <w:t>年高新区财政预算的说明</w:t>
      </w:r>
    </w:p>
    <w:p w14:paraId="6A3EE426">
      <w:pPr>
        <w:pStyle w:val="5"/>
        <w:rPr>
          <w:rFonts w:hint="eastAsia" w:ascii="仿宋_GB2312" w:hAnsi="仿宋_GB2312" w:eastAsia="仿宋_GB2312" w:cs="仿宋_GB2312"/>
          <w:color w:val="auto"/>
        </w:rPr>
      </w:pPr>
    </w:p>
    <w:p w14:paraId="4F27509B">
      <w:pPr>
        <w:pStyle w:val="5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202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</w:rPr>
        <w:t>年，高新区以习近平新时代中国特色社会主义思想为指导，全面贯彻落实党的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二十大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</w:rPr>
        <w:t>精神，坚持稳中求进工作总基调，按照高质量发展的要求,围绕市委、市政府决策部署，坚持以供给侧结构性改革为主线，落实积极的财政政策；既尽力而为、又量力而行，持续保障和改善民生，不断满足人民日益增长的美好生活需要,从严管控政府性债务，积极防范化解风险，促进经济社会持续健康发展。</w:t>
      </w:r>
    </w:p>
    <w:p w14:paraId="03B9FCD7">
      <w:pPr>
        <w:pStyle w:val="5"/>
        <w:rPr>
          <w:rFonts w:hint="eastAsia" w:ascii="仿宋_GB2312" w:hAnsi="仿宋_GB2312" w:eastAsia="仿宋_GB2312" w:cs="仿宋_GB2312"/>
          <w:color w:val="auto"/>
        </w:rPr>
      </w:pPr>
      <w:r>
        <w:rPr>
          <w:rStyle w:val="6"/>
          <w:rFonts w:hint="eastAsia" w:ascii="仿宋_GB2312" w:hAnsi="仿宋_GB2312" w:eastAsia="仿宋_GB2312" w:cs="仿宋_GB2312"/>
          <w:color w:val="auto"/>
        </w:rPr>
        <w:t>一、高新区收入预算</w:t>
      </w:r>
    </w:p>
    <w:p w14:paraId="2BF5B95B">
      <w:pPr>
        <w:pStyle w:val="5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202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</w:rPr>
        <w:t>年，高新区财政收入预算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16.7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亿</w:t>
      </w:r>
      <w:r>
        <w:rPr>
          <w:rFonts w:hint="eastAsia" w:ascii="仿宋_GB2312" w:hAnsi="仿宋_GB2312" w:eastAsia="仿宋_GB2312" w:cs="仿宋_GB2312"/>
          <w:color w:val="auto"/>
        </w:rPr>
        <w:t>元，较202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</w:rPr>
        <w:t>年预算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增加2.08</w:t>
      </w:r>
      <w:r>
        <w:rPr>
          <w:rFonts w:hint="eastAsia" w:ascii="仿宋_GB2312" w:hAnsi="仿宋_GB2312" w:eastAsia="仿宋_GB2312" w:cs="仿宋_GB2312"/>
          <w:color w:val="auto"/>
        </w:rPr>
        <w:t>亿元，具体情况是：</w:t>
      </w:r>
    </w:p>
    <w:p w14:paraId="4F333EF0">
      <w:pPr>
        <w:pStyle w:val="5"/>
        <w:rPr>
          <w:rFonts w:hint="eastAsia" w:ascii="仿宋_GB2312" w:hAnsi="仿宋_GB2312" w:eastAsia="仿宋_GB2312" w:cs="仿宋_GB2312"/>
          <w:color w:val="auto"/>
        </w:rPr>
      </w:pPr>
      <w:r>
        <w:rPr>
          <w:rStyle w:val="7"/>
          <w:rFonts w:hint="eastAsia" w:ascii="仿宋_GB2312" w:hAnsi="仿宋_GB2312" w:eastAsia="仿宋_GB2312" w:cs="仿宋_GB2312"/>
          <w:color w:val="auto"/>
        </w:rPr>
        <w:t>1、一般公共预算收入</w:t>
      </w:r>
    </w:p>
    <w:p w14:paraId="23B754B8">
      <w:pPr>
        <w:pStyle w:val="5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（1）202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</w:rPr>
        <w:t>年高新区一般公共预算预计收入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7.7</w:t>
      </w:r>
      <w:r>
        <w:rPr>
          <w:rFonts w:hint="eastAsia" w:ascii="仿宋_GB2312" w:hAnsi="仿宋_GB2312" w:eastAsia="仿宋_GB2312" w:cs="仿宋_GB2312"/>
          <w:color w:val="auto"/>
        </w:rPr>
        <w:t>亿元，同比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增长5.4</w:t>
      </w:r>
      <w:r>
        <w:rPr>
          <w:rFonts w:hint="eastAsia" w:ascii="仿宋_GB2312" w:hAnsi="仿宋_GB2312" w:eastAsia="仿宋_GB2312" w:cs="仿宋_GB2312"/>
          <w:color w:val="auto"/>
        </w:rPr>
        <w:t>%。分部门情况是：</w:t>
      </w:r>
    </w:p>
    <w:p w14:paraId="33F01CF9">
      <w:pPr>
        <w:pStyle w:val="5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税务部门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5.3</w:t>
      </w:r>
      <w:r>
        <w:rPr>
          <w:rFonts w:hint="eastAsia" w:ascii="仿宋_GB2312" w:hAnsi="仿宋_GB2312" w:eastAsia="仿宋_GB2312" w:cs="仿宋_GB2312"/>
          <w:color w:val="auto"/>
        </w:rPr>
        <w:t>亿元，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同比增长5.8%</w:t>
      </w:r>
      <w:r>
        <w:rPr>
          <w:rFonts w:hint="eastAsia" w:ascii="仿宋_GB2312" w:hAnsi="仿宋_GB2312" w:eastAsia="仿宋_GB2312" w:cs="仿宋_GB2312"/>
          <w:color w:val="auto"/>
        </w:rPr>
        <w:t>；财政部门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2.4亿</w:t>
      </w:r>
      <w:r>
        <w:rPr>
          <w:rFonts w:hint="eastAsia" w:ascii="仿宋_GB2312" w:hAnsi="仿宋_GB2312" w:eastAsia="仿宋_GB2312" w:cs="仿宋_GB2312"/>
          <w:color w:val="auto"/>
        </w:rPr>
        <w:t>元，同比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4.6</w:t>
      </w:r>
      <w:r>
        <w:rPr>
          <w:rFonts w:hint="eastAsia" w:ascii="仿宋_GB2312" w:hAnsi="仿宋_GB2312" w:eastAsia="仿宋_GB2312" w:cs="仿宋_GB2312"/>
          <w:color w:val="auto"/>
        </w:rPr>
        <w:t>%。</w:t>
      </w:r>
    </w:p>
    <w:p w14:paraId="3C62E268">
      <w:pPr>
        <w:pStyle w:val="5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（2）转移性收入</w:t>
      </w:r>
    </w:p>
    <w:p w14:paraId="732B4117">
      <w:pPr>
        <w:pStyle w:val="5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转移性收入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2.1亿元</w:t>
      </w:r>
      <w:r>
        <w:rPr>
          <w:rFonts w:hint="eastAsia" w:ascii="仿宋_GB2312" w:hAnsi="仿宋_GB2312" w:eastAsia="仿宋_GB2312" w:cs="仿宋_GB2312"/>
          <w:color w:val="auto"/>
        </w:rPr>
        <w:t>，较202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</w:rPr>
        <w:t>年预算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增加8998万</w:t>
      </w:r>
      <w:r>
        <w:rPr>
          <w:rFonts w:hint="eastAsia" w:ascii="仿宋_GB2312" w:hAnsi="仿宋_GB2312" w:eastAsia="仿宋_GB2312" w:cs="仿宋_GB2312"/>
          <w:color w:val="auto"/>
        </w:rPr>
        <w:t>元。</w:t>
      </w:r>
    </w:p>
    <w:p w14:paraId="4E5A1AE3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Style w:val="7"/>
          <w:rFonts w:hint="eastAsia" w:ascii="仿宋_GB2312" w:hAnsi="仿宋_GB2312" w:eastAsia="仿宋_GB2312" w:cs="仿宋_GB2312"/>
          <w:color w:val="auto"/>
          <w:highlight w:val="none"/>
        </w:rPr>
        <w:t>2、基金预算收入</w:t>
      </w:r>
    </w:p>
    <w:p w14:paraId="7FED8317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年高新区基金预算收入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4.4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亿元，历年滚存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结转收入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2.6亿元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，基金预算可供安排的收入共计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7.0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亿元，较上年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减少0.6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亿元。</w:t>
      </w:r>
    </w:p>
    <w:p w14:paraId="1657081B">
      <w:pPr>
        <w:pStyle w:val="5"/>
        <w:rPr>
          <w:rFonts w:hint="eastAsia" w:ascii="仿宋_GB2312" w:hAnsi="仿宋_GB2312" w:eastAsia="仿宋_GB2312" w:cs="仿宋_GB2312"/>
          <w:color w:val="auto"/>
        </w:rPr>
      </w:pPr>
      <w:r>
        <w:rPr>
          <w:rStyle w:val="6"/>
          <w:rFonts w:hint="eastAsia" w:ascii="仿宋_GB2312" w:hAnsi="仿宋_GB2312" w:eastAsia="仿宋_GB2312" w:cs="仿宋_GB2312"/>
          <w:color w:val="auto"/>
        </w:rPr>
        <w:t>二、高新区支出预算</w:t>
      </w:r>
    </w:p>
    <w:p w14:paraId="445E4D64">
      <w:pPr>
        <w:pStyle w:val="5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202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</w:rPr>
        <w:t>年高新区财政预算支出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16.7</w:t>
      </w:r>
      <w:r>
        <w:rPr>
          <w:rFonts w:hint="eastAsia" w:ascii="仿宋_GB2312" w:hAnsi="仿宋_GB2312" w:eastAsia="仿宋_GB2312" w:cs="仿宋_GB2312"/>
          <w:color w:val="auto"/>
        </w:rPr>
        <w:t>亿元，较202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</w:rPr>
        <w:t>年预算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增加2.08</w:t>
      </w:r>
      <w:r>
        <w:rPr>
          <w:rFonts w:hint="eastAsia" w:ascii="仿宋_GB2312" w:hAnsi="仿宋_GB2312" w:eastAsia="仿宋_GB2312" w:cs="仿宋_GB2312"/>
          <w:color w:val="auto"/>
        </w:rPr>
        <w:t>亿元。具体安排情况是：</w:t>
      </w:r>
    </w:p>
    <w:p w14:paraId="5F45CF67">
      <w:pPr>
        <w:pStyle w:val="5"/>
        <w:rPr>
          <w:rStyle w:val="7"/>
          <w:rFonts w:hint="eastAsia" w:ascii="仿宋_GB2312" w:hAnsi="仿宋_GB2312" w:eastAsia="仿宋_GB2312" w:cs="仿宋_GB2312"/>
          <w:color w:val="auto"/>
        </w:rPr>
      </w:pPr>
      <w:r>
        <w:rPr>
          <w:rStyle w:val="7"/>
          <w:rFonts w:hint="eastAsia" w:ascii="仿宋_GB2312" w:hAnsi="仿宋_GB2312" w:eastAsia="仿宋_GB2312" w:cs="仿宋_GB2312"/>
          <w:color w:val="auto"/>
        </w:rPr>
        <w:t>1、一般公共预算支出</w:t>
      </w:r>
    </w:p>
    <w:p w14:paraId="3C1F0BFC">
      <w:pPr>
        <w:pStyle w:val="5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202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</w:rPr>
        <w:t>年高新区一般公共预算本级支出安排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6.7亿</w:t>
      </w:r>
      <w:r>
        <w:rPr>
          <w:rFonts w:hint="eastAsia" w:ascii="仿宋_GB2312" w:hAnsi="仿宋_GB2312" w:eastAsia="仿宋_GB2312" w:cs="仿宋_GB2312"/>
          <w:color w:val="auto"/>
        </w:rPr>
        <w:t>元，较202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</w:rPr>
        <w:t>年预算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增加8359</w:t>
      </w:r>
      <w:r>
        <w:rPr>
          <w:rFonts w:hint="eastAsia" w:ascii="仿宋_GB2312" w:hAnsi="仿宋_GB2312" w:eastAsia="仿宋_GB2312" w:cs="仿宋_GB2312"/>
          <w:color w:val="auto"/>
        </w:rPr>
        <w:t>万元。分项目安排情况为：</w:t>
      </w:r>
    </w:p>
    <w:p w14:paraId="1E9325A3">
      <w:pPr>
        <w:pStyle w:val="5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工资福利支出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19301万元</w:t>
      </w:r>
      <w:r>
        <w:rPr>
          <w:rFonts w:hint="eastAsia" w:ascii="仿宋_GB2312" w:hAnsi="仿宋_GB2312" w:eastAsia="仿宋_GB2312" w:cs="仿宋_GB2312"/>
          <w:color w:val="auto"/>
        </w:rPr>
        <w:t>元，增加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3603</w:t>
      </w:r>
      <w:r>
        <w:rPr>
          <w:rFonts w:hint="eastAsia" w:ascii="仿宋_GB2312" w:hAnsi="仿宋_GB2312" w:eastAsia="仿宋_GB2312" w:cs="仿宋_GB2312"/>
          <w:color w:val="auto"/>
        </w:rPr>
        <w:t>万元；</w:t>
      </w:r>
    </w:p>
    <w:p w14:paraId="56ED314B">
      <w:pPr>
        <w:pStyle w:val="5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商品和服务支出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382</w:t>
      </w:r>
      <w:r>
        <w:rPr>
          <w:rFonts w:hint="eastAsia" w:ascii="仿宋_GB2312" w:hAnsi="仿宋_GB2312" w:eastAsia="仿宋_GB2312" w:cs="仿宋_GB2312"/>
          <w:color w:val="auto"/>
        </w:rPr>
        <w:t>万元，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增加214</w:t>
      </w:r>
      <w:r>
        <w:rPr>
          <w:rFonts w:hint="eastAsia" w:ascii="仿宋_GB2312" w:hAnsi="仿宋_GB2312" w:eastAsia="仿宋_GB2312" w:cs="仿宋_GB2312"/>
          <w:color w:val="auto"/>
        </w:rPr>
        <w:t>万元；</w:t>
      </w:r>
    </w:p>
    <w:p w14:paraId="53019024">
      <w:pPr>
        <w:pStyle w:val="5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对个人和家庭补助401万元，增加68万元；</w:t>
      </w:r>
    </w:p>
    <w:p w14:paraId="212F751B">
      <w:pPr>
        <w:pStyle w:val="5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项目经费支出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4.3</w:t>
      </w:r>
      <w:r>
        <w:rPr>
          <w:rFonts w:hint="eastAsia" w:ascii="仿宋_GB2312" w:hAnsi="仿宋_GB2312" w:eastAsia="仿宋_GB2312" w:cs="仿宋_GB2312"/>
          <w:color w:val="auto"/>
        </w:rPr>
        <w:t>亿元，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增加2896</w:t>
      </w:r>
      <w:r>
        <w:rPr>
          <w:rFonts w:hint="eastAsia" w:ascii="仿宋_GB2312" w:hAnsi="仿宋_GB2312" w:eastAsia="仿宋_GB2312" w:cs="仿宋_GB2312"/>
          <w:color w:val="auto"/>
        </w:rPr>
        <w:t>万元；</w:t>
      </w:r>
    </w:p>
    <w:p w14:paraId="2FF3E5C2">
      <w:pPr>
        <w:pStyle w:val="5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预备费</w:t>
      </w:r>
      <w:r>
        <w:rPr>
          <w:rFonts w:hint="eastAsia" w:ascii="仿宋_GB2312" w:hAnsi="仿宋_GB2312" w:eastAsia="仿宋_GB2312" w:cs="仿宋_GB2312"/>
          <w:color w:val="auto"/>
        </w:rPr>
        <w:t>支出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700</w:t>
      </w:r>
      <w:r>
        <w:rPr>
          <w:rFonts w:hint="eastAsia" w:ascii="仿宋_GB2312" w:hAnsi="仿宋_GB2312" w:eastAsia="仿宋_GB2312" w:cs="仿宋_GB2312"/>
          <w:color w:val="auto"/>
        </w:rPr>
        <w:t>万元，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较上年减少300万元</w:t>
      </w:r>
      <w:r>
        <w:rPr>
          <w:rFonts w:hint="eastAsia" w:ascii="仿宋_GB2312" w:hAnsi="仿宋_GB2312" w:eastAsia="仿宋_GB2312" w:cs="仿宋_GB2312"/>
          <w:color w:val="auto"/>
        </w:rPr>
        <w:t>。</w:t>
      </w:r>
    </w:p>
    <w:p w14:paraId="20B4BDDF">
      <w:pPr>
        <w:pStyle w:val="5"/>
        <w:rPr>
          <w:rFonts w:hint="eastAsia" w:ascii="仿宋_GB2312" w:hAnsi="仿宋_GB2312" w:eastAsia="仿宋_GB2312" w:cs="仿宋_GB2312"/>
          <w:color w:val="auto"/>
        </w:rPr>
      </w:pPr>
      <w:r>
        <w:rPr>
          <w:rStyle w:val="7"/>
          <w:rFonts w:hint="eastAsia" w:ascii="仿宋_GB2312" w:hAnsi="仿宋_GB2312" w:eastAsia="仿宋_GB2312" w:cs="仿宋_GB2312"/>
          <w:color w:val="auto"/>
        </w:rPr>
        <w:t>2、转移性支出</w:t>
      </w:r>
    </w:p>
    <w:p w14:paraId="1BF1F7B0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</w:rPr>
        <w:t>转移性支出安排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3.0</w:t>
      </w:r>
      <w:r>
        <w:rPr>
          <w:rFonts w:hint="eastAsia" w:ascii="仿宋_GB2312" w:hAnsi="仿宋_GB2312" w:eastAsia="仿宋_GB2312" w:cs="仿宋_GB2312"/>
          <w:color w:val="auto"/>
        </w:rPr>
        <w:t>亿元，较202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</w:rPr>
        <w:t>年预算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增加4588万</w:t>
      </w:r>
      <w:r>
        <w:rPr>
          <w:rFonts w:hint="eastAsia" w:ascii="仿宋_GB2312" w:hAnsi="仿宋_GB2312" w:eastAsia="仿宋_GB2312" w:cs="仿宋_GB2312"/>
          <w:color w:val="auto"/>
        </w:rPr>
        <w:t>元。上解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上级支出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2.7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亿元。</w:t>
      </w:r>
    </w:p>
    <w:p w14:paraId="4CEFD0AE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Style w:val="7"/>
          <w:rFonts w:hint="eastAsia" w:ascii="仿宋_GB2312" w:hAnsi="仿宋_GB2312" w:eastAsia="仿宋_GB2312" w:cs="仿宋_GB2312"/>
          <w:color w:val="auto"/>
          <w:highlight w:val="none"/>
        </w:rPr>
        <w:t>3、基金预算支出</w:t>
      </w:r>
    </w:p>
    <w:p w14:paraId="1B23A0EF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年高新区基金预算支出安排当年支出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7.0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亿元，较202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年预算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减少6147万元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，结转下年支出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589万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元。</w:t>
      </w:r>
    </w:p>
    <w:p w14:paraId="4571D856">
      <w:pPr>
        <w:pStyle w:val="5"/>
        <w:rPr>
          <w:rFonts w:hint="eastAsia" w:ascii="仿宋_GB2312" w:hAnsi="仿宋_GB2312" w:eastAsia="仿宋_GB2312" w:cs="仿宋_GB2312"/>
          <w:color w:val="auto"/>
        </w:rPr>
      </w:pPr>
    </w:p>
    <w:p w14:paraId="638BCFB0">
      <w:pPr>
        <w:pStyle w:val="5"/>
        <w:ind w:firstLine="0"/>
        <w:rPr>
          <w:rFonts w:hint="eastAsia" w:ascii="仿宋_GB2312" w:hAnsi="仿宋_GB2312" w:eastAsia="仿宋_GB2312" w:cs="仿宋_GB2312"/>
          <w:color w:val="auto"/>
        </w:rPr>
      </w:pPr>
    </w:p>
    <w:p w14:paraId="1B8C4601">
      <w:pPr>
        <w:pStyle w:val="5"/>
        <w:ind w:firstLine="0"/>
        <w:rPr>
          <w:rFonts w:hint="eastAsia" w:ascii="仿宋_GB2312" w:hAnsi="仿宋_GB2312" w:eastAsia="仿宋_GB2312" w:cs="仿宋_GB2312"/>
          <w:color w:val="auto"/>
        </w:rPr>
      </w:pPr>
    </w:p>
    <w:p w14:paraId="2C6DE615">
      <w:pPr>
        <w:pStyle w:val="5"/>
        <w:ind w:firstLine="0"/>
        <w:rPr>
          <w:rFonts w:hint="eastAsia" w:ascii="仿宋_GB2312" w:hAnsi="仿宋_GB2312" w:eastAsia="仿宋_GB2312" w:cs="仿宋_GB2312"/>
          <w:color w:val="auto"/>
        </w:rPr>
      </w:pPr>
    </w:p>
    <w:p w14:paraId="3BB315EF">
      <w:pPr>
        <w:pStyle w:val="5"/>
        <w:ind w:firstLine="0"/>
        <w:rPr>
          <w:rFonts w:hint="eastAsia" w:ascii="仿宋_GB2312" w:hAnsi="仿宋_GB2312" w:eastAsia="仿宋_GB2312" w:cs="仿宋_GB2312"/>
          <w:color w:val="auto"/>
        </w:rPr>
      </w:pPr>
    </w:p>
    <w:p w14:paraId="1D597911">
      <w:pPr>
        <w:pStyle w:val="4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lang w:eastAsia="zh-CN"/>
        </w:rPr>
        <w:t>关于</w:t>
      </w:r>
      <w:r>
        <w:rPr>
          <w:rFonts w:hint="eastAsia" w:ascii="仿宋_GB2312" w:hAnsi="仿宋_GB2312" w:eastAsia="仿宋_GB2312" w:cs="仿宋_GB2312"/>
          <w:color w:val="auto"/>
        </w:rPr>
        <w:t>202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</w:rPr>
        <w:t>年高新区</w:t>
      </w:r>
    </w:p>
    <w:p w14:paraId="6A9BF692">
      <w:pPr>
        <w:pStyle w:val="4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一般公共预算收支情况的说明</w:t>
      </w:r>
    </w:p>
    <w:p w14:paraId="53F9B43B">
      <w:pPr>
        <w:pStyle w:val="5"/>
        <w:rPr>
          <w:rFonts w:hint="eastAsia" w:ascii="仿宋_GB2312" w:hAnsi="仿宋_GB2312" w:eastAsia="仿宋_GB2312" w:cs="仿宋_GB2312"/>
          <w:color w:val="auto"/>
        </w:rPr>
      </w:pPr>
    </w:p>
    <w:p w14:paraId="442B2383">
      <w:pPr>
        <w:pStyle w:val="5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202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</w:rPr>
        <w:t>年一般公共预算收入安排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7.7</w:t>
      </w:r>
      <w:r>
        <w:rPr>
          <w:rFonts w:hint="eastAsia" w:ascii="仿宋_GB2312" w:hAnsi="仿宋_GB2312" w:eastAsia="仿宋_GB2312" w:cs="仿宋_GB2312"/>
          <w:color w:val="auto"/>
        </w:rPr>
        <w:t>亿元，同比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增长5.4</w:t>
      </w:r>
      <w:r>
        <w:rPr>
          <w:rFonts w:hint="eastAsia" w:ascii="仿宋_GB2312" w:hAnsi="仿宋_GB2312" w:eastAsia="仿宋_GB2312" w:cs="仿宋_GB2312"/>
          <w:color w:val="auto"/>
        </w:rPr>
        <w:t>%。</w:t>
      </w:r>
    </w:p>
    <w:p w14:paraId="618349A6">
      <w:pPr>
        <w:pStyle w:val="5"/>
        <w:ind w:firstLine="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其中：税务部门5.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</w:rPr>
        <w:t>亿元，同比增长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5.8</w:t>
      </w:r>
      <w:r>
        <w:rPr>
          <w:rFonts w:hint="eastAsia" w:ascii="仿宋_GB2312" w:hAnsi="仿宋_GB2312" w:eastAsia="仿宋_GB2312" w:cs="仿宋_GB2312"/>
          <w:color w:val="auto"/>
        </w:rPr>
        <w:t>%；财政部门2.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</w:rPr>
        <w:t>亿元，同比增长4.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</w:rPr>
        <w:t>%。</w:t>
      </w:r>
    </w:p>
    <w:p w14:paraId="6609DFCF">
      <w:pPr>
        <w:pStyle w:val="5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202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</w:rPr>
        <w:t>年一般公共预算支出安排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6.7</w:t>
      </w:r>
      <w:r>
        <w:rPr>
          <w:rFonts w:hint="eastAsia" w:ascii="仿宋_GB2312" w:hAnsi="仿宋_GB2312" w:eastAsia="仿宋_GB2312" w:cs="仿宋_GB2312"/>
          <w:color w:val="auto"/>
        </w:rPr>
        <w:t>亿元，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转移性</w:t>
      </w:r>
      <w:r>
        <w:rPr>
          <w:rFonts w:hint="eastAsia" w:ascii="仿宋_GB2312" w:hAnsi="仿宋_GB2312" w:eastAsia="仿宋_GB2312" w:cs="仿宋_GB2312"/>
          <w:color w:val="auto"/>
        </w:rPr>
        <w:t>支出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</w:rPr>
        <w:t>亿元，一般公共预算支出合计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9.7</w:t>
      </w:r>
      <w:r>
        <w:rPr>
          <w:rFonts w:hint="eastAsia" w:ascii="仿宋_GB2312" w:hAnsi="仿宋_GB2312" w:eastAsia="仿宋_GB2312" w:cs="仿宋_GB2312"/>
          <w:color w:val="auto"/>
        </w:rPr>
        <w:t>亿元。</w:t>
      </w:r>
    </w:p>
    <w:p w14:paraId="323315A3">
      <w:pPr>
        <w:pStyle w:val="5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各主要项目具体情况如下：</w:t>
      </w:r>
    </w:p>
    <w:p w14:paraId="1B738E45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一般公共服务支出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1.3亿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元，同比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增长60.3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%。</w:t>
      </w:r>
    </w:p>
    <w:p w14:paraId="791EC57D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教育支出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1.3亿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元，同比增长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9.8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%。</w:t>
      </w:r>
    </w:p>
    <w:p w14:paraId="2D10CEFB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科学技术支出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1.3亿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元，同比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增长28.1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%。</w:t>
      </w:r>
    </w:p>
    <w:p w14:paraId="207C20E9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社会保障与就业支出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3991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减少0.3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%。</w:t>
      </w:r>
    </w:p>
    <w:p w14:paraId="4359AD42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卫生健康支出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1245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减少54%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。</w:t>
      </w:r>
    </w:p>
    <w:p w14:paraId="768A622C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城乡社区支出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1.4亿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元，同比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增长49.1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%。</w:t>
      </w:r>
    </w:p>
    <w:p w14:paraId="46A28EBF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农林水支出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3230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减少0.1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%。</w:t>
      </w:r>
    </w:p>
    <w:p w14:paraId="58549643">
      <w:pPr>
        <w:widowControl/>
        <w:jc w:val="left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br w:type="page"/>
      </w:r>
    </w:p>
    <w:p w14:paraId="64172497">
      <w:pPr>
        <w:pStyle w:val="4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lang w:eastAsia="zh-CN"/>
        </w:rPr>
        <w:t>关于</w:t>
      </w:r>
      <w:r>
        <w:rPr>
          <w:rFonts w:hint="eastAsia" w:ascii="仿宋_GB2312" w:hAnsi="仿宋_GB2312" w:eastAsia="仿宋_GB2312" w:cs="仿宋_GB2312"/>
          <w:color w:val="auto"/>
        </w:rPr>
        <w:t>202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</w:rPr>
        <w:t>年高新区</w:t>
      </w:r>
    </w:p>
    <w:p w14:paraId="4F89D556">
      <w:pPr>
        <w:pStyle w:val="4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政府性基金预算收支情况的说明</w:t>
      </w:r>
    </w:p>
    <w:p w14:paraId="2C4EBED2">
      <w:pPr>
        <w:pStyle w:val="5"/>
        <w:rPr>
          <w:rFonts w:hint="eastAsia" w:ascii="仿宋_GB2312" w:hAnsi="仿宋_GB2312" w:eastAsia="仿宋_GB2312" w:cs="仿宋_GB2312"/>
          <w:color w:val="auto"/>
        </w:rPr>
      </w:pPr>
    </w:p>
    <w:p w14:paraId="1294F063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年政府性基金收入预算安排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4.4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亿元，结余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2.6亿元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，可供安排资金共计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亿元。按照“以收定支、专款专用、集中财力、确保重点”的原则，安排202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年基金预算当年支出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亿元，结转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589万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元。</w:t>
      </w:r>
    </w:p>
    <w:p w14:paraId="3CECF868">
      <w:pPr>
        <w:widowControl/>
        <w:jc w:val="left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br w:type="page"/>
      </w:r>
    </w:p>
    <w:p w14:paraId="13CB3308">
      <w:pPr>
        <w:pStyle w:val="5"/>
        <w:rPr>
          <w:rFonts w:hint="eastAsia" w:ascii="仿宋_GB2312" w:hAnsi="仿宋_GB2312" w:eastAsia="仿宋_GB2312" w:cs="仿宋_GB2312"/>
          <w:color w:val="auto"/>
        </w:rPr>
      </w:pPr>
    </w:p>
    <w:p w14:paraId="03E50779">
      <w:pPr>
        <w:pStyle w:val="4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lang w:eastAsia="zh-CN"/>
        </w:rPr>
        <w:t>关于202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年高新区</w:t>
      </w:r>
    </w:p>
    <w:p w14:paraId="0B24EC2B">
      <w:pPr>
        <w:pStyle w:val="4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lang w:eastAsia="zh-CN"/>
        </w:rPr>
        <w:t>社会保险基金预算收支情况的说明</w:t>
      </w:r>
    </w:p>
    <w:p w14:paraId="2A512742">
      <w:pPr>
        <w:pStyle w:val="5"/>
        <w:rPr>
          <w:rFonts w:hint="eastAsia" w:ascii="仿宋_GB2312" w:hAnsi="仿宋_GB2312" w:eastAsia="仿宋_GB2312" w:cs="仿宋_GB2312"/>
          <w:color w:val="auto"/>
          <w:sz w:val="72"/>
          <w:szCs w:val="72"/>
          <w:highlight w:val="yellow"/>
        </w:rPr>
      </w:pPr>
    </w:p>
    <w:p w14:paraId="67A9E8D5">
      <w:pPr>
        <w:pStyle w:val="5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年高新区社会保险基金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并入文峰区，高新区不再编制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社会保险基金预算。</w:t>
      </w:r>
    </w:p>
    <w:p w14:paraId="3BB60909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C539D17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NWZmMDNkZDQzMzhiNWIxNzVmZDc1ODE3ZDA4YWYifQ=="/>
  </w:docVars>
  <w:rsids>
    <w:rsidRoot w:val="00A61009"/>
    <w:rsid w:val="001E1DFB"/>
    <w:rsid w:val="0024348F"/>
    <w:rsid w:val="002B7BDF"/>
    <w:rsid w:val="00305233"/>
    <w:rsid w:val="003675B3"/>
    <w:rsid w:val="003755EE"/>
    <w:rsid w:val="00390FB7"/>
    <w:rsid w:val="00467EA3"/>
    <w:rsid w:val="004A1DA0"/>
    <w:rsid w:val="004C5809"/>
    <w:rsid w:val="0050099B"/>
    <w:rsid w:val="00577D12"/>
    <w:rsid w:val="00581EA1"/>
    <w:rsid w:val="00663415"/>
    <w:rsid w:val="00880DBA"/>
    <w:rsid w:val="009E3D7F"/>
    <w:rsid w:val="00A61009"/>
    <w:rsid w:val="00D02121"/>
    <w:rsid w:val="01BC2847"/>
    <w:rsid w:val="077F6E7F"/>
    <w:rsid w:val="07D7613B"/>
    <w:rsid w:val="092F5D52"/>
    <w:rsid w:val="0C721829"/>
    <w:rsid w:val="0D6812C7"/>
    <w:rsid w:val="0F5243CF"/>
    <w:rsid w:val="115948FC"/>
    <w:rsid w:val="17610ABD"/>
    <w:rsid w:val="1C5B5C74"/>
    <w:rsid w:val="23DF16B8"/>
    <w:rsid w:val="25831B52"/>
    <w:rsid w:val="287E3A9E"/>
    <w:rsid w:val="29B904A0"/>
    <w:rsid w:val="2A0B49DA"/>
    <w:rsid w:val="303309A8"/>
    <w:rsid w:val="312F06CB"/>
    <w:rsid w:val="33EA785B"/>
    <w:rsid w:val="3448713E"/>
    <w:rsid w:val="346C7B0F"/>
    <w:rsid w:val="3D3004F4"/>
    <w:rsid w:val="3FAA11D0"/>
    <w:rsid w:val="43FC0561"/>
    <w:rsid w:val="44006D4C"/>
    <w:rsid w:val="45C55D97"/>
    <w:rsid w:val="46930C0C"/>
    <w:rsid w:val="475A73DA"/>
    <w:rsid w:val="4F006EB4"/>
    <w:rsid w:val="524C155F"/>
    <w:rsid w:val="55FF6E63"/>
    <w:rsid w:val="56BB723B"/>
    <w:rsid w:val="586C02DA"/>
    <w:rsid w:val="5D3B5327"/>
    <w:rsid w:val="5E4E2754"/>
    <w:rsid w:val="60971725"/>
    <w:rsid w:val="615A3602"/>
    <w:rsid w:val="61A11016"/>
    <w:rsid w:val="6673473F"/>
    <w:rsid w:val="6C861242"/>
    <w:rsid w:val="7106578A"/>
    <w:rsid w:val="75C11055"/>
    <w:rsid w:val="7AD56ED0"/>
    <w:rsid w:val="7C307917"/>
    <w:rsid w:val="7CD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标"/>
    <w:basedOn w:val="1"/>
    <w:autoRedefine/>
    <w:qFormat/>
    <w:uiPriority w:val="99"/>
    <w:pPr>
      <w:autoSpaceDE w:val="0"/>
      <w:autoSpaceDN w:val="0"/>
      <w:adjustRightInd w:val="0"/>
      <w:spacing w:line="596" w:lineRule="atLeast"/>
      <w:jc w:val="center"/>
      <w:textAlignment w:val="center"/>
    </w:pPr>
    <w:rPr>
      <w:rFonts w:ascii="方正大标宋_GBK" w:eastAsia="方正大标宋_GBK" w:cs="方正大标宋_GBK"/>
      <w:color w:val="000000"/>
      <w:kern w:val="0"/>
      <w:sz w:val="42"/>
      <w:szCs w:val="42"/>
      <w:lang w:val="zh-CN"/>
    </w:rPr>
  </w:style>
  <w:style w:type="paragraph" w:customStyle="1" w:styleId="5">
    <w:name w:val="内文"/>
    <w:basedOn w:val="1"/>
    <w:autoRedefine/>
    <w:qFormat/>
    <w:uiPriority w:val="99"/>
    <w:pPr>
      <w:autoSpaceDE w:val="0"/>
      <w:autoSpaceDN w:val="0"/>
      <w:adjustRightInd w:val="0"/>
      <w:spacing w:line="596" w:lineRule="atLeast"/>
      <w:ind w:firstLine="624"/>
      <w:textAlignment w:val="center"/>
    </w:pPr>
    <w:rPr>
      <w:rFonts w:ascii="方正仿宋简体" w:eastAsia="方正仿宋简体" w:cs="方正仿宋简体"/>
      <w:color w:val="000000"/>
      <w:kern w:val="0"/>
      <w:sz w:val="31"/>
      <w:szCs w:val="31"/>
      <w:lang w:val="zh-CN"/>
    </w:rPr>
  </w:style>
  <w:style w:type="character" w:customStyle="1" w:styleId="6">
    <w:name w:val="黑"/>
    <w:autoRedefine/>
    <w:qFormat/>
    <w:uiPriority w:val="99"/>
    <w:rPr>
      <w:rFonts w:ascii="方正黑体_GBK" w:eastAsia="方正黑体_GBK" w:cs="方正黑体_GBK"/>
    </w:rPr>
  </w:style>
  <w:style w:type="character" w:customStyle="1" w:styleId="7">
    <w:name w:val="楷"/>
    <w:autoRedefine/>
    <w:qFormat/>
    <w:uiPriority w:val="99"/>
    <w:rPr>
      <w:rFonts w:ascii="方正楷体_GBK" w:eastAsia="方正楷体_GBK" w:cs="方正楷体_GBK"/>
    </w:rPr>
  </w:style>
  <w:style w:type="paragraph" w:customStyle="1" w:styleId="8">
    <w:name w:val="[无段落样式]"/>
    <w:autoRedefine/>
    <w:qFormat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宋体 Std L" w:eastAsia="Adobe 宋体 Std L" w:cs="Adobe 宋体 Std L" w:hAnsiTheme="minorHAnsi"/>
      <w:color w:val="000000"/>
      <w:sz w:val="24"/>
      <w:szCs w:val="24"/>
      <w:lang w:val="zh-CN" w:eastAsia="zh-CN" w:bidi="ar-SA"/>
    </w:rPr>
  </w:style>
  <w:style w:type="paragraph" w:customStyle="1" w:styleId="9">
    <w:name w:val="表格黑"/>
    <w:basedOn w:val="8"/>
    <w:autoRedefine/>
    <w:qFormat/>
    <w:uiPriority w:val="99"/>
    <w:pPr>
      <w:spacing w:after="170" w:line="560" w:lineRule="atLeast"/>
      <w:jc w:val="center"/>
    </w:pPr>
    <w:rPr>
      <w:rFonts w:ascii="方正黑体_GBK" w:eastAsia="方正黑体_GBK" w:cs="方正黑体_GBK"/>
      <w:sz w:val="36"/>
      <w:szCs w:val="36"/>
    </w:rPr>
  </w:style>
  <w:style w:type="paragraph" w:customStyle="1" w:styleId="10">
    <w:name w:val="表格内文"/>
    <w:basedOn w:val="1"/>
    <w:autoRedefine/>
    <w:qFormat/>
    <w:uiPriority w:val="99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ascii="方正书宋_GBK" w:eastAsia="方正书宋_GBK" w:cs="方正书宋_GBK"/>
      <w:color w:val="000000"/>
      <w:kern w:val="0"/>
      <w:sz w:val="24"/>
      <w:szCs w:val="24"/>
      <w:lang w:val="zh-CN"/>
    </w:rPr>
  </w:style>
  <w:style w:type="paragraph" w:customStyle="1" w:styleId="11">
    <w:name w:val="表格左顶"/>
    <w:basedOn w:val="1"/>
    <w:autoRedefine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方正书宋_GBK" w:eastAsia="方正书宋_GBK" w:cs="方正书宋_GBK"/>
      <w:color w:val="000000"/>
      <w:kern w:val="0"/>
      <w:sz w:val="24"/>
      <w:szCs w:val="24"/>
      <w:lang w:val="zh-CN"/>
    </w:rPr>
  </w:style>
  <w:style w:type="paragraph" w:customStyle="1" w:styleId="12">
    <w:name w:val="表格居右"/>
    <w:basedOn w:val="10"/>
    <w:autoRedefine/>
    <w:qFormat/>
    <w:uiPriority w:val="99"/>
    <w:pPr>
      <w:jc w:val="right"/>
    </w:pPr>
  </w:style>
  <w:style w:type="paragraph" w:customStyle="1" w:styleId="13">
    <w:name w:val="[基本段落]"/>
    <w:basedOn w:val="8"/>
    <w:autoRedefine/>
    <w:qFormat/>
    <w:uiPriority w:val="99"/>
  </w:style>
  <w:style w:type="paragraph" w:customStyle="1" w:styleId="14">
    <w:name w:val="表格内文缩进2字"/>
    <w:basedOn w:val="10"/>
    <w:autoRedefine/>
    <w:qFormat/>
    <w:uiPriority w:val="99"/>
    <w:pPr>
      <w:ind w:firstLine="454"/>
      <w:jc w:val="both"/>
    </w:pPr>
  </w:style>
  <w:style w:type="paragraph" w:customStyle="1" w:styleId="15">
    <w:name w:val="表格-左"/>
    <w:basedOn w:val="10"/>
    <w:autoRedefine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1844</Words>
  <Characters>2266</Characters>
  <Lines>17</Lines>
  <Paragraphs>4</Paragraphs>
  <TotalTime>31</TotalTime>
  <ScaleCrop>false</ScaleCrop>
  <LinksUpToDate>false</LinksUpToDate>
  <CharactersWithSpaces>2283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2020-04-29T07:49:00Z</dcterms:created>
  <dc:creator>Windows</dc:creator>
  <cp:lastModifiedBy>放飞梦想</cp:lastModifiedBy>
  <dcterms:modified xsi:type="dcterms:W3CDTF">2026-03-31T03:40:08Z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232873286_btnclosed</vt:lpwstr>
  </property>
  <property fmtid="{D5CDD505-2E9C-101B-9397-08002B2CF9AE}" pid="4" name="ICV">
    <vt:lpwstr>99BF8E2513854C09A20C2D3262592F4E_13</vt:lpwstr>
  </property>
  <property fmtid="{D5CDD505-2E9C-101B-9397-08002B2CF9AE}" pid="5" name="KSOTemplateDocerSaveRecord">
    <vt:lpwstr>eyJoZGlkIjoiYjk2MWI1NmVlZTRiMjRmNmQ2NzQyZWJjZGRjYzM5MmMiLCJ1c2VySWQiOiI1NDk1NDA2MTkifQ==</vt:lpwstr>
  </property>
</Properties>
</file>