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03FD4">
      <w:pPr>
        <w:pStyle w:val="4"/>
        <w:rPr>
          <w:rFonts w:hint="eastAsia" w:ascii="仿宋_GB2312" w:hAnsi="仿宋_GB2312" w:eastAsia="仿宋_GB2312" w:cs="仿宋_GB2312"/>
          <w:color w:val="auto"/>
          <w:sz w:val="60"/>
          <w:szCs w:val="6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60"/>
          <w:szCs w:val="60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60"/>
          <w:szCs w:val="60"/>
          <w:highlight w:val="none"/>
        </w:rPr>
        <w:t>第三部分</w:t>
      </w:r>
    </w:p>
    <w:p w14:paraId="00EDB33F">
      <w:pP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  <w:t>高新区202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  <w:t>年财政预算执行情况及</w:t>
      </w:r>
    </w:p>
    <w:p w14:paraId="375BFC36">
      <w:pP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  <w:t>年财政预算（草案）</w:t>
      </w:r>
    </w:p>
    <w:p w14:paraId="5419BF0B">
      <w:pPr>
        <w:widowControl/>
        <w:jc w:val="left"/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w w:val="80"/>
          <w:sz w:val="60"/>
          <w:szCs w:val="60"/>
          <w:highlight w:val="none"/>
        </w:rPr>
        <w:br w:type="page"/>
      </w:r>
    </w:p>
    <w:p w14:paraId="1821C0CC"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关于2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/>
        </w:rPr>
        <w:t>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年高新区财政预算执行情况的说明</w:t>
      </w:r>
    </w:p>
    <w:p w14:paraId="4C4F0FD0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60F7D94C">
      <w:pPr>
        <w:pStyle w:val="5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/>
        </w:rPr>
        <w:t>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，在党工委、管委会的正确领导下，在市人大的依法监督下，高新区财政部门充分发挥财政职能作用，提升科学聚财理财能力，不断完善公共财政体系建设，为高新区经济和社会各项事业平稳较快发展提供财力保障。</w:t>
      </w:r>
    </w:p>
    <w:p w14:paraId="2CD49DF2">
      <w:pPr>
        <w:pStyle w:val="5"/>
        <w:rPr>
          <w:rFonts w:hint="eastAsia" w:ascii="黑体" w:hAnsi="黑体" w:eastAsia="黑体" w:cs="黑体"/>
          <w:color w:val="auto"/>
          <w:highlight w:val="none"/>
        </w:rPr>
      </w:pPr>
      <w:r>
        <w:rPr>
          <w:rStyle w:val="6"/>
          <w:rFonts w:hint="eastAsia" w:ascii="黑体" w:hAnsi="黑体" w:eastAsia="黑体" w:cs="黑体"/>
          <w:color w:val="auto"/>
          <w:highlight w:val="none"/>
        </w:rPr>
        <w:t>（一）202</w:t>
      </w:r>
      <w:r>
        <w:rPr>
          <w:rStyle w:val="6"/>
          <w:rFonts w:hint="eastAsia" w:ascii="黑体" w:hAnsi="黑体" w:eastAsia="黑体" w:cs="黑体"/>
          <w:color w:val="auto"/>
          <w:highlight w:val="none"/>
          <w:lang w:val="en-US" w:eastAsia="zh-CN"/>
        </w:rPr>
        <w:t>4</w:t>
      </w:r>
      <w:r>
        <w:rPr>
          <w:rStyle w:val="6"/>
          <w:rFonts w:hint="eastAsia" w:ascii="黑体" w:hAnsi="黑体" w:eastAsia="黑体" w:cs="黑体"/>
          <w:color w:val="auto"/>
          <w:highlight w:val="none"/>
        </w:rPr>
        <w:t>年一般公共预算执行情况</w:t>
      </w:r>
    </w:p>
    <w:p w14:paraId="1251FBBA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年高新区一般公共预算收入完成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7.7亿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增长7.5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%。其中：税收收入完成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4.8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亿元，占一般公共预算收入比重的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62.4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%，非税收入完成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亿元，占一般公共预算收入比重的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37.6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%。一般公共预算支出完成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下降6.1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02204A59">
      <w:pPr>
        <w:pStyle w:val="5"/>
        <w:rPr>
          <w:rStyle w:val="7"/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1、一般公共预算收</w:t>
      </w:r>
      <w:r>
        <w:rPr>
          <w:rStyle w:val="7"/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入</w:t>
      </w: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执行情况</w:t>
      </w: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ab/>
      </w:r>
    </w:p>
    <w:p w14:paraId="309CFA6D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增值税完成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95.9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下降17.4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25547CCF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企业所得税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5086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80.2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62B88EC0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个人所得税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2006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80.2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下降3.6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D93978A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城市维护建设税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2078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92.4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下降26.2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78B25F8D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土地增值税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7061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110.2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增长317.6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D8172A3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城镇土地使用税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4486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 xml:space="preserve">87.6 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%，同比下降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05E466F7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非税收入完成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亿元，为预算数的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122.6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同比增长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19.5%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p w14:paraId="5F31AA86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2、202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年一般公共预算支出执行情况</w:t>
      </w:r>
    </w:p>
    <w:p w14:paraId="273E02E1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高新区一般公共财政预算支出完成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亿元，完成调整预算数的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%。各主要项目具体情况如下：</w:t>
      </w:r>
    </w:p>
    <w:p w14:paraId="4DAB1CD3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5861万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下降54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 xml:space="preserve">%。 </w:t>
      </w:r>
    </w:p>
    <w:p w14:paraId="019689D0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城乡社区事务支出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8615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56B157DD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农林水事务支出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2628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下降22.3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 。</w:t>
      </w:r>
    </w:p>
    <w:p w14:paraId="00A50AC8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教育支出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1.4亿元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增长2.9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 。</w:t>
      </w:r>
    </w:p>
    <w:p w14:paraId="6A05EFB2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卫生健康支出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2329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增长63.7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2DB7A8BB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社会保障和就业支出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4163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增长10.7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3462090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1.3亿元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增长19.5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13E4EFE4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highlight w:val="none"/>
        </w:rPr>
        <w:t>（二）202</w:t>
      </w:r>
      <w:r>
        <w:rPr>
          <w:rStyle w:val="6"/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Style w:val="6"/>
          <w:rFonts w:hint="eastAsia" w:ascii="仿宋_GB2312" w:hAnsi="仿宋_GB2312" w:eastAsia="仿宋_GB2312" w:cs="仿宋_GB2312"/>
          <w:color w:val="auto"/>
          <w:highlight w:val="none"/>
        </w:rPr>
        <w:t>年政府性基金预算执行情况</w:t>
      </w:r>
    </w:p>
    <w:p w14:paraId="24E20305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年高新区政府性基金收入完成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下降27.6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%，完成预算数的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14.6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ED531C4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年高新区政府性基金支出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增长27.4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%，完成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/>
        </w:rPr>
        <w:t>调整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预算数的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91.7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254369E">
      <w:pPr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 w14:paraId="0819EED7">
      <w:pPr>
        <w:pStyle w:val="5"/>
        <w:spacing w:line="580" w:lineRule="atLeast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7F0EA11F"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关于202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年高新区财政预算的说明</w:t>
      </w:r>
    </w:p>
    <w:p w14:paraId="5895D6D7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15BF56E4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年，高新区以习近平新时代中国特色社会主义思想为指导，全面贯彻落实党的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二十大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highlight w:val="none"/>
        </w:rPr>
        <w:t>精神，坚持稳中求进工作总基调，按照高质量发展的要求,围绕市委、市政府决策部署，坚持以供给侧结构性改革为主线，落实积极的财政政策；既尽力而为、又量力而行，持续保障和改善民生，不断满足人民日益增长的美好生活需要,从严管控政府性债务，积极防范化解风险，促进经济社会持续健康发展。</w:t>
      </w:r>
    </w:p>
    <w:p w14:paraId="3468A3CF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highlight w:val="none"/>
        </w:rPr>
        <w:t>一、高新区收入预算</w:t>
      </w:r>
    </w:p>
    <w:p w14:paraId="17669701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年，高新区财政收入预算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减少1426万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元，具体情况是：</w:t>
      </w:r>
    </w:p>
    <w:p w14:paraId="408ACD15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1、一般公共预算收入</w:t>
      </w:r>
    </w:p>
    <w:p w14:paraId="2BC589F4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（1）202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年高新区一般公共预算预计收入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%。分部门情况是：</w:t>
      </w:r>
    </w:p>
    <w:p w14:paraId="2FBF29F8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税务部门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同比增长6.9%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；财政部门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2.4亿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增长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529D50DB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（2）转移性收入</w:t>
      </w:r>
    </w:p>
    <w:p w14:paraId="3D49B90B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转移性收入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2.8亿元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增加7127万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元。</w:t>
      </w:r>
    </w:p>
    <w:p w14:paraId="2FAE9F71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2、基金预算收入</w:t>
      </w:r>
    </w:p>
    <w:p w14:paraId="078AB4E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年高新区基金预算收入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亿元，较上年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减少1.3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</w:t>
      </w:r>
    </w:p>
    <w:p w14:paraId="5CA67780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6"/>
          <w:rFonts w:hint="eastAsia" w:ascii="仿宋_GB2312" w:hAnsi="仿宋_GB2312" w:eastAsia="仿宋_GB2312" w:cs="仿宋_GB2312"/>
          <w:color w:val="auto"/>
          <w:highlight w:val="none"/>
        </w:rPr>
        <w:t>二、高新区支出预算</w:t>
      </w:r>
    </w:p>
    <w:p w14:paraId="7219A9FD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年高新区财政预算支出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16.6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减少1426万元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。具体安排情况是：</w:t>
      </w:r>
    </w:p>
    <w:p w14:paraId="6E2CCD2B">
      <w:pPr>
        <w:pStyle w:val="5"/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1、一般公共预算支出</w:t>
      </w:r>
    </w:p>
    <w:p w14:paraId="63901594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年高新区一般公共预算本级支出安排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8.5亿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增加1.8亿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元。分项目安排情况为：</w:t>
      </w:r>
    </w:p>
    <w:p w14:paraId="1F761110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工资福利支出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1.7亿元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减少1901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万元；</w:t>
      </w:r>
    </w:p>
    <w:p w14:paraId="548B91EF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商品和服务支出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252万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减少130万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元；</w:t>
      </w:r>
    </w:p>
    <w:p w14:paraId="3CBBC11B">
      <w:pPr>
        <w:pStyle w:val="5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对个人和家庭补助599万元，增加198万元；</w:t>
      </w:r>
    </w:p>
    <w:p w14:paraId="00CAED52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项目经费支出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增加1.7亿元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；</w:t>
      </w:r>
    </w:p>
    <w:p w14:paraId="0EFE4828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预备费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1000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较上年增加300万元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p w14:paraId="232A83FC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2、转移性支出</w:t>
      </w:r>
    </w:p>
    <w:p w14:paraId="0598F5B6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转移性支出安排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减少6057万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元。上解上级支出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</w:t>
      </w:r>
    </w:p>
    <w:p w14:paraId="0C05ECC4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Style w:val="7"/>
          <w:rFonts w:hint="eastAsia" w:ascii="仿宋_GB2312" w:hAnsi="仿宋_GB2312" w:eastAsia="仿宋_GB2312" w:cs="仿宋_GB2312"/>
          <w:color w:val="auto"/>
          <w:highlight w:val="none"/>
        </w:rPr>
        <w:t>3、基金预算支出</w:t>
      </w:r>
    </w:p>
    <w:p w14:paraId="11E91004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年高新区基金预算支出安排当年支出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亿元，较202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年预算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减少1.3亿元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p w14:paraId="1D3DA712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1BB35F28">
      <w:pPr>
        <w:pStyle w:val="5"/>
        <w:ind w:firstLine="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7A4001D0">
      <w:pPr>
        <w:pStyle w:val="5"/>
        <w:ind w:firstLine="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05B1058A">
      <w:pPr>
        <w:pStyle w:val="5"/>
        <w:ind w:firstLine="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65124311">
      <w:pPr>
        <w:pStyle w:val="5"/>
        <w:ind w:firstLine="0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74B04ED8"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</w:t>
      </w:r>
    </w:p>
    <w:p w14:paraId="4B6FD54B"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一般公共预算收支情况的说明</w:t>
      </w:r>
    </w:p>
    <w:p w14:paraId="0C1F2EF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20713A4B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一般公共预算收入安排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561EDF1">
      <w:pPr>
        <w:pStyle w:val="5"/>
        <w:ind w:firstLine="0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其中：税务部门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6.9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%；财政部门2.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亿元，同比增长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4.1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67A29A01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本级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一般公共预算支出安排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8.5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转移性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亿元，一般公共预算支出合计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10.9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</w:t>
      </w:r>
    </w:p>
    <w:p w14:paraId="798668EC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各主要项目具体情况如下：</w:t>
      </w:r>
    </w:p>
    <w:p w14:paraId="305D9F77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一般公共服务支出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2.9亿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增长131.9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652FDC2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教育支出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1.3亿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元，同比增长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5632B88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科学技术支出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1.2亿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同比下降5.9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3E94F12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社会保障与就业支出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5477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增长37.2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61C22CF4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卫生健康支出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1605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增长28.9%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。</w:t>
      </w:r>
    </w:p>
    <w:p w14:paraId="43CA6431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城乡社区支出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1.3亿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下降10.9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0D9DE9AC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农林水支出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3415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万元，同比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增长5.7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%。</w:t>
      </w:r>
    </w:p>
    <w:p w14:paraId="4411D077">
      <w:pPr>
        <w:widowControl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 w14:paraId="552B4B21"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关于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</w:t>
      </w:r>
    </w:p>
    <w:p w14:paraId="06A65BF1">
      <w:pPr>
        <w:pStyle w:val="4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政府性基金预算收支情况的说明</w:t>
      </w:r>
    </w:p>
    <w:p w14:paraId="54062037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2065A5F3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年政府性基金收入预算安排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亿元，按照“以收定支、专款专用、集中财力、确保重点”的原则，安排202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年基金预算当年支出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5.7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亿元。</w:t>
      </w:r>
    </w:p>
    <w:p w14:paraId="18A0822D">
      <w:pPr>
        <w:widowControl/>
        <w:jc w:val="left"/>
        <w:rPr>
          <w:rFonts w:hint="eastAsia" w:ascii="仿宋_GB2312" w:hAnsi="仿宋_GB2312" w:eastAsia="仿宋_GB2312" w:cs="仿宋_GB2312"/>
          <w:color w:val="auto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br w:type="page"/>
      </w:r>
    </w:p>
    <w:p w14:paraId="370FC098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5D3558D7">
      <w:pPr>
        <w:pStyle w:val="4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关于202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年高新区</w:t>
      </w:r>
    </w:p>
    <w:p w14:paraId="3CBB64D0">
      <w:pPr>
        <w:pStyle w:val="4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社会保险基金预算收支情况的说明</w:t>
      </w:r>
    </w:p>
    <w:p w14:paraId="38B31A36">
      <w:pPr>
        <w:pStyle w:val="5"/>
        <w:rPr>
          <w:rFonts w:hint="eastAsia" w:ascii="仿宋_GB2312" w:hAnsi="仿宋_GB2312" w:eastAsia="仿宋_GB2312" w:cs="仿宋_GB2312"/>
          <w:color w:val="auto"/>
          <w:sz w:val="72"/>
          <w:szCs w:val="72"/>
          <w:highlight w:val="none"/>
        </w:rPr>
      </w:pPr>
    </w:p>
    <w:p w14:paraId="0149FDC7">
      <w:pPr>
        <w:pStyle w:val="5"/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highlight w:val="none"/>
        </w:rPr>
        <w:t>年高新区社会保险基金</w:t>
      </w: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并入文峰区，高新区不再编制</w:t>
      </w: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社会保险基金预算。</w:t>
      </w:r>
    </w:p>
    <w:p w14:paraId="45C31B17">
      <w:pPr>
        <w:pStyle w:val="5"/>
        <w:rPr>
          <w:rFonts w:hint="eastAsia" w:ascii="仿宋_GB2312" w:hAnsi="仿宋_GB2312" w:eastAsia="仿宋_GB2312" w:cs="仿宋_GB2312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NWZmMDNkZDQzMzhiNWIxNzVmZDc1ODE3ZDA4YWYifQ=="/>
  </w:docVars>
  <w:rsids>
    <w:rsidRoot w:val="00A61009"/>
    <w:rsid w:val="001E1DFB"/>
    <w:rsid w:val="0024348F"/>
    <w:rsid w:val="002B7BDF"/>
    <w:rsid w:val="00305233"/>
    <w:rsid w:val="003675B3"/>
    <w:rsid w:val="003755EE"/>
    <w:rsid w:val="00390FB7"/>
    <w:rsid w:val="00467EA3"/>
    <w:rsid w:val="004A1DA0"/>
    <w:rsid w:val="004C5809"/>
    <w:rsid w:val="0050099B"/>
    <w:rsid w:val="00577D12"/>
    <w:rsid w:val="00581EA1"/>
    <w:rsid w:val="00663415"/>
    <w:rsid w:val="00880DBA"/>
    <w:rsid w:val="009E3D7F"/>
    <w:rsid w:val="00A61009"/>
    <w:rsid w:val="00D02121"/>
    <w:rsid w:val="01BC2847"/>
    <w:rsid w:val="077F6E7F"/>
    <w:rsid w:val="07D7613B"/>
    <w:rsid w:val="092F5D52"/>
    <w:rsid w:val="0A0F2EA8"/>
    <w:rsid w:val="0C721829"/>
    <w:rsid w:val="0D6812C7"/>
    <w:rsid w:val="0F5243CF"/>
    <w:rsid w:val="115948FC"/>
    <w:rsid w:val="17610ABD"/>
    <w:rsid w:val="1C5B5C74"/>
    <w:rsid w:val="23DF16B8"/>
    <w:rsid w:val="25831B52"/>
    <w:rsid w:val="287E3A9E"/>
    <w:rsid w:val="29B904A0"/>
    <w:rsid w:val="2A0B49DA"/>
    <w:rsid w:val="303309A8"/>
    <w:rsid w:val="312F06CB"/>
    <w:rsid w:val="33EA785B"/>
    <w:rsid w:val="3448713E"/>
    <w:rsid w:val="346C7B0F"/>
    <w:rsid w:val="3505772E"/>
    <w:rsid w:val="3D5D5FDD"/>
    <w:rsid w:val="3FAA11D0"/>
    <w:rsid w:val="43FC0561"/>
    <w:rsid w:val="44006D4C"/>
    <w:rsid w:val="45B827F5"/>
    <w:rsid w:val="45C55D97"/>
    <w:rsid w:val="46930C0C"/>
    <w:rsid w:val="475A73DA"/>
    <w:rsid w:val="4D6879F2"/>
    <w:rsid w:val="4F006EB4"/>
    <w:rsid w:val="524C155F"/>
    <w:rsid w:val="55FF6E63"/>
    <w:rsid w:val="56BB723B"/>
    <w:rsid w:val="586C02DA"/>
    <w:rsid w:val="5D3B5327"/>
    <w:rsid w:val="5E2A1562"/>
    <w:rsid w:val="5E4E2754"/>
    <w:rsid w:val="60971725"/>
    <w:rsid w:val="615A3602"/>
    <w:rsid w:val="61A11016"/>
    <w:rsid w:val="6673473F"/>
    <w:rsid w:val="69C10692"/>
    <w:rsid w:val="6C861242"/>
    <w:rsid w:val="7106578A"/>
    <w:rsid w:val="74777CDB"/>
    <w:rsid w:val="75C11055"/>
    <w:rsid w:val="7AD56ED0"/>
    <w:rsid w:val="7C307917"/>
    <w:rsid w:val="7CDD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标"/>
    <w:basedOn w:val="1"/>
    <w:autoRedefine/>
    <w:qFormat/>
    <w:uiPriority w:val="99"/>
    <w:pPr>
      <w:autoSpaceDE w:val="0"/>
      <w:autoSpaceDN w:val="0"/>
      <w:adjustRightInd w:val="0"/>
      <w:spacing w:line="596" w:lineRule="atLeast"/>
      <w:jc w:val="center"/>
      <w:textAlignment w:val="center"/>
    </w:pPr>
    <w:rPr>
      <w:rFonts w:ascii="方正大标宋_GBK" w:eastAsia="方正大标宋_GBK" w:cs="方正大标宋_GBK"/>
      <w:color w:val="000000"/>
      <w:kern w:val="0"/>
      <w:sz w:val="42"/>
      <w:szCs w:val="42"/>
      <w:lang w:val="zh-CN"/>
    </w:rPr>
  </w:style>
  <w:style w:type="paragraph" w:customStyle="1" w:styleId="5">
    <w:name w:val="内文"/>
    <w:basedOn w:val="1"/>
    <w:autoRedefine/>
    <w:qFormat/>
    <w:uiPriority w:val="99"/>
    <w:pPr>
      <w:autoSpaceDE w:val="0"/>
      <w:autoSpaceDN w:val="0"/>
      <w:adjustRightInd w:val="0"/>
      <w:spacing w:line="596" w:lineRule="atLeast"/>
      <w:ind w:firstLine="624"/>
      <w:textAlignment w:val="center"/>
    </w:pPr>
    <w:rPr>
      <w:rFonts w:ascii="方正仿宋简体" w:eastAsia="方正仿宋简体" w:cs="方正仿宋简体"/>
      <w:color w:val="000000"/>
      <w:kern w:val="0"/>
      <w:sz w:val="31"/>
      <w:szCs w:val="31"/>
      <w:lang w:val="zh-CN"/>
    </w:rPr>
  </w:style>
  <w:style w:type="character" w:customStyle="1" w:styleId="6">
    <w:name w:val="黑"/>
    <w:autoRedefine/>
    <w:qFormat/>
    <w:uiPriority w:val="99"/>
    <w:rPr>
      <w:rFonts w:ascii="方正黑体_GBK" w:eastAsia="方正黑体_GBK" w:cs="方正黑体_GBK"/>
    </w:rPr>
  </w:style>
  <w:style w:type="character" w:customStyle="1" w:styleId="7">
    <w:name w:val="楷"/>
    <w:autoRedefine/>
    <w:qFormat/>
    <w:uiPriority w:val="99"/>
    <w:rPr>
      <w:rFonts w:ascii="方正楷体_GBK" w:eastAsia="方正楷体_GBK" w:cs="方正楷体_GBK"/>
    </w:rPr>
  </w:style>
  <w:style w:type="paragraph" w:customStyle="1" w:styleId="8">
    <w:name w:val="[无段落样式]"/>
    <w:autoRedefine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 w:hAnsiTheme="minorHAnsi"/>
      <w:color w:val="000000"/>
      <w:sz w:val="24"/>
      <w:szCs w:val="24"/>
      <w:lang w:val="zh-CN" w:eastAsia="zh-CN" w:bidi="ar-SA"/>
    </w:rPr>
  </w:style>
  <w:style w:type="paragraph" w:customStyle="1" w:styleId="9">
    <w:name w:val="表格黑"/>
    <w:basedOn w:val="8"/>
    <w:autoRedefine/>
    <w:qFormat/>
    <w:uiPriority w:val="99"/>
    <w:pPr>
      <w:spacing w:after="170" w:line="560" w:lineRule="atLeast"/>
      <w:jc w:val="center"/>
    </w:pPr>
    <w:rPr>
      <w:rFonts w:ascii="方正黑体_GBK" w:eastAsia="方正黑体_GBK" w:cs="方正黑体_GBK"/>
      <w:sz w:val="36"/>
      <w:szCs w:val="36"/>
    </w:rPr>
  </w:style>
  <w:style w:type="paragraph" w:customStyle="1" w:styleId="10">
    <w:name w:val="表格内文"/>
    <w:basedOn w:val="1"/>
    <w:autoRedefine/>
    <w:qFormat/>
    <w:uiPriority w:val="9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书宋_GBK" w:eastAsia="方正书宋_GBK" w:cs="方正书宋_GBK"/>
      <w:color w:val="000000"/>
      <w:kern w:val="0"/>
      <w:sz w:val="24"/>
      <w:szCs w:val="24"/>
      <w:lang w:val="zh-CN"/>
    </w:rPr>
  </w:style>
  <w:style w:type="paragraph" w:customStyle="1" w:styleId="11">
    <w:name w:val="表格左顶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方正书宋_GBK" w:eastAsia="方正书宋_GBK" w:cs="方正书宋_GBK"/>
      <w:color w:val="000000"/>
      <w:kern w:val="0"/>
      <w:sz w:val="24"/>
      <w:szCs w:val="24"/>
      <w:lang w:val="zh-CN"/>
    </w:rPr>
  </w:style>
  <w:style w:type="paragraph" w:customStyle="1" w:styleId="12">
    <w:name w:val="表格居右"/>
    <w:basedOn w:val="10"/>
    <w:autoRedefine/>
    <w:qFormat/>
    <w:uiPriority w:val="99"/>
    <w:pPr>
      <w:jc w:val="right"/>
    </w:pPr>
  </w:style>
  <w:style w:type="paragraph" w:customStyle="1" w:styleId="13">
    <w:name w:val="[基本段落]"/>
    <w:basedOn w:val="8"/>
    <w:autoRedefine/>
    <w:qFormat/>
    <w:uiPriority w:val="99"/>
  </w:style>
  <w:style w:type="paragraph" w:customStyle="1" w:styleId="14">
    <w:name w:val="表格内文缩进2字"/>
    <w:basedOn w:val="10"/>
    <w:autoRedefine/>
    <w:qFormat/>
    <w:uiPriority w:val="99"/>
    <w:pPr>
      <w:ind w:firstLine="454"/>
      <w:jc w:val="both"/>
    </w:pPr>
  </w:style>
  <w:style w:type="paragraph" w:customStyle="1" w:styleId="15">
    <w:name w:val="表格-左"/>
    <w:basedOn w:val="10"/>
    <w:autoRedefine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1684</Words>
  <Characters>2071</Characters>
  <Lines>17</Lines>
  <Paragraphs>4</Paragraphs>
  <TotalTime>123</TotalTime>
  <ScaleCrop>false</ScaleCrop>
  <LinksUpToDate>false</LinksUpToDate>
  <CharactersWithSpaces>2077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2020-04-29T07:49:00Z</dcterms:created>
  <dc:creator>Windows</dc:creator>
  <cp:lastModifiedBy>放飞梦想</cp:lastModifiedBy>
  <dcterms:modified xsi:type="dcterms:W3CDTF">2026-03-31T03:46:24Z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232873286_btnclosed</vt:lpwstr>
  </property>
  <property fmtid="{D5CDD505-2E9C-101B-9397-08002B2CF9AE}" pid="4" name="ICV">
    <vt:lpwstr>97224DBDE0824A05B359BF075638D64A_13</vt:lpwstr>
  </property>
  <property fmtid="{D5CDD505-2E9C-101B-9397-08002B2CF9AE}" pid="5" name="KSOTemplateDocerSaveRecord">
    <vt:lpwstr>eyJoZGlkIjoiYjk2MWI1NmVlZTRiMjRmNmQ2NzQyZWJjZGRjYzM5MmMiLCJ1c2VySWQiOiI1NDk1NDA2MTkifQ==</vt:lpwstr>
  </property>
</Properties>
</file>