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18A78">
      <w:pPr>
        <w:adjustRightInd w:val="0"/>
        <w:snapToGrid w:val="0"/>
        <w:spacing w:line="360" w:lineRule="auto"/>
        <w:ind w:firstLine="723" w:firstLineChars="200"/>
        <w:jc w:val="center"/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</w:rPr>
        <w:t>20</w:t>
      </w:r>
      <w:r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  <w:lang w:val="en-US" w:eastAsia="zh-CN"/>
        </w:rPr>
        <w:t>26</w:t>
      </w:r>
      <w:r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</w:rPr>
        <w:t>年</w:t>
      </w:r>
      <w:r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  <w:lang w:val="en-US" w:eastAsia="zh-CN"/>
        </w:rPr>
        <w:t>安阳市龙安区退役军人事务局</w:t>
      </w:r>
    </w:p>
    <w:p w14:paraId="2B578164">
      <w:pPr>
        <w:adjustRightInd w:val="0"/>
        <w:snapToGrid w:val="0"/>
        <w:spacing w:line="360" w:lineRule="auto"/>
        <w:ind w:firstLine="723" w:firstLineChars="200"/>
        <w:jc w:val="center"/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  <w:lang w:eastAsia="zh-CN"/>
        </w:rPr>
      </w:pPr>
      <w:r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</w:rPr>
        <w:t>部门预算</w:t>
      </w:r>
      <w:r>
        <w:rPr>
          <w:rFonts w:hint="eastAsia" w:ascii="方正小标宋简体" w:hAnsi="Times New Roman" w:eastAsia="方正小标宋简体"/>
          <w:b/>
          <w:bCs/>
          <w:sz w:val="36"/>
          <w:szCs w:val="36"/>
          <w:highlight w:val="none"/>
          <w:lang w:val="en-US" w:eastAsia="zh-CN"/>
        </w:rPr>
        <w:t>说明</w:t>
      </w:r>
    </w:p>
    <w:p w14:paraId="05805A12">
      <w:pPr>
        <w:kinsoku w:val="0"/>
        <w:overflowPunct w:val="0"/>
        <w:adjustRightInd w:val="0"/>
        <w:snapToGrid w:val="0"/>
        <w:spacing w:line="360" w:lineRule="auto"/>
        <w:ind w:left="101" w:right="3569" w:firstLine="640" w:firstLineChars="200"/>
        <w:rPr>
          <w:rFonts w:ascii="仿宋_GB2312" w:hAnsi="Times New Roman" w:eastAsia="仿宋_GB2312"/>
          <w:sz w:val="32"/>
          <w:szCs w:val="32"/>
          <w:highlight w:val="none"/>
        </w:rPr>
      </w:pPr>
    </w:p>
    <w:p w14:paraId="183547B6">
      <w:pPr>
        <w:kinsoku w:val="0"/>
        <w:overflowPunct w:val="0"/>
        <w:adjustRightInd w:val="0"/>
        <w:snapToGrid w:val="0"/>
        <w:spacing w:line="360" w:lineRule="auto"/>
        <w:ind w:left="-142" w:right="51" w:firstLine="39" w:firstLineChars="7"/>
        <w:jc w:val="center"/>
        <w:rPr>
          <w:rFonts w:ascii="黑体" w:hAnsi="Times New Roman" w:eastAsia="黑体" w:cs="黑体"/>
          <w:sz w:val="56"/>
          <w:szCs w:val="56"/>
          <w:highlight w:val="none"/>
        </w:rPr>
      </w:pPr>
      <w:r>
        <w:rPr>
          <w:rFonts w:hint="eastAsia" w:ascii="黑体" w:hAnsi="Times New Roman" w:eastAsia="黑体" w:cs="黑体"/>
          <w:sz w:val="56"/>
          <w:szCs w:val="56"/>
          <w:highlight w:val="none"/>
        </w:rPr>
        <w:t>目</w:t>
      </w:r>
      <w:r>
        <w:rPr>
          <w:rFonts w:ascii="黑体" w:hAnsi="Times New Roman" w:eastAsia="黑体" w:cs="黑体"/>
          <w:spacing w:val="2"/>
          <w:sz w:val="56"/>
          <w:szCs w:val="56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56"/>
          <w:szCs w:val="56"/>
          <w:highlight w:val="none"/>
        </w:rPr>
        <w:t>录</w:t>
      </w:r>
    </w:p>
    <w:p w14:paraId="544CF47B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第一部分</w:t>
      </w:r>
      <w:r>
        <w:rPr>
          <w:rFonts w:ascii="黑体" w:hAnsi="Times New Roman" w:eastAsia="黑体" w:cs="黑体"/>
          <w:sz w:val="32"/>
          <w:szCs w:val="32"/>
        </w:rPr>
        <w:t xml:space="preserve">  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>安阳市龙安区退役军人事务局部门</w:t>
      </w:r>
      <w:r>
        <w:rPr>
          <w:rFonts w:hint="eastAsia" w:ascii="黑体" w:hAnsi="Times New Roman" w:eastAsia="黑体" w:cs="黑体"/>
          <w:sz w:val="32"/>
          <w:szCs w:val="32"/>
        </w:rPr>
        <w:t>概况</w:t>
      </w:r>
    </w:p>
    <w:p w14:paraId="4C8535D7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一、主要职能</w:t>
      </w:r>
    </w:p>
    <w:p w14:paraId="72DB4BE2">
      <w:pPr>
        <w:kinsoku w:val="0"/>
        <w:overflowPunct w:val="0"/>
        <w:adjustRightInd w:val="0"/>
        <w:snapToGrid w:val="0"/>
        <w:spacing w:line="240" w:lineRule="auto"/>
        <w:ind w:right="0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单位所属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部门构成情况</w:t>
      </w:r>
    </w:p>
    <w:p w14:paraId="792F8519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第二部分</w:t>
      </w:r>
      <w:r>
        <w:rPr>
          <w:rFonts w:ascii="黑体" w:hAnsi="Times New Roman" w:eastAsia="黑体" w:cs="黑体"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>安阳市龙安区退役军人事务局</w:t>
      </w:r>
      <w:r>
        <w:rPr>
          <w:rFonts w:ascii="黑体" w:hAnsi="Times New Roman" w:eastAsia="黑体" w:cs="黑体"/>
          <w:sz w:val="32"/>
          <w:szCs w:val="32"/>
        </w:rPr>
        <w:t>20</w:t>
      </w:r>
      <w:r>
        <w:rPr>
          <w:rFonts w:hint="eastAsia" w:ascii="黑体" w:hAnsi="Times New Roman" w:eastAsia="黑体" w:cs="黑体"/>
          <w:sz w:val="32"/>
          <w:szCs w:val="32"/>
        </w:rPr>
        <w:t>2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Times New Roman" w:eastAsia="黑体" w:cs="黑体"/>
          <w:sz w:val="32"/>
          <w:szCs w:val="32"/>
        </w:rPr>
        <w:t>年度部门预算情况说明</w:t>
      </w:r>
    </w:p>
    <w:p w14:paraId="73985C89">
      <w:pPr>
        <w:kinsoku w:val="0"/>
        <w:overflowPunct w:val="0"/>
        <w:adjustRightInd w:val="0"/>
        <w:snapToGrid w:val="0"/>
        <w:spacing w:line="360" w:lineRule="auto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一、收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入支出预算</w:t>
      </w:r>
      <w:r>
        <w:rPr>
          <w:rFonts w:hint="eastAsia" w:ascii="仿宋_GB2312" w:hAnsi="Times New Roman" w:eastAsia="仿宋_GB2312" w:cs="仿宋_GB2312"/>
          <w:sz w:val="32"/>
          <w:szCs w:val="32"/>
        </w:rPr>
        <w:t>总体情况说明</w:t>
      </w:r>
    </w:p>
    <w:p w14:paraId="3D5213A8">
      <w:pPr>
        <w:kinsoku w:val="0"/>
        <w:overflowPunct w:val="0"/>
        <w:adjustRightInd w:val="0"/>
        <w:snapToGrid w:val="0"/>
        <w:spacing w:line="360" w:lineRule="auto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二、收入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预算</w:t>
      </w:r>
      <w:r>
        <w:rPr>
          <w:rFonts w:hint="eastAsia" w:ascii="仿宋_GB2312" w:hAnsi="Times New Roman" w:eastAsia="仿宋_GB2312" w:cs="仿宋_GB2312"/>
          <w:sz w:val="32"/>
          <w:szCs w:val="32"/>
        </w:rPr>
        <w:t>总体情况说明</w:t>
      </w:r>
    </w:p>
    <w:p w14:paraId="0E6457FE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三、支出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预算</w:t>
      </w:r>
      <w:r>
        <w:rPr>
          <w:rFonts w:hint="eastAsia" w:ascii="仿宋_GB2312" w:hAnsi="Times New Roman" w:eastAsia="仿宋_GB2312" w:cs="仿宋_GB2312"/>
          <w:sz w:val="32"/>
          <w:szCs w:val="32"/>
        </w:rPr>
        <w:t>总体情况说明</w:t>
      </w:r>
    </w:p>
    <w:p w14:paraId="6759021F">
      <w:pPr>
        <w:kinsoku w:val="0"/>
        <w:overflowPunct w:val="0"/>
        <w:adjustRightInd w:val="0"/>
        <w:snapToGrid w:val="0"/>
        <w:spacing w:line="360" w:lineRule="auto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四、财政拨款收支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预算</w:t>
      </w:r>
      <w:r>
        <w:rPr>
          <w:rFonts w:hint="eastAsia" w:ascii="仿宋_GB2312" w:hAnsi="Times New Roman" w:eastAsia="仿宋_GB2312" w:cs="仿宋_GB2312"/>
          <w:sz w:val="32"/>
          <w:szCs w:val="32"/>
        </w:rPr>
        <w:t>总体情况说明</w:t>
      </w:r>
    </w:p>
    <w:p w14:paraId="01D46861">
      <w:pPr>
        <w:kinsoku w:val="0"/>
        <w:overflowPunct w:val="0"/>
        <w:adjustRightInd w:val="0"/>
        <w:snapToGrid w:val="0"/>
        <w:spacing w:line="360" w:lineRule="auto"/>
        <w:jc w:val="left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五、一般公共预算支出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预算</w:t>
      </w:r>
      <w:r>
        <w:rPr>
          <w:rFonts w:hint="eastAsia" w:ascii="仿宋_GB2312" w:hAnsi="Times New Roman" w:eastAsia="仿宋_GB2312" w:cs="仿宋_GB2312"/>
          <w:sz w:val="32"/>
          <w:szCs w:val="32"/>
        </w:rPr>
        <w:t>情况说明</w:t>
      </w:r>
    </w:p>
    <w:p w14:paraId="13C48F97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六、一般公共预算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基本</w:t>
      </w:r>
      <w:r>
        <w:rPr>
          <w:rFonts w:hint="eastAsia" w:ascii="仿宋_GB2312" w:hAnsi="Times New Roman" w:eastAsia="仿宋_GB2312" w:cs="仿宋_GB2312"/>
          <w:sz w:val="32"/>
          <w:szCs w:val="32"/>
        </w:rPr>
        <w:t>支出情况说明</w:t>
      </w:r>
    </w:p>
    <w:p w14:paraId="32B935CE">
      <w:pPr>
        <w:kinsoku w:val="0"/>
        <w:overflowPunct w:val="0"/>
        <w:adjustRightInd w:val="0"/>
        <w:snapToGrid w:val="0"/>
        <w:spacing w:line="360" w:lineRule="auto"/>
        <w:jc w:val="left"/>
        <w:rPr>
          <w:rFonts w:hint="eastAsia" w:ascii="仿宋_GB2312" w:hAnsi="Times New Roman" w:eastAsia="仿宋_GB2312" w:cs="仿宋_GB2312"/>
          <w:sz w:val="32"/>
          <w:szCs w:val="32"/>
          <w:lang w:eastAsia="zh-CN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七、一般公共预算“三公”经费支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出预算情况说明</w:t>
      </w:r>
    </w:p>
    <w:p w14:paraId="4001A19C">
      <w:pPr>
        <w:kinsoku w:val="0"/>
        <w:overflowPunct w:val="0"/>
        <w:adjustRightInd w:val="0"/>
        <w:snapToGrid w:val="0"/>
        <w:spacing w:line="360" w:lineRule="auto"/>
        <w:jc w:val="left"/>
        <w:rPr>
          <w:rFonts w:hint="eastAsia" w:ascii="仿宋_GB2312" w:hAnsi="Times New Roman" w:eastAsia="仿宋_GB2312" w:cs="仿宋_GB2312"/>
          <w:sz w:val="32"/>
          <w:szCs w:val="32"/>
          <w:lang w:eastAsia="zh-CN"/>
        </w:rPr>
      </w:pPr>
      <w:r>
        <w:rPr>
          <w:rFonts w:ascii="仿宋_GB2312" w:hAnsi="Times New Roman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</w:rPr>
        <w:t>八、政府性基金预算支出情况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说明</w:t>
      </w:r>
    </w:p>
    <w:p w14:paraId="550C4269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eastAsia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九</w:t>
      </w:r>
      <w:r>
        <w:rPr>
          <w:rFonts w:hint="eastAsia" w:ascii="仿宋_GB2312" w:hAnsi="Times New Roman" w:eastAsia="仿宋_GB2312" w:cs="仿宋_GB2312"/>
          <w:sz w:val="32"/>
          <w:szCs w:val="32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其他重要事项的情况说明</w:t>
      </w:r>
    </w:p>
    <w:p w14:paraId="752E3459">
      <w:pPr>
        <w:kinsoku w:val="0"/>
        <w:overflowPunct w:val="0"/>
        <w:adjustRightInd w:val="0"/>
        <w:snapToGrid w:val="0"/>
        <w:spacing w:line="360" w:lineRule="auto"/>
        <w:ind w:right="521" w:firstLine="640" w:firstLineChars="200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第三部</w:t>
      </w:r>
      <w:r>
        <w:rPr>
          <w:rFonts w:hint="eastAsia" w:ascii="黑体" w:hAnsi="Times New Roman" w:eastAsia="黑体" w:cs="黑体"/>
          <w:b/>
          <w:bCs/>
          <w:sz w:val="32"/>
          <w:szCs w:val="32"/>
          <w:highlight w:val="none"/>
        </w:rPr>
        <w:t>分</w:t>
      </w:r>
      <w:r>
        <w:rPr>
          <w:rFonts w:ascii="黑体" w:hAnsi="Times New Roman" w:eastAsia="黑体" w:cs="黑体"/>
          <w:b/>
          <w:bCs/>
          <w:spacing w:val="-32"/>
          <w:sz w:val="32"/>
          <w:szCs w:val="32"/>
          <w:highlight w:val="none"/>
        </w:rPr>
        <w:t xml:space="preserve"> 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名词解释</w:t>
      </w:r>
    </w:p>
    <w:p w14:paraId="51436E5F">
      <w:pPr>
        <w:kinsoku w:val="0"/>
        <w:overflowPunct w:val="0"/>
        <w:adjustRightInd w:val="0"/>
        <w:snapToGrid w:val="0"/>
        <w:spacing w:line="360" w:lineRule="auto"/>
        <w:ind w:firstLine="630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安阳市龙安区退役军人事务局</w:t>
      </w:r>
      <w:r>
        <w:rPr>
          <w:rFonts w:ascii="黑体" w:hAnsi="Times New Roman" w:eastAsia="黑体" w:cs="黑体"/>
          <w:sz w:val="32"/>
          <w:szCs w:val="32"/>
        </w:rPr>
        <w:t>20</w:t>
      </w:r>
      <w:r>
        <w:rPr>
          <w:rFonts w:hint="eastAsia" w:ascii="黑体" w:hAnsi="Times New Roman" w:eastAsia="黑体" w:cs="黑体"/>
          <w:sz w:val="32"/>
          <w:szCs w:val="32"/>
        </w:rPr>
        <w:t>2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Times New Roman" w:eastAsia="黑体" w:cs="黑体"/>
          <w:sz w:val="32"/>
          <w:szCs w:val="32"/>
        </w:rPr>
        <w:t>年部门预算表</w:t>
      </w:r>
    </w:p>
    <w:p w14:paraId="0083F19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2026年部门收支预算表</w:t>
      </w:r>
    </w:p>
    <w:p w14:paraId="3CBD2AC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2026年部门收入预算表</w:t>
      </w:r>
    </w:p>
    <w:p w14:paraId="20424356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2026年部门支出预算表</w:t>
      </w:r>
    </w:p>
    <w:p w14:paraId="60CB8CD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四、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财政拨款收支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1A28005C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五、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一般公共预算支出预算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表</w:t>
      </w:r>
    </w:p>
    <w:p w14:paraId="7E51803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1600" w:leftChars="0" w:right="0" w:hanging="1600" w:hangingChars="5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六、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2026年一般公共预算基本支出表</w:t>
      </w:r>
    </w:p>
    <w:p w14:paraId="05C2592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2026年支出经济分类汇总表</w:t>
      </w:r>
    </w:p>
    <w:p w14:paraId="280B3CD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八、2026年一般公共预算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“三公”经费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0E36772F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九、2026年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政府性基金预算支出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3730DA55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十、2026年项目支出预算表</w:t>
      </w:r>
    </w:p>
    <w:p w14:paraId="231FC656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十一、2026年部门（单位）整体绩效目标表</w:t>
      </w:r>
    </w:p>
    <w:p w14:paraId="4CA50C9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十二、2026年部门预算项目绩效目标表</w:t>
      </w:r>
    </w:p>
    <w:p w14:paraId="10ED6127">
      <w:pPr>
        <w:adjustRightInd w:val="0"/>
        <w:snapToGrid w:val="0"/>
        <w:spacing w:line="360" w:lineRule="auto"/>
        <w:jc w:val="both"/>
        <w:rPr>
          <w:rFonts w:hint="eastAsia" w:ascii="黑体" w:hAnsi="黑体" w:eastAsia="黑体"/>
          <w:sz w:val="36"/>
          <w:szCs w:val="36"/>
          <w:highlight w:val="none"/>
        </w:rPr>
      </w:pPr>
    </w:p>
    <w:p w14:paraId="785C449C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7DB0AC96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7E4A3A33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1A9263F3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17BAE964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52EEF80B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2F76E4C7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5650A023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242E6395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6"/>
          <w:szCs w:val="36"/>
          <w:highlight w:val="none"/>
        </w:rPr>
      </w:pPr>
    </w:p>
    <w:p w14:paraId="34FBAACA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  <w:szCs w:val="36"/>
          <w:highlight w:val="none"/>
        </w:rPr>
      </w:pPr>
      <w:r>
        <w:rPr>
          <w:rFonts w:hint="eastAsia" w:ascii="黑体" w:hAnsi="黑体" w:eastAsia="黑体"/>
          <w:sz w:val="36"/>
          <w:szCs w:val="36"/>
          <w:highlight w:val="none"/>
        </w:rPr>
        <w:t>第一部分</w:t>
      </w:r>
    </w:p>
    <w:p w14:paraId="6CDC3446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bCs/>
          <w:sz w:val="32"/>
          <w:szCs w:val="32"/>
          <w:highlight w:val="none"/>
          <w:lang w:val="en-US" w:eastAsia="zh-CN"/>
        </w:rPr>
        <w:t>安阳市龙安区退役军人事务局</w:t>
      </w:r>
      <w:r>
        <w:rPr>
          <w:rFonts w:hint="eastAsia" w:ascii="黑体" w:hAnsi="黑体" w:eastAsia="黑体"/>
          <w:b/>
          <w:bCs/>
          <w:sz w:val="32"/>
          <w:szCs w:val="32"/>
          <w:highlight w:val="none"/>
          <w:lang w:eastAsia="zh-CN"/>
        </w:rPr>
        <w:t>部门</w:t>
      </w:r>
      <w:r>
        <w:rPr>
          <w:rFonts w:hint="eastAsia" w:ascii="黑体" w:hAnsi="黑体" w:eastAsia="黑体"/>
          <w:b/>
          <w:bCs/>
          <w:sz w:val="32"/>
          <w:szCs w:val="32"/>
          <w:highlight w:val="none"/>
        </w:rPr>
        <w:t>概</w:t>
      </w:r>
      <w:r>
        <w:rPr>
          <w:rFonts w:hint="eastAsia" w:ascii="黑体" w:hAnsi="黑体" w:eastAsia="黑体"/>
          <w:sz w:val="32"/>
          <w:szCs w:val="32"/>
          <w:highlight w:val="none"/>
        </w:rPr>
        <w:t>况</w:t>
      </w:r>
    </w:p>
    <w:p w14:paraId="78DF1829">
      <w:pPr>
        <w:adjustRightInd w:val="0"/>
        <w:snapToGrid w:val="0"/>
        <w:spacing w:line="360" w:lineRule="auto"/>
        <w:jc w:val="both"/>
        <w:rPr>
          <w:rFonts w:ascii="黑体" w:hAnsi="黑体" w:eastAsia="黑体"/>
          <w:sz w:val="32"/>
          <w:szCs w:val="32"/>
        </w:rPr>
      </w:pPr>
    </w:p>
    <w:p w14:paraId="71E803DE"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部门主要职责</w:t>
      </w:r>
    </w:p>
    <w:p w14:paraId="69AC6014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(一)拟订我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关于退役军人思想政治、管理保障和安置优抚等工作的政策措施并组织实施，组织起草相关规范性文件，褒扬彰显退役军人为党、国家和人民牺牲奉献的精神风范和价值导向。</w:t>
      </w:r>
    </w:p>
    <w:p w14:paraId="3FA52E92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(二)负责军队转业干部、复员干部、离休退休干部、退役士兵和无军籍退休退职职工的移交安置工作和自主择业、就业退役军人服务管理工作。</w:t>
      </w:r>
    </w:p>
    <w:p w14:paraId="65964C99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(三)组织指导退役军人教育培训工作，协调扶持退役军人和随军随调家属就业创业。</w:t>
      </w:r>
    </w:p>
    <w:p w14:paraId="7203D893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(四)会同有关部门制定退役军人特殊保障政策并组织落实。</w:t>
      </w:r>
    </w:p>
    <w:p w14:paraId="5C711442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(五)组织协调落实移交地方的离休退休军人，符合条件的其他退役军人和无军籍退休退职职工的住房保障工作，以及退役军人医疗保障、社会保险等待遇保障工作。</w:t>
      </w:r>
    </w:p>
    <w:p w14:paraId="67407CEE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(六)组织指导伤病残退役军人服务管理和抚恤工作，拟订退役军人医疗、疗养、养老等机构的规划政策并组织实施。承担不适宜继续服役的伤病残军人相关工作。组织指导军供服务保障工作。</w:t>
      </w:r>
    </w:p>
    <w:p w14:paraId="57E1B31D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(七)组织指导全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拥军优属工作。负责现役军人、退役军人、军队文职人员和军属优待、抚恤等工作，落实国家关于国民党抗战老兵等有关人员优待政策。</w:t>
      </w:r>
    </w:p>
    <w:p w14:paraId="2C5B2681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八)负责烈士及退役军人荣誉奖励、军人公墓管理维护、纪念活动等工作，依法承担英雄烈士保护相关工作，审核拟列入全市重点保护单位的烈士纪念建筑物名录，承办烈士纪念设施保护事宜，总结表彰和宣扬退役军人、退役军人工作单位和个人先进典型事迹。</w:t>
      </w:r>
    </w:p>
    <w:p w14:paraId="2A8A86D7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(九)指导并监督检查退役军人相关法律法规和政策措施的落实，组织开展退役军人权益维护和有关人员的帮扶援助工作。</w:t>
      </w:r>
    </w:p>
    <w:p w14:paraId="01A9D4C8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(十)承担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双拥工作领导小组和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军队转业干部安置工作领导小组的日常工作。</w:t>
      </w:r>
    </w:p>
    <w:p w14:paraId="076BA5F5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(十一)完成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委、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政府交办的其他任务。</w:t>
      </w:r>
    </w:p>
    <w:p w14:paraId="53E8FC63"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(十二)职能转变。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退役军人事务局应加强退役军人思想政治工作和服务保障体系建设，建立健全集中统一，职责清晰的退役军人管理保障体制，协调各方力量更好为军人军属服务，维护军人军属合法权益，让军人成为全社会尊崇的职业，褒扬彰显退役军人为党、国家和人民牺牲奉献的精神风范喝价值导向，更好地为增强部队战斗力和凝聚力做好组织保障。</w:t>
      </w:r>
    </w:p>
    <w:p w14:paraId="09E34F92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仿宋_GB2312" w:hAnsi="Times New Roman" w:eastAsia="仿宋_GB2312" w:cs="仿宋_GB2312"/>
          <w:b/>
          <w:bCs/>
          <w:sz w:val="32"/>
          <w:szCs w:val="32"/>
          <w:highlight w:val="none"/>
        </w:rPr>
        <w:t>预算</w:t>
      </w:r>
      <w:r>
        <w:rPr>
          <w:rFonts w:hint="eastAsia" w:ascii="仿宋_GB2312" w:hAnsi="Times New Roman" w:eastAsia="仿宋_GB2312" w:cs="仿宋_GB2312"/>
          <w:b/>
          <w:bCs/>
          <w:sz w:val="32"/>
          <w:szCs w:val="32"/>
          <w:highlight w:val="none"/>
          <w:lang w:eastAsia="zh-CN"/>
        </w:rPr>
        <w:t>部门构成情况</w:t>
      </w:r>
    </w:p>
    <w:p w14:paraId="2E8B34D7">
      <w:pPr>
        <w:pStyle w:val="2"/>
        <w:spacing w:line="360" w:lineRule="auto"/>
        <w:ind w:firstLine="60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安阳市龙安区退役军人事务局内设机构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3个，包括：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综合办公室、就业安置与权益维护股、优抚褒扬股。</w:t>
      </w:r>
    </w:p>
    <w:p w14:paraId="28FC7F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从预算部门构成看，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安阳市龙安区退役军人事务局部门预算包括：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本级预算、所属单位预算。</w:t>
      </w:r>
    </w:p>
    <w:p w14:paraId="196F46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本部门预算为汇总预算，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纳入本部门 2025年度部门预算编制范围的部门共1个，其中二级预算单位1个，具体是：</w:t>
      </w:r>
    </w:p>
    <w:p w14:paraId="2CDAF610">
      <w:pPr>
        <w:kinsoku w:val="0"/>
        <w:overflowPunct w:val="0"/>
        <w:adjustRightInd w:val="0"/>
        <w:snapToGrid w:val="0"/>
        <w:spacing w:line="360" w:lineRule="auto"/>
        <w:ind w:firstLine="300" w:firstLineChars="200"/>
        <w:rPr>
          <w:rFonts w:ascii="Times New Roman" w:hAnsi="Times New Roman" w:eastAsia="仿宋_GB2312"/>
          <w:color w:val="000000" w:themeColor="text1"/>
          <w:sz w:val="15"/>
          <w:szCs w:val="15"/>
          <w:highlight w:val="none"/>
          <w14:textFill>
            <w14:solidFill>
              <w14:schemeClr w14:val="tx1"/>
            </w14:solidFill>
          </w14:textFill>
        </w:rPr>
      </w:pPr>
    </w:p>
    <w:p w14:paraId="54335081">
      <w:pPr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761" w:firstLine="356"/>
        <w:jc w:val="left"/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Courier New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安阳市</w:t>
      </w:r>
      <w:r>
        <w:rPr>
          <w:rFonts w:hint="eastAsia" w:ascii="仿宋_GB2312" w:hAnsi="宋体" w:eastAsia="仿宋_GB2312" w:cs="Courier New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龙安区退役军人</w:t>
      </w:r>
      <w:r>
        <w:rPr>
          <w:rFonts w:hint="eastAsia" w:ascii="仿宋_GB2312" w:hAnsi="宋体" w:eastAsia="仿宋_GB2312" w:cs="Courier New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事务</w:t>
      </w:r>
      <w:r>
        <w:rPr>
          <w:rFonts w:hint="eastAsia" w:ascii="仿宋_GB2312" w:hAnsi="宋体" w:eastAsia="仿宋_GB2312" w:cs="Courier New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局（</w:t>
      </w:r>
      <w:r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机关本级</w:t>
      </w:r>
      <w:r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386E180">
      <w:pPr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761" w:firstLine="356"/>
        <w:jc w:val="left"/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安阳市龙安区退役军人服务中心</w:t>
      </w:r>
      <w:r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二级</w:t>
      </w:r>
      <w:r>
        <w:rPr>
          <w:rFonts w:hint="eastAsia" w:ascii="仿宋_GB2312" w:hAnsi="Times New Roman" w:eastAsia="仿宋_GB2312" w:cs="仿宋_GB2312"/>
          <w:color w:val="000000" w:themeColor="text1"/>
          <w:spacing w:val="-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306F5B59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2F8B4070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7E3A19D4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089AED5F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3736DB80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23D5DB09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4057285E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7AACFE42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07926DE1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70C5D930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1BCFC262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595A519F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0D68010D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2C45B4C6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58752D4C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69BA61D4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2E8A0F50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32676CE8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7A6F619D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25DEF928">
      <w:pPr>
        <w:adjustRightInd w:val="0"/>
        <w:snapToGrid w:val="0"/>
        <w:spacing w:line="360" w:lineRule="auto"/>
        <w:jc w:val="both"/>
        <w:rPr>
          <w:rFonts w:ascii="黑体" w:hAnsi="Times New Roman" w:eastAsia="黑体" w:cs="黑体"/>
          <w:sz w:val="32"/>
          <w:szCs w:val="32"/>
        </w:rPr>
      </w:pPr>
    </w:p>
    <w:p w14:paraId="750F17AC">
      <w:pPr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spacing w:val="-38"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第二部分</w:t>
      </w:r>
    </w:p>
    <w:p w14:paraId="5A75C4EB">
      <w:pPr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年度部门预算情况说明</w:t>
      </w:r>
    </w:p>
    <w:p w14:paraId="27C4602A">
      <w:pPr>
        <w:adjustRightInd w:val="0"/>
        <w:snapToGrid w:val="0"/>
        <w:spacing w:line="360" w:lineRule="auto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 w14:paraId="116BCBC7">
      <w:pPr>
        <w:adjustRightInd w:val="0"/>
        <w:snapToGrid w:val="0"/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入</w:t>
      </w:r>
      <w:r>
        <w:rPr>
          <w:rFonts w:hint="eastAsia" w:ascii="黑体" w:hAnsi="黑体" w:eastAsia="黑体"/>
          <w:sz w:val="32"/>
          <w:szCs w:val="32"/>
        </w:rPr>
        <w:t>支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出预算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</w:t>
      </w:r>
    </w:p>
    <w:p w14:paraId="22C029D6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安阳市龙安区退役军人事务局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年收入总计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2747.37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万元，支出总计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2747.37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万元，与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相比，收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支总计各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减少650.82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减少19.15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。主要原因：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优抚对象人员数量减少，需求资金量减少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</w:p>
    <w:p w14:paraId="00C94D85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二、收入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</w:t>
      </w:r>
    </w:p>
    <w:p w14:paraId="1EE332CB"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Times New Roman" w:eastAsia="仿宋_GB2312"/>
          <w:sz w:val="32"/>
          <w:szCs w:val="32"/>
        </w:rPr>
        <w:t>年收入合计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2747.37</w:t>
      </w:r>
      <w:r>
        <w:rPr>
          <w:rFonts w:hint="eastAsia" w:ascii="仿宋_GB2312" w:hAnsi="Times New Roman" w:eastAsia="仿宋_GB2312"/>
          <w:sz w:val="32"/>
          <w:szCs w:val="32"/>
        </w:rPr>
        <w:t>万元，其中：一般公共预算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2747.37</w:t>
      </w:r>
      <w:r>
        <w:rPr>
          <w:rFonts w:hint="eastAsia" w:ascii="仿宋_GB2312" w:hAnsi="Times New Roman" w:eastAsia="仿宋_GB2312"/>
          <w:sz w:val="32"/>
          <w:szCs w:val="32"/>
        </w:rPr>
        <w:t>万元; 政府性基金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预算0</w:t>
      </w:r>
      <w:r>
        <w:rPr>
          <w:rFonts w:hint="eastAsia" w:ascii="仿宋_GB2312" w:hAnsi="Times New Roman" w:eastAsia="仿宋_GB2312"/>
          <w:sz w:val="32"/>
          <w:szCs w:val="32"/>
        </w:rPr>
        <w:t>万元；专户管理的教育收费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万元；国有资本经营预算收入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万元；事业收入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万元；经营收入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万元；其他收入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万元。</w:t>
      </w:r>
    </w:p>
    <w:p w14:paraId="4FD8828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三、支出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   </w:t>
      </w:r>
    </w:p>
    <w:p w14:paraId="4C4B5D5A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年支出合计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2747.37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万元，其中：基本支出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180.85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6.58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；项目支出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2566.52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占93.42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</w:p>
    <w:p w14:paraId="3DB1E207"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四、财政拨款收支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 xml:space="preserve">总体情况说明         </w:t>
      </w:r>
    </w:p>
    <w:p w14:paraId="4C2143FC">
      <w:pPr>
        <w:adjustRightInd w:val="0"/>
        <w:snapToGrid w:val="0"/>
        <w:spacing w:line="360" w:lineRule="auto"/>
        <w:ind w:firstLine="640" w:firstLineChars="200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年一般公共预算收支预算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2747.37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万元，政府性基金收支预算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万元。与 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年相比，一般公共预算收支预算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减少650.82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 xml:space="preserve">减少19.15 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%，主要原因：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优抚对象人员数量减少，需求资金量减少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政府性基金收支预算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与上年持平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。主要原因：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2026年与2025年均无政府性基金收支预算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。</w:t>
      </w:r>
    </w:p>
    <w:p w14:paraId="21B68FD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五、一般公共预算支出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</w:t>
      </w:r>
    </w:p>
    <w:p w14:paraId="11E188C2">
      <w:pPr>
        <w:spacing w:line="560" w:lineRule="exact"/>
        <w:ind w:firstLine="640" w:firstLineChars="200"/>
        <w:rPr>
          <w:rFonts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一般公共预算支出年初预算为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2747.37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万元，其中：基本支出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180.85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占6.58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；项目支出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2566.52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占93.42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</w:p>
    <w:p w14:paraId="1B224440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六、</w:t>
      </w:r>
      <w:r>
        <w:rPr>
          <w:rFonts w:hint="eastAsia" w:ascii="黑体" w:hAnsi="黑体" w:eastAsia="黑体"/>
          <w:sz w:val="32"/>
          <w:szCs w:val="32"/>
        </w:rPr>
        <w:t>一般公共预算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基本</w:t>
      </w:r>
      <w:r>
        <w:rPr>
          <w:rFonts w:hint="eastAsia" w:ascii="黑体" w:hAnsi="黑体" w:eastAsia="黑体"/>
          <w:sz w:val="32"/>
          <w:szCs w:val="32"/>
        </w:rPr>
        <w:t>支出情况说明</w:t>
      </w:r>
      <w:r>
        <w:rPr>
          <w:rFonts w:ascii="黑体" w:hAnsi="黑体" w:eastAsia="黑体"/>
          <w:color w:val="FF0000"/>
          <w:sz w:val="32"/>
          <w:szCs w:val="32"/>
        </w:rPr>
        <w:t xml:space="preserve">                   </w:t>
      </w:r>
    </w:p>
    <w:p w14:paraId="1FEF4B5E">
      <w:pPr>
        <w:spacing w:line="560" w:lineRule="exact"/>
        <w:ind w:firstLine="640" w:firstLineChars="200"/>
        <w:rPr>
          <w:rFonts w:ascii="仿宋_GB2312" w:hAnsi="宋体" w:eastAsia="仿宋_GB2312" w:cs="Courier New"/>
          <w:color w:val="00000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一般公共预算基本支出年初预算为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180.85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万元，其中：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人员经费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171.87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95.03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；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公用经费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8.98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占4.97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19625D32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七、</w:t>
      </w:r>
      <w:r>
        <w:rPr>
          <w:rFonts w:ascii="黑体" w:hAnsi="Times New Roman" w:eastAsia="黑体" w:cs="黑体"/>
          <w:kern w:val="0"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kern w:val="0"/>
          <w:sz w:val="32"/>
          <w:szCs w:val="32"/>
        </w:rPr>
        <w:t>一般公共预算“三公”经费支出</w:t>
      </w:r>
      <w:r>
        <w:rPr>
          <w:rFonts w:hint="eastAsia" w:ascii="黑体" w:hAnsi="Times New Roman" w:eastAsia="黑体" w:cs="黑体"/>
          <w:kern w:val="0"/>
          <w:sz w:val="32"/>
          <w:szCs w:val="32"/>
          <w:lang w:val="en-US" w:eastAsia="zh-CN"/>
        </w:rPr>
        <w:t>预算</w:t>
      </w:r>
      <w:r>
        <w:rPr>
          <w:rFonts w:hint="eastAsia" w:ascii="黑体" w:hAnsi="Times New Roman" w:eastAsia="黑体" w:cs="黑体"/>
          <w:kern w:val="0"/>
          <w:sz w:val="32"/>
          <w:szCs w:val="32"/>
        </w:rPr>
        <w:t>情况说明</w:t>
      </w:r>
    </w:p>
    <w:p w14:paraId="30485407">
      <w:pPr>
        <w:spacing w:line="560" w:lineRule="exact"/>
        <w:ind w:firstLine="640" w:firstLineChars="200"/>
        <w:rPr>
          <w:rFonts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我部门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年“三公”经费预算为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万元。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年“三公”经费支出预算数比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持平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</w:p>
    <w:p w14:paraId="3B7D22A4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具体支出情况如下：</w:t>
      </w:r>
    </w:p>
    <w:p w14:paraId="081A2D82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39" w:firstLineChars="200"/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（一）因公出国（境）费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spacing w:val="-1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主要用于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工作人员公务出国（境）的住宿费、旅费、伙食补助费、杂费、培训费等支出。因公出国（境）费预算数与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相比，增加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万元。主要原因：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我单位无因公出国（境）费用支出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</w:p>
    <w:p w14:paraId="5A5F3C7A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39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（二）公务用车购置及运行费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万</w:t>
      </w:r>
      <w:r>
        <w:rPr>
          <w:rFonts w:hint="eastAsia" w:ascii="仿宋_GB2312" w:hAnsi="宋体" w:eastAsia="仿宋_GB2312" w:cs="Courier New"/>
          <w:sz w:val="32"/>
          <w:szCs w:val="32"/>
        </w:rPr>
        <w:t>元，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其中，公务用车购置费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万元；公务用车运行维护费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万元，主要用于开展工作所需公务用车的燃料费、维修费、过路过桥费、保险费、安全奖励费用等支出。公务用车购置费预算数与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相比增加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主要原因：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我单位没有公务用车购置费的支出预算，实际也没有该项支出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。公务用车运行维护费预算数比</w:t>
      </w: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</w:t>
      </w:r>
      <w:bookmarkStart w:id="0" w:name="OLE_LINK1"/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增加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</w:t>
      </w:r>
      <w:bookmarkEnd w:id="0"/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主要原因：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我单位没有公务用车，实际也没有该项支出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。</w:t>
      </w:r>
    </w:p>
    <w:p w14:paraId="4A2C218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9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（三）公务接待费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</w:rPr>
        <w:t>万元，主要用于按规定开支的各类公务接待（含外宾接待）支出。预算数比</w:t>
      </w:r>
      <w:r>
        <w:rPr>
          <w:rFonts w:ascii="仿宋_GB2312" w:hAnsi="宋体" w:eastAsia="仿宋_GB2312" w:cs="Courier New"/>
          <w:b w:val="0"/>
          <w:bCs/>
          <w:color w:val="auto"/>
          <w:sz w:val="32"/>
          <w:szCs w:val="32"/>
        </w:rPr>
        <w:t xml:space="preserve"> 20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</w:rPr>
        <w:t>增加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</w:rPr>
        <w:t>万元。主要原因：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eastAsia="zh-CN"/>
        </w:rPr>
        <w:t>我单位没有公务接待费的支出预算，实际也没有该项支出</w:t>
      </w:r>
      <w:r>
        <w:rPr>
          <w:rFonts w:hint="eastAsia" w:ascii="仿宋_GB2312" w:hAnsi="宋体" w:eastAsia="仿宋_GB2312" w:cs="Courier New"/>
          <w:b w:val="0"/>
          <w:bCs/>
          <w:color w:val="auto"/>
          <w:sz w:val="32"/>
          <w:szCs w:val="32"/>
        </w:rPr>
        <w:t>。</w:t>
      </w:r>
    </w:p>
    <w:p w14:paraId="2737BAD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八、政府性基金预算支出情况说明</w:t>
      </w:r>
    </w:p>
    <w:p w14:paraId="46927945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部门202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年没有使用政府性基金预算拨款安排的支出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。</w:t>
      </w:r>
    </w:p>
    <w:p w14:paraId="079E87EC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 w:eastAsia="仿宋_GB2312" w:cs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九、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shd w:val="clear" w:color="auto" w:fill="FFFFFF"/>
        </w:rPr>
        <w:t>其他重要事项的情况说明</w:t>
      </w:r>
    </w:p>
    <w:p w14:paraId="6D8D7FB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（一）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行政（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事业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）部门机构运转经费</w:t>
      </w:r>
    </w:p>
    <w:p w14:paraId="3E3A099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安阳市龙安区退役军人事务局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机构运转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经费支出预算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8.98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highlight w:val="none"/>
        </w:rPr>
        <w:t>主要保障机构正常运转及正常履职需要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所需支出，包含公用经费、公务用车运行维护费、公务交通补贴、工会经费、职工福利等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 w14:paraId="3D749152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政府采购支出情况</w:t>
      </w:r>
    </w:p>
    <w:p w14:paraId="15CE399A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楷体_GB2312" w:hAnsi="Times New Roman" w:eastAsia="楷体_GB2312" w:cs="仿宋_GB2312"/>
          <w:b w:val="0"/>
          <w:bCs w:val="0"/>
          <w:color w:val="auto"/>
          <w:kern w:val="0"/>
          <w:sz w:val="32"/>
          <w:szCs w:val="32"/>
        </w:rPr>
      </w:pPr>
      <w:r>
        <w:rPr>
          <w:rFonts w:ascii="仿宋_GB2312" w:eastAsia="仿宋_GB2312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年政府采购预算安排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万元，其中：政府采购货物预算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万元、政府采购工程预算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万元、政府采购服务预算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万元。</w:t>
      </w:r>
    </w:p>
    <w:p w14:paraId="0B648EE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hint="default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（三）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预算绩效情况说明</w:t>
      </w:r>
    </w:p>
    <w:p w14:paraId="5DF4DC3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我部门2026年预算项目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从年度履职目标、年度主要任务、工作目标管理、预算和财务管理、绩效管理、重点工作任务完成、履职目标实现、履职效益、满意度等方面设置了部门整体绩效目标。部门整体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纳入预算绩效管理的资金总额为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2747.37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基本支出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180.85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项目支出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2566.52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年度履职目标为：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（一）保障优抚对象基本生活，不断提高优抚对象获得感、幸福感、荣誉感；（二）落实自主就业退役士兵各项待遇，促进退役士兵就业创业；（三）优化服务体系建设，打造五星级退役军人服务站等。</w:t>
      </w:r>
    </w:p>
    <w:p w14:paraId="23FEC91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个，资金总额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2566.52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均分别从项目成本、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项目产出、项目效益、项目满意度等方面按要求设置了绩效目标。其中预算支出100万元及100万元以上重点项目共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绩效目标简述如下：</w:t>
      </w:r>
    </w:p>
    <w:p w14:paraId="3D4C474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义务兵家属优待金2026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项目金额：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179.36万元，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产出指标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义务兵家属优待金发放人数大约190人，经费足额拨付率100%，资金及时拨付率100%，效益指标：义务兵家属优待金发放人员生活情况有效提升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;</w:t>
      </w:r>
    </w:p>
    <w:p w14:paraId="660E319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2026年重点优抚对象优抚医疗、1-6级残疾军人实报实销、参试人员体检费用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项目金额：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101.7万元，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产出指标：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重点优抚对象医疗人数、参试人员人数、1-6级残疾军人人数654人，经费足额拨付率100%，资金及时拨付率100%，效益指标：重点优抚对象、1-6级残疾军人医疗保障有效改善。</w:t>
      </w:r>
    </w:p>
    <w:p w14:paraId="20CF4E9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（四）国有资产占用情况。</w:t>
      </w:r>
    </w:p>
    <w:p w14:paraId="42B6CB7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</w:pPr>
      <w:r>
        <w:rPr>
          <w:rFonts w:ascii="仿宋_GB2312" w:hAnsi="宋体" w:eastAsia="仿宋_GB2312" w:cs="Courier New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年末，我部门共有车辆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辆，其中：一般公务用车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辆、一般执法执勤用车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辆、特种专业技术用车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辆，其他用车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Courier New"/>
          <w:b w:val="0"/>
          <w:bCs w:val="0"/>
          <w:color w:val="auto"/>
          <w:sz w:val="32"/>
          <w:szCs w:val="32"/>
        </w:rPr>
        <w:t>辆；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单价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50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万元以上通用设备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台（套），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部门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价值</w:t>
      </w:r>
      <w:r>
        <w:rPr>
          <w:rFonts w:ascii="仿宋_GB2312" w:hAnsi="宋体" w:eastAsia="仿宋_GB2312" w:cs="Courier New"/>
          <w:sz w:val="32"/>
          <w:szCs w:val="32"/>
          <w:highlight w:val="none"/>
        </w:rPr>
        <w:t>100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万元以上专用设备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台（套）。</w:t>
      </w:r>
    </w:p>
    <w:p w14:paraId="32C0F18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 w:cs="Courier New"/>
          <w:b/>
          <w:sz w:val="32"/>
          <w:szCs w:val="32"/>
        </w:rPr>
      </w:pPr>
      <w:r>
        <w:rPr>
          <w:rFonts w:hint="eastAsia" w:ascii="仿宋_GB2312" w:hAnsi="宋体" w:eastAsia="仿宋_GB2312" w:cs="Courier New"/>
          <w:b/>
          <w:sz w:val="32"/>
          <w:szCs w:val="32"/>
        </w:rPr>
        <w:t>（五）专项转移支付项目情况</w:t>
      </w:r>
    </w:p>
    <w:p w14:paraId="38FF9CC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我部门202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年没有专项转移支付项目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。</w:t>
      </w:r>
    </w:p>
    <w:p w14:paraId="7DFC36C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color w:val="auto"/>
          <w:sz w:val="32"/>
          <w:szCs w:val="32"/>
        </w:rPr>
      </w:pPr>
    </w:p>
    <w:p w14:paraId="2228692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hint="eastAsia" w:ascii="仿宋_GB2312" w:hAnsi="宋体" w:eastAsia="仿宋_GB2312" w:cs="Courier New"/>
          <w:color w:val="auto"/>
          <w:sz w:val="32"/>
          <w:szCs w:val="32"/>
        </w:rPr>
      </w:pPr>
    </w:p>
    <w:p w14:paraId="2F5924CC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  <w:highlight w:val="none"/>
        </w:rPr>
      </w:pPr>
    </w:p>
    <w:p w14:paraId="34B9D89D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  <w:highlight w:val="none"/>
        </w:rPr>
      </w:pPr>
    </w:p>
    <w:p w14:paraId="4B7D15AE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  <w:highlight w:val="none"/>
        </w:rPr>
      </w:pPr>
    </w:p>
    <w:p w14:paraId="3D974FB3">
      <w:pPr>
        <w:adjustRightInd w:val="0"/>
        <w:snapToGrid w:val="0"/>
        <w:spacing w:line="360" w:lineRule="auto"/>
        <w:jc w:val="center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第三部分</w:t>
      </w:r>
    </w:p>
    <w:p w14:paraId="1C7E85A6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名词解释</w:t>
      </w:r>
    </w:p>
    <w:p w14:paraId="0DA0ABD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一、财政拨款收入：是指同级财政当年拨付的资金。</w:t>
      </w:r>
    </w:p>
    <w:p w14:paraId="424ADB9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二、事业收入：是指事业单位开展专业活动及辅助活动所取得的收入。</w:t>
      </w:r>
    </w:p>
    <w:p w14:paraId="65C47F3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三、其他收入：是指部门取得的除“财政拨款”、“事业收入”、“事业单位经营收入”等以外的收入。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</w:p>
    <w:p w14:paraId="1A0385C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四、机关运行经费：是指为保障行政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 w14:paraId="3FB4989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五、用事业基金弥补收支差额：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</w:rPr>
        <w:t>支差额的基金）弥补当年收支缺口的资金。</w:t>
      </w:r>
    </w:p>
    <w:p w14:paraId="12C1407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 w:cs="Courier New"/>
          <w:sz w:val="32"/>
          <w:szCs w:val="32"/>
        </w:rPr>
        <w:t>、基本支出：是指为保障机构正常运转、完成日常工作任务所必需的开支，其内容包括人员经费和日常公用经费两部分。</w:t>
      </w:r>
    </w:p>
    <w:p w14:paraId="54B839F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 w:cs="Courier New"/>
          <w:sz w:val="32"/>
          <w:szCs w:val="32"/>
        </w:rPr>
        <w:t>、项目支出：是指在基本支出之外，为完成特定的行政工作任务或事业发展目标所发生的支出。</w:t>
      </w:r>
    </w:p>
    <w:p w14:paraId="5B08E00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 w:cs="Courier New"/>
          <w:sz w:val="32"/>
          <w:szCs w:val="32"/>
        </w:rPr>
        <w:t>、“三公”经费：是指纳入同级财政预算管理，部门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 w14:paraId="11071C2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1280" w:firstLineChars="40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151F22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1280" w:firstLineChars="400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head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3E95144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3C79EFF">
      <w:pPr>
        <w:kinsoku w:val="0"/>
        <w:overflowPunct w:val="0"/>
        <w:autoSpaceDE w:val="0"/>
        <w:autoSpaceDN w:val="0"/>
        <w:adjustRightInd w:val="0"/>
        <w:snapToGrid w:val="0"/>
        <w:spacing w:line="240" w:lineRule="auto"/>
        <w:ind w:firstLine="0" w:firstLine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附件：退役军人事务局2026年部门预算表</w:t>
      </w:r>
    </w:p>
    <w:p w14:paraId="3CB7F8D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80660" cy="803148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0660" cy="803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4D39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</w:pPr>
      <w:r>
        <w:drawing>
          <wp:inline distT="0" distB="0" distL="114300" distR="114300">
            <wp:extent cx="8854440" cy="1419225"/>
            <wp:effectExtent l="0" t="0" r="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540C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4D74FB1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17E2F84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7811A09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1792636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5D45B84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3233E7B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24BDC7F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18DCEFC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13C7A75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48618EB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jc w:val="center"/>
        <w:rPr>
          <w:rFonts w:hint="eastAsia" w:ascii="仿宋_GB2312" w:hAnsi="宋体" w:eastAsia="仿宋_GB2312" w:cs="Courier New"/>
          <w:sz w:val="32"/>
          <w:szCs w:val="32"/>
        </w:rPr>
      </w:pPr>
    </w:p>
    <w:p w14:paraId="2CFEC2E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707A517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8717280" cy="523494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17280" cy="5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80D5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  <w:sectPr>
          <w:pgSz w:w="16838" w:h="11906" w:orient="landscape"/>
          <w:pgMar w:top="1080" w:right="1440" w:bottom="1080" w:left="1440" w:header="851" w:footer="992" w:gutter="0"/>
          <w:cols w:space="425" w:num="1"/>
          <w:docGrid w:type="lines" w:linePitch="312" w:charSpace="0"/>
        </w:sectPr>
      </w:pPr>
    </w:p>
    <w:p w14:paraId="0EB4747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6184900" cy="6588760"/>
            <wp:effectExtent l="0" t="0" r="2540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658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B9C9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716CAC1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0954235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3BADCCE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78C652C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1971A35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725104C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8855075" cy="5277485"/>
            <wp:effectExtent l="0" t="0" r="14605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5075" cy="527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E85B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CEA65B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10F206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470E59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8122920" cy="4640580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2292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858E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35E33D6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5E9D88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7B9C842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BA9715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3CD5CA8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  <w:rPr>
          <w:rFonts w:hint="eastAsia" w:eastAsia="宋体"/>
          <w:lang w:eastAsia="zh-CN"/>
        </w:rPr>
      </w:pPr>
    </w:p>
    <w:p w14:paraId="7B02748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8856980" cy="5092065"/>
            <wp:effectExtent l="0" t="0" r="12700" b="133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509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5C71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2FA993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177B69A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B80457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1E8D7F4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8008620" cy="2705100"/>
            <wp:effectExtent l="0" t="0" r="762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00862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AFBD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0E03C1C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138177E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62DC7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12C6A7F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3C2D5D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9880BC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2ACEBB2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01FCEB4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35577B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B76B8D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2F2203A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6670845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538076E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400F061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8747760" cy="255270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74776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51E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117B30F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2DEFB46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301B312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</w:p>
    <w:p w14:paraId="0B5491A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  <w:sectPr>
          <w:pgSz w:w="16838" w:h="11906" w:orient="landscape"/>
          <w:pgMar w:top="1080" w:right="1440" w:bottom="1080" w:left="1440" w:header="851" w:footer="992" w:gutter="0"/>
          <w:cols w:space="425" w:num="1"/>
          <w:docGrid w:type="lines" w:linePitch="312" w:charSpace="0"/>
        </w:sectPr>
      </w:pPr>
    </w:p>
    <w:p w14:paraId="5DDFECC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center"/>
      </w:pPr>
      <w:r>
        <w:drawing>
          <wp:inline distT="0" distB="0" distL="114300" distR="114300">
            <wp:extent cx="5110480" cy="9380220"/>
            <wp:effectExtent l="0" t="0" r="1016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10480" cy="938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AF3C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20" w:firstLineChars="200"/>
        <w:jc w:val="both"/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6188075" cy="9265285"/>
            <wp:effectExtent l="0" t="0" r="14605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926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8ADA6">
      <w:pPr>
        <w:tabs>
          <w:tab w:val="center" w:pos="7249"/>
          <w:tab w:val="right" w:pos="13538"/>
        </w:tabs>
        <w:kinsoku w:val="0"/>
        <w:overflowPunct w:val="0"/>
        <w:autoSpaceDE w:val="0"/>
        <w:autoSpaceDN w:val="0"/>
        <w:adjustRightInd w:val="0"/>
        <w:snapToGrid w:val="0"/>
        <w:spacing w:line="240" w:lineRule="auto"/>
        <w:jc w:val="left"/>
      </w:pPr>
      <w:r>
        <w:drawing>
          <wp:inline distT="0" distB="0" distL="114300" distR="114300">
            <wp:extent cx="6031230" cy="9211310"/>
            <wp:effectExtent l="0" t="0" r="381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921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1906" w:h="16838"/>
      <w:pgMar w:top="1440" w:right="1077" w:bottom="1440" w:left="107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7D254">
    <w:pPr>
      <w:pStyle w:val="5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A32C47"/>
    <w:multiLevelType w:val="singleLevel"/>
    <w:tmpl w:val="A9A32C4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3E2796E"/>
    <w:multiLevelType w:val="multilevel"/>
    <w:tmpl w:val="43E2796E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1CE258"/>
    <w:multiLevelType w:val="singleLevel"/>
    <w:tmpl w:val="551CE25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NotTrackMoves/>
  <w:documentProtection w:enforcement="0"/>
  <w:defaultTabStop w:val="420"/>
  <w:drawingGridHorizontalSpacing w:val="106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M2E4ZTdmMGNmMzRlOWEyOWQ5ZDg0NzYxNjg2ZTYifQ=="/>
  </w:docVars>
  <w:rsids>
    <w:rsidRoot w:val="006B7E0B"/>
    <w:rsid w:val="00026E9A"/>
    <w:rsid w:val="00044158"/>
    <w:rsid w:val="000445AA"/>
    <w:rsid w:val="000642D8"/>
    <w:rsid w:val="00073592"/>
    <w:rsid w:val="00080DD7"/>
    <w:rsid w:val="00091356"/>
    <w:rsid w:val="000A16EC"/>
    <w:rsid w:val="000A1FF3"/>
    <w:rsid w:val="000A2C68"/>
    <w:rsid w:val="000D2294"/>
    <w:rsid w:val="000E720F"/>
    <w:rsid w:val="000F6C8B"/>
    <w:rsid w:val="000F7E3E"/>
    <w:rsid w:val="0010210A"/>
    <w:rsid w:val="00110824"/>
    <w:rsid w:val="00115771"/>
    <w:rsid w:val="00115915"/>
    <w:rsid w:val="0011799F"/>
    <w:rsid w:val="00135308"/>
    <w:rsid w:val="00142115"/>
    <w:rsid w:val="001422FF"/>
    <w:rsid w:val="001470AF"/>
    <w:rsid w:val="00160C6A"/>
    <w:rsid w:val="0016521F"/>
    <w:rsid w:val="00170A57"/>
    <w:rsid w:val="00172B5F"/>
    <w:rsid w:val="00175E9C"/>
    <w:rsid w:val="00184A45"/>
    <w:rsid w:val="00186BD2"/>
    <w:rsid w:val="00193277"/>
    <w:rsid w:val="001A21DA"/>
    <w:rsid w:val="001A3EB9"/>
    <w:rsid w:val="001B0AF0"/>
    <w:rsid w:val="001D4BA6"/>
    <w:rsid w:val="001D7273"/>
    <w:rsid w:val="001E0093"/>
    <w:rsid w:val="001E0F8C"/>
    <w:rsid w:val="001E7927"/>
    <w:rsid w:val="001F7F9B"/>
    <w:rsid w:val="00200BD7"/>
    <w:rsid w:val="00202EA8"/>
    <w:rsid w:val="002030EF"/>
    <w:rsid w:val="002510C2"/>
    <w:rsid w:val="00265B28"/>
    <w:rsid w:val="0026795F"/>
    <w:rsid w:val="00273D47"/>
    <w:rsid w:val="002750D3"/>
    <w:rsid w:val="0029168C"/>
    <w:rsid w:val="002A620A"/>
    <w:rsid w:val="002B2025"/>
    <w:rsid w:val="002C2A80"/>
    <w:rsid w:val="002C5AAE"/>
    <w:rsid w:val="002E3BE4"/>
    <w:rsid w:val="002E4313"/>
    <w:rsid w:val="002F22D2"/>
    <w:rsid w:val="002F3BB6"/>
    <w:rsid w:val="003352BA"/>
    <w:rsid w:val="00336785"/>
    <w:rsid w:val="00350476"/>
    <w:rsid w:val="0035195B"/>
    <w:rsid w:val="0035776D"/>
    <w:rsid w:val="003843F7"/>
    <w:rsid w:val="00390DEF"/>
    <w:rsid w:val="00392E25"/>
    <w:rsid w:val="003A0434"/>
    <w:rsid w:val="003A2DF5"/>
    <w:rsid w:val="003A6F18"/>
    <w:rsid w:val="003C5F21"/>
    <w:rsid w:val="003D744D"/>
    <w:rsid w:val="003E56DE"/>
    <w:rsid w:val="00401345"/>
    <w:rsid w:val="00404663"/>
    <w:rsid w:val="00420855"/>
    <w:rsid w:val="00432539"/>
    <w:rsid w:val="00451611"/>
    <w:rsid w:val="0047756A"/>
    <w:rsid w:val="00494F22"/>
    <w:rsid w:val="00495611"/>
    <w:rsid w:val="00495CEB"/>
    <w:rsid w:val="00496B7C"/>
    <w:rsid w:val="004974DC"/>
    <w:rsid w:val="004A35D2"/>
    <w:rsid w:val="004A4265"/>
    <w:rsid w:val="004A7AF2"/>
    <w:rsid w:val="004B1819"/>
    <w:rsid w:val="004C001F"/>
    <w:rsid w:val="004C13EB"/>
    <w:rsid w:val="004D5B4E"/>
    <w:rsid w:val="004F068A"/>
    <w:rsid w:val="004F1BCB"/>
    <w:rsid w:val="004F3DF3"/>
    <w:rsid w:val="00511219"/>
    <w:rsid w:val="00521104"/>
    <w:rsid w:val="0052193A"/>
    <w:rsid w:val="00523976"/>
    <w:rsid w:val="0054046E"/>
    <w:rsid w:val="00556950"/>
    <w:rsid w:val="00563E46"/>
    <w:rsid w:val="00567364"/>
    <w:rsid w:val="00577C4A"/>
    <w:rsid w:val="00577F81"/>
    <w:rsid w:val="00591F1A"/>
    <w:rsid w:val="00593810"/>
    <w:rsid w:val="00594E25"/>
    <w:rsid w:val="005B1D55"/>
    <w:rsid w:val="005B5A00"/>
    <w:rsid w:val="005C4D0C"/>
    <w:rsid w:val="005D1138"/>
    <w:rsid w:val="005D30D9"/>
    <w:rsid w:val="00600B18"/>
    <w:rsid w:val="0060297E"/>
    <w:rsid w:val="0064056E"/>
    <w:rsid w:val="00647DE6"/>
    <w:rsid w:val="00662E14"/>
    <w:rsid w:val="00666AC4"/>
    <w:rsid w:val="0067124D"/>
    <w:rsid w:val="00672799"/>
    <w:rsid w:val="00680781"/>
    <w:rsid w:val="006B1909"/>
    <w:rsid w:val="006B49B5"/>
    <w:rsid w:val="006B7E0B"/>
    <w:rsid w:val="006C3CD3"/>
    <w:rsid w:val="006C7564"/>
    <w:rsid w:val="006D6D49"/>
    <w:rsid w:val="006E4BF1"/>
    <w:rsid w:val="006F5265"/>
    <w:rsid w:val="006F5EEE"/>
    <w:rsid w:val="00700744"/>
    <w:rsid w:val="0071044E"/>
    <w:rsid w:val="00730F26"/>
    <w:rsid w:val="0073591F"/>
    <w:rsid w:val="007541DA"/>
    <w:rsid w:val="007656BD"/>
    <w:rsid w:val="007740BF"/>
    <w:rsid w:val="0078143C"/>
    <w:rsid w:val="007829BC"/>
    <w:rsid w:val="0079641C"/>
    <w:rsid w:val="007B5898"/>
    <w:rsid w:val="007C1DF1"/>
    <w:rsid w:val="007C2AA9"/>
    <w:rsid w:val="007C788C"/>
    <w:rsid w:val="007E6790"/>
    <w:rsid w:val="007F7E98"/>
    <w:rsid w:val="00804322"/>
    <w:rsid w:val="008043D9"/>
    <w:rsid w:val="008122D8"/>
    <w:rsid w:val="00812F5C"/>
    <w:rsid w:val="00820FF9"/>
    <w:rsid w:val="00830E30"/>
    <w:rsid w:val="00833702"/>
    <w:rsid w:val="00833DBE"/>
    <w:rsid w:val="00850CE1"/>
    <w:rsid w:val="00852299"/>
    <w:rsid w:val="00860A29"/>
    <w:rsid w:val="00874331"/>
    <w:rsid w:val="00891536"/>
    <w:rsid w:val="0089458A"/>
    <w:rsid w:val="00894D24"/>
    <w:rsid w:val="00897148"/>
    <w:rsid w:val="008B72D5"/>
    <w:rsid w:val="008C14BF"/>
    <w:rsid w:val="008C7AD8"/>
    <w:rsid w:val="008D01B3"/>
    <w:rsid w:val="008D6560"/>
    <w:rsid w:val="008E07B1"/>
    <w:rsid w:val="008E4459"/>
    <w:rsid w:val="00923B00"/>
    <w:rsid w:val="009242BF"/>
    <w:rsid w:val="00926E26"/>
    <w:rsid w:val="00943D7C"/>
    <w:rsid w:val="00944A2D"/>
    <w:rsid w:val="00951DEF"/>
    <w:rsid w:val="00952BFE"/>
    <w:rsid w:val="009821A1"/>
    <w:rsid w:val="00987FE0"/>
    <w:rsid w:val="009A520C"/>
    <w:rsid w:val="009B7A51"/>
    <w:rsid w:val="00A216E6"/>
    <w:rsid w:val="00A330EC"/>
    <w:rsid w:val="00A34341"/>
    <w:rsid w:val="00A35A79"/>
    <w:rsid w:val="00A46E26"/>
    <w:rsid w:val="00A503E7"/>
    <w:rsid w:val="00A52337"/>
    <w:rsid w:val="00A52801"/>
    <w:rsid w:val="00A6267D"/>
    <w:rsid w:val="00A727EB"/>
    <w:rsid w:val="00A87DCF"/>
    <w:rsid w:val="00A90D9E"/>
    <w:rsid w:val="00A96CAF"/>
    <w:rsid w:val="00AC3C61"/>
    <w:rsid w:val="00AE549A"/>
    <w:rsid w:val="00B02CB9"/>
    <w:rsid w:val="00B10D6F"/>
    <w:rsid w:val="00B20C5F"/>
    <w:rsid w:val="00B21967"/>
    <w:rsid w:val="00B61D47"/>
    <w:rsid w:val="00B95A06"/>
    <w:rsid w:val="00BA362F"/>
    <w:rsid w:val="00BA4FA7"/>
    <w:rsid w:val="00BA58CE"/>
    <w:rsid w:val="00BA7185"/>
    <w:rsid w:val="00BB6662"/>
    <w:rsid w:val="00BC333E"/>
    <w:rsid w:val="00BE56FB"/>
    <w:rsid w:val="00BE716F"/>
    <w:rsid w:val="00C33C76"/>
    <w:rsid w:val="00C34784"/>
    <w:rsid w:val="00C435CB"/>
    <w:rsid w:val="00C436B8"/>
    <w:rsid w:val="00C437E8"/>
    <w:rsid w:val="00C831C5"/>
    <w:rsid w:val="00C83F94"/>
    <w:rsid w:val="00CA2F8F"/>
    <w:rsid w:val="00CA7ADA"/>
    <w:rsid w:val="00CB5AAE"/>
    <w:rsid w:val="00CB6DF5"/>
    <w:rsid w:val="00CD03AD"/>
    <w:rsid w:val="00CE3259"/>
    <w:rsid w:val="00CF1B5A"/>
    <w:rsid w:val="00D05ED0"/>
    <w:rsid w:val="00D12D03"/>
    <w:rsid w:val="00D137BC"/>
    <w:rsid w:val="00D15C54"/>
    <w:rsid w:val="00D23117"/>
    <w:rsid w:val="00D32932"/>
    <w:rsid w:val="00D43363"/>
    <w:rsid w:val="00D4466F"/>
    <w:rsid w:val="00D46069"/>
    <w:rsid w:val="00D53D97"/>
    <w:rsid w:val="00D609B7"/>
    <w:rsid w:val="00D6792C"/>
    <w:rsid w:val="00D8037E"/>
    <w:rsid w:val="00D8505C"/>
    <w:rsid w:val="00DA0C53"/>
    <w:rsid w:val="00DA0CAA"/>
    <w:rsid w:val="00DA458E"/>
    <w:rsid w:val="00DA6E83"/>
    <w:rsid w:val="00DB68B2"/>
    <w:rsid w:val="00DC0C6B"/>
    <w:rsid w:val="00DC3D97"/>
    <w:rsid w:val="00DC6FBB"/>
    <w:rsid w:val="00DC798D"/>
    <w:rsid w:val="00DE5743"/>
    <w:rsid w:val="00DF0DA6"/>
    <w:rsid w:val="00DF3140"/>
    <w:rsid w:val="00E133A9"/>
    <w:rsid w:val="00E20A7D"/>
    <w:rsid w:val="00E20E6F"/>
    <w:rsid w:val="00E21F3E"/>
    <w:rsid w:val="00E31EE0"/>
    <w:rsid w:val="00E33EBB"/>
    <w:rsid w:val="00E36AE5"/>
    <w:rsid w:val="00E371FE"/>
    <w:rsid w:val="00E3795E"/>
    <w:rsid w:val="00E37B7D"/>
    <w:rsid w:val="00E57174"/>
    <w:rsid w:val="00E57C5A"/>
    <w:rsid w:val="00E607D3"/>
    <w:rsid w:val="00E72785"/>
    <w:rsid w:val="00E776E0"/>
    <w:rsid w:val="00E913EB"/>
    <w:rsid w:val="00EC2B0B"/>
    <w:rsid w:val="00ED5B3D"/>
    <w:rsid w:val="00EE543C"/>
    <w:rsid w:val="00EF42A2"/>
    <w:rsid w:val="00F0089D"/>
    <w:rsid w:val="00F2113A"/>
    <w:rsid w:val="00F2137C"/>
    <w:rsid w:val="00F4533D"/>
    <w:rsid w:val="00F51FB3"/>
    <w:rsid w:val="00F754BD"/>
    <w:rsid w:val="00F77A8C"/>
    <w:rsid w:val="00F950F8"/>
    <w:rsid w:val="00FA0A5A"/>
    <w:rsid w:val="00FB158E"/>
    <w:rsid w:val="00FD0777"/>
    <w:rsid w:val="00FD6C1F"/>
    <w:rsid w:val="00FD729D"/>
    <w:rsid w:val="01042CD0"/>
    <w:rsid w:val="018E546C"/>
    <w:rsid w:val="01B666C0"/>
    <w:rsid w:val="01E925F2"/>
    <w:rsid w:val="023B0973"/>
    <w:rsid w:val="027D2D3A"/>
    <w:rsid w:val="02C941D1"/>
    <w:rsid w:val="038B3A9C"/>
    <w:rsid w:val="0418612B"/>
    <w:rsid w:val="04602913"/>
    <w:rsid w:val="04847370"/>
    <w:rsid w:val="04B72BB0"/>
    <w:rsid w:val="04C80BE4"/>
    <w:rsid w:val="04DC76E4"/>
    <w:rsid w:val="04FE598C"/>
    <w:rsid w:val="05532A0D"/>
    <w:rsid w:val="05756DE3"/>
    <w:rsid w:val="05AD282C"/>
    <w:rsid w:val="05EA6F2B"/>
    <w:rsid w:val="064019A8"/>
    <w:rsid w:val="069126F8"/>
    <w:rsid w:val="06AD78AC"/>
    <w:rsid w:val="071C41EE"/>
    <w:rsid w:val="08C05E83"/>
    <w:rsid w:val="093F281D"/>
    <w:rsid w:val="0959566B"/>
    <w:rsid w:val="0AE668D5"/>
    <w:rsid w:val="0B6C7DF0"/>
    <w:rsid w:val="0CBB2DDD"/>
    <w:rsid w:val="0CD262FD"/>
    <w:rsid w:val="0D375AA3"/>
    <w:rsid w:val="0D961154"/>
    <w:rsid w:val="0E0662D9"/>
    <w:rsid w:val="0E303465"/>
    <w:rsid w:val="0E8536A2"/>
    <w:rsid w:val="0F0A3BA7"/>
    <w:rsid w:val="0F24261F"/>
    <w:rsid w:val="10186B64"/>
    <w:rsid w:val="11270A41"/>
    <w:rsid w:val="11D010D8"/>
    <w:rsid w:val="11D47067"/>
    <w:rsid w:val="11D706B9"/>
    <w:rsid w:val="11D90D62"/>
    <w:rsid w:val="125E38E9"/>
    <w:rsid w:val="129B7938"/>
    <w:rsid w:val="12F11306"/>
    <w:rsid w:val="13A407CD"/>
    <w:rsid w:val="147541B9"/>
    <w:rsid w:val="14B962E5"/>
    <w:rsid w:val="156263BF"/>
    <w:rsid w:val="15B31F59"/>
    <w:rsid w:val="15F865E8"/>
    <w:rsid w:val="16C3145A"/>
    <w:rsid w:val="170059B7"/>
    <w:rsid w:val="171815DC"/>
    <w:rsid w:val="17312619"/>
    <w:rsid w:val="17BD5103"/>
    <w:rsid w:val="189C68A9"/>
    <w:rsid w:val="18D21BDA"/>
    <w:rsid w:val="18ED793A"/>
    <w:rsid w:val="19595E57"/>
    <w:rsid w:val="1A9206A2"/>
    <w:rsid w:val="1AA05907"/>
    <w:rsid w:val="1AA556D9"/>
    <w:rsid w:val="1BB9460A"/>
    <w:rsid w:val="1BCC0B62"/>
    <w:rsid w:val="1CBF06C7"/>
    <w:rsid w:val="1D27381D"/>
    <w:rsid w:val="1D64247C"/>
    <w:rsid w:val="1E107DD1"/>
    <w:rsid w:val="1E3A0B3B"/>
    <w:rsid w:val="1E5B5F8F"/>
    <w:rsid w:val="1EB63404"/>
    <w:rsid w:val="1ECB14E1"/>
    <w:rsid w:val="1ECE7318"/>
    <w:rsid w:val="1ED019B1"/>
    <w:rsid w:val="1F801B3E"/>
    <w:rsid w:val="1F9D5F7C"/>
    <w:rsid w:val="207E668B"/>
    <w:rsid w:val="21AD4F92"/>
    <w:rsid w:val="21BE2CFB"/>
    <w:rsid w:val="22BA104D"/>
    <w:rsid w:val="22FC6ACA"/>
    <w:rsid w:val="23575F1D"/>
    <w:rsid w:val="237A111E"/>
    <w:rsid w:val="24D4725F"/>
    <w:rsid w:val="25453A50"/>
    <w:rsid w:val="264237F9"/>
    <w:rsid w:val="26470CBC"/>
    <w:rsid w:val="26551E89"/>
    <w:rsid w:val="26CD1C32"/>
    <w:rsid w:val="27290564"/>
    <w:rsid w:val="283841F7"/>
    <w:rsid w:val="29437F8A"/>
    <w:rsid w:val="2A1B5342"/>
    <w:rsid w:val="2A92150F"/>
    <w:rsid w:val="2AE914ED"/>
    <w:rsid w:val="2B327177"/>
    <w:rsid w:val="2BC2096A"/>
    <w:rsid w:val="2C35005E"/>
    <w:rsid w:val="2C5518F5"/>
    <w:rsid w:val="2CB847EB"/>
    <w:rsid w:val="2D9C6BE0"/>
    <w:rsid w:val="2E112405"/>
    <w:rsid w:val="2E5859B2"/>
    <w:rsid w:val="2EEA01A6"/>
    <w:rsid w:val="2F340AA1"/>
    <w:rsid w:val="2F496354"/>
    <w:rsid w:val="2FC73D1B"/>
    <w:rsid w:val="2FFA1837"/>
    <w:rsid w:val="305A4659"/>
    <w:rsid w:val="30872E52"/>
    <w:rsid w:val="30C95219"/>
    <w:rsid w:val="30FA066E"/>
    <w:rsid w:val="311D4720"/>
    <w:rsid w:val="312155B3"/>
    <w:rsid w:val="31552F50"/>
    <w:rsid w:val="3171432E"/>
    <w:rsid w:val="319F5B56"/>
    <w:rsid w:val="31D67BED"/>
    <w:rsid w:val="32460D6D"/>
    <w:rsid w:val="328C4750"/>
    <w:rsid w:val="32E26A66"/>
    <w:rsid w:val="332E3A59"/>
    <w:rsid w:val="3341378C"/>
    <w:rsid w:val="336A0C7D"/>
    <w:rsid w:val="33DC5263"/>
    <w:rsid w:val="33EF31E8"/>
    <w:rsid w:val="34436D60"/>
    <w:rsid w:val="34DF325D"/>
    <w:rsid w:val="34FD7B87"/>
    <w:rsid w:val="351F6FE5"/>
    <w:rsid w:val="354025AE"/>
    <w:rsid w:val="35610116"/>
    <w:rsid w:val="35690D78"/>
    <w:rsid w:val="35AA46F8"/>
    <w:rsid w:val="36670EF4"/>
    <w:rsid w:val="368F480F"/>
    <w:rsid w:val="36BD312A"/>
    <w:rsid w:val="36DF0256"/>
    <w:rsid w:val="37041358"/>
    <w:rsid w:val="37067341"/>
    <w:rsid w:val="37645C9B"/>
    <w:rsid w:val="38765C86"/>
    <w:rsid w:val="39A5514B"/>
    <w:rsid w:val="3A2F07E2"/>
    <w:rsid w:val="3ACF13A7"/>
    <w:rsid w:val="3AFC74DE"/>
    <w:rsid w:val="3B007A89"/>
    <w:rsid w:val="3B062986"/>
    <w:rsid w:val="3B2F65C0"/>
    <w:rsid w:val="3C1B10CF"/>
    <w:rsid w:val="3CC8143A"/>
    <w:rsid w:val="3D1D6EA7"/>
    <w:rsid w:val="3D5B18EE"/>
    <w:rsid w:val="3DAA0180"/>
    <w:rsid w:val="3EAD1CD6"/>
    <w:rsid w:val="3EBF7D18"/>
    <w:rsid w:val="3EEC4EF4"/>
    <w:rsid w:val="3FE52DC2"/>
    <w:rsid w:val="3FEC3BE7"/>
    <w:rsid w:val="3FFE5E34"/>
    <w:rsid w:val="400B3158"/>
    <w:rsid w:val="401F09B1"/>
    <w:rsid w:val="40AB3117"/>
    <w:rsid w:val="40EE3F5B"/>
    <w:rsid w:val="415C0A04"/>
    <w:rsid w:val="42E67EAC"/>
    <w:rsid w:val="42F51E9D"/>
    <w:rsid w:val="438D1900"/>
    <w:rsid w:val="43D62EB7"/>
    <w:rsid w:val="443138D7"/>
    <w:rsid w:val="446106C2"/>
    <w:rsid w:val="44EB4EFB"/>
    <w:rsid w:val="4554734F"/>
    <w:rsid w:val="45B53C7D"/>
    <w:rsid w:val="467A2DE5"/>
    <w:rsid w:val="477535AD"/>
    <w:rsid w:val="48425B85"/>
    <w:rsid w:val="48885A65"/>
    <w:rsid w:val="48CF278D"/>
    <w:rsid w:val="48E945FC"/>
    <w:rsid w:val="49290AF3"/>
    <w:rsid w:val="493B1C57"/>
    <w:rsid w:val="4AE0280A"/>
    <w:rsid w:val="4B911B6E"/>
    <w:rsid w:val="4B9F6849"/>
    <w:rsid w:val="4BAF1783"/>
    <w:rsid w:val="4BD62611"/>
    <w:rsid w:val="4C0D14F3"/>
    <w:rsid w:val="4DBC0187"/>
    <w:rsid w:val="4E4717AF"/>
    <w:rsid w:val="4E80129F"/>
    <w:rsid w:val="4ED336DA"/>
    <w:rsid w:val="4F1A208D"/>
    <w:rsid w:val="4F637B53"/>
    <w:rsid w:val="4FA021BE"/>
    <w:rsid w:val="507B7E86"/>
    <w:rsid w:val="509B0528"/>
    <w:rsid w:val="51215792"/>
    <w:rsid w:val="513717D6"/>
    <w:rsid w:val="516B4221"/>
    <w:rsid w:val="52097713"/>
    <w:rsid w:val="5213706B"/>
    <w:rsid w:val="52205271"/>
    <w:rsid w:val="52240E48"/>
    <w:rsid w:val="52462715"/>
    <w:rsid w:val="52A15B9E"/>
    <w:rsid w:val="52F215DD"/>
    <w:rsid w:val="534529CD"/>
    <w:rsid w:val="538E7ED0"/>
    <w:rsid w:val="539B3659"/>
    <w:rsid w:val="54A35BFD"/>
    <w:rsid w:val="54E26460"/>
    <w:rsid w:val="55300AA6"/>
    <w:rsid w:val="55734E71"/>
    <w:rsid w:val="55ED6C72"/>
    <w:rsid w:val="565D433C"/>
    <w:rsid w:val="56947603"/>
    <w:rsid w:val="573B211D"/>
    <w:rsid w:val="576D4DC1"/>
    <w:rsid w:val="57D87E0A"/>
    <w:rsid w:val="57E44562"/>
    <w:rsid w:val="582405B4"/>
    <w:rsid w:val="582D1FF5"/>
    <w:rsid w:val="58B32187"/>
    <w:rsid w:val="58B959EF"/>
    <w:rsid w:val="592261D2"/>
    <w:rsid w:val="5A0873AD"/>
    <w:rsid w:val="5AA00798"/>
    <w:rsid w:val="5AA27911"/>
    <w:rsid w:val="5AB23258"/>
    <w:rsid w:val="5B131D9A"/>
    <w:rsid w:val="5C182A2D"/>
    <w:rsid w:val="5C62639E"/>
    <w:rsid w:val="5D1B6A19"/>
    <w:rsid w:val="5D45058F"/>
    <w:rsid w:val="5DCD0EF1"/>
    <w:rsid w:val="5E486CFE"/>
    <w:rsid w:val="5E8221E2"/>
    <w:rsid w:val="5F093317"/>
    <w:rsid w:val="5F4C3BF1"/>
    <w:rsid w:val="5FD3417B"/>
    <w:rsid w:val="61161584"/>
    <w:rsid w:val="6128695F"/>
    <w:rsid w:val="631101D6"/>
    <w:rsid w:val="63C602B4"/>
    <w:rsid w:val="63EA73A4"/>
    <w:rsid w:val="64446389"/>
    <w:rsid w:val="64E262CE"/>
    <w:rsid w:val="65226B06"/>
    <w:rsid w:val="661E0E36"/>
    <w:rsid w:val="662148F4"/>
    <w:rsid w:val="670544F5"/>
    <w:rsid w:val="677733A7"/>
    <w:rsid w:val="680E73DA"/>
    <w:rsid w:val="68531E47"/>
    <w:rsid w:val="6880134D"/>
    <w:rsid w:val="69513A22"/>
    <w:rsid w:val="69CC30A8"/>
    <w:rsid w:val="69DC008B"/>
    <w:rsid w:val="6A345181"/>
    <w:rsid w:val="6AD439AF"/>
    <w:rsid w:val="6AE663EC"/>
    <w:rsid w:val="6C0C125A"/>
    <w:rsid w:val="6C9065D3"/>
    <w:rsid w:val="6CC61495"/>
    <w:rsid w:val="6D321474"/>
    <w:rsid w:val="6D390705"/>
    <w:rsid w:val="6D5F2141"/>
    <w:rsid w:val="6D617FAC"/>
    <w:rsid w:val="6D8A12B0"/>
    <w:rsid w:val="6DD66B38"/>
    <w:rsid w:val="6DEA7F04"/>
    <w:rsid w:val="6E041063"/>
    <w:rsid w:val="6F5B6F18"/>
    <w:rsid w:val="6FEF2A78"/>
    <w:rsid w:val="7055296E"/>
    <w:rsid w:val="70B2124A"/>
    <w:rsid w:val="71125B66"/>
    <w:rsid w:val="71A946A2"/>
    <w:rsid w:val="71C823A7"/>
    <w:rsid w:val="728269FA"/>
    <w:rsid w:val="72BA4DCB"/>
    <w:rsid w:val="73155AC0"/>
    <w:rsid w:val="7338653F"/>
    <w:rsid w:val="73924A38"/>
    <w:rsid w:val="73A66718"/>
    <w:rsid w:val="73B07597"/>
    <w:rsid w:val="73D133A6"/>
    <w:rsid w:val="745A5E80"/>
    <w:rsid w:val="74D53664"/>
    <w:rsid w:val="758F61BC"/>
    <w:rsid w:val="759E5BA0"/>
    <w:rsid w:val="75BC0475"/>
    <w:rsid w:val="762A3631"/>
    <w:rsid w:val="76580D50"/>
    <w:rsid w:val="779A47E6"/>
    <w:rsid w:val="78964634"/>
    <w:rsid w:val="78FD6DDA"/>
    <w:rsid w:val="79111DCE"/>
    <w:rsid w:val="792D0153"/>
    <w:rsid w:val="792F0F5E"/>
    <w:rsid w:val="79404F19"/>
    <w:rsid w:val="79416EEC"/>
    <w:rsid w:val="795D3D1D"/>
    <w:rsid w:val="79845B74"/>
    <w:rsid w:val="79A454A8"/>
    <w:rsid w:val="7A0B6AE6"/>
    <w:rsid w:val="7AF70C85"/>
    <w:rsid w:val="7B5F0738"/>
    <w:rsid w:val="7BC10593"/>
    <w:rsid w:val="7BCA6E65"/>
    <w:rsid w:val="7BF5648F"/>
    <w:rsid w:val="7CE107C1"/>
    <w:rsid w:val="7CF33AE1"/>
    <w:rsid w:val="7E247A0D"/>
    <w:rsid w:val="7E9401E1"/>
    <w:rsid w:val="7F005876"/>
    <w:rsid w:val="7F68182D"/>
    <w:rsid w:val="7F9A3BD1"/>
    <w:rsid w:val="EBFD9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8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link w:val="4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link w:val="5"/>
    <w:autoRedefine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纯文本 Char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23</Pages>
  <Words>552</Words>
  <Characters>597</Characters>
  <Lines>30</Lines>
  <Paragraphs>8</Paragraphs>
  <TotalTime>6</TotalTime>
  <ScaleCrop>false</ScaleCrop>
  <LinksUpToDate>false</LinksUpToDate>
  <CharactersWithSpaces>669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2019-06-11T08:19:00Z</dcterms:created>
  <dc:creator>lenovo</dc:creator>
  <cp:lastModifiedBy>Smileヾ</cp:lastModifiedBy>
  <cp:lastPrinted>2024-03-20T02:07:00Z</cp:lastPrinted>
  <dcterms:modified xsi:type="dcterms:W3CDTF">2026-03-20T04:04:16Z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A68C07F9FA604A3990EBF6BFF4758A06_13</vt:lpwstr>
  </property>
  <property fmtid="{D5CDD505-2E9C-101B-9397-08002B2CF9AE}" pid="4" name="KSOTemplateDocerSaveRecord">
    <vt:lpwstr>eyJoZGlkIjoiOWZiZWU5OTQxNjUwMmJhYWYyNmNjMWNmOWZkOWFlNDgiLCJ1c2VySWQiOiI4ODc2MDYwMDcifQ==</vt:lpwstr>
  </property>
</Properties>
</file>