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0E0D3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72"/>
          <w:szCs w:val="72"/>
        </w:rPr>
      </w:pPr>
    </w:p>
    <w:p w14:paraId="467439B9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安阳市龙安区</w:t>
      </w:r>
    </w:p>
    <w:p w14:paraId="351352C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马投涧镇齐村中心小学</w:t>
      </w:r>
    </w:p>
    <w:p w14:paraId="628FE55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2026</w:t>
      </w:r>
      <w:r>
        <w:rPr>
          <w:rFonts w:hint="eastAsia" w:ascii="宋体" w:hAnsi="宋体"/>
          <w:b/>
          <w:sz w:val="52"/>
          <w:szCs w:val="52"/>
        </w:rPr>
        <w:t>年度单位预算公开说明</w:t>
      </w:r>
    </w:p>
    <w:p w14:paraId="3AFADC72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84"/>
          <w:szCs w:val="84"/>
        </w:rPr>
      </w:pPr>
    </w:p>
    <w:p w14:paraId="0F4C2F11">
      <w:pPr>
        <w:adjustRightInd w:val="0"/>
        <w:snapToGrid w:val="0"/>
        <w:spacing w:line="360" w:lineRule="auto"/>
        <w:rPr>
          <w:rFonts w:ascii="方正小标宋简体" w:hAnsi="Times New Roman" w:eastAsia="方正小标宋简体"/>
          <w:b/>
          <w:sz w:val="84"/>
          <w:szCs w:val="84"/>
        </w:rPr>
      </w:pPr>
    </w:p>
    <w:p w14:paraId="4257D89C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485AAABA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4F674CA6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573C5B5A">
      <w:pPr>
        <w:kinsoku w:val="0"/>
        <w:overflowPunct w:val="0"/>
        <w:adjustRightInd w:val="0"/>
        <w:snapToGrid w:val="0"/>
        <w:spacing w:line="360" w:lineRule="auto"/>
        <w:ind w:right="-58" w:firstLine="3840" w:firstLineChars="1200"/>
        <w:jc w:val="both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2026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sz w:val="32"/>
          <w:szCs w:val="32"/>
        </w:rPr>
        <w:t>月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20</w:t>
      </w:r>
      <w:r>
        <w:rPr>
          <w:rFonts w:hint="eastAsia" w:ascii="宋体" w:hAnsi="宋体"/>
          <w:b/>
          <w:sz w:val="32"/>
          <w:szCs w:val="32"/>
        </w:rPr>
        <w:t>日</w:t>
      </w:r>
    </w:p>
    <w:p w14:paraId="6CB151AA">
      <w:pPr>
        <w:kinsoku w:val="0"/>
        <w:overflowPunct w:val="0"/>
        <w:adjustRightInd w:val="0"/>
        <w:snapToGrid w:val="0"/>
        <w:spacing w:line="360" w:lineRule="auto"/>
        <w:ind w:right="-58"/>
        <w:jc w:val="center"/>
        <w:rPr>
          <w:rFonts w:hint="eastAsia" w:ascii="宋体" w:hAnsi="宋体"/>
          <w:b/>
          <w:sz w:val="24"/>
          <w:szCs w:val="24"/>
        </w:rPr>
      </w:pPr>
    </w:p>
    <w:p w14:paraId="0C648E08">
      <w:pPr>
        <w:kinsoku w:val="0"/>
        <w:overflowPunct w:val="0"/>
        <w:adjustRightInd w:val="0"/>
        <w:snapToGrid w:val="0"/>
        <w:spacing w:line="360" w:lineRule="auto"/>
        <w:ind w:right="-58"/>
        <w:jc w:val="center"/>
        <w:rPr>
          <w:rFonts w:hint="eastAsia" w:ascii="宋体" w:hAnsi="宋体"/>
          <w:b/>
          <w:sz w:val="24"/>
          <w:szCs w:val="24"/>
        </w:rPr>
      </w:pPr>
    </w:p>
    <w:p w14:paraId="17BB003D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</w:p>
    <w:p w14:paraId="1C7D7C4F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  <w:r>
        <w:rPr>
          <w:rFonts w:hint="eastAsia" w:ascii="黑体" w:hAnsi="Times New Roman" w:eastAsia="黑体" w:cs="黑体"/>
          <w:sz w:val="56"/>
          <w:szCs w:val="56"/>
        </w:rPr>
        <w:t>目  录</w:t>
      </w:r>
    </w:p>
    <w:p w14:paraId="4BE025CA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第一部分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 xml:space="preserve">   齐村中心小学</w:t>
      </w:r>
      <w:r>
        <w:rPr>
          <w:rFonts w:hint="eastAsia" w:ascii="黑体" w:hAnsi="黑体" w:eastAsia="黑体"/>
          <w:sz w:val="32"/>
          <w:szCs w:val="32"/>
        </w:rPr>
        <w:t>单位</w:t>
      </w:r>
      <w:r>
        <w:rPr>
          <w:rFonts w:hint="eastAsia" w:ascii="黑体" w:hAnsi="Times New Roman" w:eastAsia="黑体" w:cs="黑体"/>
          <w:sz w:val="32"/>
          <w:szCs w:val="32"/>
        </w:rPr>
        <w:t>概况</w:t>
      </w:r>
    </w:p>
    <w:p w14:paraId="1D4C93F8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一、主要职能</w:t>
      </w:r>
    </w:p>
    <w:p w14:paraId="2035002F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二、单位预算构成</w:t>
      </w:r>
    </w:p>
    <w:p w14:paraId="73908690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第二部分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 xml:space="preserve">   齐村中心小学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2026</w:t>
      </w:r>
      <w:r>
        <w:rPr>
          <w:rFonts w:hint="eastAsia" w:ascii="黑体" w:hAnsi="Times New Roman" w:eastAsia="黑体" w:cs="黑体"/>
          <w:sz w:val="32"/>
          <w:szCs w:val="32"/>
        </w:rPr>
        <w:t>年度单位预算情况说明</w:t>
      </w:r>
    </w:p>
    <w:p w14:paraId="06F7678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一、收入支出预算总体情况明</w:t>
      </w:r>
    </w:p>
    <w:p w14:paraId="5B188C39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二、收入预算总体情况说明</w:t>
      </w:r>
    </w:p>
    <w:p w14:paraId="1BB3EF8F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三、支出预算总体情况说明</w:t>
      </w:r>
    </w:p>
    <w:p w14:paraId="2212FF3C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四、财政拨款收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总体情况说明</w:t>
      </w:r>
    </w:p>
    <w:p w14:paraId="01851EEF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五、一般公共预算支出预算情况说明</w:t>
      </w:r>
    </w:p>
    <w:p w14:paraId="09288CAB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六、一般公共预算基本支出情况说明</w:t>
      </w:r>
    </w:p>
    <w:p w14:paraId="09995DF2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330771309"/>
          <w:lang w:val="en-US" w:eastAsia="zh-CN"/>
        </w:rPr>
        <w:t>一般公共预算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330771309"/>
        </w:rPr>
        <w:t>“三公”经费支出预算情况说</w:t>
      </w:r>
      <w:r>
        <w:rPr>
          <w:rFonts w:hint="eastAsia" w:ascii="仿宋_GB2312" w:hAnsi="仿宋_GB2312" w:eastAsia="仿宋_GB2312" w:cs="仿宋_GB2312"/>
          <w:spacing w:val="5"/>
          <w:w w:val="90"/>
          <w:kern w:val="0"/>
          <w:sz w:val="32"/>
          <w:szCs w:val="32"/>
          <w:highlight w:val="none"/>
          <w:fitText w:val="5760" w:id="330771309"/>
        </w:rPr>
        <w:t>明</w:t>
      </w:r>
    </w:p>
    <w:p w14:paraId="6416A64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八、政府性基金预算支出情况说明</w:t>
      </w:r>
    </w:p>
    <w:p w14:paraId="0E94D6D9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ascii="仿宋_GB2312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、其他重要事项的情况说明</w:t>
      </w:r>
    </w:p>
    <w:p w14:paraId="3694585E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 xml:space="preserve">第三部分  </w:t>
      </w:r>
      <w:r>
        <w:rPr>
          <w:rFonts w:hint="eastAsia" w:ascii="黑体" w:hAnsi="Times New Roman" w:eastAsia="黑体" w:cs="黑体"/>
          <w:spacing w:val="0"/>
          <w:sz w:val="32"/>
          <w:szCs w:val="32"/>
        </w:rPr>
        <w:t>名词解释</w:t>
      </w:r>
    </w:p>
    <w:p w14:paraId="2EA1F4FE">
      <w:pPr>
        <w:kinsoku w:val="0"/>
        <w:overflowPunct w:val="0"/>
        <w:adjustRightInd w:val="0"/>
        <w:snapToGrid w:val="0"/>
        <w:spacing w:line="360" w:lineRule="auto"/>
        <w:ind w:firstLine="630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齐村中心小学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2026</w:t>
      </w:r>
      <w:r>
        <w:rPr>
          <w:rFonts w:hint="eastAsia" w:ascii="黑体" w:hAnsi="Times New Roman" w:eastAsia="黑体" w:cs="黑体"/>
          <w:sz w:val="32"/>
          <w:szCs w:val="32"/>
        </w:rPr>
        <w:t>年度单位预算表</w:t>
      </w:r>
    </w:p>
    <w:p w14:paraId="13D808B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2026年单位收支预算表</w:t>
      </w:r>
    </w:p>
    <w:p w14:paraId="4CBECDF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2026年单位收入预算表</w:t>
      </w:r>
    </w:p>
    <w:p w14:paraId="76F3D45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2026年单位支出预算表</w:t>
      </w:r>
    </w:p>
    <w:p w14:paraId="06B849A2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四、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财政拨款收支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651EA98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一般公共预算支出预算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表</w:t>
      </w:r>
    </w:p>
    <w:p w14:paraId="0FA32EEF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1600" w:leftChars="0" w:right="0" w:hanging="1600" w:hangingChars="5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2026年一般公共预算基本支出表</w:t>
      </w:r>
    </w:p>
    <w:p w14:paraId="1E58D24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2026年支出经济分类汇总表</w:t>
      </w:r>
    </w:p>
    <w:p w14:paraId="0DEBCE3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八、2026年一般公共预算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“三公”经费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7E17B7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九、2026年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政府性基金预算支出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128332D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十、2026年项目支出预算表</w:t>
      </w:r>
    </w:p>
    <w:p w14:paraId="782C0C18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十一、2026年单位（单位）整体绩效目标表</w:t>
      </w:r>
    </w:p>
    <w:p w14:paraId="7DFC462E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十二、2026年单位预算项目绩效目标表</w:t>
      </w:r>
    </w:p>
    <w:p w14:paraId="4F7F3025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</w:p>
    <w:p w14:paraId="69EB1B8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CB7507C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4C3C221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3C3CEB59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1693E9A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93BC202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1DDD6A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8945B0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35456EF6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15943B18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DE2FAF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62CEE56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6882739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E7854E3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D087797">
      <w:pPr>
        <w:kinsoku w:val="0"/>
        <w:overflowPunct w:val="0"/>
        <w:adjustRightInd w:val="0"/>
        <w:snapToGrid w:val="0"/>
        <w:spacing w:line="360" w:lineRule="auto"/>
        <w:ind w:right="51"/>
        <w:jc w:val="left"/>
        <w:rPr>
          <w:rFonts w:ascii="仿宋_GB2312" w:eastAsia="仿宋_GB2312"/>
          <w:sz w:val="32"/>
          <w:szCs w:val="32"/>
        </w:rPr>
      </w:pPr>
    </w:p>
    <w:p w14:paraId="22EC7751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0"/>
          <w:szCs w:val="32"/>
        </w:rPr>
      </w:pPr>
      <w:r>
        <w:rPr>
          <w:rFonts w:hint="eastAsia" w:ascii="黑体" w:hAnsi="黑体" w:eastAsia="黑体"/>
          <w:sz w:val="44"/>
          <w:szCs w:val="32"/>
        </w:rPr>
        <w:t>第一部分</w:t>
      </w:r>
      <w:r>
        <w:rPr>
          <w:rFonts w:hint="eastAsia" w:ascii="黑体" w:hAnsi="黑体" w:eastAsia="黑体"/>
          <w:sz w:val="44"/>
          <w:szCs w:val="32"/>
          <w:lang w:val="en-US" w:eastAsia="zh-CN"/>
        </w:rPr>
        <w:t xml:space="preserve">   齐村中心小学</w:t>
      </w:r>
      <w:r>
        <w:rPr>
          <w:rFonts w:hint="eastAsia" w:ascii="黑体" w:hAnsi="黑体" w:eastAsia="黑体"/>
          <w:b/>
          <w:bCs/>
          <w:sz w:val="40"/>
          <w:szCs w:val="32"/>
        </w:rPr>
        <w:t>单位概</w:t>
      </w:r>
      <w:r>
        <w:rPr>
          <w:rFonts w:hint="eastAsia" w:ascii="黑体" w:hAnsi="黑体" w:eastAsia="黑体"/>
          <w:sz w:val="40"/>
          <w:szCs w:val="32"/>
        </w:rPr>
        <w:t>况</w:t>
      </w:r>
    </w:p>
    <w:p w14:paraId="4859FDAE">
      <w:pPr>
        <w:adjustRightInd w:val="0"/>
        <w:snapToGrid w:val="0"/>
        <w:spacing w:line="360" w:lineRule="auto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</w:p>
    <w:p w14:paraId="77D11A13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齐村中心小学</w:t>
      </w:r>
      <w:r>
        <w:rPr>
          <w:rFonts w:hint="eastAsia" w:ascii="宋体" w:hAnsi="宋体"/>
          <w:b/>
          <w:bCs/>
          <w:sz w:val="32"/>
          <w:szCs w:val="32"/>
        </w:rPr>
        <w:t>单位主要职责</w:t>
      </w:r>
    </w:p>
    <w:p w14:paraId="594CDE72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（一）实施小学义务教育</w:t>
      </w:r>
    </w:p>
    <w:p w14:paraId="53A80EC3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（二）促进基础教育发展</w:t>
      </w:r>
    </w:p>
    <w:p w14:paraId="4100EC0A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（三）小学学历教育</w:t>
      </w:r>
    </w:p>
    <w:p w14:paraId="068787DC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（四）注重教师教学技能提升，全面提高教育教学质量。</w:t>
      </w:r>
    </w:p>
    <w:p w14:paraId="023FD3A6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（五）注重学生行为习惯的培养，提升学生的道德品质。</w:t>
      </w:r>
    </w:p>
    <w:p w14:paraId="0EE47647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（六）积极探索教学改革，创办人民群众满意的教育。</w:t>
      </w:r>
    </w:p>
    <w:p w14:paraId="26A420F1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（七）加强学校安全管理，提高服务意识，全方面实现党的教育方针。</w:t>
      </w:r>
    </w:p>
    <w:p w14:paraId="75460D4C">
      <w:pPr>
        <w:adjustRightInd w:val="0"/>
        <w:snapToGrid w:val="0"/>
        <w:spacing w:line="360" w:lineRule="auto"/>
        <w:ind w:firstLine="640" w:firstLineChars="200"/>
        <w:rPr>
          <w:rFonts w:hint="eastAsia" w:ascii="黑体" w:hAnsi="黑体" w:eastAsia="宋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宋体" w:hAnsi="宋体"/>
          <w:b/>
          <w:bCs/>
          <w:sz w:val="32"/>
          <w:szCs w:val="32"/>
        </w:rPr>
        <w:t>预</w:t>
      </w:r>
      <w:r>
        <w:rPr>
          <w:rFonts w:hint="eastAsia" w:ascii="宋体" w:hAnsi="宋体"/>
          <w:b/>
          <w:sz w:val="32"/>
          <w:szCs w:val="32"/>
        </w:rPr>
        <w:t>算单位构成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情况</w:t>
      </w:r>
    </w:p>
    <w:p w14:paraId="7B233986"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安阳市龙安区马投涧镇齐村中心小学单位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内设机构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二级机构0个，三级预算单位0个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预算为本级预算。</w:t>
      </w:r>
      <w:r>
        <w:rPr>
          <w:rFonts w:hint="eastAsia" w:ascii="仿宋_GB2312" w:hAnsi="宋体" w:eastAsia="仿宋_GB2312" w:cs="宋体"/>
          <w:sz w:val="32"/>
          <w:szCs w:val="32"/>
        </w:rPr>
        <w:t>安阳市龙安区马投涧镇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齐村</w:t>
      </w:r>
      <w:r>
        <w:rPr>
          <w:rFonts w:hint="eastAsia" w:ascii="仿宋_GB2312" w:hAnsi="宋体" w:eastAsia="仿宋_GB2312" w:cs="宋体"/>
          <w:sz w:val="32"/>
          <w:szCs w:val="32"/>
        </w:rPr>
        <w:t>中心小学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宋体"/>
          <w:sz w:val="32"/>
          <w:szCs w:val="32"/>
        </w:rPr>
        <w:t>年预算公开仅包含本单位预算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公开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 w14:paraId="33302265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6E8D5911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58FBD99C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7BEF4DA9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75DB562D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42C5A3FB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2B3C35C7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34793AC9"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eastAsia" w:ascii="宋体" w:hAnsi="宋体" w:cs="黑体"/>
          <w:b/>
          <w:sz w:val="40"/>
          <w:szCs w:val="32"/>
          <w:lang w:val="en-US" w:eastAsia="zh-CN"/>
        </w:rPr>
      </w:pPr>
    </w:p>
    <w:p w14:paraId="65476DA0">
      <w:pPr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bCs/>
          <w:sz w:val="32"/>
          <w:szCs w:val="24"/>
        </w:rPr>
      </w:pPr>
      <w:r>
        <w:rPr>
          <w:rFonts w:hint="eastAsia" w:ascii="黑体" w:hAnsi="Times New Roman" w:eastAsia="黑体" w:cs="黑体"/>
          <w:b/>
          <w:bCs/>
          <w:sz w:val="32"/>
          <w:szCs w:val="24"/>
          <w:lang w:val="en-US" w:eastAsia="zh-CN"/>
        </w:rPr>
        <w:t>齐村中心小学</w:t>
      </w:r>
      <w:r>
        <w:rPr>
          <w:rFonts w:hint="eastAsia" w:ascii="黑体" w:hAnsi="Times New Roman" w:eastAsia="黑体" w:cs="黑体"/>
          <w:b/>
          <w:bCs/>
          <w:sz w:val="32"/>
          <w:szCs w:val="24"/>
          <w:lang w:eastAsia="zh-CN"/>
        </w:rPr>
        <w:t>2026</w:t>
      </w:r>
      <w:r>
        <w:rPr>
          <w:rFonts w:hint="eastAsia" w:ascii="黑体" w:hAnsi="Times New Roman" w:eastAsia="黑体" w:cs="黑体"/>
          <w:b/>
          <w:bCs/>
          <w:sz w:val="32"/>
          <w:szCs w:val="24"/>
        </w:rPr>
        <w:t>年度单位预算情况说明</w:t>
      </w:r>
    </w:p>
    <w:p w14:paraId="7C69307E">
      <w:pPr>
        <w:adjustRightInd w:val="0"/>
        <w:snapToGrid w:val="0"/>
        <w:spacing w:line="360" w:lineRule="auto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收入支出预算总体情况说明</w:t>
      </w:r>
    </w:p>
    <w:p w14:paraId="654C3409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年收入总计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43.71</w:t>
      </w:r>
      <w:r>
        <w:rPr>
          <w:rFonts w:hint="eastAsia" w:ascii="仿宋_GB2312" w:hAnsi="宋体" w:eastAsia="仿宋_GB2312" w:cs="Courier New"/>
          <w:bCs/>
          <w:sz w:val="32"/>
          <w:szCs w:val="32"/>
        </w:rPr>
        <w:t>万元，支出总计</w:t>
      </w:r>
      <w:r>
        <w:rPr>
          <w:rFonts w:hint="eastAsia" w:ascii="仿宋_GB2312" w:hAnsi="宋体" w:eastAsia="仿宋_GB2312" w:cs="Courier New"/>
          <w:bCs/>
          <w:sz w:val="32"/>
          <w:szCs w:val="32"/>
          <w:lang w:val="en-US" w:eastAsia="zh-CN"/>
        </w:rPr>
        <w:t>43.71</w:t>
      </w:r>
      <w:r>
        <w:rPr>
          <w:rFonts w:hint="eastAsia" w:ascii="仿宋_GB2312" w:hAnsi="宋体" w:eastAsia="仿宋_GB2312" w:cs="Courier New"/>
          <w:bCs/>
          <w:sz w:val="32"/>
          <w:szCs w:val="32"/>
        </w:rPr>
        <w:t>万</w:t>
      </w:r>
      <w:r>
        <w:rPr>
          <w:rFonts w:hint="eastAsia" w:ascii="仿宋_GB2312" w:hAnsi="宋体" w:eastAsia="仿宋_GB2312" w:cs="Courier New"/>
          <w:sz w:val="32"/>
          <w:szCs w:val="32"/>
        </w:rPr>
        <w:t>元，与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</w:rPr>
        <w:t>相比，收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Courier New"/>
          <w:sz w:val="32"/>
          <w:szCs w:val="32"/>
        </w:rPr>
        <w:t>支总计各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减少239.71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下降84.68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在职教师数减少，学生人数减少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78CC8C9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收入预算总体</w:t>
      </w:r>
      <w:r>
        <w:rPr>
          <w:rFonts w:hint="eastAsia" w:ascii="黑体" w:hAnsi="黑体" w:eastAsia="黑体"/>
          <w:sz w:val="32"/>
          <w:szCs w:val="32"/>
        </w:rPr>
        <w:t>情况说明</w:t>
      </w:r>
    </w:p>
    <w:p w14:paraId="58A497B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Times New Roman" w:eastAsia="仿宋_GB2312"/>
          <w:sz w:val="32"/>
          <w:szCs w:val="32"/>
        </w:rPr>
        <w:t>年收入合计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43.71</w:t>
      </w:r>
      <w:r>
        <w:rPr>
          <w:rFonts w:hint="eastAsia" w:ascii="仿宋_GB2312" w:hAnsi="Times New Roman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其中：一般公共预算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43.71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hint="eastAsia" w:ascii="仿宋_GB2312" w:hAnsi="Times New Roman" w:eastAsia="仿宋_GB2312"/>
          <w:sz w:val="32"/>
          <w:szCs w:val="32"/>
        </w:rPr>
        <w:t>政府性基金收入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万元；国有资本经营预算收入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万元；专户管理的教育收费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万元；事业收入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万元；经营收入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上级补助收入0万元；附属单位上缴收入0万元；</w:t>
      </w:r>
      <w:r>
        <w:rPr>
          <w:rFonts w:hint="eastAsia" w:ascii="仿宋_GB2312" w:hAnsi="Times New Roman" w:eastAsia="仿宋_GB2312"/>
          <w:sz w:val="32"/>
          <w:szCs w:val="32"/>
        </w:rPr>
        <w:t>其他收入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万元。</w:t>
      </w:r>
    </w:p>
    <w:p w14:paraId="6EC26CA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三、支出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</w:p>
    <w:p w14:paraId="7D84EFC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年支出合计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43.71</w:t>
      </w:r>
      <w:r>
        <w:rPr>
          <w:rFonts w:hint="eastAsia" w:ascii="仿宋_GB2312" w:eastAsia="仿宋_GB2312"/>
          <w:sz w:val="32"/>
          <w:szCs w:val="32"/>
        </w:rPr>
        <w:t>万元，其中：基本支出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41.58</w:t>
      </w:r>
      <w:r>
        <w:rPr>
          <w:rFonts w:hint="eastAsia" w:ascii="仿宋_GB2312" w:eastAsia="仿宋_GB2312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95.13</w:t>
      </w:r>
      <w:r>
        <w:rPr>
          <w:rFonts w:hint="eastAsia" w:ascii="仿宋_GB2312" w:eastAsia="仿宋_GB2312"/>
          <w:sz w:val="32"/>
          <w:szCs w:val="32"/>
        </w:rPr>
        <w:t>%；项目支出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2.13</w:t>
      </w:r>
      <w:r>
        <w:rPr>
          <w:rFonts w:hint="eastAsia" w:ascii="仿宋_GB2312" w:eastAsia="仿宋_GB2312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4.87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738ED368">
      <w:pPr>
        <w:spacing w:line="56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四、财政拨款收支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</w:p>
    <w:p w14:paraId="304BACE9"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年一般公共预算收支预算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43.71</w:t>
      </w:r>
      <w:r>
        <w:rPr>
          <w:rFonts w:hint="eastAsia" w:ascii="仿宋_GB2312" w:hAnsi="宋体" w:eastAsia="仿宋_GB2312" w:cs="Courier New"/>
          <w:sz w:val="32"/>
          <w:szCs w:val="32"/>
        </w:rPr>
        <w:t>万元。与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</w:rPr>
        <w:t>相比，一般公共预算收支预算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减少239.71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下降84.68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，主要原因：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在职教师数减少，学生人数减少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  <w:r>
        <w:rPr>
          <w:rFonts w:hint="eastAsia" w:ascii="仿宋_GB2312" w:hAnsi="宋体" w:eastAsia="仿宋_GB2312" w:cs="Courier New"/>
          <w:sz w:val="32"/>
          <w:szCs w:val="32"/>
        </w:rPr>
        <w:t>政府性基金收支预算增加0万元，增长0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。主要原因：我单位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年均没有政府性基金收支。</w:t>
      </w:r>
    </w:p>
    <w:p w14:paraId="1EB86CF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五、一般公共预算支出情况说明</w:t>
      </w:r>
    </w:p>
    <w:p w14:paraId="667A8C95">
      <w:pPr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年一般公共预算支出年初预算为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43.71</w:t>
      </w:r>
      <w:r>
        <w:rPr>
          <w:rFonts w:hint="eastAsia" w:ascii="仿宋_GB2312" w:hAnsi="宋体" w:eastAsia="仿宋_GB2312" w:cs="Courier New"/>
          <w:sz w:val="32"/>
          <w:szCs w:val="32"/>
        </w:rPr>
        <w:t>万元，其中：基本支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41.58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95.13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；项目支出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2.13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4.87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5FED889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六、</w:t>
      </w:r>
      <w:r>
        <w:rPr>
          <w:rFonts w:hint="eastAsia" w:ascii="黑体" w:hAnsi="黑体" w:eastAsia="黑体"/>
          <w:sz w:val="32"/>
          <w:szCs w:val="32"/>
        </w:rPr>
        <w:t>一般公共预算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基本</w:t>
      </w:r>
      <w:r>
        <w:rPr>
          <w:rFonts w:hint="eastAsia" w:ascii="黑体" w:hAnsi="黑体" w:eastAsia="黑体"/>
          <w:sz w:val="32"/>
          <w:szCs w:val="32"/>
        </w:rPr>
        <w:t>支出情况说明</w:t>
      </w:r>
    </w:p>
    <w:p w14:paraId="65FD2926">
      <w:pPr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年一般公共预算基本支出年初预算为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41.58</w:t>
      </w:r>
      <w:r>
        <w:rPr>
          <w:rFonts w:hint="eastAsia" w:ascii="仿宋_GB2312" w:hAnsi="宋体" w:eastAsia="仿宋_GB2312" w:cs="Courier New"/>
          <w:sz w:val="32"/>
          <w:szCs w:val="32"/>
        </w:rPr>
        <w:t>万元，其中：人员经费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40.41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97.19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；公用经费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1.17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2.81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4FDE3B4E"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Times New Roman" w:eastAsia="黑体" w:cs="黑体"/>
          <w:color w:val="auto"/>
          <w:kern w:val="0"/>
          <w:sz w:val="32"/>
          <w:szCs w:val="32"/>
        </w:rPr>
        <w:t>七、一般公共预算“三公”经费支出情况说明</w:t>
      </w:r>
    </w:p>
    <w:p w14:paraId="4CA34351"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我单位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年“三公”经费预算为0万元。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年“三公”经费支出预算数比</w:t>
      </w:r>
      <w:r>
        <w:rPr>
          <w:rFonts w:ascii="仿宋_GB2312" w:hAnsi="宋体" w:eastAsia="仿宋_GB2312" w:cs="Courier New"/>
          <w:color w:val="auto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年增加0万元。</w:t>
      </w:r>
    </w:p>
    <w:p w14:paraId="3E1D3BAD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具体支出情况如下：</w:t>
      </w:r>
    </w:p>
    <w:p w14:paraId="7BCF9994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因公出国（境）费</w:t>
      </w:r>
      <w:r>
        <w:rPr>
          <w:rFonts w:hint="eastAsia" w:ascii="仿宋_GB2312" w:hAnsi="宋体" w:eastAsia="仿宋_GB2312" w:cs="Courier New"/>
          <w:sz w:val="32"/>
          <w:szCs w:val="32"/>
        </w:rPr>
        <w:t>0万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</w:rPr>
        <w:t>元，</w:t>
      </w:r>
      <w:r>
        <w:rPr>
          <w:rFonts w:hint="eastAsia" w:ascii="仿宋_GB2312" w:hAnsi="宋体" w:eastAsia="仿宋_GB2312" w:cs="Courier New"/>
          <w:sz w:val="32"/>
          <w:szCs w:val="32"/>
        </w:rPr>
        <w:t>主要用于单位工作人员公务出国（境）的住宿费、旅费、伙食补助费、杂费、培训费等支出。因公出国（境）费预算数与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年相比，增加0万元。主要原因：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年均没有因公出国（境）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738F076F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（二）公务用车购置及运行费</w:t>
      </w:r>
      <w:r>
        <w:rPr>
          <w:rFonts w:hint="eastAsia" w:ascii="仿宋_GB2312" w:hAnsi="宋体" w:eastAsia="仿宋_GB2312" w:cs="Courier New"/>
          <w:sz w:val="32"/>
          <w:szCs w:val="32"/>
        </w:rPr>
        <w:t>0万元，其中，公务用车购置费0万元；公务用车运行维护费0万元，主要用于开展工作所需公务用车的燃料费、维修费、过路过桥费、保险费、安全奖励费用等支出。公务用车购置费预算数与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年相比增加0万元，主要原因：</w:t>
      </w: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年均没有公务用车购置及运行</w:t>
      </w:r>
      <w:r>
        <w:rPr>
          <w:rFonts w:hint="eastAsia" w:ascii="仿宋_GB2312" w:hAnsi="宋体" w:eastAsia="仿宋_GB2312" w:cs="Courier New"/>
          <w:sz w:val="32"/>
          <w:szCs w:val="32"/>
        </w:rPr>
        <w:t>。公务用车运行维护费预算数比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bookmarkStart w:id="0" w:name="OLE_LINK1"/>
      <w:r>
        <w:rPr>
          <w:rFonts w:hint="eastAsia" w:ascii="仿宋_GB2312" w:hAnsi="宋体" w:eastAsia="仿宋_GB2312" w:cs="Courier New"/>
          <w:sz w:val="32"/>
          <w:szCs w:val="32"/>
        </w:rPr>
        <w:t>增加0万元</w:t>
      </w:r>
      <w:bookmarkEnd w:id="0"/>
      <w:r>
        <w:rPr>
          <w:rFonts w:hint="eastAsia" w:ascii="仿宋_GB2312" w:hAnsi="宋体" w:eastAsia="仿宋_GB2312" w:cs="Courier New"/>
          <w:sz w:val="32"/>
          <w:szCs w:val="32"/>
        </w:rPr>
        <w:t>，主要原因：</w:t>
      </w: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年均没有公务用车运行维护费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04D7E00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（三）公务接待费</w:t>
      </w:r>
      <w:r>
        <w:rPr>
          <w:rFonts w:hint="eastAsia" w:ascii="仿宋_GB2312" w:hAnsi="宋体" w:eastAsia="仿宋_GB2312" w:cs="Courier New"/>
          <w:sz w:val="32"/>
          <w:szCs w:val="32"/>
        </w:rPr>
        <w:t>0万元，主要用于按规定开支的各类公务接待（含外宾接待）支出。公务接待费预算数比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年增加0万元。主要原因：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年均没有公务接待费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4A89DDD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八、政府性基金预算支出情况说明</w:t>
      </w:r>
    </w:p>
    <w:p w14:paraId="0B3E1BEC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我单位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bCs/>
          <w:sz w:val="32"/>
          <w:szCs w:val="32"/>
        </w:rPr>
        <w:t>年没有使用政府性基金预算拨款安排的支出。</w:t>
      </w:r>
    </w:p>
    <w:p w14:paraId="486A7801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 w:eastAsia="仿宋_GB2312" w:cs="仿宋_GB2312"/>
          <w:b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  <w:shd w:val="clear" w:color="auto" w:fill="FFFFFF"/>
        </w:rPr>
        <w:t>九、其他重要事项的情况说明</w:t>
      </w:r>
    </w:p>
    <w:p w14:paraId="26F4DB0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（一）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行政（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）单位机构运转经费</w:t>
      </w:r>
    </w:p>
    <w:p w14:paraId="381A3F1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安阳市龙安区马投涧镇齐村中心小学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运行经费支出预算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1.17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主要保障机构正常运行及正常履职需要所需支出，包括公用经费、公务交通补贴、工会经费、职工福利等。</w:t>
      </w:r>
    </w:p>
    <w:p w14:paraId="13FA7C2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（二）政府采购支出情况</w:t>
      </w:r>
    </w:p>
    <w:p w14:paraId="1A3264D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楷体_GB2312" w:hAnsi="Times New Roman" w:eastAsia="楷体_GB2312" w:cs="仿宋_GB2312"/>
          <w:b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年政府采购预算安排0万元，其中：政府采购货物预算0万元、政府采购工程预算0万元、政府采购服务预算0万元。</w:t>
      </w:r>
    </w:p>
    <w:p w14:paraId="19E9BB78">
      <w:pPr>
        <w:kinsoku w:val="0"/>
        <w:overflowPunct w:val="0"/>
        <w:adjustRightInd w:val="0"/>
        <w:snapToGrid w:val="0"/>
        <w:spacing w:line="360" w:lineRule="auto"/>
        <w:ind w:firstLine="480" w:firstLineChars="150"/>
        <w:jc w:val="left"/>
        <w:rPr>
          <w:rFonts w:hint="default" w:ascii="仿宋_GB2312" w:hAnsi="Times New Roman" w:eastAsia="仿宋_GB2312" w:cs="仿宋_GB2312"/>
          <w:b/>
          <w:sz w:val="32"/>
          <w:szCs w:val="32"/>
          <w:lang w:val="en-US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（三）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绩效</w:t>
      </w:r>
      <w:r>
        <w:rPr>
          <w:rFonts w:hint="eastAsia" w:ascii="仿宋_GB2312" w:hAnsi="Times New Roman" w:eastAsia="仿宋_GB2312" w:cs="仿宋_GB2312"/>
          <w:b/>
          <w:sz w:val="32"/>
          <w:szCs w:val="32"/>
          <w:lang w:val="en-US" w:eastAsia="zh-CN"/>
        </w:rPr>
        <w:t>情况说明</w:t>
      </w:r>
    </w:p>
    <w:p w14:paraId="5106457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个，资金总额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均分别从项目成本、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项目产出、项目效益、项目满意度等方面按要求设置了绩效目标。其中预算支出100万元及100万元以上重点项目共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，重点项目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绩效目标简述如下：</w:t>
      </w:r>
    </w:p>
    <w:p w14:paraId="2446FCD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宋体" w:eastAsia="仿宋_GB2312" w:cs="Courier New"/>
          <w:color w:val="000000"/>
          <w:sz w:val="32"/>
          <w:szCs w:val="32"/>
        </w:rPr>
        <w:t>本单位没有重点项目，所以没有重点项目绩效。</w:t>
      </w:r>
    </w:p>
    <w:p w14:paraId="06CC59B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（四）国有资产占用情况。</w:t>
      </w:r>
    </w:p>
    <w:p w14:paraId="489E5B7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年末，我单位共有车辆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辆，其中：一般公务用车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辆、一般执法执勤用车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辆、特种专业技术用车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辆，其他用车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辆；单价</w:t>
      </w:r>
      <w:r>
        <w:rPr>
          <w:rFonts w:ascii="仿宋_GB2312" w:hAnsi="宋体" w:eastAsia="仿宋_GB2312" w:cs="Courier New"/>
          <w:sz w:val="32"/>
          <w:szCs w:val="32"/>
        </w:rPr>
        <w:t>50</w:t>
      </w:r>
      <w:r>
        <w:rPr>
          <w:rFonts w:hint="eastAsia" w:ascii="仿宋_GB2312" w:hAnsi="宋体" w:eastAsia="仿宋_GB2312" w:cs="Courier New"/>
          <w:sz w:val="32"/>
          <w:szCs w:val="32"/>
        </w:rPr>
        <w:t>万元以上通用设备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台（套），单位价值</w:t>
      </w:r>
      <w:r>
        <w:rPr>
          <w:rFonts w:ascii="仿宋_GB2312" w:hAnsi="宋体" w:eastAsia="仿宋_GB2312" w:cs="Courier New"/>
          <w:sz w:val="32"/>
          <w:szCs w:val="32"/>
        </w:rPr>
        <w:t>100</w:t>
      </w:r>
      <w:r>
        <w:rPr>
          <w:rFonts w:hint="eastAsia" w:ascii="仿宋_GB2312" w:hAnsi="宋体" w:eastAsia="仿宋_GB2312" w:cs="Courier New"/>
          <w:sz w:val="32"/>
          <w:szCs w:val="32"/>
        </w:rPr>
        <w:t>万元以上专用设备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台（套）。</w:t>
      </w:r>
    </w:p>
    <w:p w14:paraId="1CE2273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/>
          <w:sz w:val="32"/>
          <w:szCs w:val="32"/>
        </w:rPr>
      </w:pPr>
      <w:r>
        <w:rPr>
          <w:rFonts w:hint="eastAsia" w:ascii="仿宋_GB2312" w:hAnsi="宋体" w:eastAsia="仿宋_GB2312" w:cs="Courier New"/>
          <w:b/>
          <w:sz w:val="32"/>
          <w:szCs w:val="32"/>
        </w:rPr>
        <w:t>（五）专项转移支付项目情况</w:t>
      </w:r>
    </w:p>
    <w:p w14:paraId="3555F13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我单位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年没有专项转移支付项目。</w:t>
      </w:r>
    </w:p>
    <w:p w14:paraId="1C1106B5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第三部分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/>
          <w:sz w:val="32"/>
          <w:szCs w:val="32"/>
        </w:rPr>
        <w:t>名词解释</w:t>
      </w:r>
    </w:p>
    <w:p w14:paraId="1487FA1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一、财政拨款收入：是指同级财政当年拨付的资金。</w:t>
      </w:r>
    </w:p>
    <w:p w14:paraId="1363A70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二、事业收入：是指事业单位开展专业活动及辅助活动所取得的收入。</w:t>
      </w:r>
    </w:p>
    <w:p w14:paraId="6522EE8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三、其他收入：是指单位取得的除“财政拨款”、“事业收入”、“事业单位经营收入”等以外的收入。</w:t>
      </w:r>
    </w:p>
    <w:p w14:paraId="397D874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四、机关运行经费：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14:paraId="51620C3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五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当年收支缺口的资金。</w:t>
      </w:r>
    </w:p>
    <w:p w14:paraId="4AB9C5B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六、基本支出：是指为保障机构正常运转、完成日常工作任务所必需的开支，其内容包括人员经费和日常公用经费两部分。</w:t>
      </w:r>
    </w:p>
    <w:p w14:paraId="6A54BF2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七、项目支出：是指在基本支出之外，为完成特定的行政工作任务或事业发展目标所发生的支出。</w:t>
      </w:r>
    </w:p>
    <w:p w14:paraId="5E6B44F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八、“三公”经费：是指纳入同级财政预算管理，单位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14:paraId="1537401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2DCAD06C">
      <w:pPr>
        <w:pStyle w:val="8"/>
        <w:rPr>
          <w:rFonts w:hint="eastAsia" w:ascii="仿宋_GB2312" w:hAnsi="宋体" w:eastAsia="仿宋_GB2312" w:cs="Courier New"/>
          <w:sz w:val="32"/>
          <w:szCs w:val="32"/>
        </w:rPr>
      </w:pPr>
    </w:p>
    <w:p w14:paraId="7E18ED6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D3FBA6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647990E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79E67B3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E5C3B6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162DABE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CB841E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5B29E72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12CC4F3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31761E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56BCE31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D3829D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6E7F741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229373B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44B1A6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3478BEE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151D8529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607F9D71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50793753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6E2558AD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037868F2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253737F2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附件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：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齐村中心小学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2026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年度单位预算表</w:t>
      </w:r>
    </w:p>
    <w:p w14:paraId="14497865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56E242BA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B2A99F9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37E83ABD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0D60CBF2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5BEB429E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16E43FF6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E2703FA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17E357BC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04F197C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0F3AAD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6F34A2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pgSz w:w="11906" w:h="16838"/>
          <w:pgMar w:top="1440" w:right="1077" w:bottom="1440" w:left="1077" w:header="851" w:footer="992" w:gutter="0"/>
          <w:cols w:space="425" w:num="1"/>
          <w:docGrid w:type="linesAndChars" w:linePitch="312" w:charSpace="0"/>
        </w:sectPr>
      </w:pPr>
      <w:r>
        <w:drawing>
          <wp:inline distT="0" distB="0" distL="114300" distR="114300">
            <wp:extent cx="5378450" cy="7937500"/>
            <wp:effectExtent l="0" t="0" r="635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8450" cy="793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0FD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58885" cy="4039235"/>
            <wp:effectExtent l="0" t="0" r="5715" b="1206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8885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F12E0">
      <w:pPr>
        <w:adjustRightInd w:val="0"/>
        <w:snapToGrid w:val="0"/>
        <w:spacing w:line="360" w:lineRule="auto"/>
      </w:pPr>
    </w:p>
    <w:p w14:paraId="5A03AA6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</w:p>
    <w:p w14:paraId="544CC4F9">
      <w:pPr>
        <w:adjustRightInd w:val="0"/>
        <w:snapToGrid w:val="0"/>
        <w:spacing w:line="360" w:lineRule="auto"/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  <w:r>
        <w:drawing>
          <wp:inline distT="0" distB="0" distL="114300" distR="114300">
            <wp:extent cx="9368790" cy="4961255"/>
            <wp:effectExtent l="0" t="0" r="3810" b="444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68790" cy="496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7DDE9">
      <w:pPr>
        <w:adjustRightInd w:val="0"/>
        <w:snapToGrid w:val="0"/>
        <w:spacing w:line="360" w:lineRule="auto"/>
        <w:sectPr>
          <w:pgSz w:w="11906" w:h="16838"/>
          <w:pgMar w:top="1440" w:right="1077" w:bottom="1440" w:left="1077" w:header="851" w:footer="992" w:gutter="0"/>
          <w:cols w:space="0" w:num="1"/>
          <w:rtlGutter w:val="0"/>
          <w:docGrid w:type="linesAndChars" w:linePitch="314" w:charSpace="204"/>
        </w:sectPr>
      </w:pPr>
      <w:r>
        <w:drawing>
          <wp:inline distT="0" distB="0" distL="114300" distR="114300">
            <wp:extent cx="5579110" cy="7089140"/>
            <wp:effectExtent l="0" t="0" r="8890" b="1016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9110" cy="708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908BD">
      <w:pPr>
        <w:adjustRightInd w:val="0"/>
        <w:snapToGrid w:val="0"/>
        <w:spacing w:line="360" w:lineRule="auto"/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  <w:r>
        <w:drawing>
          <wp:inline distT="0" distB="0" distL="114300" distR="114300">
            <wp:extent cx="8858250" cy="3759200"/>
            <wp:effectExtent l="0" t="0" r="6350" b="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408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  <w:r>
        <w:drawing>
          <wp:inline distT="0" distB="0" distL="114300" distR="114300">
            <wp:extent cx="8242300" cy="4760595"/>
            <wp:effectExtent l="0" t="0" r="0" b="190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42300" cy="476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F56E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842168C">
      <w:pPr>
        <w:adjustRightInd w:val="0"/>
        <w:snapToGrid w:val="0"/>
        <w:spacing w:line="360" w:lineRule="auto"/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  <w:r>
        <w:drawing>
          <wp:inline distT="0" distB="0" distL="114300" distR="114300">
            <wp:extent cx="8858250" cy="5782310"/>
            <wp:effectExtent l="0" t="0" r="6350" b="889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578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CEE7E">
      <w:pPr>
        <w:adjustRightInd w:val="0"/>
        <w:snapToGrid w:val="0"/>
        <w:spacing w:line="360" w:lineRule="auto"/>
      </w:pPr>
    </w:p>
    <w:p w14:paraId="63724D6B">
      <w:pPr>
        <w:adjustRightInd w:val="0"/>
        <w:snapToGrid w:val="0"/>
        <w:spacing w:line="360" w:lineRule="auto"/>
      </w:pPr>
    </w:p>
    <w:tbl>
      <w:tblPr>
        <w:tblStyle w:val="6"/>
        <w:tblW w:w="140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8"/>
        <w:gridCol w:w="2338"/>
        <w:gridCol w:w="2337"/>
        <w:gridCol w:w="2337"/>
        <w:gridCol w:w="2337"/>
        <w:gridCol w:w="2338"/>
      </w:tblGrid>
      <w:tr w14:paraId="64C2A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0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7C7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预算08表</w:t>
            </w:r>
          </w:p>
        </w:tc>
      </w:tr>
      <w:tr w14:paraId="50851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0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41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8"/>
                <w:szCs w:val="3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8"/>
                <w:szCs w:val="38"/>
                <w:u w:val="none"/>
                <w:lang w:val="en-US" w:eastAsia="zh-CN" w:bidi="ar"/>
              </w:rPr>
              <w:t>2026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8"/>
                <w:szCs w:val="38"/>
                <w:u w:val="none"/>
                <w:lang w:val="en-US" w:eastAsia="zh-CN" w:bidi="ar"/>
              </w:rPr>
              <w:t>年一般公共预算“三公”经费支出情况表</w:t>
            </w:r>
          </w:p>
        </w:tc>
      </w:tr>
      <w:tr w14:paraId="1845A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FA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单位名称：安阳市龙安区马投涧镇齐村中心小学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E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单位：万元</w:t>
            </w:r>
          </w:p>
        </w:tc>
      </w:tr>
      <w:tr w14:paraId="3FB93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“三公”经费合计</w:t>
            </w:r>
          </w:p>
        </w:tc>
        <w:tc>
          <w:tcPr>
            <w:tcW w:w="2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3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7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6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2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7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</w:tr>
      <w:tr w14:paraId="07F2E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F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A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0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8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17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公务用车运行费</w:t>
            </w:r>
          </w:p>
        </w:tc>
        <w:tc>
          <w:tcPr>
            <w:tcW w:w="2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AD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427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4D5B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4B4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0C7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42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BA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A3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</w:tr>
      <w:tr w14:paraId="5D382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140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6A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按照党中央、国务院有关规定及单位预算管理有关规定，“三公”经费包括因公出国（境）费、公务用车购置及运行费和公务接待费。（1）因公出国（境）费，指单位工作人员公务出国（境）的住宿费、旅费、伙食补助费、杂费、培训费等支出。（2）公务用车购置及运行费，指单位公务用车购置费及租用费、燃料费、维修费、过路过桥费、保险费、安全奖励费用等支出，公务用车指用于履行公务的机动车辆，包括领导干部专车、一般公务用车和执法执勤用车。（3）公务接待费，指单位按规定开支的各类公务接待（含外宾接待）支出。</w:t>
            </w:r>
          </w:p>
        </w:tc>
      </w:tr>
    </w:tbl>
    <w:p w14:paraId="735A7C9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53A59C4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5DDF1F18">
      <w:pPr>
        <w:adjustRightInd w:val="0"/>
        <w:snapToGrid w:val="0"/>
        <w:spacing w:line="360" w:lineRule="auto"/>
      </w:pPr>
    </w:p>
    <w:p w14:paraId="2471BEDD">
      <w:pPr>
        <w:adjustRightInd w:val="0"/>
        <w:snapToGrid w:val="0"/>
        <w:spacing w:line="360" w:lineRule="auto"/>
      </w:pPr>
    </w:p>
    <w:p w14:paraId="6F0CA089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  <w:r>
        <w:rPr>
          <w:rFonts w:hint="eastAsia"/>
          <w:sz w:val="36"/>
          <w:szCs w:val="40"/>
          <w:lang w:val="en-US" w:eastAsia="zh-CN"/>
        </w:rPr>
        <w:t>我单位没有2026年一般公共预算“三公”经费支出情况表资金</w:t>
      </w:r>
    </w:p>
    <w:p w14:paraId="020206A0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</w:p>
    <w:p w14:paraId="0F75EEB9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</w:p>
    <w:p w14:paraId="34E02BCF">
      <w:pPr>
        <w:adjustRightInd w:val="0"/>
        <w:snapToGrid w:val="0"/>
        <w:spacing w:line="360" w:lineRule="auto"/>
        <w:jc w:val="center"/>
        <w:rPr>
          <w:rFonts w:hint="default"/>
          <w:sz w:val="36"/>
          <w:szCs w:val="40"/>
          <w:lang w:val="en-US" w:eastAsia="zh-CN"/>
        </w:rPr>
      </w:pPr>
    </w:p>
    <w:p w14:paraId="7508DBFB">
      <w:pPr>
        <w:adjustRightInd w:val="0"/>
        <w:snapToGrid w:val="0"/>
        <w:spacing w:line="360" w:lineRule="auto"/>
      </w:pPr>
    </w:p>
    <w:p w14:paraId="3A8D98B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62695" cy="4066540"/>
            <wp:effectExtent l="0" t="0" r="1905" b="1016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406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CE8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7A959E0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16406CF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</w:p>
    <w:p w14:paraId="164F0BAD">
      <w:pPr>
        <w:adjustRightInd w:val="0"/>
        <w:snapToGrid w:val="0"/>
        <w:spacing w:line="360" w:lineRule="auto"/>
        <w:ind w:firstLine="3240" w:firstLineChars="900"/>
        <w:jc w:val="both"/>
        <w:rPr>
          <w:rFonts w:hint="default" w:eastAsia="宋体"/>
          <w:sz w:val="36"/>
          <w:szCs w:val="40"/>
          <w:lang w:val="en-US" w:eastAsia="zh-CN"/>
        </w:rPr>
      </w:pPr>
      <w:r>
        <w:rPr>
          <w:rFonts w:hint="eastAsia"/>
          <w:sz w:val="36"/>
          <w:szCs w:val="40"/>
          <w:lang w:val="en-US" w:eastAsia="zh-CN"/>
        </w:rPr>
        <w:t>我单位没有2026年政府基金支出预算表资金</w:t>
      </w:r>
    </w:p>
    <w:p w14:paraId="2E17067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5D0E10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267700" cy="4544695"/>
            <wp:effectExtent l="0" t="0" r="0" b="1905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454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0D1E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15FB98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9258A8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14" w:charSpace="204"/>
        </w:sectPr>
      </w:pPr>
    </w:p>
    <w:p w14:paraId="79032A8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2704CEF0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5486400" cy="7793355"/>
            <wp:effectExtent l="0" t="0" r="0" b="4445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9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5068D">
      <w:pPr>
        <w:adjustRightInd w:val="0"/>
        <w:snapToGrid w:val="0"/>
        <w:spacing w:line="360" w:lineRule="auto"/>
      </w:pPr>
    </w:p>
    <w:p w14:paraId="366C5EED">
      <w:pPr>
        <w:adjustRightInd w:val="0"/>
        <w:snapToGrid w:val="0"/>
        <w:spacing w:line="360" w:lineRule="auto"/>
        <w:jc w:val="center"/>
        <w:rPr>
          <w:rFonts w:hint="eastAsia"/>
          <w:sz w:val="28"/>
          <w:szCs w:val="32"/>
          <w:lang w:val="en-US" w:eastAsia="zh-CN"/>
        </w:rPr>
        <w:sectPr>
          <w:pgSz w:w="11906" w:h="16838"/>
          <w:pgMar w:top="1440" w:right="1077" w:bottom="1440" w:left="1077" w:header="851" w:footer="992" w:gutter="0"/>
          <w:cols w:space="0" w:num="1"/>
          <w:rtlGutter w:val="0"/>
          <w:docGrid w:type="linesAndChars" w:linePitch="314" w:charSpace="409"/>
        </w:sectPr>
      </w:pPr>
      <w:r>
        <w:rPr>
          <w:rFonts w:hint="eastAsia"/>
          <w:sz w:val="28"/>
          <w:szCs w:val="32"/>
          <w:lang w:val="en-US" w:eastAsia="zh-CN"/>
        </w:rPr>
        <w:t>我单位没有整体绩效目标</w:t>
      </w:r>
    </w:p>
    <w:p w14:paraId="279F422C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8854440" cy="256540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6838" w:h="11906" w:orient="landscape"/>
      <w:pgMar w:top="1077" w:right="1440" w:bottom="1077" w:left="1440" w:header="851" w:footer="992" w:gutter="0"/>
      <w:cols w:space="0" w:num="1"/>
      <w:rtlGutter w:val="0"/>
      <w:docGrid w:type="linesAndChars" w:linePitch="314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39BCB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67C0F9"/>
    <w:multiLevelType w:val="singleLevel"/>
    <w:tmpl w:val="AF67C0F9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2CDB7969"/>
    <w:multiLevelType w:val="singleLevel"/>
    <w:tmpl w:val="2CDB796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3E2796E"/>
    <w:multiLevelType w:val="multilevel"/>
    <w:tmpl w:val="43E2796E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NotTrackMoves/>
  <w:documentProtection w:enforcement="0"/>
  <w:defaultTabStop w:val="420"/>
  <w:drawingGridHorizontalSpacing w:val="106"/>
  <w:drawingGridVerticalSpacing w:val="157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OGY2ZDZlNWExYTE3MDg0ZWQ2MDEwNDM1MTE1MTEifQ=="/>
  </w:docVars>
  <w:rsids>
    <w:rsidRoot w:val="006B7E0B"/>
    <w:rsid w:val="00026E9A"/>
    <w:rsid w:val="00044158"/>
    <w:rsid w:val="000445AA"/>
    <w:rsid w:val="000642D8"/>
    <w:rsid w:val="00073592"/>
    <w:rsid w:val="00080DD7"/>
    <w:rsid w:val="00081AB0"/>
    <w:rsid w:val="00091356"/>
    <w:rsid w:val="000A16EC"/>
    <w:rsid w:val="000A1FF3"/>
    <w:rsid w:val="000A2C68"/>
    <w:rsid w:val="000D2294"/>
    <w:rsid w:val="000E720F"/>
    <w:rsid w:val="000F6C8B"/>
    <w:rsid w:val="0010210A"/>
    <w:rsid w:val="00110824"/>
    <w:rsid w:val="00115771"/>
    <w:rsid w:val="00115915"/>
    <w:rsid w:val="0011799F"/>
    <w:rsid w:val="00135308"/>
    <w:rsid w:val="00142115"/>
    <w:rsid w:val="001422FF"/>
    <w:rsid w:val="001470AF"/>
    <w:rsid w:val="00160C6A"/>
    <w:rsid w:val="0016521F"/>
    <w:rsid w:val="00170A57"/>
    <w:rsid w:val="00172B5F"/>
    <w:rsid w:val="00175E9C"/>
    <w:rsid w:val="00184A45"/>
    <w:rsid w:val="00186BD2"/>
    <w:rsid w:val="00193277"/>
    <w:rsid w:val="001A21DA"/>
    <w:rsid w:val="001A3EB9"/>
    <w:rsid w:val="001B0AF0"/>
    <w:rsid w:val="001D4BA6"/>
    <w:rsid w:val="001D7273"/>
    <w:rsid w:val="001E0093"/>
    <w:rsid w:val="001E0F8C"/>
    <w:rsid w:val="001E7927"/>
    <w:rsid w:val="001F7F9B"/>
    <w:rsid w:val="00200BD7"/>
    <w:rsid w:val="00202EA8"/>
    <w:rsid w:val="002030EF"/>
    <w:rsid w:val="002510C2"/>
    <w:rsid w:val="00265B28"/>
    <w:rsid w:val="0026795F"/>
    <w:rsid w:val="00273D47"/>
    <w:rsid w:val="002750D3"/>
    <w:rsid w:val="0029168C"/>
    <w:rsid w:val="002A620A"/>
    <w:rsid w:val="002B2025"/>
    <w:rsid w:val="002C2A80"/>
    <w:rsid w:val="002C5AAE"/>
    <w:rsid w:val="002E3BE4"/>
    <w:rsid w:val="002E4313"/>
    <w:rsid w:val="002F22D2"/>
    <w:rsid w:val="002F3BB6"/>
    <w:rsid w:val="003352BA"/>
    <w:rsid w:val="00336785"/>
    <w:rsid w:val="00350476"/>
    <w:rsid w:val="0035195B"/>
    <w:rsid w:val="0035776D"/>
    <w:rsid w:val="003843F7"/>
    <w:rsid w:val="00390DEF"/>
    <w:rsid w:val="00392E25"/>
    <w:rsid w:val="003A0434"/>
    <w:rsid w:val="003A2DF5"/>
    <w:rsid w:val="003A6F18"/>
    <w:rsid w:val="003C5F21"/>
    <w:rsid w:val="003D744D"/>
    <w:rsid w:val="003E56DE"/>
    <w:rsid w:val="00401345"/>
    <w:rsid w:val="00404663"/>
    <w:rsid w:val="00420855"/>
    <w:rsid w:val="00432539"/>
    <w:rsid w:val="00451611"/>
    <w:rsid w:val="0047756A"/>
    <w:rsid w:val="00494F22"/>
    <w:rsid w:val="00495611"/>
    <w:rsid w:val="00495CEB"/>
    <w:rsid w:val="00496B7C"/>
    <w:rsid w:val="004974DC"/>
    <w:rsid w:val="004A35D2"/>
    <w:rsid w:val="004A4265"/>
    <w:rsid w:val="004A7AF2"/>
    <w:rsid w:val="004B1819"/>
    <w:rsid w:val="004C001F"/>
    <w:rsid w:val="004C13EB"/>
    <w:rsid w:val="004D5B4E"/>
    <w:rsid w:val="004F068A"/>
    <w:rsid w:val="004F1BCB"/>
    <w:rsid w:val="004F3DF3"/>
    <w:rsid w:val="00511219"/>
    <w:rsid w:val="00521104"/>
    <w:rsid w:val="0052193A"/>
    <w:rsid w:val="00523976"/>
    <w:rsid w:val="0054046E"/>
    <w:rsid w:val="00556950"/>
    <w:rsid w:val="00563E46"/>
    <w:rsid w:val="00567364"/>
    <w:rsid w:val="00577C4A"/>
    <w:rsid w:val="00577F81"/>
    <w:rsid w:val="00591F1A"/>
    <w:rsid w:val="00593810"/>
    <w:rsid w:val="00594E25"/>
    <w:rsid w:val="005B1D55"/>
    <w:rsid w:val="005B5A00"/>
    <w:rsid w:val="005C4D0C"/>
    <w:rsid w:val="005D1138"/>
    <w:rsid w:val="005D30D9"/>
    <w:rsid w:val="00600B18"/>
    <w:rsid w:val="0060297E"/>
    <w:rsid w:val="0064056E"/>
    <w:rsid w:val="00647DE6"/>
    <w:rsid w:val="00662E14"/>
    <w:rsid w:val="00666AC4"/>
    <w:rsid w:val="0067124D"/>
    <w:rsid w:val="00672799"/>
    <w:rsid w:val="00680781"/>
    <w:rsid w:val="006B1909"/>
    <w:rsid w:val="006B49B5"/>
    <w:rsid w:val="006B7E0B"/>
    <w:rsid w:val="006C3CD3"/>
    <w:rsid w:val="006C7564"/>
    <w:rsid w:val="006D6D49"/>
    <w:rsid w:val="006E4BF1"/>
    <w:rsid w:val="006F5265"/>
    <w:rsid w:val="006F5EEE"/>
    <w:rsid w:val="00700744"/>
    <w:rsid w:val="0071044E"/>
    <w:rsid w:val="00730F26"/>
    <w:rsid w:val="0073591F"/>
    <w:rsid w:val="007541DA"/>
    <w:rsid w:val="007656BD"/>
    <w:rsid w:val="007740BF"/>
    <w:rsid w:val="007829BC"/>
    <w:rsid w:val="0079641C"/>
    <w:rsid w:val="007B5898"/>
    <w:rsid w:val="007C1DF1"/>
    <w:rsid w:val="007C2AA9"/>
    <w:rsid w:val="007C788C"/>
    <w:rsid w:val="007E6790"/>
    <w:rsid w:val="007F7E98"/>
    <w:rsid w:val="00804322"/>
    <w:rsid w:val="008043D9"/>
    <w:rsid w:val="008122D8"/>
    <w:rsid w:val="00812F5C"/>
    <w:rsid w:val="0081488E"/>
    <w:rsid w:val="00820FF9"/>
    <w:rsid w:val="00825469"/>
    <w:rsid w:val="00830E30"/>
    <w:rsid w:val="00833702"/>
    <w:rsid w:val="00833DBE"/>
    <w:rsid w:val="00850CE1"/>
    <w:rsid w:val="00852299"/>
    <w:rsid w:val="00860A29"/>
    <w:rsid w:val="00874331"/>
    <w:rsid w:val="00891536"/>
    <w:rsid w:val="0089458A"/>
    <w:rsid w:val="00894D24"/>
    <w:rsid w:val="00897148"/>
    <w:rsid w:val="008B72D5"/>
    <w:rsid w:val="008C14BF"/>
    <w:rsid w:val="008C7AD8"/>
    <w:rsid w:val="008D01B3"/>
    <w:rsid w:val="008D6560"/>
    <w:rsid w:val="008E07B1"/>
    <w:rsid w:val="008E4459"/>
    <w:rsid w:val="00923B00"/>
    <w:rsid w:val="009242BF"/>
    <w:rsid w:val="00926E26"/>
    <w:rsid w:val="00943D7C"/>
    <w:rsid w:val="00944A2D"/>
    <w:rsid w:val="00951DEF"/>
    <w:rsid w:val="00952BFE"/>
    <w:rsid w:val="009821A1"/>
    <w:rsid w:val="00987FE0"/>
    <w:rsid w:val="009A520C"/>
    <w:rsid w:val="009B7A51"/>
    <w:rsid w:val="00A216E6"/>
    <w:rsid w:val="00A330EC"/>
    <w:rsid w:val="00A34341"/>
    <w:rsid w:val="00A35A79"/>
    <w:rsid w:val="00A46E26"/>
    <w:rsid w:val="00A503E7"/>
    <w:rsid w:val="00A52337"/>
    <w:rsid w:val="00A52801"/>
    <w:rsid w:val="00A6267D"/>
    <w:rsid w:val="00A727EB"/>
    <w:rsid w:val="00A87DCF"/>
    <w:rsid w:val="00A90D9E"/>
    <w:rsid w:val="00A96CAF"/>
    <w:rsid w:val="00AC3C61"/>
    <w:rsid w:val="00AE549A"/>
    <w:rsid w:val="00B02CB9"/>
    <w:rsid w:val="00B10D6F"/>
    <w:rsid w:val="00B20C5F"/>
    <w:rsid w:val="00B21967"/>
    <w:rsid w:val="00B61D47"/>
    <w:rsid w:val="00B9066B"/>
    <w:rsid w:val="00B95A06"/>
    <w:rsid w:val="00BA362F"/>
    <w:rsid w:val="00BA4FA7"/>
    <w:rsid w:val="00BA58CE"/>
    <w:rsid w:val="00BA7185"/>
    <w:rsid w:val="00BB6662"/>
    <w:rsid w:val="00BC333E"/>
    <w:rsid w:val="00BE56FB"/>
    <w:rsid w:val="00BE716F"/>
    <w:rsid w:val="00C33C76"/>
    <w:rsid w:val="00C34784"/>
    <w:rsid w:val="00C435CB"/>
    <w:rsid w:val="00C436B8"/>
    <w:rsid w:val="00C437E8"/>
    <w:rsid w:val="00C831C5"/>
    <w:rsid w:val="00C83F94"/>
    <w:rsid w:val="00C972C1"/>
    <w:rsid w:val="00CA2F8F"/>
    <w:rsid w:val="00CA7ADA"/>
    <w:rsid w:val="00CB5AAE"/>
    <w:rsid w:val="00CB6DF5"/>
    <w:rsid w:val="00CD03AD"/>
    <w:rsid w:val="00CE3259"/>
    <w:rsid w:val="00CF1B5A"/>
    <w:rsid w:val="00D05ED0"/>
    <w:rsid w:val="00D12D03"/>
    <w:rsid w:val="00D137BC"/>
    <w:rsid w:val="00D15C54"/>
    <w:rsid w:val="00D23117"/>
    <w:rsid w:val="00D32932"/>
    <w:rsid w:val="00D43363"/>
    <w:rsid w:val="00D4466F"/>
    <w:rsid w:val="00D46069"/>
    <w:rsid w:val="00D53D97"/>
    <w:rsid w:val="00D57C35"/>
    <w:rsid w:val="00D609B7"/>
    <w:rsid w:val="00D6792C"/>
    <w:rsid w:val="00D8037E"/>
    <w:rsid w:val="00D8505C"/>
    <w:rsid w:val="00DA0C53"/>
    <w:rsid w:val="00DA0CAA"/>
    <w:rsid w:val="00DA458E"/>
    <w:rsid w:val="00DA6E83"/>
    <w:rsid w:val="00DB68B2"/>
    <w:rsid w:val="00DC0C6B"/>
    <w:rsid w:val="00DC3D97"/>
    <w:rsid w:val="00DC6FBB"/>
    <w:rsid w:val="00DC798D"/>
    <w:rsid w:val="00DF0DA6"/>
    <w:rsid w:val="00DF3140"/>
    <w:rsid w:val="00E133A9"/>
    <w:rsid w:val="00E20A7D"/>
    <w:rsid w:val="00E20E6F"/>
    <w:rsid w:val="00E21F3E"/>
    <w:rsid w:val="00E31EE0"/>
    <w:rsid w:val="00E33EBB"/>
    <w:rsid w:val="00E36AE5"/>
    <w:rsid w:val="00E371FE"/>
    <w:rsid w:val="00E3795E"/>
    <w:rsid w:val="00E37B7D"/>
    <w:rsid w:val="00E57174"/>
    <w:rsid w:val="00E57C5A"/>
    <w:rsid w:val="00E607D3"/>
    <w:rsid w:val="00E72785"/>
    <w:rsid w:val="00E776E0"/>
    <w:rsid w:val="00E913EB"/>
    <w:rsid w:val="00EC2B0B"/>
    <w:rsid w:val="00ED5B3D"/>
    <w:rsid w:val="00EE543C"/>
    <w:rsid w:val="00EF42A2"/>
    <w:rsid w:val="00F0089D"/>
    <w:rsid w:val="00F2113A"/>
    <w:rsid w:val="00F2137C"/>
    <w:rsid w:val="00F4533D"/>
    <w:rsid w:val="00F51FB3"/>
    <w:rsid w:val="00F754BD"/>
    <w:rsid w:val="00F77A8C"/>
    <w:rsid w:val="00F950F8"/>
    <w:rsid w:val="00FA0A5A"/>
    <w:rsid w:val="00FB158E"/>
    <w:rsid w:val="00FD0777"/>
    <w:rsid w:val="00FD6C1F"/>
    <w:rsid w:val="00FD729D"/>
    <w:rsid w:val="02CB1941"/>
    <w:rsid w:val="05532A0D"/>
    <w:rsid w:val="083D5445"/>
    <w:rsid w:val="09760A84"/>
    <w:rsid w:val="10035F1F"/>
    <w:rsid w:val="14B962E5"/>
    <w:rsid w:val="1521105F"/>
    <w:rsid w:val="18051CC3"/>
    <w:rsid w:val="189C68A9"/>
    <w:rsid w:val="19A370D2"/>
    <w:rsid w:val="1AA05907"/>
    <w:rsid w:val="1AA556D9"/>
    <w:rsid w:val="1B662AAD"/>
    <w:rsid w:val="1E107DD1"/>
    <w:rsid w:val="1E9811D0"/>
    <w:rsid w:val="2A816FBC"/>
    <w:rsid w:val="2BC2096A"/>
    <w:rsid w:val="2C35005E"/>
    <w:rsid w:val="2CB847EB"/>
    <w:rsid w:val="2D0263EF"/>
    <w:rsid w:val="2D83304B"/>
    <w:rsid w:val="2E112405"/>
    <w:rsid w:val="2E5859B2"/>
    <w:rsid w:val="2F4619FE"/>
    <w:rsid w:val="2FC73D1B"/>
    <w:rsid w:val="2FDA7BB0"/>
    <w:rsid w:val="3171432E"/>
    <w:rsid w:val="33EF31E8"/>
    <w:rsid w:val="35610116"/>
    <w:rsid w:val="3568546D"/>
    <w:rsid w:val="363870C8"/>
    <w:rsid w:val="3B007A89"/>
    <w:rsid w:val="3BD02956"/>
    <w:rsid w:val="3EBF7D18"/>
    <w:rsid w:val="3FE1257F"/>
    <w:rsid w:val="3FEC3BE7"/>
    <w:rsid w:val="42816E07"/>
    <w:rsid w:val="43912057"/>
    <w:rsid w:val="43D62EB7"/>
    <w:rsid w:val="48D568D0"/>
    <w:rsid w:val="49290AF3"/>
    <w:rsid w:val="4B0A4C53"/>
    <w:rsid w:val="4B911B6E"/>
    <w:rsid w:val="4E255D2C"/>
    <w:rsid w:val="54A35BFD"/>
    <w:rsid w:val="54EA55DA"/>
    <w:rsid w:val="55ED6C72"/>
    <w:rsid w:val="56B430DC"/>
    <w:rsid w:val="57BA1007"/>
    <w:rsid w:val="5B131D9A"/>
    <w:rsid w:val="5C474DD1"/>
    <w:rsid w:val="5D67466C"/>
    <w:rsid w:val="5DB76266"/>
    <w:rsid w:val="65C37EAD"/>
    <w:rsid w:val="66A3766A"/>
    <w:rsid w:val="68A35D74"/>
    <w:rsid w:val="68AA0EB0"/>
    <w:rsid w:val="6BE02E3B"/>
    <w:rsid w:val="6C661592"/>
    <w:rsid w:val="6EF5232B"/>
    <w:rsid w:val="70520AF7"/>
    <w:rsid w:val="72BA4DCB"/>
    <w:rsid w:val="73B04992"/>
    <w:rsid w:val="74A724C6"/>
    <w:rsid w:val="770E2F52"/>
    <w:rsid w:val="77494BAF"/>
    <w:rsid w:val="79111DCE"/>
    <w:rsid w:val="794B53DB"/>
    <w:rsid w:val="795D3D1D"/>
    <w:rsid w:val="7C475DF2"/>
    <w:rsid w:val="7CF33AE1"/>
    <w:rsid w:val="7F985A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9">
    <w:name w:val="批注框文本 Char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link w:val="4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link w:val="5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纯文本 Char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22</Pages>
  <Words>3242</Words>
  <Characters>3516</Characters>
  <Lines>22</Lines>
  <Paragraphs>6</Paragraphs>
  <TotalTime>1</TotalTime>
  <ScaleCrop>false</ScaleCrop>
  <LinksUpToDate>false</LinksUpToDate>
  <CharactersWithSpaces>3568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2019-06-11T00:19:00Z</dcterms:created>
  <dc:creator>lenovo</dc:creator>
  <cp:lastModifiedBy>夏侯</cp:lastModifiedBy>
  <cp:lastPrinted>2026-03-20T06:28:00Z</cp:lastPrinted>
  <dcterms:modified xsi:type="dcterms:W3CDTF">2026-03-24T01:54:16Z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E32241B8B05847809F1BAD87B5F9BE39_13</vt:lpwstr>
  </property>
  <property fmtid="{D5CDD505-2E9C-101B-9397-08002B2CF9AE}" pid="4" name="KSOTemplateDocerSaveRecord">
    <vt:lpwstr>eyJoZGlkIjoiYjI3NGIxOTM3YmY0ODFlZjhkOWQ4YTVmOTEwMzAyYWEiLCJ1c2VySWQiOiI4MDgwMzM0MTgifQ==</vt:lpwstr>
  </property>
</Properties>
</file>