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A0E0D3">
      <w:pPr>
        <w:adjustRightInd w:val="0"/>
        <w:snapToGrid w:val="0"/>
        <w:spacing w:line="360" w:lineRule="auto"/>
        <w:jc w:val="center"/>
        <w:rPr>
          <w:rFonts w:ascii="方正小标宋简体" w:hAnsi="Times New Roman" w:eastAsia="方正小标宋简体"/>
          <w:b/>
          <w:sz w:val="72"/>
          <w:szCs w:val="72"/>
        </w:rPr>
      </w:pPr>
    </w:p>
    <w:p w14:paraId="467439B9">
      <w:pPr>
        <w:adjustRightInd w:val="0"/>
        <w:snapToGrid w:val="0"/>
        <w:spacing w:line="360" w:lineRule="auto"/>
        <w:jc w:val="center"/>
        <w:rPr>
          <w:rFonts w:hint="eastAsia" w:ascii="宋体" w:hAnsi="宋体"/>
          <w:b/>
          <w:sz w:val="52"/>
          <w:szCs w:val="52"/>
        </w:rPr>
      </w:pPr>
      <w:r>
        <w:rPr>
          <w:rFonts w:hint="eastAsia" w:ascii="宋体" w:hAnsi="宋体"/>
          <w:b/>
          <w:sz w:val="52"/>
          <w:szCs w:val="52"/>
        </w:rPr>
        <w:t>安阳市龙安区</w:t>
      </w:r>
    </w:p>
    <w:p w14:paraId="351352C1">
      <w:pPr>
        <w:adjustRightInd w:val="0"/>
        <w:snapToGrid w:val="0"/>
        <w:spacing w:line="360" w:lineRule="auto"/>
        <w:jc w:val="center"/>
        <w:rPr>
          <w:rFonts w:ascii="宋体" w:hAnsi="宋体"/>
          <w:b/>
          <w:sz w:val="52"/>
          <w:szCs w:val="52"/>
        </w:rPr>
      </w:pPr>
      <w:r>
        <w:rPr>
          <w:rFonts w:hint="eastAsia" w:ascii="宋体" w:hAnsi="宋体"/>
          <w:b/>
          <w:sz w:val="52"/>
          <w:szCs w:val="52"/>
        </w:rPr>
        <w:t>马投涧镇</w:t>
      </w:r>
      <w:r>
        <w:rPr>
          <w:rFonts w:hint="eastAsia" w:ascii="宋体" w:hAnsi="宋体"/>
          <w:b/>
          <w:sz w:val="52"/>
          <w:szCs w:val="52"/>
          <w:lang w:eastAsia="zh-CN"/>
        </w:rPr>
        <w:t>上毛仪涧</w:t>
      </w:r>
      <w:r>
        <w:rPr>
          <w:rFonts w:hint="eastAsia" w:ascii="宋体" w:hAnsi="宋体"/>
          <w:b/>
          <w:sz w:val="52"/>
          <w:szCs w:val="52"/>
        </w:rPr>
        <w:t>中心小学</w:t>
      </w:r>
    </w:p>
    <w:p w14:paraId="628FE551">
      <w:pPr>
        <w:adjustRightInd w:val="0"/>
        <w:snapToGrid w:val="0"/>
        <w:spacing w:line="360" w:lineRule="auto"/>
        <w:jc w:val="center"/>
        <w:rPr>
          <w:rFonts w:ascii="宋体" w:hAnsi="宋体"/>
          <w:b/>
          <w:sz w:val="52"/>
          <w:szCs w:val="52"/>
        </w:rPr>
      </w:pPr>
      <w:r>
        <w:rPr>
          <w:rFonts w:hint="eastAsia" w:ascii="宋体" w:hAnsi="宋体"/>
          <w:b/>
          <w:sz w:val="52"/>
          <w:szCs w:val="52"/>
          <w:lang w:eastAsia="zh-CN"/>
        </w:rPr>
        <w:t>2026</w:t>
      </w:r>
      <w:r>
        <w:rPr>
          <w:rFonts w:hint="eastAsia" w:ascii="宋体" w:hAnsi="宋体"/>
          <w:b/>
          <w:sz w:val="52"/>
          <w:szCs w:val="52"/>
        </w:rPr>
        <w:t>年度单位预算公开说明</w:t>
      </w:r>
    </w:p>
    <w:p w14:paraId="3AFADC72">
      <w:pPr>
        <w:adjustRightInd w:val="0"/>
        <w:snapToGrid w:val="0"/>
        <w:spacing w:line="360" w:lineRule="auto"/>
        <w:jc w:val="center"/>
        <w:rPr>
          <w:rFonts w:ascii="方正小标宋简体" w:hAnsi="Times New Roman" w:eastAsia="方正小标宋简体"/>
          <w:b/>
          <w:sz w:val="84"/>
          <w:szCs w:val="84"/>
        </w:rPr>
      </w:pPr>
    </w:p>
    <w:p w14:paraId="0F4C2F11">
      <w:pPr>
        <w:adjustRightInd w:val="0"/>
        <w:snapToGrid w:val="0"/>
        <w:spacing w:line="360" w:lineRule="auto"/>
        <w:rPr>
          <w:rFonts w:ascii="方正小标宋简体" w:hAnsi="Times New Roman" w:eastAsia="方正小标宋简体"/>
          <w:b/>
          <w:sz w:val="84"/>
          <w:szCs w:val="84"/>
        </w:rPr>
      </w:pPr>
    </w:p>
    <w:p w14:paraId="4257D89C">
      <w:pPr>
        <w:kinsoku w:val="0"/>
        <w:overflowPunct w:val="0"/>
        <w:adjustRightInd w:val="0"/>
        <w:snapToGrid w:val="0"/>
        <w:spacing w:line="360" w:lineRule="auto"/>
        <w:ind w:left="100" w:leftChars="48" w:right="-58" w:firstLine="2820" w:firstLineChars="641"/>
        <w:rPr>
          <w:rFonts w:hint="eastAsia" w:ascii="宋体" w:hAnsi="宋体"/>
          <w:b/>
          <w:sz w:val="44"/>
          <w:szCs w:val="44"/>
        </w:rPr>
      </w:pPr>
    </w:p>
    <w:p w14:paraId="485AAABA">
      <w:pPr>
        <w:kinsoku w:val="0"/>
        <w:overflowPunct w:val="0"/>
        <w:adjustRightInd w:val="0"/>
        <w:snapToGrid w:val="0"/>
        <w:spacing w:line="360" w:lineRule="auto"/>
        <w:ind w:left="100" w:leftChars="48" w:right="-58" w:firstLine="2820" w:firstLineChars="641"/>
        <w:rPr>
          <w:rFonts w:hint="eastAsia" w:ascii="宋体" w:hAnsi="宋体"/>
          <w:b/>
          <w:sz w:val="44"/>
          <w:szCs w:val="44"/>
        </w:rPr>
      </w:pPr>
    </w:p>
    <w:p w14:paraId="4F674CA6">
      <w:pPr>
        <w:kinsoku w:val="0"/>
        <w:overflowPunct w:val="0"/>
        <w:adjustRightInd w:val="0"/>
        <w:snapToGrid w:val="0"/>
        <w:spacing w:line="360" w:lineRule="auto"/>
        <w:ind w:left="100" w:leftChars="48" w:right="-58" w:firstLine="2820" w:firstLineChars="641"/>
        <w:rPr>
          <w:rFonts w:hint="eastAsia" w:ascii="宋体" w:hAnsi="宋体"/>
          <w:b/>
          <w:sz w:val="44"/>
          <w:szCs w:val="44"/>
        </w:rPr>
      </w:pPr>
    </w:p>
    <w:p w14:paraId="573C5B5A">
      <w:pPr>
        <w:kinsoku w:val="0"/>
        <w:overflowPunct w:val="0"/>
        <w:adjustRightInd w:val="0"/>
        <w:snapToGrid w:val="0"/>
        <w:spacing w:line="360" w:lineRule="auto"/>
        <w:ind w:right="-58"/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lang w:eastAsia="zh-CN"/>
        </w:rPr>
        <w:t>2026</w:t>
      </w:r>
      <w:r>
        <w:rPr>
          <w:rFonts w:hint="eastAsia" w:ascii="宋体" w:hAnsi="宋体"/>
          <w:b/>
          <w:sz w:val="32"/>
          <w:szCs w:val="32"/>
        </w:rPr>
        <w:t>年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3</w:t>
      </w:r>
      <w:r>
        <w:rPr>
          <w:rFonts w:hint="eastAsia" w:ascii="宋体" w:hAnsi="宋体"/>
          <w:b/>
          <w:sz w:val="32"/>
          <w:szCs w:val="32"/>
        </w:rPr>
        <w:t>月 1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8</w:t>
      </w:r>
      <w:r>
        <w:rPr>
          <w:rFonts w:hint="eastAsia" w:ascii="宋体" w:hAnsi="宋体"/>
          <w:b/>
          <w:sz w:val="32"/>
          <w:szCs w:val="32"/>
        </w:rPr>
        <w:t xml:space="preserve"> 日</w:t>
      </w:r>
    </w:p>
    <w:p w14:paraId="17BB003D">
      <w:pPr>
        <w:kinsoku w:val="0"/>
        <w:overflowPunct w:val="0"/>
        <w:adjustRightInd w:val="0"/>
        <w:snapToGrid w:val="0"/>
        <w:spacing w:line="360" w:lineRule="auto"/>
        <w:ind w:left="-142" w:firstLine="39" w:firstLineChars="7"/>
        <w:jc w:val="center"/>
        <w:rPr>
          <w:rFonts w:ascii="黑体" w:hAnsi="Times New Roman" w:eastAsia="黑体" w:cs="黑体"/>
          <w:sz w:val="56"/>
          <w:szCs w:val="56"/>
        </w:rPr>
      </w:pPr>
    </w:p>
    <w:p w14:paraId="7D257361">
      <w:pPr>
        <w:kinsoku w:val="0"/>
        <w:overflowPunct w:val="0"/>
        <w:adjustRightInd w:val="0"/>
        <w:snapToGrid w:val="0"/>
        <w:spacing w:line="360" w:lineRule="auto"/>
        <w:ind w:left="-142" w:firstLine="39" w:firstLineChars="7"/>
        <w:jc w:val="center"/>
        <w:rPr>
          <w:rFonts w:ascii="黑体" w:hAnsi="Times New Roman" w:eastAsia="黑体" w:cs="黑体"/>
          <w:sz w:val="56"/>
          <w:szCs w:val="56"/>
        </w:rPr>
      </w:pPr>
    </w:p>
    <w:p w14:paraId="1C7D7C4F">
      <w:pPr>
        <w:kinsoku w:val="0"/>
        <w:overflowPunct w:val="0"/>
        <w:adjustRightInd w:val="0"/>
        <w:snapToGrid w:val="0"/>
        <w:spacing w:line="360" w:lineRule="auto"/>
        <w:ind w:left="-142" w:firstLine="39" w:firstLineChars="7"/>
        <w:jc w:val="center"/>
        <w:rPr>
          <w:rFonts w:ascii="黑体" w:hAnsi="Times New Roman" w:eastAsia="黑体" w:cs="黑体"/>
          <w:sz w:val="56"/>
          <w:szCs w:val="56"/>
        </w:rPr>
      </w:pPr>
      <w:r>
        <w:rPr>
          <w:rFonts w:hint="eastAsia" w:ascii="黑体" w:hAnsi="Times New Roman" w:eastAsia="黑体" w:cs="黑体"/>
          <w:sz w:val="56"/>
          <w:szCs w:val="56"/>
        </w:rPr>
        <w:t>目  录</w:t>
      </w:r>
    </w:p>
    <w:p w14:paraId="4BE025CA">
      <w:pPr>
        <w:kinsoku w:val="0"/>
        <w:overflowPunct w:val="0"/>
        <w:adjustRightInd w:val="0"/>
        <w:snapToGrid w:val="0"/>
        <w:spacing w:line="360" w:lineRule="auto"/>
        <w:ind w:firstLine="640" w:firstLineChars="200"/>
        <w:rPr>
          <w:rFonts w:ascii="黑体" w:hAnsi="Times New Roman" w:eastAsia="黑体" w:cs="黑体"/>
          <w:w w:val="99"/>
          <w:sz w:val="32"/>
          <w:szCs w:val="32"/>
        </w:rPr>
      </w:pPr>
      <w:r>
        <w:rPr>
          <w:rFonts w:hint="eastAsia" w:ascii="黑体" w:hAnsi="Times New Roman" w:eastAsia="黑体" w:cs="黑体"/>
          <w:sz w:val="32"/>
          <w:szCs w:val="32"/>
        </w:rPr>
        <w:t>第一部分</w:t>
      </w:r>
      <w:r>
        <w:rPr>
          <w:rFonts w:hint="eastAsia" w:ascii="黑体" w:hAnsi="Times New Roman" w:eastAsia="黑体" w:cs="黑体"/>
          <w:sz w:val="32"/>
          <w:szCs w:val="32"/>
          <w:lang w:val="en-US" w:eastAsia="zh-CN"/>
        </w:rPr>
        <w:t xml:space="preserve">   上毛仪涧中心小学</w:t>
      </w:r>
      <w:r>
        <w:rPr>
          <w:rFonts w:hint="eastAsia" w:ascii="黑体" w:hAnsi="黑体" w:eastAsia="黑体"/>
          <w:sz w:val="32"/>
          <w:szCs w:val="32"/>
        </w:rPr>
        <w:t>单位</w:t>
      </w:r>
      <w:r>
        <w:rPr>
          <w:rFonts w:hint="eastAsia" w:ascii="黑体" w:hAnsi="Times New Roman" w:eastAsia="黑体" w:cs="黑体"/>
          <w:sz w:val="32"/>
          <w:szCs w:val="32"/>
        </w:rPr>
        <w:t>概况</w:t>
      </w:r>
    </w:p>
    <w:p w14:paraId="1D4C93F8">
      <w:pPr>
        <w:kinsoku w:val="0"/>
        <w:overflowPunct w:val="0"/>
        <w:adjustRightInd w:val="0"/>
        <w:snapToGrid w:val="0"/>
        <w:spacing w:line="360" w:lineRule="auto"/>
        <w:ind w:firstLine="960" w:firstLineChars="300"/>
        <w:jc w:val="left"/>
        <w:rPr>
          <w:rFonts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一、主要职能</w:t>
      </w:r>
    </w:p>
    <w:p w14:paraId="2035002F">
      <w:pPr>
        <w:kinsoku w:val="0"/>
        <w:overflowPunct w:val="0"/>
        <w:adjustRightInd w:val="0"/>
        <w:snapToGrid w:val="0"/>
        <w:spacing w:line="360" w:lineRule="auto"/>
        <w:ind w:firstLine="960" w:firstLineChars="300"/>
        <w:jc w:val="left"/>
        <w:rPr>
          <w:rFonts w:ascii="仿宋_GB2312" w:hAnsi="Times New Roman" w:eastAsia="仿宋_GB2312" w:cs="仿宋_GB2312"/>
          <w:sz w:val="32"/>
          <w:szCs w:val="32"/>
        </w:rPr>
      </w:pPr>
      <w:r>
        <w:rPr>
          <w:rFonts w:hint="eastAsia" w:ascii="仿宋_GB2312" w:hAnsi="Times New Roman" w:eastAsia="仿宋_GB2312" w:cs="仿宋_GB2312"/>
          <w:sz w:val="32"/>
          <w:szCs w:val="32"/>
        </w:rPr>
        <w:t>二、单位预算构成</w:t>
      </w:r>
    </w:p>
    <w:p w14:paraId="73908690">
      <w:pPr>
        <w:kinsoku w:val="0"/>
        <w:overflowPunct w:val="0"/>
        <w:adjustRightInd w:val="0"/>
        <w:snapToGrid w:val="0"/>
        <w:spacing w:line="360" w:lineRule="auto"/>
        <w:ind w:firstLine="640" w:firstLineChars="200"/>
        <w:rPr>
          <w:rFonts w:ascii="黑体" w:hAnsi="Times New Roman" w:eastAsia="黑体" w:cs="黑体"/>
          <w:w w:val="99"/>
          <w:sz w:val="32"/>
          <w:szCs w:val="32"/>
        </w:rPr>
      </w:pPr>
      <w:r>
        <w:rPr>
          <w:rFonts w:hint="eastAsia" w:ascii="黑体" w:hAnsi="Times New Roman" w:eastAsia="黑体" w:cs="黑体"/>
          <w:sz w:val="32"/>
          <w:szCs w:val="32"/>
        </w:rPr>
        <w:t>第二部分</w:t>
      </w:r>
      <w:r>
        <w:rPr>
          <w:rFonts w:hint="eastAsia" w:ascii="黑体" w:hAnsi="Times New Roman" w:eastAsia="黑体" w:cs="黑体"/>
          <w:sz w:val="32"/>
          <w:szCs w:val="32"/>
          <w:lang w:val="en-US" w:eastAsia="zh-CN"/>
        </w:rPr>
        <w:t xml:space="preserve">   上毛仪涧中心小学</w:t>
      </w:r>
      <w:r>
        <w:rPr>
          <w:rFonts w:hint="eastAsia" w:ascii="黑体" w:hAnsi="Times New Roman" w:eastAsia="黑体" w:cs="黑体"/>
          <w:sz w:val="32"/>
          <w:szCs w:val="32"/>
          <w:lang w:eastAsia="zh-CN"/>
        </w:rPr>
        <w:t>2026</w:t>
      </w:r>
      <w:r>
        <w:rPr>
          <w:rFonts w:hint="eastAsia" w:ascii="黑体" w:hAnsi="Times New Roman" w:eastAsia="黑体" w:cs="黑体"/>
          <w:sz w:val="32"/>
          <w:szCs w:val="32"/>
        </w:rPr>
        <w:t>年度单位预算情况说明</w:t>
      </w:r>
    </w:p>
    <w:p w14:paraId="06F76784">
      <w:pPr>
        <w:kinsoku w:val="0"/>
        <w:overflowPunct w:val="0"/>
        <w:adjustRightInd w:val="0"/>
        <w:snapToGrid w:val="0"/>
        <w:spacing w:line="360" w:lineRule="auto"/>
        <w:ind w:right="521" w:firstLine="960" w:firstLineChars="3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一、收入支出预算总体情况明</w:t>
      </w:r>
    </w:p>
    <w:p w14:paraId="5B188C39">
      <w:pPr>
        <w:kinsoku w:val="0"/>
        <w:overflowPunct w:val="0"/>
        <w:adjustRightInd w:val="0"/>
        <w:snapToGrid w:val="0"/>
        <w:spacing w:line="360" w:lineRule="auto"/>
        <w:ind w:right="521" w:firstLine="960" w:firstLineChars="3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二、收入预算总体情况说明</w:t>
      </w:r>
    </w:p>
    <w:p w14:paraId="1BB3EF8F">
      <w:pPr>
        <w:kinsoku w:val="0"/>
        <w:overflowPunct w:val="0"/>
        <w:adjustRightInd w:val="0"/>
        <w:snapToGrid w:val="0"/>
        <w:spacing w:line="360" w:lineRule="auto"/>
        <w:ind w:right="521" w:firstLine="960" w:firstLineChars="3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三、支出预算总体情况说明</w:t>
      </w:r>
    </w:p>
    <w:p w14:paraId="2212FF3C">
      <w:pPr>
        <w:kinsoku w:val="0"/>
        <w:overflowPunct w:val="0"/>
        <w:adjustRightInd w:val="0"/>
        <w:snapToGrid w:val="0"/>
        <w:spacing w:line="360" w:lineRule="auto"/>
        <w:ind w:right="521" w:firstLine="960" w:firstLineChars="3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四、财政拨款收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支预算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总体情况说明</w:t>
      </w:r>
    </w:p>
    <w:p w14:paraId="01851EEF">
      <w:pPr>
        <w:kinsoku w:val="0"/>
        <w:overflowPunct w:val="0"/>
        <w:adjustRightInd w:val="0"/>
        <w:snapToGrid w:val="0"/>
        <w:spacing w:line="360" w:lineRule="auto"/>
        <w:ind w:right="521" w:firstLine="960" w:firstLineChars="3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五、一般公共预算支出预算情况说明</w:t>
      </w:r>
    </w:p>
    <w:p w14:paraId="09288CAB">
      <w:pPr>
        <w:kinsoku w:val="0"/>
        <w:overflowPunct w:val="0"/>
        <w:adjustRightInd w:val="0"/>
        <w:snapToGrid w:val="0"/>
        <w:spacing w:line="360" w:lineRule="auto"/>
        <w:ind w:right="521" w:firstLine="960" w:firstLineChars="300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六、一般公共预算基本支出情况说明</w:t>
      </w:r>
    </w:p>
    <w:p w14:paraId="09995DF2">
      <w:pPr>
        <w:kinsoku w:val="0"/>
        <w:overflowPunct w:val="0"/>
        <w:adjustRightInd w:val="0"/>
        <w:snapToGrid w:val="0"/>
        <w:spacing w:line="360" w:lineRule="auto"/>
        <w:ind w:right="521" w:firstLine="960" w:firstLineChars="3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七、</w:t>
      </w:r>
      <w:r>
        <w:rPr>
          <w:rFonts w:hint="eastAsia" w:ascii="仿宋_GB2312" w:hAnsi="仿宋_GB2312" w:eastAsia="仿宋_GB2312" w:cs="仿宋_GB2312"/>
          <w:spacing w:val="0"/>
          <w:w w:val="90"/>
          <w:kern w:val="0"/>
          <w:sz w:val="32"/>
          <w:szCs w:val="32"/>
          <w:highlight w:val="none"/>
          <w:fitText w:val="5760" w:id="330771309"/>
          <w:lang w:val="en-US" w:eastAsia="zh-CN"/>
        </w:rPr>
        <w:t>一般公共预算</w:t>
      </w:r>
      <w:r>
        <w:rPr>
          <w:rFonts w:hint="eastAsia" w:ascii="仿宋_GB2312" w:hAnsi="仿宋_GB2312" w:eastAsia="仿宋_GB2312" w:cs="仿宋_GB2312"/>
          <w:spacing w:val="0"/>
          <w:w w:val="90"/>
          <w:kern w:val="0"/>
          <w:sz w:val="32"/>
          <w:szCs w:val="32"/>
          <w:highlight w:val="none"/>
          <w:fitText w:val="5760" w:id="330771309"/>
        </w:rPr>
        <w:t>“三公”经费支出预算情况说</w:t>
      </w:r>
      <w:r>
        <w:rPr>
          <w:rFonts w:hint="eastAsia" w:ascii="仿宋_GB2312" w:hAnsi="仿宋_GB2312" w:eastAsia="仿宋_GB2312" w:cs="仿宋_GB2312"/>
          <w:spacing w:val="5"/>
          <w:w w:val="90"/>
          <w:kern w:val="0"/>
          <w:sz w:val="32"/>
          <w:szCs w:val="32"/>
          <w:highlight w:val="none"/>
          <w:fitText w:val="5760" w:id="330771309"/>
        </w:rPr>
        <w:t>明</w:t>
      </w:r>
    </w:p>
    <w:p w14:paraId="6416A644">
      <w:pPr>
        <w:kinsoku w:val="0"/>
        <w:overflowPunct w:val="0"/>
        <w:adjustRightInd w:val="0"/>
        <w:snapToGrid w:val="0"/>
        <w:spacing w:line="360" w:lineRule="auto"/>
        <w:ind w:right="521" w:firstLine="960" w:firstLineChars="300"/>
        <w:rPr>
          <w:rFonts w:hint="eastAsia" w:ascii="仿宋_GB2312" w:hAnsi="仿宋_GB2312" w:eastAsia="仿宋_GB2312" w:cs="仿宋_GB2312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八、政府性基金预算支出情况说明</w:t>
      </w:r>
    </w:p>
    <w:p w14:paraId="0E94D6D9">
      <w:pPr>
        <w:kinsoku w:val="0"/>
        <w:overflowPunct w:val="0"/>
        <w:adjustRightInd w:val="0"/>
        <w:snapToGrid w:val="0"/>
        <w:spacing w:line="360" w:lineRule="auto"/>
        <w:ind w:right="521" w:firstLine="960" w:firstLineChars="300"/>
        <w:rPr>
          <w:rFonts w:ascii="仿宋_GB2312" w:eastAsia="仿宋_GB2312"/>
          <w:b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九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、其他重要事项的情况说明</w:t>
      </w:r>
    </w:p>
    <w:p w14:paraId="3694585E">
      <w:pPr>
        <w:kinsoku w:val="0"/>
        <w:overflowPunct w:val="0"/>
        <w:adjustRightInd w:val="0"/>
        <w:snapToGrid w:val="0"/>
        <w:spacing w:line="360" w:lineRule="auto"/>
        <w:ind w:firstLine="640" w:firstLineChars="200"/>
        <w:jc w:val="left"/>
        <w:rPr>
          <w:rFonts w:ascii="黑体" w:hAnsi="Times New Roman" w:eastAsia="黑体" w:cs="黑体"/>
          <w:sz w:val="32"/>
          <w:szCs w:val="32"/>
        </w:rPr>
      </w:pPr>
      <w:r>
        <w:rPr>
          <w:rFonts w:hint="eastAsia" w:ascii="黑体" w:hAnsi="Times New Roman" w:eastAsia="黑体" w:cs="黑体"/>
          <w:sz w:val="32"/>
          <w:szCs w:val="32"/>
        </w:rPr>
        <w:t xml:space="preserve">第三部分  </w:t>
      </w:r>
      <w:r>
        <w:rPr>
          <w:rFonts w:hint="eastAsia" w:ascii="黑体" w:hAnsi="Times New Roman" w:eastAsia="黑体" w:cs="黑体"/>
          <w:spacing w:val="0"/>
          <w:sz w:val="32"/>
          <w:szCs w:val="32"/>
        </w:rPr>
        <w:t>名词解释</w:t>
      </w:r>
    </w:p>
    <w:p w14:paraId="2EA1F4FE">
      <w:pPr>
        <w:kinsoku w:val="0"/>
        <w:overflowPunct w:val="0"/>
        <w:adjustRightInd w:val="0"/>
        <w:snapToGrid w:val="0"/>
        <w:spacing w:line="360" w:lineRule="auto"/>
        <w:ind w:firstLine="630"/>
        <w:rPr>
          <w:rFonts w:ascii="黑体" w:hAnsi="Times New Roman" w:eastAsia="黑体" w:cs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eastAsia="zh-CN"/>
        </w:rPr>
        <w:t>：</w:t>
      </w:r>
      <w:r>
        <w:rPr>
          <w:rFonts w:hint="eastAsia" w:ascii="黑体" w:hAnsi="Times New Roman" w:eastAsia="黑体" w:cs="黑体"/>
          <w:sz w:val="32"/>
          <w:szCs w:val="32"/>
          <w:lang w:val="en-US" w:eastAsia="zh-CN"/>
        </w:rPr>
        <w:t>上毛仪涧中心小学</w:t>
      </w:r>
      <w:r>
        <w:rPr>
          <w:rFonts w:hint="eastAsia" w:ascii="黑体" w:hAnsi="Times New Roman" w:eastAsia="黑体" w:cs="黑体"/>
          <w:sz w:val="32"/>
          <w:szCs w:val="32"/>
          <w:lang w:eastAsia="zh-CN"/>
        </w:rPr>
        <w:t>2026</w:t>
      </w:r>
      <w:r>
        <w:rPr>
          <w:rFonts w:hint="eastAsia" w:ascii="黑体" w:hAnsi="Times New Roman" w:eastAsia="黑体" w:cs="黑体"/>
          <w:sz w:val="32"/>
          <w:szCs w:val="32"/>
        </w:rPr>
        <w:t>年度单位预算表</w:t>
      </w:r>
    </w:p>
    <w:p w14:paraId="13D808BB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right="0" w:firstLine="960" w:firstLineChars="300"/>
        <w:jc w:val="left"/>
        <w:textAlignment w:val="auto"/>
        <w:outlineLvl w:val="9"/>
        <w:rPr>
          <w:rFonts w:hint="default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eastAsia="zh-CN"/>
        </w:rPr>
        <w:t>一、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2026年单位收支预算表</w:t>
      </w:r>
    </w:p>
    <w:p w14:paraId="4CBECDFA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3569"/>
        <w:jc w:val="left"/>
        <w:textAlignment w:val="auto"/>
        <w:outlineLvl w:val="9"/>
        <w:rPr>
          <w:rFonts w:hint="default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 xml:space="preserve">      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eastAsia="zh-CN"/>
        </w:rPr>
        <w:t>二、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2026年单位收入预算表</w:t>
      </w:r>
    </w:p>
    <w:p w14:paraId="76F3D455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3569" w:firstLine="960" w:firstLineChars="300"/>
        <w:jc w:val="left"/>
        <w:textAlignment w:val="auto"/>
        <w:outlineLvl w:val="9"/>
        <w:rPr>
          <w:rFonts w:hint="default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eastAsia="zh-CN"/>
        </w:rPr>
        <w:t>三、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2026年单位支出预算表</w:t>
      </w:r>
    </w:p>
    <w:p w14:paraId="06B849A2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firstLine="0" w:firstLineChars="0"/>
        <w:jc w:val="left"/>
        <w:textAlignment w:val="auto"/>
        <w:outlineLvl w:val="9"/>
        <w:rPr>
          <w:rFonts w:hint="default" w:ascii="仿宋_GB2312" w:hAnsi="Times New Roman" w:eastAsia="仿宋_GB2312" w:cs="仿宋_GB2312"/>
          <w:sz w:val="32"/>
          <w:szCs w:val="32"/>
          <w:highlight w:val="none"/>
          <w:lang w:val="en-US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 xml:space="preserve">      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eastAsia="zh-CN"/>
        </w:rPr>
        <w:t>四、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2026年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</w:rPr>
        <w:t>财政拨款收支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预算表</w:t>
      </w:r>
    </w:p>
    <w:p w14:paraId="651EA984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firstLine="0" w:firstLineChars="0"/>
        <w:jc w:val="left"/>
        <w:textAlignment w:val="auto"/>
        <w:outlineLvl w:val="9"/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 xml:space="preserve">      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eastAsia="zh-CN"/>
        </w:rPr>
        <w:t>五、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2026年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</w:rPr>
        <w:t>一般公共预算支出预算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表</w:t>
      </w:r>
    </w:p>
    <w:p w14:paraId="0FA32EEF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1600" w:leftChars="0" w:right="0" w:hanging="1600" w:hangingChars="500"/>
        <w:jc w:val="left"/>
        <w:textAlignment w:val="auto"/>
        <w:outlineLvl w:val="9"/>
        <w:rPr>
          <w:rFonts w:hint="default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 xml:space="preserve">      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</w:rPr>
        <w:t>六、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2026年一般公共预算基本支出表</w:t>
      </w:r>
    </w:p>
    <w:p w14:paraId="1E58D241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firstLine="0" w:firstLineChars="0"/>
        <w:jc w:val="left"/>
        <w:textAlignment w:val="auto"/>
        <w:outlineLvl w:val="9"/>
        <w:rPr>
          <w:rFonts w:hint="default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 xml:space="preserve">      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</w:rPr>
        <w:t>七、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2026年支出经济分类汇总表</w:t>
      </w:r>
    </w:p>
    <w:p w14:paraId="0DEBCE37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firstLine="960" w:firstLineChars="300"/>
        <w:jc w:val="left"/>
        <w:textAlignment w:val="auto"/>
        <w:outlineLvl w:val="9"/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八、2026年一般公共预算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</w:rPr>
        <w:t>“三公”经费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预算表</w:t>
      </w:r>
    </w:p>
    <w:p w14:paraId="37E17B77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firstLine="960" w:firstLineChars="300"/>
        <w:jc w:val="left"/>
        <w:textAlignment w:val="auto"/>
        <w:outlineLvl w:val="9"/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九、2026年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</w:rPr>
        <w:t>政府性基金预算支出</w:t>
      </w: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预算表</w:t>
      </w:r>
    </w:p>
    <w:p w14:paraId="128332D0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firstLine="960" w:firstLineChars="300"/>
        <w:jc w:val="left"/>
        <w:textAlignment w:val="auto"/>
        <w:outlineLvl w:val="9"/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十、2026年项目支出预算表</w:t>
      </w:r>
    </w:p>
    <w:p w14:paraId="782C0C18">
      <w:pPr>
        <w:keepNext w:val="0"/>
        <w:keepLines w:val="0"/>
        <w:pageBreakBefore w:val="0"/>
        <w:widowControl w:val="0"/>
        <w:kinsoku w:val="0"/>
        <w:wordWrap/>
        <w:overflowPunct w:val="0"/>
        <w:topLinePunct w:val="0"/>
        <w:autoSpaceDE/>
        <w:autoSpaceDN/>
        <w:bidi w:val="0"/>
        <w:adjustRightInd w:val="0"/>
        <w:snapToGrid w:val="0"/>
        <w:spacing w:line="360" w:lineRule="auto"/>
        <w:ind w:left="0" w:leftChars="0" w:right="0" w:firstLine="960" w:firstLineChars="300"/>
        <w:jc w:val="left"/>
        <w:textAlignment w:val="auto"/>
        <w:outlineLvl w:val="9"/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十一、2026年单位（单位）整体绩效目标表</w:t>
      </w:r>
    </w:p>
    <w:p w14:paraId="7DFC462E">
      <w:pPr>
        <w:kinsoku w:val="0"/>
        <w:overflowPunct w:val="0"/>
        <w:adjustRightInd w:val="0"/>
        <w:snapToGrid w:val="0"/>
        <w:spacing w:line="360" w:lineRule="auto"/>
        <w:ind w:right="51" w:firstLine="960" w:firstLineChars="300"/>
        <w:jc w:val="left"/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  <w:t>十二、2026年单位预算项目绩效目标表</w:t>
      </w:r>
    </w:p>
    <w:p w14:paraId="4F7F3025">
      <w:pPr>
        <w:kinsoku w:val="0"/>
        <w:overflowPunct w:val="0"/>
        <w:adjustRightInd w:val="0"/>
        <w:snapToGrid w:val="0"/>
        <w:spacing w:line="360" w:lineRule="auto"/>
        <w:ind w:right="51" w:firstLine="960" w:firstLineChars="300"/>
        <w:jc w:val="left"/>
        <w:rPr>
          <w:rFonts w:hint="eastAsia" w:ascii="仿宋_GB2312" w:hAnsi="Times New Roman" w:eastAsia="仿宋_GB2312" w:cs="仿宋_GB2312"/>
          <w:sz w:val="32"/>
          <w:szCs w:val="32"/>
          <w:highlight w:val="none"/>
          <w:lang w:val="en-US" w:eastAsia="zh-CN"/>
        </w:rPr>
      </w:pPr>
    </w:p>
    <w:p w14:paraId="69EB1B8D">
      <w:pPr>
        <w:kinsoku w:val="0"/>
        <w:overflowPunct w:val="0"/>
        <w:adjustRightInd w:val="0"/>
        <w:snapToGrid w:val="0"/>
        <w:spacing w:line="360" w:lineRule="auto"/>
        <w:ind w:right="51" w:firstLine="960" w:firstLineChars="300"/>
        <w:jc w:val="left"/>
        <w:rPr>
          <w:rFonts w:ascii="仿宋_GB2312" w:eastAsia="仿宋_GB2312"/>
          <w:sz w:val="32"/>
          <w:szCs w:val="32"/>
        </w:rPr>
      </w:pPr>
    </w:p>
    <w:p w14:paraId="7CB7507C">
      <w:pPr>
        <w:kinsoku w:val="0"/>
        <w:overflowPunct w:val="0"/>
        <w:adjustRightInd w:val="0"/>
        <w:snapToGrid w:val="0"/>
        <w:spacing w:line="360" w:lineRule="auto"/>
        <w:ind w:right="51" w:firstLine="960" w:firstLineChars="300"/>
        <w:jc w:val="left"/>
        <w:rPr>
          <w:rFonts w:ascii="仿宋_GB2312" w:eastAsia="仿宋_GB2312"/>
          <w:sz w:val="32"/>
          <w:szCs w:val="32"/>
        </w:rPr>
      </w:pPr>
    </w:p>
    <w:p w14:paraId="4C3C221F">
      <w:pPr>
        <w:kinsoku w:val="0"/>
        <w:overflowPunct w:val="0"/>
        <w:adjustRightInd w:val="0"/>
        <w:snapToGrid w:val="0"/>
        <w:spacing w:line="360" w:lineRule="auto"/>
        <w:ind w:right="51" w:firstLine="960" w:firstLineChars="300"/>
        <w:jc w:val="left"/>
        <w:rPr>
          <w:rFonts w:ascii="仿宋_GB2312" w:eastAsia="仿宋_GB2312"/>
          <w:sz w:val="32"/>
          <w:szCs w:val="32"/>
        </w:rPr>
      </w:pPr>
    </w:p>
    <w:p w14:paraId="3C3CEB59">
      <w:pPr>
        <w:kinsoku w:val="0"/>
        <w:overflowPunct w:val="0"/>
        <w:adjustRightInd w:val="0"/>
        <w:snapToGrid w:val="0"/>
        <w:spacing w:line="360" w:lineRule="auto"/>
        <w:ind w:right="51" w:firstLine="960" w:firstLineChars="300"/>
        <w:jc w:val="left"/>
        <w:rPr>
          <w:rFonts w:ascii="仿宋_GB2312" w:eastAsia="仿宋_GB2312"/>
          <w:sz w:val="32"/>
          <w:szCs w:val="32"/>
        </w:rPr>
      </w:pPr>
    </w:p>
    <w:p w14:paraId="1693E9AF">
      <w:pPr>
        <w:kinsoku w:val="0"/>
        <w:overflowPunct w:val="0"/>
        <w:adjustRightInd w:val="0"/>
        <w:snapToGrid w:val="0"/>
        <w:spacing w:line="360" w:lineRule="auto"/>
        <w:ind w:right="51" w:firstLine="960" w:firstLineChars="300"/>
        <w:jc w:val="left"/>
        <w:rPr>
          <w:rFonts w:ascii="仿宋_GB2312" w:eastAsia="仿宋_GB2312"/>
          <w:sz w:val="32"/>
          <w:szCs w:val="32"/>
        </w:rPr>
      </w:pPr>
    </w:p>
    <w:p w14:paraId="793BC202">
      <w:pPr>
        <w:kinsoku w:val="0"/>
        <w:overflowPunct w:val="0"/>
        <w:adjustRightInd w:val="0"/>
        <w:snapToGrid w:val="0"/>
        <w:spacing w:line="360" w:lineRule="auto"/>
        <w:ind w:right="51" w:firstLine="960" w:firstLineChars="300"/>
        <w:jc w:val="left"/>
        <w:rPr>
          <w:rFonts w:ascii="仿宋_GB2312" w:eastAsia="仿宋_GB2312"/>
          <w:sz w:val="32"/>
          <w:szCs w:val="32"/>
        </w:rPr>
      </w:pPr>
    </w:p>
    <w:p w14:paraId="61DDD6AD">
      <w:pPr>
        <w:kinsoku w:val="0"/>
        <w:overflowPunct w:val="0"/>
        <w:adjustRightInd w:val="0"/>
        <w:snapToGrid w:val="0"/>
        <w:spacing w:line="360" w:lineRule="auto"/>
        <w:ind w:right="51" w:firstLine="960" w:firstLineChars="300"/>
        <w:jc w:val="left"/>
        <w:rPr>
          <w:rFonts w:ascii="仿宋_GB2312" w:eastAsia="仿宋_GB2312"/>
          <w:sz w:val="32"/>
          <w:szCs w:val="32"/>
        </w:rPr>
      </w:pPr>
    </w:p>
    <w:p w14:paraId="28945B0F">
      <w:pPr>
        <w:kinsoku w:val="0"/>
        <w:overflowPunct w:val="0"/>
        <w:adjustRightInd w:val="0"/>
        <w:snapToGrid w:val="0"/>
        <w:spacing w:line="360" w:lineRule="auto"/>
        <w:ind w:right="51" w:firstLine="960" w:firstLineChars="300"/>
        <w:jc w:val="left"/>
        <w:rPr>
          <w:rFonts w:ascii="仿宋_GB2312" w:eastAsia="仿宋_GB2312"/>
          <w:sz w:val="32"/>
          <w:szCs w:val="32"/>
        </w:rPr>
      </w:pPr>
    </w:p>
    <w:p w14:paraId="35456EF6">
      <w:pPr>
        <w:kinsoku w:val="0"/>
        <w:overflowPunct w:val="0"/>
        <w:adjustRightInd w:val="0"/>
        <w:snapToGrid w:val="0"/>
        <w:spacing w:line="360" w:lineRule="auto"/>
        <w:ind w:right="51" w:firstLine="960" w:firstLineChars="300"/>
        <w:jc w:val="left"/>
        <w:rPr>
          <w:rFonts w:ascii="仿宋_GB2312" w:eastAsia="仿宋_GB2312"/>
          <w:sz w:val="32"/>
          <w:szCs w:val="32"/>
        </w:rPr>
      </w:pPr>
    </w:p>
    <w:p w14:paraId="15943B18">
      <w:pPr>
        <w:kinsoku w:val="0"/>
        <w:overflowPunct w:val="0"/>
        <w:adjustRightInd w:val="0"/>
        <w:snapToGrid w:val="0"/>
        <w:spacing w:line="360" w:lineRule="auto"/>
        <w:ind w:right="51" w:firstLine="960" w:firstLineChars="300"/>
        <w:jc w:val="left"/>
        <w:rPr>
          <w:rFonts w:ascii="仿宋_GB2312" w:eastAsia="仿宋_GB2312"/>
          <w:sz w:val="32"/>
          <w:szCs w:val="32"/>
        </w:rPr>
      </w:pPr>
    </w:p>
    <w:p w14:paraId="2DE2FAFF">
      <w:pPr>
        <w:kinsoku w:val="0"/>
        <w:overflowPunct w:val="0"/>
        <w:adjustRightInd w:val="0"/>
        <w:snapToGrid w:val="0"/>
        <w:spacing w:line="360" w:lineRule="auto"/>
        <w:ind w:right="51" w:firstLine="960" w:firstLineChars="300"/>
        <w:jc w:val="left"/>
        <w:rPr>
          <w:rFonts w:ascii="仿宋_GB2312" w:eastAsia="仿宋_GB2312"/>
          <w:sz w:val="32"/>
          <w:szCs w:val="32"/>
        </w:rPr>
      </w:pPr>
    </w:p>
    <w:p w14:paraId="762CEE56">
      <w:pPr>
        <w:kinsoku w:val="0"/>
        <w:overflowPunct w:val="0"/>
        <w:adjustRightInd w:val="0"/>
        <w:snapToGrid w:val="0"/>
        <w:spacing w:line="360" w:lineRule="auto"/>
        <w:ind w:right="51" w:firstLine="960" w:firstLineChars="300"/>
        <w:jc w:val="left"/>
        <w:rPr>
          <w:rFonts w:ascii="仿宋_GB2312" w:eastAsia="仿宋_GB2312"/>
          <w:sz w:val="32"/>
          <w:szCs w:val="32"/>
        </w:rPr>
      </w:pPr>
    </w:p>
    <w:p w14:paraId="76882739">
      <w:pPr>
        <w:kinsoku w:val="0"/>
        <w:overflowPunct w:val="0"/>
        <w:adjustRightInd w:val="0"/>
        <w:snapToGrid w:val="0"/>
        <w:spacing w:line="360" w:lineRule="auto"/>
        <w:ind w:right="51" w:firstLine="960" w:firstLineChars="300"/>
        <w:jc w:val="left"/>
        <w:rPr>
          <w:rFonts w:ascii="仿宋_GB2312" w:eastAsia="仿宋_GB2312"/>
          <w:sz w:val="32"/>
          <w:szCs w:val="32"/>
        </w:rPr>
      </w:pPr>
    </w:p>
    <w:p w14:paraId="7E7854E3">
      <w:pPr>
        <w:kinsoku w:val="0"/>
        <w:overflowPunct w:val="0"/>
        <w:adjustRightInd w:val="0"/>
        <w:snapToGrid w:val="0"/>
        <w:spacing w:line="360" w:lineRule="auto"/>
        <w:ind w:right="51" w:firstLine="960" w:firstLineChars="300"/>
        <w:jc w:val="left"/>
        <w:rPr>
          <w:rFonts w:ascii="仿宋_GB2312" w:eastAsia="仿宋_GB2312"/>
          <w:sz w:val="32"/>
          <w:szCs w:val="32"/>
        </w:rPr>
      </w:pPr>
    </w:p>
    <w:p w14:paraId="6D087797">
      <w:pPr>
        <w:kinsoku w:val="0"/>
        <w:overflowPunct w:val="0"/>
        <w:adjustRightInd w:val="0"/>
        <w:snapToGrid w:val="0"/>
        <w:spacing w:line="360" w:lineRule="auto"/>
        <w:ind w:right="51"/>
        <w:jc w:val="left"/>
        <w:rPr>
          <w:rFonts w:ascii="仿宋_GB2312" w:eastAsia="仿宋_GB2312"/>
          <w:sz w:val="32"/>
          <w:szCs w:val="32"/>
        </w:rPr>
      </w:pPr>
    </w:p>
    <w:p w14:paraId="22EC7751">
      <w:pPr>
        <w:adjustRightInd w:val="0"/>
        <w:snapToGrid w:val="0"/>
        <w:spacing w:line="360" w:lineRule="auto"/>
        <w:jc w:val="center"/>
        <w:rPr>
          <w:rFonts w:ascii="黑体" w:hAnsi="黑体" w:eastAsia="黑体"/>
          <w:sz w:val="40"/>
          <w:szCs w:val="32"/>
        </w:rPr>
      </w:pPr>
      <w:r>
        <w:rPr>
          <w:rFonts w:hint="eastAsia" w:ascii="黑体" w:hAnsi="黑体" w:eastAsia="黑体"/>
          <w:sz w:val="44"/>
          <w:szCs w:val="32"/>
        </w:rPr>
        <w:t>第一部分</w:t>
      </w:r>
      <w:r>
        <w:rPr>
          <w:rFonts w:hint="eastAsia" w:ascii="黑体" w:hAnsi="黑体" w:eastAsia="黑体"/>
          <w:sz w:val="44"/>
          <w:szCs w:val="32"/>
          <w:lang w:val="en-US" w:eastAsia="zh-CN"/>
        </w:rPr>
        <w:t xml:space="preserve">   上毛仪涧中心小学</w:t>
      </w:r>
      <w:r>
        <w:rPr>
          <w:rFonts w:hint="eastAsia" w:ascii="黑体" w:hAnsi="黑体" w:eastAsia="黑体"/>
          <w:b/>
          <w:bCs/>
          <w:sz w:val="40"/>
          <w:szCs w:val="32"/>
        </w:rPr>
        <w:t>单位概</w:t>
      </w:r>
      <w:r>
        <w:rPr>
          <w:rFonts w:hint="eastAsia" w:ascii="黑体" w:hAnsi="黑体" w:eastAsia="黑体"/>
          <w:sz w:val="40"/>
          <w:szCs w:val="32"/>
        </w:rPr>
        <w:t>况</w:t>
      </w:r>
    </w:p>
    <w:p w14:paraId="4859FDAE">
      <w:pPr>
        <w:adjustRightInd w:val="0"/>
        <w:snapToGrid w:val="0"/>
        <w:spacing w:line="360" w:lineRule="auto"/>
        <w:ind w:firstLine="640" w:firstLineChars="200"/>
        <w:jc w:val="center"/>
        <w:rPr>
          <w:rFonts w:ascii="黑体" w:hAnsi="黑体" w:eastAsia="黑体"/>
          <w:sz w:val="32"/>
          <w:szCs w:val="32"/>
        </w:rPr>
      </w:pPr>
    </w:p>
    <w:p w14:paraId="77D11A13">
      <w:pPr>
        <w:numPr>
          <w:ilvl w:val="0"/>
          <w:numId w:val="1"/>
        </w:numPr>
        <w:adjustRightInd w:val="0"/>
        <w:snapToGrid w:val="0"/>
        <w:spacing w:line="360" w:lineRule="auto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  <w:lang w:val="en-US" w:eastAsia="zh-CN"/>
        </w:rPr>
        <w:t>上毛仪涧中心小学</w:t>
      </w:r>
      <w:r>
        <w:rPr>
          <w:rFonts w:hint="eastAsia" w:ascii="宋体" w:hAnsi="宋体"/>
          <w:b/>
          <w:bCs/>
          <w:sz w:val="32"/>
          <w:szCs w:val="32"/>
        </w:rPr>
        <w:t>单位主要职责</w:t>
      </w:r>
    </w:p>
    <w:p w14:paraId="594CDE72">
      <w:pPr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（一）实施小学义务教育</w:t>
      </w:r>
    </w:p>
    <w:p w14:paraId="53A80EC3">
      <w:pPr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（二）促进基础教育发展</w:t>
      </w:r>
    </w:p>
    <w:p w14:paraId="4100EC0A">
      <w:pPr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（三）小学学历教育</w:t>
      </w:r>
    </w:p>
    <w:p w14:paraId="068787DC">
      <w:pPr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（四）注重教师教学技能提升，全面提高教育教学质量。</w:t>
      </w:r>
    </w:p>
    <w:p w14:paraId="023FD3A6">
      <w:pPr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（五）注重学生行为习惯的培养，提升学生的道德品质。</w:t>
      </w:r>
    </w:p>
    <w:p w14:paraId="0EE47647">
      <w:pPr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（六）积极探索教学改革，创办人民群众满意的教育。</w:t>
      </w:r>
    </w:p>
    <w:p w14:paraId="26A420F1">
      <w:pPr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（七）加强学校安全管理，提高服务意识，全方面实现党的教育方针。</w:t>
      </w:r>
    </w:p>
    <w:p w14:paraId="75460D4C">
      <w:pPr>
        <w:adjustRightInd w:val="0"/>
        <w:snapToGrid w:val="0"/>
        <w:spacing w:line="360" w:lineRule="auto"/>
        <w:ind w:firstLine="640" w:firstLineChars="200"/>
        <w:rPr>
          <w:rFonts w:hint="eastAsia" w:ascii="黑体" w:hAnsi="黑体" w:eastAsia="宋体"/>
          <w:b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二、</w:t>
      </w:r>
      <w:r>
        <w:rPr>
          <w:rFonts w:hint="eastAsia" w:ascii="宋体" w:hAnsi="宋体"/>
          <w:b/>
          <w:bCs/>
          <w:sz w:val="32"/>
          <w:szCs w:val="32"/>
        </w:rPr>
        <w:t>预</w:t>
      </w:r>
      <w:r>
        <w:rPr>
          <w:rFonts w:hint="eastAsia" w:ascii="宋体" w:hAnsi="宋体"/>
          <w:b/>
          <w:sz w:val="32"/>
          <w:szCs w:val="32"/>
        </w:rPr>
        <w:t>算单位构成</w:t>
      </w:r>
      <w:r>
        <w:rPr>
          <w:rFonts w:hint="eastAsia" w:ascii="宋体" w:hAnsi="宋体"/>
          <w:b/>
          <w:sz w:val="32"/>
          <w:szCs w:val="32"/>
          <w:lang w:val="en-US" w:eastAsia="zh-CN"/>
        </w:rPr>
        <w:t>情况</w:t>
      </w:r>
    </w:p>
    <w:p w14:paraId="7B233986">
      <w:pPr>
        <w:widowControl/>
        <w:ind w:firstLine="640" w:firstLineChars="200"/>
        <w:jc w:val="left"/>
        <w:rPr>
          <w:rFonts w:hint="eastAsia"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安阳市龙安区马投涧镇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上毛仪涧</w:t>
      </w:r>
      <w:r>
        <w:rPr>
          <w:rFonts w:hint="eastAsia" w:ascii="仿宋_GB2312" w:hAnsi="宋体" w:eastAsia="仿宋_GB2312" w:cs="宋体"/>
          <w:sz w:val="32"/>
          <w:szCs w:val="32"/>
        </w:rPr>
        <w:t>中心小学单位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内设机构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个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二级机构0个，三级预算单位0个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预算为本级预算。</w:t>
      </w:r>
      <w:r>
        <w:rPr>
          <w:rFonts w:hint="eastAsia" w:ascii="仿宋_GB2312" w:hAnsi="宋体" w:eastAsia="仿宋_GB2312" w:cs="宋体"/>
          <w:sz w:val="32"/>
          <w:szCs w:val="32"/>
        </w:rPr>
        <w:t>安阳市龙安区马投涧镇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上毛仪涧</w:t>
      </w:r>
      <w:r>
        <w:rPr>
          <w:rFonts w:hint="eastAsia" w:ascii="仿宋_GB2312" w:hAnsi="宋体" w:eastAsia="仿宋_GB2312" w:cs="宋体"/>
          <w:sz w:val="32"/>
          <w:szCs w:val="32"/>
        </w:rPr>
        <w:t>中心小学</w:t>
      </w:r>
      <w:r>
        <w:rPr>
          <w:rFonts w:hint="eastAsia" w:ascii="仿宋_GB2312" w:hAnsi="宋体" w:eastAsia="仿宋_GB2312" w:cs="宋体"/>
          <w:sz w:val="32"/>
          <w:szCs w:val="32"/>
          <w:lang w:eastAsia="zh-CN"/>
        </w:rPr>
        <w:t>2026</w:t>
      </w:r>
      <w:r>
        <w:rPr>
          <w:rFonts w:hint="eastAsia" w:ascii="仿宋_GB2312" w:hAnsi="宋体" w:eastAsia="仿宋_GB2312" w:cs="宋体"/>
          <w:sz w:val="32"/>
          <w:szCs w:val="32"/>
        </w:rPr>
        <w:t>年预算公开仅包含本单位预算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公开</w:t>
      </w:r>
      <w:r>
        <w:rPr>
          <w:rFonts w:hint="eastAsia" w:ascii="仿宋_GB2312" w:hAnsi="宋体" w:eastAsia="仿宋_GB2312" w:cs="宋体"/>
          <w:sz w:val="32"/>
          <w:szCs w:val="32"/>
        </w:rPr>
        <w:t>。</w:t>
      </w:r>
    </w:p>
    <w:p w14:paraId="33302265">
      <w:pPr>
        <w:adjustRightInd w:val="0"/>
        <w:snapToGrid w:val="0"/>
        <w:spacing w:line="360" w:lineRule="auto"/>
        <w:jc w:val="center"/>
        <w:rPr>
          <w:rFonts w:ascii="黑体" w:hAnsi="Times New Roman" w:eastAsia="黑体" w:cs="黑体"/>
          <w:sz w:val="32"/>
          <w:szCs w:val="32"/>
        </w:rPr>
      </w:pPr>
    </w:p>
    <w:p w14:paraId="6E8D5911">
      <w:pPr>
        <w:adjustRightInd w:val="0"/>
        <w:snapToGrid w:val="0"/>
        <w:spacing w:line="360" w:lineRule="auto"/>
        <w:jc w:val="center"/>
        <w:rPr>
          <w:rFonts w:ascii="黑体" w:hAnsi="Times New Roman" w:eastAsia="黑体" w:cs="黑体"/>
          <w:sz w:val="32"/>
          <w:szCs w:val="32"/>
        </w:rPr>
      </w:pPr>
    </w:p>
    <w:p w14:paraId="58FBD99C">
      <w:pPr>
        <w:adjustRightInd w:val="0"/>
        <w:snapToGrid w:val="0"/>
        <w:spacing w:line="360" w:lineRule="auto"/>
        <w:jc w:val="center"/>
        <w:rPr>
          <w:rFonts w:ascii="黑体" w:hAnsi="Times New Roman" w:eastAsia="黑体" w:cs="黑体"/>
          <w:sz w:val="32"/>
          <w:szCs w:val="32"/>
        </w:rPr>
      </w:pPr>
    </w:p>
    <w:p w14:paraId="7BEF4DA9">
      <w:pPr>
        <w:adjustRightInd w:val="0"/>
        <w:snapToGrid w:val="0"/>
        <w:spacing w:line="360" w:lineRule="auto"/>
        <w:jc w:val="center"/>
        <w:rPr>
          <w:rFonts w:ascii="黑体" w:hAnsi="Times New Roman" w:eastAsia="黑体" w:cs="黑体"/>
          <w:sz w:val="32"/>
          <w:szCs w:val="32"/>
        </w:rPr>
      </w:pPr>
    </w:p>
    <w:p w14:paraId="75DB562D">
      <w:pPr>
        <w:adjustRightInd w:val="0"/>
        <w:snapToGrid w:val="0"/>
        <w:spacing w:line="360" w:lineRule="auto"/>
        <w:jc w:val="center"/>
        <w:rPr>
          <w:rFonts w:ascii="黑体" w:hAnsi="Times New Roman" w:eastAsia="黑体" w:cs="黑体"/>
          <w:sz w:val="32"/>
          <w:szCs w:val="32"/>
        </w:rPr>
      </w:pPr>
    </w:p>
    <w:p w14:paraId="42C5A3FB">
      <w:pPr>
        <w:adjustRightInd w:val="0"/>
        <w:snapToGrid w:val="0"/>
        <w:spacing w:line="360" w:lineRule="auto"/>
        <w:jc w:val="center"/>
        <w:rPr>
          <w:rFonts w:ascii="黑体" w:hAnsi="Times New Roman" w:eastAsia="黑体" w:cs="黑体"/>
          <w:sz w:val="32"/>
          <w:szCs w:val="32"/>
        </w:rPr>
      </w:pPr>
    </w:p>
    <w:p w14:paraId="2B3C35C7">
      <w:pPr>
        <w:adjustRightInd w:val="0"/>
        <w:snapToGrid w:val="0"/>
        <w:spacing w:line="360" w:lineRule="auto"/>
        <w:jc w:val="center"/>
        <w:rPr>
          <w:rFonts w:ascii="黑体" w:hAnsi="Times New Roman" w:eastAsia="黑体" w:cs="黑体"/>
          <w:sz w:val="32"/>
          <w:szCs w:val="32"/>
        </w:rPr>
      </w:pPr>
    </w:p>
    <w:p w14:paraId="34793AC9">
      <w:pPr>
        <w:numPr>
          <w:ilvl w:val="0"/>
          <w:numId w:val="2"/>
        </w:numPr>
        <w:adjustRightInd w:val="0"/>
        <w:snapToGrid w:val="0"/>
        <w:spacing w:line="360" w:lineRule="auto"/>
        <w:jc w:val="center"/>
        <w:rPr>
          <w:rFonts w:hint="eastAsia" w:ascii="宋体" w:hAnsi="宋体" w:cs="黑体"/>
          <w:b/>
          <w:sz w:val="40"/>
          <w:szCs w:val="32"/>
          <w:lang w:val="en-US" w:eastAsia="zh-CN"/>
        </w:rPr>
      </w:pPr>
    </w:p>
    <w:p w14:paraId="65476DA0">
      <w:pPr>
        <w:numPr>
          <w:ilvl w:val="0"/>
          <w:numId w:val="0"/>
        </w:numPr>
        <w:adjustRightInd w:val="0"/>
        <w:snapToGrid w:val="0"/>
        <w:spacing w:line="360" w:lineRule="auto"/>
        <w:jc w:val="center"/>
        <w:rPr>
          <w:rFonts w:ascii="黑体" w:hAnsi="黑体" w:eastAsia="黑体"/>
          <w:b/>
          <w:bCs/>
          <w:sz w:val="32"/>
          <w:szCs w:val="24"/>
        </w:rPr>
      </w:pPr>
      <w:r>
        <w:rPr>
          <w:rFonts w:hint="eastAsia" w:ascii="黑体" w:hAnsi="Times New Roman" w:eastAsia="黑体" w:cs="黑体"/>
          <w:b/>
          <w:bCs/>
          <w:sz w:val="32"/>
          <w:szCs w:val="24"/>
          <w:lang w:val="en-US" w:eastAsia="zh-CN"/>
        </w:rPr>
        <w:t>上毛仪涧中心小学</w:t>
      </w:r>
      <w:r>
        <w:rPr>
          <w:rFonts w:hint="eastAsia" w:ascii="黑体" w:hAnsi="Times New Roman" w:eastAsia="黑体" w:cs="黑体"/>
          <w:b/>
          <w:bCs/>
          <w:sz w:val="32"/>
          <w:szCs w:val="24"/>
          <w:lang w:eastAsia="zh-CN"/>
        </w:rPr>
        <w:t>2026</w:t>
      </w:r>
      <w:r>
        <w:rPr>
          <w:rFonts w:hint="eastAsia" w:ascii="黑体" w:hAnsi="Times New Roman" w:eastAsia="黑体" w:cs="黑体"/>
          <w:b/>
          <w:bCs/>
          <w:sz w:val="32"/>
          <w:szCs w:val="24"/>
        </w:rPr>
        <w:t>年度单位预算情况说明</w:t>
      </w:r>
    </w:p>
    <w:p w14:paraId="7C69307E">
      <w:pPr>
        <w:adjustRightInd w:val="0"/>
        <w:snapToGrid w:val="0"/>
        <w:spacing w:line="360" w:lineRule="auto"/>
        <w:ind w:firstLine="640" w:firstLineChars="200"/>
        <w:rPr>
          <w:rFonts w:hint="default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一、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收入支出预算总体情况说明</w:t>
      </w:r>
    </w:p>
    <w:p w14:paraId="654C3409">
      <w:pPr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安阳市龙安区马投涧镇上毛仪涧中心小学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2026</w:t>
      </w:r>
      <w:r>
        <w:rPr>
          <w:rFonts w:hint="eastAsia" w:ascii="仿宋_GB2312" w:hAnsi="宋体" w:eastAsia="仿宋_GB2312" w:cs="Courier New"/>
          <w:sz w:val="32"/>
          <w:szCs w:val="32"/>
        </w:rPr>
        <w:t>年收入总计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206.31</w:t>
      </w:r>
      <w:r>
        <w:rPr>
          <w:rFonts w:hint="eastAsia" w:ascii="仿宋_GB2312" w:hAnsi="宋体" w:eastAsia="仿宋_GB2312" w:cs="Courier New"/>
          <w:bCs/>
          <w:sz w:val="32"/>
          <w:szCs w:val="32"/>
        </w:rPr>
        <w:t>万元，支出总计</w:t>
      </w:r>
      <w:r>
        <w:rPr>
          <w:rFonts w:hint="eastAsia" w:ascii="仿宋_GB2312" w:eastAsia="仿宋_GB2312"/>
          <w:bCs/>
          <w:sz w:val="32"/>
          <w:szCs w:val="32"/>
          <w:lang w:val="en-US" w:eastAsia="zh-CN"/>
        </w:rPr>
        <w:t>206.31</w:t>
      </w:r>
      <w:r>
        <w:rPr>
          <w:rFonts w:hint="eastAsia" w:ascii="仿宋_GB2312" w:hAnsi="宋体" w:eastAsia="仿宋_GB2312" w:cs="Courier New"/>
          <w:bCs/>
          <w:sz w:val="32"/>
          <w:szCs w:val="32"/>
        </w:rPr>
        <w:t>万</w:t>
      </w:r>
      <w:r>
        <w:rPr>
          <w:rFonts w:hint="eastAsia" w:ascii="仿宋_GB2312" w:hAnsi="宋体" w:eastAsia="仿宋_GB2312" w:cs="Courier New"/>
          <w:sz w:val="32"/>
          <w:szCs w:val="32"/>
        </w:rPr>
        <w:t>元，与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2025</w:t>
      </w:r>
      <w:r>
        <w:rPr>
          <w:rFonts w:hint="eastAsia" w:ascii="仿宋_GB2312" w:hAnsi="宋体" w:eastAsia="仿宋_GB2312" w:cs="Courier New"/>
          <w:sz w:val="32"/>
          <w:szCs w:val="32"/>
        </w:rPr>
        <w:t>年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年初预算</w:t>
      </w:r>
      <w:r>
        <w:rPr>
          <w:rFonts w:hint="eastAsia" w:ascii="仿宋_GB2312" w:hAnsi="宋体" w:eastAsia="仿宋_GB2312" w:cs="Courier New"/>
          <w:sz w:val="32"/>
          <w:szCs w:val="32"/>
        </w:rPr>
        <w:t>相比，收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 w:cs="Courier New"/>
          <w:sz w:val="32"/>
          <w:szCs w:val="32"/>
        </w:rPr>
        <w:t>支总计各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减少49.63</w:t>
      </w:r>
      <w:r>
        <w:rPr>
          <w:rFonts w:hint="eastAsia" w:ascii="仿宋_GB2312" w:hAnsi="宋体" w:eastAsia="仿宋_GB2312" w:cs="Courier New"/>
          <w:sz w:val="32"/>
          <w:szCs w:val="32"/>
        </w:rPr>
        <w:t>万元，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下降19.39%</w:t>
      </w:r>
      <w:r>
        <w:rPr>
          <w:rFonts w:hint="eastAsia" w:ascii="仿宋_GB2312" w:hAnsi="宋体" w:eastAsia="仿宋_GB2312" w:cs="Courier New"/>
          <w:sz w:val="32"/>
          <w:szCs w:val="32"/>
        </w:rPr>
        <w:t>。主要原因：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  <w:lang w:val="en-US" w:eastAsia="zh-CN"/>
        </w:rPr>
        <w:t>在职教师数减少，学生人数减少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。</w:t>
      </w:r>
    </w:p>
    <w:p w14:paraId="78CC8C9E"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收入预算总体</w:t>
      </w:r>
      <w:r>
        <w:rPr>
          <w:rFonts w:hint="eastAsia" w:ascii="黑体" w:hAnsi="黑体" w:eastAsia="黑体"/>
          <w:sz w:val="32"/>
          <w:szCs w:val="32"/>
        </w:rPr>
        <w:t>情况说明</w:t>
      </w:r>
    </w:p>
    <w:p w14:paraId="58A497B3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安阳市龙安区马投涧镇上毛仪涧中心小学</w:t>
      </w:r>
      <w:r>
        <w:rPr>
          <w:rFonts w:hint="eastAsia" w:ascii="仿宋_GB2312" w:eastAsia="仿宋_GB2312"/>
          <w:sz w:val="32"/>
          <w:szCs w:val="32"/>
          <w:lang w:eastAsia="zh-CN"/>
        </w:rPr>
        <w:t>2026</w:t>
      </w:r>
      <w:r>
        <w:rPr>
          <w:rFonts w:hint="eastAsia" w:ascii="仿宋_GB2312" w:hAnsi="Times New Roman" w:eastAsia="仿宋_GB2312"/>
          <w:sz w:val="32"/>
          <w:szCs w:val="32"/>
        </w:rPr>
        <w:t>年收入合计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206.31</w:t>
      </w:r>
      <w:r>
        <w:rPr>
          <w:rFonts w:hint="eastAsia" w:ascii="仿宋_GB2312" w:hAnsi="Times New Roman" w:eastAsia="仿宋_GB2312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</w:rPr>
        <w:t>其中：一般公共预算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206.31</w:t>
      </w:r>
      <w:r>
        <w:rPr>
          <w:rFonts w:hint="eastAsia" w:ascii="仿宋_GB2312" w:eastAsia="仿宋_GB2312"/>
          <w:sz w:val="32"/>
          <w:szCs w:val="32"/>
        </w:rPr>
        <w:t>万元</w:t>
      </w:r>
      <w:r>
        <w:rPr>
          <w:rFonts w:ascii="仿宋_GB2312" w:eastAsia="仿宋_GB2312"/>
          <w:sz w:val="32"/>
          <w:szCs w:val="32"/>
        </w:rPr>
        <w:t>;</w:t>
      </w:r>
      <w:r>
        <w:rPr>
          <w:rFonts w:hint="eastAsia" w:ascii="仿宋_GB2312" w:hAnsi="Times New Roman" w:eastAsia="仿宋_GB2312"/>
          <w:sz w:val="32"/>
          <w:szCs w:val="32"/>
        </w:rPr>
        <w:t>政府性基金收入</w:t>
      </w:r>
      <w:r>
        <w:rPr>
          <w:rFonts w:hint="eastAsia" w:ascii="仿宋_GB2312" w:eastAsia="仿宋_GB2312"/>
          <w:sz w:val="32"/>
          <w:szCs w:val="32"/>
        </w:rPr>
        <w:t>0</w:t>
      </w:r>
      <w:r>
        <w:rPr>
          <w:rFonts w:hint="eastAsia" w:ascii="仿宋_GB2312" w:hAnsi="Times New Roman" w:eastAsia="仿宋_GB2312"/>
          <w:sz w:val="32"/>
          <w:szCs w:val="32"/>
        </w:rPr>
        <w:t>万元；国有资本经营预算收入</w:t>
      </w:r>
      <w:r>
        <w:rPr>
          <w:rFonts w:hint="eastAsia" w:ascii="仿宋_GB2312" w:eastAsia="仿宋_GB2312"/>
          <w:sz w:val="32"/>
          <w:szCs w:val="32"/>
        </w:rPr>
        <w:t>0</w:t>
      </w:r>
      <w:r>
        <w:rPr>
          <w:rFonts w:hint="eastAsia" w:ascii="仿宋_GB2312" w:hAnsi="Times New Roman" w:eastAsia="仿宋_GB2312"/>
          <w:sz w:val="32"/>
          <w:szCs w:val="32"/>
        </w:rPr>
        <w:t>万元；专户管理的教育收费</w:t>
      </w:r>
      <w:r>
        <w:rPr>
          <w:rFonts w:hint="eastAsia" w:ascii="仿宋_GB2312" w:eastAsia="仿宋_GB2312"/>
          <w:sz w:val="32"/>
          <w:szCs w:val="32"/>
        </w:rPr>
        <w:t>0</w:t>
      </w:r>
      <w:r>
        <w:rPr>
          <w:rFonts w:hint="eastAsia" w:ascii="仿宋_GB2312" w:hAnsi="Times New Roman" w:eastAsia="仿宋_GB2312"/>
          <w:sz w:val="32"/>
          <w:szCs w:val="32"/>
        </w:rPr>
        <w:t>万元；事业收入</w:t>
      </w:r>
      <w:r>
        <w:rPr>
          <w:rFonts w:hint="eastAsia" w:ascii="仿宋_GB2312" w:eastAsia="仿宋_GB2312"/>
          <w:sz w:val="32"/>
          <w:szCs w:val="32"/>
        </w:rPr>
        <w:t>0</w:t>
      </w:r>
      <w:r>
        <w:rPr>
          <w:rFonts w:hint="eastAsia" w:ascii="仿宋_GB2312" w:hAnsi="Times New Roman" w:eastAsia="仿宋_GB2312"/>
          <w:sz w:val="32"/>
          <w:szCs w:val="32"/>
        </w:rPr>
        <w:t>万元；经营收入</w:t>
      </w:r>
      <w:r>
        <w:rPr>
          <w:rFonts w:hint="eastAsia" w:ascii="仿宋_GB2312" w:eastAsia="仿宋_GB2312"/>
          <w:sz w:val="32"/>
          <w:szCs w:val="32"/>
        </w:rPr>
        <w:t>0</w:t>
      </w:r>
      <w:r>
        <w:rPr>
          <w:rFonts w:hint="eastAsia" w:ascii="仿宋_GB2312" w:hAnsi="Times New Roman" w:eastAsia="仿宋_GB2312"/>
          <w:sz w:val="32"/>
          <w:szCs w:val="32"/>
        </w:rPr>
        <w:t>万元；</w:t>
      </w:r>
      <w:r>
        <w:rPr>
          <w:rFonts w:hint="eastAsia" w:ascii="仿宋_GB2312" w:hAnsi="Times New Roman" w:eastAsia="仿宋_GB2312"/>
          <w:sz w:val="32"/>
          <w:szCs w:val="32"/>
          <w:lang w:val="en-US" w:eastAsia="zh-CN"/>
        </w:rPr>
        <w:t>上级补助收入0万元；附属单位上缴收入0万元；</w:t>
      </w:r>
      <w:r>
        <w:rPr>
          <w:rFonts w:hint="eastAsia" w:ascii="仿宋_GB2312" w:hAnsi="Times New Roman" w:eastAsia="仿宋_GB2312"/>
          <w:sz w:val="32"/>
          <w:szCs w:val="32"/>
        </w:rPr>
        <w:t>其他收入</w:t>
      </w:r>
      <w:r>
        <w:rPr>
          <w:rFonts w:hint="eastAsia" w:ascii="仿宋_GB2312" w:eastAsia="仿宋_GB2312"/>
          <w:sz w:val="32"/>
          <w:szCs w:val="32"/>
        </w:rPr>
        <w:t>0</w:t>
      </w:r>
      <w:r>
        <w:rPr>
          <w:rFonts w:hint="eastAsia" w:ascii="仿宋_GB2312" w:hAnsi="Times New Roman" w:eastAsia="仿宋_GB2312"/>
          <w:sz w:val="32"/>
          <w:szCs w:val="32"/>
        </w:rPr>
        <w:t>万元。</w:t>
      </w:r>
    </w:p>
    <w:p w14:paraId="6EC26CA9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三、支出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预算</w:t>
      </w:r>
      <w:r>
        <w:rPr>
          <w:rFonts w:hint="eastAsia" w:ascii="黑体" w:hAnsi="黑体" w:eastAsia="黑体"/>
          <w:sz w:val="32"/>
          <w:szCs w:val="32"/>
        </w:rPr>
        <w:t>总体情况说明</w:t>
      </w:r>
    </w:p>
    <w:p w14:paraId="7D84EFCD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安阳市龙安区马投涧镇上毛仪涧中心小学</w:t>
      </w:r>
      <w:r>
        <w:rPr>
          <w:rFonts w:hint="eastAsia" w:ascii="仿宋_GB2312" w:eastAsia="仿宋_GB2312"/>
          <w:sz w:val="32"/>
          <w:szCs w:val="32"/>
          <w:lang w:eastAsia="zh-CN"/>
        </w:rPr>
        <w:t>2026</w:t>
      </w:r>
      <w:r>
        <w:rPr>
          <w:rFonts w:hint="eastAsia" w:ascii="仿宋_GB2312" w:eastAsia="仿宋_GB2312"/>
          <w:sz w:val="32"/>
          <w:szCs w:val="32"/>
        </w:rPr>
        <w:t>年支出合计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206.31</w:t>
      </w:r>
      <w:r>
        <w:rPr>
          <w:rFonts w:hint="eastAsia" w:ascii="仿宋_GB2312" w:eastAsia="仿宋_GB2312"/>
          <w:sz w:val="32"/>
          <w:szCs w:val="32"/>
        </w:rPr>
        <w:t>万元，其中：基本支出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204.17</w:t>
      </w:r>
      <w:r>
        <w:rPr>
          <w:rFonts w:hint="eastAsia" w:ascii="仿宋_GB2312" w:eastAsia="仿宋_GB2312"/>
          <w:sz w:val="32"/>
          <w:szCs w:val="32"/>
        </w:rPr>
        <w:t>万元，占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98.96</w:t>
      </w:r>
      <w:r>
        <w:rPr>
          <w:rFonts w:hint="eastAsia" w:ascii="仿宋_GB2312" w:eastAsia="仿宋_GB2312"/>
          <w:sz w:val="32"/>
          <w:szCs w:val="32"/>
        </w:rPr>
        <w:t>%；项目支出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2.14</w:t>
      </w:r>
      <w:r>
        <w:rPr>
          <w:rFonts w:hint="eastAsia" w:ascii="仿宋_GB2312" w:eastAsia="仿宋_GB2312"/>
          <w:sz w:val="32"/>
          <w:szCs w:val="32"/>
        </w:rPr>
        <w:t>万元，占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1.04</w:t>
      </w:r>
      <w:r>
        <w:rPr>
          <w:rFonts w:hint="eastAsia" w:ascii="仿宋_GB2312" w:eastAsia="仿宋_GB2312"/>
          <w:sz w:val="32"/>
          <w:szCs w:val="32"/>
        </w:rPr>
        <w:t>%。</w:t>
      </w:r>
    </w:p>
    <w:p w14:paraId="738ED368">
      <w:pPr>
        <w:spacing w:line="560" w:lineRule="exact"/>
        <w:ind w:firstLine="640" w:firstLineChars="200"/>
        <w:rPr>
          <w:rFonts w:ascii="仿宋_GB2312" w:eastAsia="仿宋_GB2312"/>
          <w:color w:val="FF0000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四、财政拨款收支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预算</w:t>
      </w:r>
      <w:r>
        <w:rPr>
          <w:rFonts w:hint="eastAsia" w:ascii="黑体" w:hAnsi="黑体" w:eastAsia="黑体"/>
          <w:sz w:val="32"/>
          <w:szCs w:val="32"/>
        </w:rPr>
        <w:t>总体情况说明</w:t>
      </w:r>
    </w:p>
    <w:p w14:paraId="304BACE9">
      <w:pPr>
        <w:adjustRightInd w:val="0"/>
        <w:snapToGrid w:val="0"/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安阳市龙安区马投涧镇上毛仪涧中心小学</w:t>
      </w:r>
      <w:r>
        <w:rPr>
          <w:rFonts w:hint="eastAsia" w:ascii="仿宋_GB2312" w:eastAsia="仿宋_GB2312"/>
          <w:sz w:val="32"/>
          <w:szCs w:val="32"/>
          <w:lang w:eastAsia="zh-CN"/>
        </w:rPr>
        <w:t>2026</w:t>
      </w:r>
      <w:r>
        <w:rPr>
          <w:rFonts w:hint="eastAsia" w:ascii="仿宋_GB2312" w:hAnsi="宋体" w:eastAsia="仿宋_GB2312" w:cs="Courier New"/>
          <w:sz w:val="32"/>
          <w:szCs w:val="32"/>
        </w:rPr>
        <w:t>年一般公共预算收支预算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206.31</w:t>
      </w:r>
      <w:r>
        <w:rPr>
          <w:rFonts w:hint="eastAsia" w:ascii="仿宋_GB2312" w:hAnsi="宋体" w:eastAsia="仿宋_GB2312" w:cs="Courier New"/>
          <w:sz w:val="32"/>
          <w:szCs w:val="32"/>
        </w:rPr>
        <w:t>万元。与</w:t>
      </w:r>
      <w:r>
        <w:rPr>
          <w:rFonts w:ascii="仿宋_GB2312" w:hAnsi="宋体" w:eastAsia="仿宋_GB2312" w:cs="Courier New"/>
          <w:sz w:val="32"/>
          <w:szCs w:val="32"/>
        </w:rPr>
        <w:t xml:space="preserve"> 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2025</w:t>
      </w:r>
      <w:r>
        <w:rPr>
          <w:rFonts w:hint="eastAsia" w:ascii="仿宋_GB2312" w:hAnsi="宋体" w:eastAsia="仿宋_GB2312" w:cs="Courier New"/>
          <w:sz w:val="32"/>
          <w:szCs w:val="32"/>
        </w:rPr>
        <w:t>年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年初预算</w:t>
      </w:r>
      <w:r>
        <w:rPr>
          <w:rFonts w:hint="eastAsia" w:ascii="仿宋_GB2312" w:hAnsi="宋体" w:eastAsia="仿宋_GB2312" w:cs="Courier New"/>
          <w:sz w:val="32"/>
          <w:szCs w:val="32"/>
        </w:rPr>
        <w:t>相比，一般公共预算收支预算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减少49.63</w:t>
      </w:r>
      <w:r>
        <w:rPr>
          <w:rFonts w:hint="eastAsia" w:ascii="仿宋_GB2312" w:hAnsi="宋体" w:eastAsia="仿宋_GB2312" w:cs="Courier New"/>
          <w:sz w:val="32"/>
          <w:szCs w:val="32"/>
        </w:rPr>
        <w:t>万元，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下降19.39%</w:t>
      </w:r>
      <w:r>
        <w:rPr>
          <w:rFonts w:hint="eastAsia" w:ascii="仿宋_GB2312" w:hAnsi="宋体" w:eastAsia="仿宋_GB2312" w:cs="Courier New"/>
          <w:sz w:val="32"/>
          <w:szCs w:val="32"/>
        </w:rPr>
        <w:t>，主要原因：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  <w:lang w:val="en-US" w:eastAsia="zh-CN"/>
        </w:rPr>
        <w:t>在职教师数减少，学生人数减少</w:t>
      </w:r>
      <w:r>
        <w:rPr>
          <w:rFonts w:hint="eastAsia" w:ascii="仿宋_GB2312" w:hAnsi="宋体" w:eastAsia="仿宋_GB2312" w:cs="Courier New"/>
          <w:sz w:val="32"/>
          <w:szCs w:val="32"/>
          <w:highlight w:val="none"/>
        </w:rPr>
        <w:t>。</w:t>
      </w:r>
      <w:r>
        <w:rPr>
          <w:rFonts w:hint="eastAsia" w:ascii="仿宋_GB2312" w:hAnsi="宋体" w:eastAsia="仿宋_GB2312" w:cs="Courier New"/>
          <w:sz w:val="32"/>
          <w:szCs w:val="32"/>
        </w:rPr>
        <w:t>政府性基金收支预算增加0万元，增长0</w:t>
      </w:r>
      <w:r>
        <w:rPr>
          <w:rFonts w:ascii="仿宋_GB2312" w:hAnsi="宋体" w:eastAsia="仿宋_GB2312" w:cs="Courier New"/>
          <w:sz w:val="32"/>
          <w:szCs w:val="32"/>
        </w:rPr>
        <w:t>%</w:t>
      </w:r>
      <w:r>
        <w:rPr>
          <w:rFonts w:hint="eastAsia" w:ascii="仿宋_GB2312" w:hAnsi="宋体" w:eastAsia="仿宋_GB2312" w:cs="Courier New"/>
          <w:sz w:val="32"/>
          <w:szCs w:val="32"/>
        </w:rPr>
        <w:t>。主要原因：我单位</w:t>
      </w:r>
      <w:r>
        <w:rPr>
          <w:rFonts w:hint="eastAsia" w:ascii="仿宋_GB2312" w:eastAsia="仿宋_GB2312"/>
          <w:sz w:val="32"/>
          <w:szCs w:val="32"/>
          <w:lang w:eastAsia="zh-CN"/>
        </w:rPr>
        <w:t>2025</w:t>
      </w:r>
      <w:r>
        <w:rPr>
          <w:rFonts w:hint="eastAsia" w:ascii="仿宋_GB2312" w:eastAsia="仿宋_GB2312"/>
          <w:sz w:val="32"/>
          <w:szCs w:val="32"/>
        </w:rPr>
        <w:t>年和</w:t>
      </w:r>
      <w:r>
        <w:rPr>
          <w:rFonts w:hint="eastAsia" w:ascii="仿宋_GB2312" w:eastAsia="仿宋_GB2312"/>
          <w:sz w:val="32"/>
          <w:szCs w:val="32"/>
          <w:lang w:eastAsia="zh-CN"/>
        </w:rPr>
        <w:t>2026</w:t>
      </w:r>
      <w:r>
        <w:rPr>
          <w:rFonts w:hint="eastAsia" w:ascii="仿宋_GB2312" w:eastAsia="仿宋_GB2312"/>
          <w:sz w:val="32"/>
          <w:szCs w:val="32"/>
        </w:rPr>
        <w:t>年均没有政府性基金收支。</w:t>
      </w:r>
    </w:p>
    <w:p w14:paraId="1EB86CF1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五、一般公共预算支出情况说明</w:t>
      </w:r>
    </w:p>
    <w:p w14:paraId="667A8C95">
      <w:pPr>
        <w:spacing w:line="560" w:lineRule="exact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安阳市龙安区马投涧镇上毛仪涧中心小学</w:t>
      </w:r>
      <w:r>
        <w:rPr>
          <w:rFonts w:hint="eastAsia" w:ascii="仿宋_GB2312" w:eastAsia="仿宋_GB2312"/>
          <w:sz w:val="32"/>
          <w:szCs w:val="32"/>
          <w:lang w:eastAsia="zh-CN"/>
        </w:rPr>
        <w:t>2026</w:t>
      </w:r>
      <w:r>
        <w:rPr>
          <w:rFonts w:hint="eastAsia" w:ascii="仿宋_GB2312" w:hAnsi="宋体" w:eastAsia="仿宋_GB2312" w:cs="Courier New"/>
          <w:sz w:val="32"/>
          <w:szCs w:val="32"/>
        </w:rPr>
        <w:t>年一般公共预算支出年初预算为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206.31</w:t>
      </w:r>
      <w:r>
        <w:rPr>
          <w:rFonts w:hint="eastAsia" w:ascii="仿宋_GB2312" w:hAnsi="宋体" w:eastAsia="仿宋_GB2312" w:cs="Courier New"/>
          <w:sz w:val="32"/>
          <w:szCs w:val="32"/>
        </w:rPr>
        <w:t>万元，其中：基本支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204.17</w:t>
      </w:r>
      <w:r>
        <w:rPr>
          <w:rFonts w:hint="eastAsia" w:ascii="仿宋_GB2312" w:hAnsi="宋体" w:eastAsia="仿宋_GB2312" w:cs="Courier New"/>
          <w:sz w:val="32"/>
          <w:szCs w:val="32"/>
        </w:rPr>
        <w:t>万元，占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98.96</w:t>
      </w:r>
      <w:r>
        <w:rPr>
          <w:rFonts w:ascii="仿宋_GB2312" w:hAnsi="宋体" w:eastAsia="仿宋_GB2312" w:cs="Courier New"/>
          <w:sz w:val="32"/>
          <w:szCs w:val="32"/>
        </w:rPr>
        <w:t>%</w:t>
      </w:r>
      <w:r>
        <w:rPr>
          <w:rFonts w:hint="eastAsia" w:ascii="仿宋_GB2312" w:hAnsi="宋体" w:eastAsia="仿宋_GB2312" w:cs="Courier New"/>
          <w:sz w:val="32"/>
          <w:szCs w:val="32"/>
        </w:rPr>
        <w:t>；项目支出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2.14</w:t>
      </w:r>
      <w:r>
        <w:rPr>
          <w:rFonts w:hint="eastAsia" w:ascii="仿宋_GB2312" w:hAnsi="宋体" w:eastAsia="仿宋_GB2312" w:cs="Courier New"/>
          <w:sz w:val="32"/>
          <w:szCs w:val="32"/>
        </w:rPr>
        <w:t>万元，占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1.04</w:t>
      </w:r>
      <w:r>
        <w:rPr>
          <w:rFonts w:ascii="仿宋_GB2312" w:hAnsi="宋体" w:eastAsia="仿宋_GB2312" w:cs="Courier New"/>
          <w:sz w:val="32"/>
          <w:szCs w:val="32"/>
        </w:rPr>
        <w:t>%</w:t>
      </w:r>
      <w:r>
        <w:rPr>
          <w:rFonts w:hint="eastAsia" w:ascii="仿宋_GB2312" w:hAnsi="宋体" w:eastAsia="仿宋_GB2312" w:cs="Courier New"/>
          <w:sz w:val="32"/>
          <w:szCs w:val="32"/>
        </w:rPr>
        <w:t>。</w:t>
      </w:r>
    </w:p>
    <w:p w14:paraId="5FED8895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黑体" w:hAnsi="Times New Roman" w:eastAsia="黑体" w:cs="黑体"/>
          <w:kern w:val="0"/>
          <w:sz w:val="32"/>
          <w:szCs w:val="32"/>
        </w:rPr>
        <w:t>六、</w:t>
      </w:r>
      <w:r>
        <w:rPr>
          <w:rFonts w:hint="eastAsia" w:ascii="黑体" w:hAnsi="黑体" w:eastAsia="黑体"/>
          <w:sz w:val="32"/>
          <w:szCs w:val="32"/>
        </w:rPr>
        <w:t>一般公共预算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基本</w:t>
      </w:r>
      <w:r>
        <w:rPr>
          <w:rFonts w:hint="eastAsia" w:ascii="黑体" w:hAnsi="黑体" w:eastAsia="黑体"/>
          <w:sz w:val="32"/>
          <w:szCs w:val="32"/>
        </w:rPr>
        <w:t>支出情况说明</w:t>
      </w:r>
    </w:p>
    <w:p w14:paraId="65FD2926">
      <w:pPr>
        <w:spacing w:line="560" w:lineRule="exact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安阳市龙安区马投涧镇上毛仪涧中心小学</w:t>
      </w:r>
      <w:r>
        <w:rPr>
          <w:rFonts w:hint="eastAsia" w:ascii="仿宋_GB2312" w:eastAsia="仿宋_GB2312"/>
          <w:sz w:val="32"/>
          <w:szCs w:val="32"/>
          <w:lang w:eastAsia="zh-CN"/>
        </w:rPr>
        <w:t>2026</w:t>
      </w:r>
      <w:r>
        <w:rPr>
          <w:rFonts w:hint="eastAsia" w:ascii="仿宋_GB2312" w:hAnsi="宋体" w:eastAsia="仿宋_GB2312" w:cs="Courier New"/>
          <w:sz w:val="32"/>
          <w:szCs w:val="32"/>
        </w:rPr>
        <w:t>年一般公共预算基本支出年初预算为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204.17</w:t>
      </w:r>
      <w:r>
        <w:rPr>
          <w:rFonts w:hint="eastAsia" w:ascii="仿宋_GB2312" w:hAnsi="宋体" w:eastAsia="仿宋_GB2312" w:cs="Courier New"/>
          <w:sz w:val="32"/>
          <w:szCs w:val="32"/>
        </w:rPr>
        <w:t>万元，其中：人员经费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202.73</w:t>
      </w:r>
      <w:r>
        <w:rPr>
          <w:rFonts w:hint="eastAsia" w:ascii="仿宋_GB2312" w:hAnsi="宋体" w:eastAsia="仿宋_GB2312" w:cs="Courier New"/>
          <w:sz w:val="32"/>
          <w:szCs w:val="32"/>
        </w:rPr>
        <w:t>万元，占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99.29</w:t>
      </w:r>
      <w:r>
        <w:rPr>
          <w:rFonts w:ascii="仿宋_GB2312" w:hAnsi="宋体" w:eastAsia="仿宋_GB2312" w:cs="Courier New"/>
          <w:sz w:val="32"/>
          <w:szCs w:val="32"/>
        </w:rPr>
        <w:t>%</w:t>
      </w:r>
      <w:r>
        <w:rPr>
          <w:rFonts w:hint="eastAsia" w:ascii="仿宋_GB2312" w:hAnsi="宋体" w:eastAsia="仿宋_GB2312" w:cs="Courier New"/>
          <w:sz w:val="32"/>
          <w:szCs w:val="32"/>
        </w:rPr>
        <w:t>；公用经费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1.44</w:t>
      </w:r>
      <w:r>
        <w:rPr>
          <w:rFonts w:hint="eastAsia" w:ascii="仿宋_GB2312" w:hAnsi="宋体" w:eastAsia="仿宋_GB2312" w:cs="Courier New"/>
          <w:sz w:val="32"/>
          <w:szCs w:val="32"/>
        </w:rPr>
        <w:t>万元，占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0.71</w:t>
      </w:r>
      <w:r>
        <w:rPr>
          <w:rFonts w:ascii="仿宋_GB2312" w:hAnsi="宋体" w:eastAsia="仿宋_GB2312" w:cs="Courier New"/>
          <w:sz w:val="32"/>
          <w:szCs w:val="32"/>
        </w:rPr>
        <w:t>%</w:t>
      </w:r>
      <w:r>
        <w:rPr>
          <w:rFonts w:hint="eastAsia" w:ascii="仿宋_GB2312" w:hAnsi="宋体" w:eastAsia="仿宋_GB2312" w:cs="Courier New"/>
          <w:sz w:val="32"/>
          <w:szCs w:val="32"/>
        </w:rPr>
        <w:t>。</w:t>
      </w:r>
    </w:p>
    <w:p w14:paraId="4FDE3B4E">
      <w:pPr>
        <w:spacing w:line="560" w:lineRule="exact"/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黑体" w:hAnsi="Times New Roman" w:eastAsia="黑体" w:cs="黑体"/>
          <w:color w:val="auto"/>
          <w:kern w:val="0"/>
          <w:sz w:val="32"/>
          <w:szCs w:val="32"/>
        </w:rPr>
        <w:t>七、一般公共预算“三公”经费支出情况说明</w:t>
      </w:r>
    </w:p>
    <w:p w14:paraId="4CA34351">
      <w:pPr>
        <w:spacing w:line="560" w:lineRule="exact"/>
        <w:ind w:firstLine="640" w:firstLineChars="200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我单位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2026</w:t>
      </w:r>
      <w:r>
        <w:rPr>
          <w:rFonts w:hint="eastAsia" w:ascii="仿宋_GB2312" w:hAnsi="宋体" w:eastAsia="仿宋_GB2312" w:cs="Courier New"/>
          <w:color w:val="auto"/>
          <w:sz w:val="32"/>
          <w:szCs w:val="32"/>
        </w:rPr>
        <w:t>年“三公”经费预算为0万元。</w:t>
      </w:r>
      <w:r>
        <w:rPr>
          <w:rFonts w:hint="eastAsia" w:ascii="仿宋_GB2312" w:hAnsi="宋体" w:eastAsia="仿宋_GB2312" w:cs="Courier New"/>
          <w:color w:val="auto"/>
          <w:sz w:val="32"/>
          <w:szCs w:val="32"/>
          <w:lang w:eastAsia="zh-CN"/>
        </w:rPr>
        <w:t>2026</w:t>
      </w:r>
      <w:r>
        <w:rPr>
          <w:rFonts w:hint="eastAsia" w:ascii="仿宋_GB2312" w:hAnsi="宋体" w:eastAsia="仿宋_GB2312" w:cs="Courier New"/>
          <w:color w:val="auto"/>
          <w:sz w:val="32"/>
          <w:szCs w:val="32"/>
        </w:rPr>
        <w:t>年“三公”经费支出预算数比</w:t>
      </w:r>
      <w:r>
        <w:rPr>
          <w:rFonts w:ascii="仿宋_GB2312" w:hAnsi="宋体" w:eastAsia="仿宋_GB2312" w:cs="Courier New"/>
          <w:color w:val="auto"/>
          <w:sz w:val="32"/>
          <w:szCs w:val="32"/>
        </w:rPr>
        <w:t xml:space="preserve"> </w:t>
      </w:r>
      <w:r>
        <w:rPr>
          <w:rFonts w:hint="eastAsia" w:ascii="仿宋_GB2312" w:hAnsi="宋体" w:eastAsia="仿宋_GB2312" w:cs="Courier New"/>
          <w:color w:val="auto"/>
          <w:sz w:val="32"/>
          <w:szCs w:val="32"/>
          <w:lang w:eastAsia="zh-CN"/>
        </w:rPr>
        <w:t>2025</w:t>
      </w:r>
      <w:r>
        <w:rPr>
          <w:rFonts w:hint="eastAsia" w:ascii="仿宋_GB2312" w:hAnsi="宋体" w:eastAsia="仿宋_GB2312" w:cs="Courier New"/>
          <w:color w:val="auto"/>
          <w:sz w:val="32"/>
          <w:szCs w:val="32"/>
        </w:rPr>
        <w:t>年增加0万元。</w:t>
      </w:r>
    </w:p>
    <w:p w14:paraId="3E1D3BAD">
      <w:pPr>
        <w:kinsoku w:val="0"/>
        <w:overflowPunct w:val="0"/>
        <w:autoSpaceDE w:val="0"/>
        <w:autoSpaceDN w:val="0"/>
        <w:adjustRightInd w:val="0"/>
        <w:snapToGrid w:val="0"/>
        <w:spacing w:line="560" w:lineRule="exact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具体支出情况如下：</w:t>
      </w:r>
    </w:p>
    <w:p w14:paraId="7BCF9994">
      <w:pPr>
        <w:numPr>
          <w:ilvl w:val="0"/>
          <w:numId w:val="3"/>
        </w:numPr>
        <w:kinsoku w:val="0"/>
        <w:overflowPunct w:val="0"/>
        <w:autoSpaceDE w:val="0"/>
        <w:autoSpaceDN w:val="0"/>
        <w:adjustRightInd w:val="0"/>
        <w:snapToGrid w:val="0"/>
        <w:spacing w:line="560" w:lineRule="exact"/>
        <w:ind w:firstLine="636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spacing w:val="-1"/>
          <w:kern w:val="0"/>
          <w:sz w:val="32"/>
          <w:szCs w:val="32"/>
        </w:rPr>
        <w:t>因公出国（境）费</w:t>
      </w:r>
      <w:r>
        <w:rPr>
          <w:rFonts w:hint="eastAsia" w:ascii="仿宋_GB2312" w:hAnsi="宋体" w:eastAsia="仿宋_GB2312" w:cs="Courier New"/>
          <w:sz w:val="32"/>
          <w:szCs w:val="32"/>
        </w:rPr>
        <w:t>0万</w:t>
      </w:r>
      <w:r>
        <w:rPr>
          <w:rFonts w:hint="eastAsia" w:ascii="仿宋_GB2312" w:hAnsi="Times New Roman" w:eastAsia="仿宋_GB2312" w:cs="仿宋_GB2312"/>
          <w:spacing w:val="-1"/>
          <w:kern w:val="0"/>
          <w:sz w:val="32"/>
          <w:szCs w:val="32"/>
        </w:rPr>
        <w:t>元，</w:t>
      </w:r>
      <w:r>
        <w:rPr>
          <w:rFonts w:hint="eastAsia" w:ascii="仿宋_GB2312" w:hAnsi="宋体" w:eastAsia="仿宋_GB2312" w:cs="Courier New"/>
          <w:sz w:val="32"/>
          <w:szCs w:val="32"/>
        </w:rPr>
        <w:t>主要用于单位工作人员公务出国（境）的住宿费、旅费、伙食补助费、杂费、培训费等支出。因公出国（境）费预算数与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2025</w:t>
      </w:r>
      <w:r>
        <w:rPr>
          <w:rFonts w:hint="eastAsia" w:ascii="仿宋_GB2312" w:hAnsi="宋体" w:eastAsia="仿宋_GB2312" w:cs="Courier New"/>
          <w:sz w:val="32"/>
          <w:szCs w:val="32"/>
        </w:rPr>
        <w:t>年相比，增加0万元。主要原因：</w:t>
      </w:r>
      <w:r>
        <w:rPr>
          <w:rFonts w:hint="eastAsia" w:ascii="仿宋_GB2312" w:eastAsia="仿宋_GB2312"/>
          <w:sz w:val="32"/>
          <w:szCs w:val="32"/>
        </w:rPr>
        <w:t>我</w:t>
      </w:r>
      <w:r>
        <w:rPr>
          <w:rFonts w:hint="eastAsia" w:ascii="仿宋_GB2312" w:hAnsi="宋体" w:eastAsia="仿宋_GB2312" w:cs="Courier New"/>
          <w:sz w:val="32"/>
          <w:szCs w:val="32"/>
        </w:rPr>
        <w:t>单位</w:t>
      </w:r>
      <w:r>
        <w:rPr>
          <w:rFonts w:hint="eastAsia" w:ascii="仿宋_GB2312" w:eastAsia="仿宋_GB2312"/>
          <w:sz w:val="32"/>
          <w:szCs w:val="32"/>
          <w:lang w:eastAsia="zh-CN"/>
        </w:rPr>
        <w:t>2025</w:t>
      </w:r>
      <w:r>
        <w:rPr>
          <w:rFonts w:hint="eastAsia" w:ascii="仿宋_GB2312" w:eastAsia="仿宋_GB2312"/>
          <w:sz w:val="32"/>
          <w:szCs w:val="32"/>
        </w:rPr>
        <w:t>年和</w:t>
      </w:r>
      <w:r>
        <w:rPr>
          <w:rFonts w:hint="eastAsia" w:ascii="仿宋_GB2312" w:eastAsia="仿宋_GB2312"/>
          <w:sz w:val="32"/>
          <w:szCs w:val="32"/>
          <w:lang w:eastAsia="zh-CN"/>
        </w:rPr>
        <w:t>2026</w:t>
      </w:r>
      <w:r>
        <w:rPr>
          <w:rFonts w:hint="eastAsia" w:ascii="仿宋_GB2312" w:eastAsia="仿宋_GB2312"/>
          <w:sz w:val="32"/>
          <w:szCs w:val="32"/>
        </w:rPr>
        <w:t>年均没有因公出国（境）</w:t>
      </w:r>
      <w:r>
        <w:rPr>
          <w:rFonts w:hint="eastAsia" w:ascii="仿宋_GB2312" w:hAnsi="宋体" w:eastAsia="仿宋_GB2312" w:cs="Courier New"/>
          <w:sz w:val="32"/>
          <w:szCs w:val="32"/>
        </w:rPr>
        <w:t>。</w:t>
      </w:r>
    </w:p>
    <w:p w14:paraId="738F076F">
      <w:pPr>
        <w:kinsoku w:val="0"/>
        <w:overflowPunct w:val="0"/>
        <w:autoSpaceDE w:val="0"/>
        <w:autoSpaceDN w:val="0"/>
        <w:adjustRightInd w:val="0"/>
        <w:snapToGrid w:val="0"/>
        <w:spacing w:line="560" w:lineRule="exact"/>
        <w:ind w:firstLine="636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spacing w:val="-1"/>
          <w:kern w:val="0"/>
          <w:sz w:val="32"/>
          <w:szCs w:val="32"/>
        </w:rPr>
        <w:t>（二）公务用车购置及运行费</w:t>
      </w:r>
      <w:r>
        <w:rPr>
          <w:rFonts w:hint="eastAsia" w:ascii="仿宋_GB2312" w:hAnsi="宋体" w:eastAsia="仿宋_GB2312" w:cs="Courier New"/>
          <w:sz w:val="32"/>
          <w:szCs w:val="32"/>
        </w:rPr>
        <w:t>0万元，其中，公务用车购置费0万元；公务用车运行维护费0万元，主要用于开展工作所需公务用车的燃料费、维修费、过路过桥费、保险费、安全奖励费用等支出。公务用车购置费预算数与</w:t>
      </w:r>
      <w:r>
        <w:rPr>
          <w:rFonts w:ascii="仿宋_GB2312" w:hAnsi="宋体" w:eastAsia="仿宋_GB2312" w:cs="Courier New"/>
          <w:sz w:val="32"/>
          <w:szCs w:val="32"/>
        </w:rPr>
        <w:t xml:space="preserve"> 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2025</w:t>
      </w:r>
      <w:r>
        <w:rPr>
          <w:rFonts w:hint="eastAsia" w:ascii="仿宋_GB2312" w:hAnsi="宋体" w:eastAsia="仿宋_GB2312" w:cs="Courier New"/>
          <w:sz w:val="32"/>
          <w:szCs w:val="32"/>
        </w:rPr>
        <w:t>年相比增加0万元，主要原因：</w:t>
      </w:r>
      <w:r>
        <w:rPr>
          <w:rFonts w:hint="eastAsia" w:ascii="仿宋_GB2312" w:eastAsia="仿宋_GB2312"/>
          <w:sz w:val="32"/>
          <w:szCs w:val="32"/>
        </w:rPr>
        <w:t>我单位</w:t>
      </w:r>
      <w:r>
        <w:rPr>
          <w:rFonts w:hint="eastAsia" w:ascii="仿宋_GB2312" w:eastAsia="仿宋_GB2312"/>
          <w:sz w:val="32"/>
          <w:szCs w:val="32"/>
          <w:lang w:eastAsia="zh-CN"/>
        </w:rPr>
        <w:t>2025</w:t>
      </w:r>
      <w:r>
        <w:rPr>
          <w:rFonts w:hint="eastAsia" w:ascii="仿宋_GB2312" w:eastAsia="仿宋_GB2312"/>
          <w:sz w:val="32"/>
          <w:szCs w:val="32"/>
        </w:rPr>
        <w:t>年和</w:t>
      </w:r>
      <w:r>
        <w:rPr>
          <w:rFonts w:hint="eastAsia" w:ascii="仿宋_GB2312" w:eastAsia="仿宋_GB2312"/>
          <w:sz w:val="32"/>
          <w:szCs w:val="32"/>
          <w:lang w:eastAsia="zh-CN"/>
        </w:rPr>
        <w:t>2026</w:t>
      </w:r>
      <w:r>
        <w:rPr>
          <w:rFonts w:hint="eastAsia" w:ascii="仿宋_GB2312" w:eastAsia="仿宋_GB2312"/>
          <w:sz w:val="32"/>
          <w:szCs w:val="32"/>
        </w:rPr>
        <w:t>年均没有公务用车购置及运行</w:t>
      </w:r>
      <w:r>
        <w:rPr>
          <w:rFonts w:hint="eastAsia" w:ascii="仿宋_GB2312" w:hAnsi="宋体" w:eastAsia="仿宋_GB2312" w:cs="Courier New"/>
          <w:sz w:val="32"/>
          <w:szCs w:val="32"/>
        </w:rPr>
        <w:t>。公务用车运行维护费预算数比</w:t>
      </w:r>
      <w:r>
        <w:rPr>
          <w:rFonts w:ascii="仿宋_GB2312" w:hAnsi="宋体" w:eastAsia="仿宋_GB2312" w:cs="Courier New"/>
          <w:sz w:val="32"/>
          <w:szCs w:val="32"/>
        </w:rPr>
        <w:t xml:space="preserve"> 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2025</w:t>
      </w:r>
      <w:r>
        <w:rPr>
          <w:rFonts w:hint="eastAsia" w:ascii="仿宋_GB2312" w:hAnsi="宋体" w:eastAsia="仿宋_GB2312" w:cs="Courier New"/>
          <w:sz w:val="32"/>
          <w:szCs w:val="32"/>
        </w:rPr>
        <w:t>年</w:t>
      </w:r>
      <w:bookmarkStart w:id="0" w:name="OLE_LINK1"/>
      <w:r>
        <w:rPr>
          <w:rFonts w:hint="eastAsia" w:ascii="仿宋_GB2312" w:hAnsi="宋体" w:eastAsia="仿宋_GB2312" w:cs="Courier New"/>
          <w:sz w:val="32"/>
          <w:szCs w:val="32"/>
        </w:rPr>
        <w:t>增加0万元</w:t>
      </w:r>
      <w:bookmarkEnd w:id="0"/>
      <w:r>
        <w:rPr>
          <w:rFonts w:hint="eastAsia" w:ascii="仿宋_GB2312" w:hAnsi="宋体" w:eastAsia="仿宋_GB2312" w:cs="Courier New"/>
          <w:sz w:val="32"/>
          <w:szCs w:val="32"/>
        </w:rPr>
        <w:t>，主要原因：</w:t>
      </w:r>
      <w:r>
        <w:rPr>
          <w:rFonts w:hint="eastAsia" w:ascii="仿宋_GB2312" w:eastAsia="仿宋_GB2312"/>
          <w:sz w:val="32"/>
          <w:szCs w:val="32"/>
        </w:rPr>
        <w:t>我单位</w:t>
      </w:r>
      <w:r>
        <w:rPr>
          <w:rFonts w:hint="eastAsia" w:ascii="仿宋_GB2312" w:eastAsia="仿宋_GB2312"/>
          <w:sz w:val="32"/>
          <w:szCs w:val="32"/>
          <w:lang w:eastAsia="zh-CN"/>
        </w:rPr>
        <w:t>2025</w:t>
      </w:r>
      <w:r>
        <w:rPr>
          <w:rFonts w:hint="eastAsia" w:ascii="仿宋_GB2312" w:eastAsia="仿宋_GB2312"/>
          <w:sz w:val="32"/>
          <w:szCs w:val="32"/>
        </w:rPr>
        <w:t>年和</w:t>
      </w:r>
      <w:r>
        <w:rPr>
          <w:rFonts w:hint="eastAsia" w:ascii="仿宋_GB2312" w:eastAsia="仿宋_GB2312"/>
          <w:sz w:val="32"/>
          <w:szCs w:val="32"/>
          <w:lang w:eastAsia="zh-CN"/>
        </w:rPr>
        <w:t>2026</w:t>
      </w:r>
      <w:r>
        <w:rPr>
          <w:rFonts w:hint="eastAsia" w:ascii="仿宋_GB2312" w:eastAsia="仿宋_GB2312"/>
          <w:sz w:val="32"/>
          <w:szCs w:val="32"/>
        </w:rPr>
        <w:t>年均没有公务用车运行维护费</w:t>
      </w:r>
      <w:r>
        <w:rPr>
          <w:rFonts w:hint="eastAsia" w:ascii="仿宋_GB2312" w:hAnsi="宋体" w:eastAsia="仿宋_GB2312" w:cs="Courier New"/>
          <w:sz w:val="32"/>
          <w:szCs w:val="32"/>
        </w:rPr>
        <w:t>。</w:t>
      </w:r>
    </w:p>
    <w:p w14:paraId="04D7E008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36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spacing w:val="-1"/>
          <w:kern w:val="0"/>
          <w:sz w:val="32"/>
          <w:szCs w:val="32"/>
        </w:rPr>
        <w:t>（三）公务接待费</w:t>
      </w:r>
      <w:r>
        <w:rPr>
          <w:rFonts w:hint="eastAsia" w:ascii="仿宋_GB2312" w:hAnsi="宋体" w:eastAsia="仿宋_GB2312" w:cs="Courier New"/>
          <w:sz w:val="32"/>
          <w:szCs w:val="32"/>
        </w:rPr>
        <w:t>0万元，主要用于按规定开支的各类公务接待（含外宾接待）支出。公务接待费预算数比</w:t>
      </w:r>
      <w:r>
        <w:rPr>
          <w:rFonts w:ascii="仿宋_GB2312" w:hAnsi="宋体" w:eastAsia="仿宋_GB2312" w:cs="Courier New"/>
          <w:sz w:val="32"/>
          <w:szCs w:val="32"/>
        </w:rPr>
        <w:t xml:space="preserve"> 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2025</w:t>
      </w:r>
      <w:r>
        <w:rPr>
          <w:rFonts w:hint="eastAsia" w:ascii="仿宋_GB2312" w:hAnsi="宋体" w:eastAsia="仿宋_GB2312" w:cs="Courier New"/>
          <w:sz w:val="32"/>
          <w:szCs w:val="32"/>
        </w:rPr>
        <w:t>年增加0万元。主要原因：</w:t>
      </w:r>
      <w:r>
        <w:rPr>
          <w:rFonts w:hint="eastAsia" w:ascii="仿宋_GB2312" w:eastAsia="仿宋_GB2312"/>
          <w:sz w:val="32"/>
          <w:szCs w:val="32"/>
        </w:rPr>
        <w:t>我</w:t>
      </w:r>
      <w:r>
        <w:rPr>
          <w:rFonts w:hint="eastAsia" w:ascii="仿宋_GB2312" w:hAnsi="宋体" w:eastAsia="仿宋_GB2312" w:cs="Courier New"/>
          <w:sz w:val="32"/>
          <w:szCs w:val="32"/>
        </w:rPr>
        <w:t>单位</w:t>
      </w:r>
      <w:r>
        <w:rPr>
          <w:rFonts w:hint="eastAsia" w:ascii="仿宋_GB2312" w:eastAsia="仿宋_GB2312"/>
          <w:sz w:val="32"/>
          <w:szCs w:val="32"/>
          <w:lang w:eastAsia="zh-CN"/>
        </w:rPr>
        <w:t>2025</w:t>
      </w:r>
      <w:r>
        <w:rPr>
          <w:rFonts w:hint="eastAsia" w:ascii="仿宋_GB2312" w:eastAsia="仿宋_GB2312"/>
          <w:sz w:val="32"/>
          <w:szCs w:val="32"/>
        </w:rPr>
        <w:t>年和</w:t>
      </w:r>
      <w:r>
        <w:rPr>
          <w:rFonts w:hint="eastAsia" w:ascii="仿宋_GB2312" w:eastAsia="仿宋_GB2312"/>
          <w:sz w:val="32"/>
          <w:szCs w:val="32"/>
          <w:lang w:eastAsia="zh-CN"/>
        </w:rPr>
        <w:t>2026</w:t>
      </w:r>
      <w:r>
        <w:rPr>
          <w:rFonts w:hint="eastAsia" w:ascii="仿宋_GB2312" w:eastAsia="仿宋_GB2312"/>
          <w:sz w:val="32"/>
          <w:szCs w:val="32"/>
        </w:rPr>
        <w:t>年均没有公务接待费</w:t>
      </w:r>
      <w:r>
        <w:rPr>
          <w:rFonts w:hint="eastAsia" w:ascii="仿宋_GB2312" w:hAnsi="宋体" w:eastAsia="仿宋_GB2312" w:cs="Courier New"/>
          <w:sz w:val="32"/>
          <w:szCs w:val="32"/>
        </w:rPr>
        <w:t>。</w:t>
      </w:r>
    </w:p>
    <w:p w14:paraId="4A89DDD7"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黑体" w:hAnsi="Times New Roman" w:eastAsia="黑体" w:cs="黑体"/>
          <w:kern w:val="0"/>
          <w:sz w:val="32"/>
          <w:szCs w:val="32"/>
        </w:rPr>
        <w:t>八、政府性基金预算支出情况说明</w:t>
      </w:r>
    </w:p>
    <w:p w14:paraId="0B3E1BEC">
      <w:pPr>
        <w:kinsoku w:val="0"/>
        <w:overflowPunct w:val="0"/>
        <w:adjustRightInd w:val="0"/>
        <w:snapToGrid w:val="0"/>
        <w:spacing w:line="360" w:lineRule="auto"/>
        <w:ind w:firstLine="640" w:firstLineChars="200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我单位</w:t>
      </w:r>
      <w:r>
        <w:rPr>
          <w:rFonts w:hint="eastAsia" w:ascii="仿宋_GB2312" w:eastAsia="仿宋_GB2312"/>
          <w:bCs/>
          <w:sz w:val="32"/>
          <w:szCs w:val="32"/>
          <w:lang w:eastAsia="zh-CN"/>
        </w:rPr>
        <w:t>2026</w:t>
      </w:r>
      <w:r>
        <w:rPr>
          <w:rFonts w:hint="eastAsia" w:ascii="仿宋_GB2312" w:eastAsia="仿宋_GB2312"/>
          <w:bCs/>
          <w:sz w:val="32"/>
          <w:szCs w:val="32"/>
        </w:rPr>
        <w:t>年没有使用政府性基金预算拨款安排的支出。</w:t>
      </w:r>
    </w:p>
    <w:p w14:paraId="486A7801">
      <w:pPr>
        <w:kinsoku w:val="0"/>
        <w:overflowPunct w:val="0"/>
        <w:adjustRightInd w:val="0"/>
        <w:snapToGrid w:val="0"/>
        <w:spacing w:line="360" w:lineRule="auto"/>
        <w:ind w:firstLine="640" w:firstLineChars="200"/>
        <w:jc w:val="left"/>
        <w:rPr>
          <w:rFonts w:ascii="仿宋_GB2312" w:hAnsi="Times New Roman" w:eastAsia="仿宋_GB2312" w:cs="仿宋_GB2312"/>
          <w:b/>
          <w:sz w:val="32"/>
          <w:szCs w:val="32"/>
        </w:rPr>
      </w:pPr>
      <w:r>
        <w:rPr>
          <w:rFonts w:hint="eastAsia" w:ascii="仿宋_GB2312" w:eastAsia="仿宋_GB2312"/>
          <w:b/>
          <w:color w:val="000000"/>
          <w:sz w:val="32"/>
          <w:szCs w:val="32"/>
          <w:shd w:val="clear" w:color="auto" w:fill="FFFFFF"/>
        </w:rPr>
        <w:t>九、其他重要事项的情况说明</w:t>
      </w:r>
    </w:p>
    <w:p w14:paraId="26F4DB02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Times New Roman" w:eastAsia="仿宋_GB2312" w:cs="仿宋_GB2312"/>
          <w:b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Times New Roman" w:eastAsia="仿宋_GB2312" w:cs="仿宋_GB2312"/>
          <w:b/>
          <w:kern w:val="0"/>
          <w:sz w:val="32"/>
          <w:szCs w:val="32"/>
        </w:rPr>
        <w:t>（一）</w:t>
      </w:r>
      <w:r>
        <w:rPr>
          <w:rFonts w:hint="eastAsia" w:ascii="仿宋_GB2312" w:hAnsi="Times New Roman" w:eastAsia="仿宋_GB2312" w:cs="仿宋_GB2312"/>
          <w:b/>
          <w:kern w:val="0"/>
          <w:sz w:val="32"/>
          <w:szCs w:val="32"/>
          <w:highlight w:val="none"/>
          <w:lang w:eastAsia="zh-CN"/>
        </w:rPr>
        <w:t>行政（</w:t>
      </w:r>
      <w:r>
        <w:rPr>
          <w:rFonts w:hint="eastAsia" w:ascii="仿宋_GB2312" w:hAnsi="Times New Roman" w:eastAsia="仿宋_GB2312" w:cs="仿宋_GB2312"/>
          <w:b/>
          <w:kern w:val="0"/>
          <w:sz w:val="32"/>
          <w:szCs w:val="32"/>
          <w:highlight w:val="none"/>
          <w:lang w:val="en-US" w:eastAsia="zh-CN"/>
        </w:rPr>
        <w:t>事业</w:t>
      </w:r>
      <w:r>
        <w:rPr>
          <w:rFonts w:hint="eastAsia" w:ascii="仿宋_GB2312" w:hAnsi="Times New Roman" w:eastAsia="仿宋_GB2312" w:cs="仿宋_GB2312"/>
          <w:b/>
          <w:kern w:val="0"/>
          <w:sz w:val="32"/>
          <w:szCs w:val="32"/>
          <w:highlight w:val="none"/>
          <w:lang w:eastAsia="zh-CN"/>
        </w:rPr>
        <w:t>）单位机构运转经费</w:t>
      </w:r>
    </w:p>
    <w:p w14:paraId="381A3F1C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安阳市龙安区马投涧镇上毛仪涧中心小学</w:t>
      </w:r>
      <w:r>
        <w:rPr>
          <w:rFonts w:hint="eastAsia" w:ascii="仿宋_GB2312" w:eastAsia="仿宋_GB2312"/>
          <w:sz w:val="32"/>
          <w:szCs w:val="32"/>
          <w:lang w:eastAsia="zh-CN"/>
        </w:rPr>
        <w:t>2026</w:t>
      </w:r>
      <w:r>
        <w:rPr>
          <w:rFonts w:hint="eastAsia" w:ascii="仿宋_GB2312" w:hAnsi="宋体" w:eastAsia="仿宋_GB2312" w:cs="Courier New"/>
          <w:sz w:val="32"/>
          <w:szCs w:val="32"/>
        </w:rPr>
        <w:t>年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单位</w:t>
      </w:r>
      <w:r>
        <w:rPr>
          <w:rFonts w:hint="eastAsia" w:ascii="仿宋_GB2312" w:hAnsi="宋体" w:eastAsia="仿宋_GB2312" w:cs="Courier New"/>
          <w:sz w:val="32"/>
          <w:szCs w:val="32"/>
        </w:rPr>
        <w:t>运行经费支出预算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1.44</w:t>
      </w:r>
      <w:r>
        <w:rPr>
          <w:rFonts w:hint="eastAsia" w:ascii="仿宋_GB2312" w:hAnsi="宋体" w:eastAsia="仿宋_GB2312" w:cs="Courier New"/>
          <w:sz w:val="32"/>
          <w:szCs w:val="32"/>
        </w:rPr>
        <w:t>万元，</w:t>
      </w:r>
      <w:r>
        <w:rPr>
          <w:rFonts w:hint="eastAsia" w:ascii="仿宋_GB2312" w:eastAsia="仿宋_GB2312"/>
          <w:sz w:val="32"/>
          <w:szCs w:val="32"/>
        </w:rPr>
        <w:t>主要保障机构正常运行及正常履职需要所需支出，包括公用经费、公务交通补贴、工会经费、职工福利等。</w:t>
      </w:r>
    </w:p>
    <w:p w14:paraId="13FA7C26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Times New Roman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kern w:val="0"/>
          <w:sz w:val="32"/>
          <w:szCs w:val="32"/>
        </w:rPr>
        <w:t>（二）政府采购支出情况</w:t>
      </w:r>
    </w:p>
    <w:p w14:paraId="1A3264D7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楷体_GB2312" w:hAnsi="Times New Roman" w:eastAsia="楷体_GB2312" w:cs="仿宋_GB2312"/>
          <w:b/>
          <w:kern w:val="0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2026</w:t>
      </w:r>
      <w:r>
        <w:rPr>
          <w:rFonts w:hint="eastAsia" w:ascii="仿宋_GB2312" w:eastAsia="仿宋_GB2312"/>
          <w:sz w:val="32"/>
          <w:szCs w:val="32"/>
        </w:rPr>
        <w:t>年政府采购预算安排0万元，其中：政府采购货物预算0万元、政府采购工程预算0万元、政府采购服务预算0万元。</w:t>
      </w:r>
    </w:p>
    <w:p w14:paraId="19E9BB78">
      <w:pPr>
        <w:kinsoku w:val="0"/>
        <w:overflowPunct w:val="0"/>
        <w:adjustRightInd w:val="0"/>
        <w:snapToGrid w:val="0"/>
        <w:spacing w:line="360" w:lineRule="auto"/>
        <w:ind w:firstLine="480" w:firstLineChars="150"/>
        <w:jc w:val="left"/>
        <w:rPr>
          <w:rFonts w:hint="default" w:ascii="仿宋_GB2312" w:hAnsi="Times New Roman" w:eastAsia="仿宋_GB2312" w:cs="仿宋_GB2312"/>
          <w:b/>
          <w:sz w:val="32"/>
          <w:szCs w:val="32"/>
          <w:lang w:val="en-US"/>
        </w:rPr>
      </w:pPr>
      <w:r>
        <w:rPr>
          <w:rFonts w:hint="eastAsia" w:ascii="仿宋_GB2312" w:hAnsi="Times New Roman" w:eastAsia="仿宋_GB2312" w:cs="仿宋_GB2312"/>
          <w:b/>
          <w:kern w:val="0"/>
          <w:sz w:val="32"/>
          <w:szCs w:val="32"/>
        </w:rPr>
        <w:t>（三）</w:t>
      </w:r>
      <w:r>
        <w:rPr>
          <w:rFonts w:hint="eastAsia" w:ascii="仿宋_GB2312" w:hAnsi="Times New Roman" w:eastAsia="仿宋_GB2312" w:cs="仿宋_GB2312"/>
          <w:b/>
          <w:kern w:val="0"/>
          <w:sz w:val="32"/>
          <w:szCs w:val="32"/>
          <w:lang w:val="en-US" w:eastAsia="zh-CN"/>
        </w:rPr>
        <w:t>预算</w:t>
      </w:r>
      <w:r>
        <w:rPr>
          <w:rFonts w:hint="eastAsia" w:ascii="仿宋_GB2312" w:hAnsi="Times New Roman" w:eastAsia="仿宋_GB2312" w:cs="仿宋_GB2312"/>
          <w:b/>
          <w:sz w:val="32"/>
          <w:szCs w:val="32"/>
        </w:rPr>
        <w:t>绩效</w:t>
      </w:r>
      <w:r>
        <w:rPr>
          <w:rFonts w:hint="eastAsia" w:ascii="仿宋_GB2312" w:hAnsi="Times New Roman" w:eastAsia="仿宋_GB2312" w:cs="仿宋_GB2312"/>
          <w:b/>
          <w:sz w:val="32"/>
          <w:szCs w:val="32"/>
          <w:lang w:val="en-US" w:eastAsia="zh-CN"/>
        </w:rPr>
        <w:t>情况说明</w:t>
      </w:r>
    </w:p>
    <w:p w14:paraId="51064578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我单位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2026年预算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个，资金总额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2.1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均分别从项目成本、</w:t>
      </w:r>
      <w:r>
        <w:rPr>
          <w:rFonts w:hint="eastAsia" w:ascii="仿宋_GB2312" w:hAnsi="仿宋_GB2312" w:eastAsia="仿宋_GB2312" w:cs="仿宋_GB2312"/>
          <w:sz w:val="32"/>
          <w:szCs w:val="32"/>
        </w:rPr>
        <w:t>项目产出、项目效益、项目满意度等方面按要求设置了绩效目标。其中预算支出100万元及100万元以上重点项目共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个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，重点项目</w:t>
      </w:r>
      <w:r>
        <w:rPr>
          <w:rFonts w:hint="eastAsia" w:ascii="仿宋_GB2312" w:hAnsi="仿宋_GB2312" w:eastAsia="仿宋_GB2312" w:cs="仿宋_GB2312"/>
          <w:sz w:val="32"/>
          <w:szCs w:val="32"/>
        </w:rPr>
        <w:t>绩效目标简述如下：</w:t>
      </w:r>
    </w:p>
    <w:p w14:paraId="021D4F73">
      <w:pPr>
        <w:ind w:firstLine="640" w:firstLineChars="200"/>
        <w:rPr>
          <w:rFonts w:ascii="仿宋_GB2312" w:hAnsi="宋体" w:eastAsia="仿宋_GB2312" w:cs="Courier New"/>
          <w:sz w:val="32"/>
          <w:szCs w:val="32"/>
          <w:highlight w:val="yellow"/>
        </w:rPr>
      </w:pPr>
      <w:r>
        <w:rPr>
          <w:rFonts w:hint="eastAsia" w:ascii="仿宋_GB2312" w:hAnsi="宋体" w:eastAsia="仿宋_GB2312" w:cs="Courier New"/>
          <w:color w:val="000000"/>
          <w:sz w:val="32"/>
          <w:szCs w:val="32"/>
        </w:rPr>
        <w:t>本单位没有重点项目，所以没有重点项目绩效。</w:t>
      </w:r>
    </w:p>
    <w:p w14:paraId="06CC59B8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Times New Roman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Times New Roman" w:eastAsia="仿宋_GB2312" w:cs="仿宋_GB2312"/>
          <w:b/>
          <w:kern w:val="0"/>
          <w:sz w:val="32"/>
          <w:szCs w:val="32"/>
        </w:rPr>
        <w:t>（四）国有资产占用情况。</w:t>
      </w:r>
    </w:p>
    <w:p w14:paraId="489E5B73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2025</w:t>
      </w:r>
      <w:r>
        <w:rPr>
          <w:rFonts w:hint="eastAsia" w:ascii="仿宋_GB2312" w:hAnsi="宋体" w:eastAsia="仿宋_GB2312" w:cs="Courier New"/>
          <w:sz w:val="32"/>
          <w:szCs w:val="32"/>
        </w:rPr>
        <w:t>年末，我单位共有车辆</w:t>
      </w:r>
      <w:r>
        <w:rPr>
          <w:rFonts w:hint="eastAsia" w:ascii="仿宋_GB2312" w:eastAsia="仿宋_GB2312"/>
          <w:sz w:val="32"/>
          <w:szCs w:val="32"/>
        </w:rPr>
        <w:t>0</w:t>
      </w:r>
      <w:r>
        <w:rPr>
          <w:rFonts w:hint="eastAsia" w:ascii="仿宋_GB2312" w:hAnsi="宋体" w:eastAsia="仿宋_GB2312" w:cs="Courier New"/>
          <w:sz w:val="32"/>
          <w:szCs w:val="32"/>
        </w:rPr>
        <w:t>辆，其中：一般公务用车</w:t>
      </w:r>
      <w:r>
        <w:rPr>
          <w:rFonts w:hint="eastAsia" w:ascii="仿宋_GB2312" w:eastAsia="仿宋_GB2312"/>
          <w:sz w:val="32"/>
          <w:szCs w:val="32"/>
        </w:rPr>
        <w:t>0</w:t>
      </w:r>
      <w:r>
        <w:rPr>
          <w:rFonts w:hint="eastAsia" w:ascii="仿宋_GB2312" w:hAnsi="宋体" w:eastAsia="仿宋_GB2312" w:cs="Courier New"/>
          <w:sz w:val="32"/>
          <w:szCs w:val="32"/>
        </w:rPr>
        <w:t>辆、一般执法执勤用车</w:t>
      </w:r>
      <w:r>
        <w:rPr>
          <w:rFonts w:hint="eastAsia" w:ascii="仿宋_GB2312" w:eastAsia="仿宋_GB2312"/>
          <w:sz w:val="32"/>
          <w:szCs w:val="32"/>
        </w:rPr>
        <w:t>0</w:t>
      </w:r>
      <w:r>
        <w:rPr>
          <w:rFonts w:hint="eastAsia" w:ascii="仿宋_GB2312" w:hAnsi="宋体" w:eastAsia="仿宋_GB2312" w:cs="Courier New"/>
          <w:sz w:val="32"/>
          <w:szCs w:val="32"/>
        </w:rPr>
        <w:t>辆、特种专业技术用车</w:t>
      </w:r>
      <w:r>
        <w:rPr>
          <w:rFonts w:hint="eastAsia" w:ascii="仿宋_GB2312" w:eastAsia="仿宋_GB2312"/>
          <w:sz w:val="32"/>
          <w:szCs w:val="32"/>
        </w:rPr>
        <w:t>0</w:t>
      </w:r>
      <w:r>
        <w:rPr>
          <w:rFonts w:hint="eastAsia" w:ascii="仿宋_GB2312" w:hAnsi="宋体" w:eastAsia="仿宋_GB2312" w:cs="Courier New"/>
          <w:sz w:val="32"/>
          <w:szCs w:val="32"/>
        </w:rPr>
        <w:t>辆，其他用车</w:t>
      </w:r>
      <w:r>
        <w:rPr>
          <w:rFonts w:hint="eastAsia" w:ascii="仿宋_GB2312" w:eastAsia="仿宋_GB2312"/>
          <w:sz w:val="32"/>
          <w:szCs w:val="32"/>
        </w:rPr>
        <w:t>0</w:t>
      </w:r>
      <w:r>
        <w:rPr>
          <w:rFonts w:hint="eastAsia" w:ascii="仿宋_GB2312" w:hAnsi="宋体" w:eastAsia="仿宋_GB2312" w:cs="Courier New"/>
          <w:sz w:val="32"/>
          <w:szCs w:val="32"/>
        </w:rPr>
        <w:t>辆；单价</w:t>
      </w:r>
      <w:r>
        <w:rPr>
          <w:rFonts w:ascii="仿宋_GB2312" w:hAnsi="宋体" w:eastAsia="仿宋_GB2312" w:cs="Courier New"/>
          <w:sz w:val="32"/>
          <w:szCs w:val="32"/>
        </w:rPr>
        <w:t>50</w:t>
      </w:r>
      <w:r>
        <w:rPr>
          <w:rFonts w:hint="eastAsia" w:ascii="仿宋_GB2312" w:hAnsi="宋体" w:eastAsia="仿宋_GB2312" w:cs="Courier New"/>
          <w:sz w:val="32"/>
          <w:szCs w:val="32"/>
        </w:rPr>
        <w:t>万元以上通用设备</w:t>
      </w:r>
      <w:r>
        <w:rPr>
          <w:rFonts w:hint="eastAsia" w:ascii="仿宋_GB2312" w:eastAsia="仿宋_GB2312"/>
          <w:sz w:val="32"/>
          <w:szCs w:val="32"/>
        </w:rPr>
        <w:t>0</w:t>
      </w:r>
      <w:r>
        <w:rPr>
          <w:rFonts w:hint="eastAsia" w:ascii="仿宋_GB2312" w:hAnsi="宋体" w:eastAsia="仿宋_GB2312" w:cs="Courier New"/>
          <w:sz w:val="32"/>
          <w:szCs w:val="32"/>
        </w:rPr>
        <w:t>台（套），单位价值</w:t>
      </w:r>
      <w:r>
        <w:rPr>
          <w:rFonts w:ascii="仿宋_GB2312" w:hAnsi="宋体" w:eastAsia="仿宋_GB2312" w:cs="Courier New"/>
          <w:sz w:val="32"/>
          <w:szCs w:val="32"/>
        </w:rPr>
        <w:t>100</w:t>
      </w:r>
      <w:r>
        <w:rPr>
          <w:rFonts w:hint="eastAsia" w:ascii="仿宋_GB2312" w:hAnsi="宋体" w:eastAsia="仿宋_GB2312" w:cs="Courier New"/>
          <w:sz w:val="32"/>
          <w:szCs w:val="32"/>
        </w:rPr>
        <w:t>万元以上专用设备</w:t>
      </w:r>
      <w:r>
        <w:rPr>
          <w:rFonts w:hint="eastAsia" w:ascii="仿宋_GB2312" w:eastAsia="仿宋_GB2312"/>
          <w:sz w:val="32"/>
          <w:szCs w:val="32"/>
        </w:rPr>
        <w:t>0</w:t>
      </w:r>
      <w:r>
        <w:rPr>
          <w:rFonts w:hint="eastAsia" w:ascii="仿宋_GB2312" w:hAnsi="宋体" w:eastAsia="仿宋_GB2312" w:cs="Courier New"/>
          <w:sz w:val="32"/>
          <w:szCs w:val="32"/>
        </w:rPr>
        <w:t>台（套）。</w:t>
      </w:r>
    </w:p>
    <w:p w14:paraId="1CE22737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b/>
          <w:sz w:val="32"/>
          <w:szCs w:val="32"/>
        </w:rPr>
      </w:pPr>
      <w:r>
        <w:rPr>
          <w:rFonts w:hint="eastAsia" w:ascii="仿宋_GB2312" w:hAnsi="宋体" w:eastAsia="仿宋_GB2312" w:cs="Courier New"/>
          <w:b/>
          <w:sz w:val="32"/>
          <w:szCs w:val="32"/>
        </w:rPr>
        <w:t>（五）专项转移支付项目情况</w:t>
      </w:r>
    </w:p>
    <w:p w14:paraId="3555F138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我单位</w:t>
      </w:r>
      <w:r>
        <w:rPr>
          <w:rFonts w:hint="eastAsia" w:ascii="仿宋_GB2312" w:hAnsi="宋体" w:eastAsia="仿宋_GB2312" w:cs="Courier New"/>
          <w:sz w:val="32"/>
          <w:szCs w:val="32"/>
          <w:lang w:eastAsia="zh-CN"/>
        </w:rPr>
        <w:t>2026</w:t>
      </w:r>
      <w:r>
        <w:rPr>
          <w:rFonts w:hint="eastAsia" w:ascii="仿宋_GB2312" w:hAnsi="宋体" w:eastAsia="仿宋_GB2312" w:cs="Courier New"/>
          <w:sz w:val="32"/>
          <w:szCs w:val="32"/>
        </w:rPr>
        <w:t>年没有专项转移支付项目。</w:t>
      </w:r>
    </w:p>
    <w:p w14:paraId="0505CE4F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</w:p>
    <w:p w14:paraId="1C1106B5">
      <w:pPr>
        <w:adjustRightInd w:val="0"/>
        <w:snapToGrid w:val="0"/>
        <w:spacing w:line="360" w:lineRule="auto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第三部分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  </w:t>
      </w:r>
      <w:r>
        <w:rPr>
          <w:rFonts w:hint="eastAsia" w:ascii="黑体" w:hAnsi="黑体" w:eastAsia="黑体"/>
          <w:sz w:val="32"/>
          <w:szCs w:val="32"/>
        </w:rPr>
        <w:t>名词解释</w:t>
      </w:r>
    </w:p>
    <w:p w14:paraId="1487FA17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一、财政拨款收入：是指同级财政当年拨付的资金。</w:t>
      </w:r>
    </w:p>
    <w:p w14:paraId="1363A70C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二、事业收入：是指事业单位开展专业活动及辅助活动所取得的收入。</w:t>
      </w:r>
    </w:p>
    <w:p w14:paraId="6522EE8C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三、其他收入：是指单位取得的除“财政拨款”、“事业收入”、“事业单位经营收入”等以外的收入。</w:t>
      </w:r>
    </w:p>
    <w:p w14:paraId="397D8748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四、机关运行经费：是指为保障行政单位（含参照公务员法管理的事业单位）运行用于购买货物和服务的各项资金，包括办公及印刷费、邮电费、差旅费、会议费、福利费、日常维修费及一般设备购置费、办公用房水电费、办公用房取暖费、办公用房物业管理费、公务用车运行维护费以及其他费用。</w:t>
      </w:r>
    </w:p>
    <w:p w14:paraId="51620C39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五、用事业基金弥补收支差额：是指事业单位在当年的“财政拨款收入”、“事业收入”、“经营收入”和“其他收入”不足以安排当年支出的情况下，使用以前年度积累的事业基金（即事业单位以前各年度收支相抵后，按国家规定提取、用于弥补以后年度收支差额的基金）弥补当年收支缺口的资金。</w:t>
      </w:r>
    </w:p>
    <w:p w14:paraId="4AB9C5B4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六、基本支出：是指为保障机构正常运转、完成日常工作任务所必需的开支，其内容包括人员经费和日常公用经费两部分。</w:t>
      </w:r>
    </w:p>
    <w:p w14:paraId="6A54BF2F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七、项目支出：是指在基本支出之外，为完成特定的行政工作任务或事业发展目标所发生的支出。</w:t>
      </w:r>
    </w:p>
    <w:p w14:paraId="5E6B44FA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八、“三公”经费：是指纳入同级财政预算管理，单位使用财政拨款安排的因公出国（境）费、公务用车购置及运行费和公务接待费。其中，因公出国（境）费反映单位公务出国（境）的住宿费、旅费、伙食补助费、杂费、培训费等支出；公务用车购置及运行费反映单位公务用车购置费及租用费、燃料费、维修费、过路过桥费、保险费、安全奖励费用等支出；公务接待费反映单位按规定开支的各类公务接待（含外宾接待）支出。</w:t>
      </w:r>
    </w:p>
    <w:p w14:paraId="15374010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</w:p>
    <w:p w14:paraId="2DCAD06C">
      <w:pPr>
        <w:pStyle w:val="8"/>
        <w:rPr>
          <w:rFonts w:hint="eastAsia" w:ascii="仿宋_GB2312" w:hAnsi="宋体" w:eastAsia="仿宋_GB2312" w:cs="Courier New"/>
          <w:sz w:val="32"/>
          <w:szCs w:val="32"/>
        </w:rPr>
      </w:pPr>
    </w:p>
    <w:p w14:paraId="7E18ED69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</w:p>
    <w:p w14:paraId="0D3FBA60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</w:p>
    <w:p w14:paraId="647990EE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</w:p>
    <w:p w14:paraId="79E67B3B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</w:p>
    <w:p w14:paraId="4E5C3B6A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</w:p>
    <w:p w14:paraId="162DABEB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</w:p>
    <w:p w14:paraId="4CB841E9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</w:p>
    <w:p w14:paraId="5B29E724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</w:p>
    <w:p w14:paraId="12CC4F3C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</w:p>
    <w:p w14:paraId="031761E9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</w:p>
    <w:p w14:paraId="56BCE317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</w:p>
    <w:p w14:paraId="0D3829DA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</w:p>
    <w:p w14:paraId="6E7F7415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</w:p>
    <w:p w14:paraId="229373B0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</w:p>
    <w:p w14:paraId="444B1A65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Courier New"/>
          <w:sz w:val="32"/>
          <w:szCs w:val="32"/>
        </w:rPr>
      </w:pPr>
    </w:p>
    <w:p w14:paraId="3478BEE8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firstLine="640" w:firstLineChars="200"/>
        <w:rPr>
          <w:rFonts w:ascii="仿宋_GB2312" w:hAnsi="宋体" w:eastAsia="仿宋_GB2312" w:cs="Courier New"/>
          <w:sz w:val="32"/>
          <w:szCs w:val="32"/>
        </w:rPr>
      </w:pPr>
    </w:p>
    <w:p w14:paraId="151D8529">
      <w:pPr>
        <w:pStyle w:val="8"/>
        <w:rPr>
          <w:rFonts w:ascii="仿宋_GB2312" w:hAnsi="宋体" w:eastAsia="仿宋_GB2312" w:cs="Courier New"/>
          <w:sz w:val="32"/>
          <w:szCs w:val="32"/>
        </w:rPr>
      </w:pPr>
    </w:p>
    <w:p w14:paraId="607F9D71">
      <w:pPr>
        <w:pStyle w:val="8"/>
        <w:rPr>
          <w:rFonts w:ascii="仿宋_GB2312" w:hAnsi="宋体" w:eastAsia="仿宋_GB2312" w:cs="Courier New"/>
          <w:sz w:val="32"/>
          <w:szCs w:val="32"/>
        </w:rPr>
      </w:pPr>
    </w:p>
    <w:p w14:paraId="50793753">
      <w:pPr>
        <w:pStyle w:val="8"/>
        <w:rPr>
          <w:rFonts w:ascii="仿宋_GB2312" w:hAnsi="宋体" w:eastAsia="仿宋_GB2312" w:cs="Courier New"/>
          <w:sz w:val="32"/>
          <w:szCs w:val="32"/>
        </w:rPr>
      </w:pPr>
    </w:p>
    <w:p w14:paraId="6E2558AD">
      <w:pPr>
        <w:pStyle w:val="8"/>
        <w:rPr>
          <w:rFonts w:ascii="仿宋_GB2312" w:hAnsi="宋体" w:eastAsia="仿宋_GB2312" w:cs="Courier New"/>
          <w:sz w:val="32"/>
          <w:szCs w:val="32"/>
        </w:rPr>
      </w:pPr>
    </w:p>
    <w:p w14:paraId="037868F2">
      <w:pPr>
        <w:pStyle w:val="8"/>
        <w:rPr>
          <w:rFonts w:ascii="仿宋_GB2312" w:hAnsi="宋体" w:eastAsia="仿宋_GB2312" w:cs="Courier New"/>
          <w:sz w:val="32"/>
          <w:szCs w:val="32"/>
        </w:rPr>
      </w:pPr>
    </w:p>
    <w:p w14:paraId="253737F2">
      <w:pPr>
        <w:numPr>
          <w:ilvl w:val="0"/>
          <w:numId w:val="0"/>
        </w:num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center"/>
        <w:rPr>
          <w:rFonts w:hint="eastAsia" w:ascii="黑体" w:hAnsi="黑体" w:eastAsia="黑体" w:cs="黑体"/>
          <w:b w:val="0"/>
          <w:bCs w:val="0"/>
          <w:sz w:val="48"/>
          <w:szCs w:val="48"/>
        </w:rPr>
      </w:pPr>
      <w:r>
        <w:rPr>
          <w:rFonts w:hint="eastAsia" w:ascii="黑体" w:hAnsi="Times New Roman" w:eastAsia="黑体" w:cs="黑体"/>
          <w:sz w:val="36"/>
          <w:szCs w:val="36"/>
          <w:lang w:val="en-US" w:eastAsia="zh-CN"/>
        </w:rPr>
        <w:t>附件：上毛仪涧中心小学</w:t>
      </w:r>
      <w:r>
        <w:rPr>
          <w:rFonts w:hint="eastAsia" w:ascii="黑体" w:hAnsi="Times New Roman" w:eastAsia="黑体" w:cs="黑体"/>
          <w:sz w:val="36"/>
          <w:szCs w:val="36"/>
          <w:lang w:eastAsia="zh-CN"/>
        </w:rPr>
        <w:t>2026</w:t>
      </w:r>
      <w:r>
        <w:rPr>
          <w:rFonts w:hint="eastAsia" w:ascii="黑体" w:hAnsi="Times New Roman" w:eastAsia="黑体" w:cs="黑体"/>
          <w:sz w:val="36"/>
          <w:szCs w:val="36"/>
        </w:rPr>
        <w:t>年度单位预算表</w:t>
      </w:r>
    </w:p>
    <w:p w14:paraId="14497865">
      <w:pPr>
        <w:numPr>
          <w:ilvl w:val="0"/>
          <w:numId w:val="0"/>
        </w:num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both"/>
        <w:rPr>
          <w:rFonts w:hint="eastAsia" w:ascii="黑体" w:hAnsi="黑体" w:eastAsia="黑体" w:cs="黑体"/>
          <w:b w:val="0"/>
          <w:bCs w:val="0"/>
          <w:sz w:val="44"/>
          <w:szCs w:val="44"/>
        </w:rPr>
      </w:pPr>
    </w:p>
    <w:p w14:paraId="56E242BA">
      <w:pPr>
        <w:numPr>
          <w:ilvl w:val="0"/>
          <w:numId w:val="0"/>
        </w:num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both"/>
        <w:rPr>
          <w:rFonts w:hint="eastAsia" w:ascii="黑体" w:hAnsi="黑体" w:eastAsia="黑体" w:cs="黑体"/>
          <w:b w:val="0"/>
          <w:bCs w:val="0"/>
          <w:sz w:val="44"/>
          <w:szCs w:val="44"/>
        </w:rPr>
      </w:pPr>
    </w:p>
    <w:p w14:paraId="6B2A99F9">
      <w:pPr>
        <w:numPr>
          <w:ilvl w:val="0"/>
          <w:numId w:val="0"/>
        </w:num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both"/>
        <w:rPr>
          <w:rFonts w:hint="eastAsia" w:ascii="黑体" w:hAnsi="黑体" w:eastAsia="黑体" w:cs="黑体"/>
          <w:b w:val="0"/>
          <w:bCs w:val="0"/>
          <w:sz w:val="44"/>
          <w:szCs w:val="44"/>
        </w:rPr>
      </w:pPr>
    </w:p>
    <w:p w14:paraId="5BEB429E">
      <w:pPr>
        <w:numPr>
          <w:ilvl w:val="0"/>
          <w:numId w:val="0"/>
        </w:num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both"/>
        <w:rPr>
          <w:rFonts w:hint="eastAsia" w:ascii="黑体" w:hAnsi="黑体" w:eastAsia="黑体" w:cs="黑体"/>
          <w:b w:val="0"/>
          <w:bCs w:val="0"/>
          <w:sz w:val="44"/>
          <w:szCs w:val="44"/>
        </w:rPr>
      </w:pPr>
    </w:p>
    <w:p w14:paraId="16E43FF6">
      <w:pPr>
        <w:numPr>
          <w:ilvl w:val="0"/>
          <w:numId w:val="0"/>
        </w:num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both"/>
        <w:rPr>
          <w:rFonts w:hint="eastAsia" w:ascii="黑体" w:hAnsi="黑体" w:eastAsia="黑体" w:cs="黑体"/>
          <w:b w:val="0"/>
          <w:bCs w:val="0"/>
          <w:sz w:val="44"/>
          <w:szCs w:val="44"/>
        </w:rPr>
      </w:pPr>
    </w:p>
    <w:p w14:paraId="6E2703FA">
      <w:pPr>
        <w:numPr>
          <w:ilvl w:val="0"/>
          <w:numId w:val="0"/>
        </w:num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both"/>
        <w:rPr>
          <w:rFonts w:hint="eastAsia" w:ascii="黑体" w:hAnsi="黑体" w:eastAsia="黑体" w:cs="黑体"/>
          <w:b w:val="0"/>
          <w:bCs w:val="0"/>
          <w:sz w:val="44"/>
          <w:szCs w:val="44"/>
        </w:rPr>
      </w:pPr>
    </w:p>
    <w:p w14:paraId="17E357BC">
      <w:pPr>
        <w:numPr>
          <w:ilvl w:val="0"/>
          <w:numId w:val="0"/>
        </w:num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both"/>
        <w:rPr>
          <w:rFonts w:hint="eastAsia" w:ascii="黑体" w:hAnsi="黑体" w:eastAsia="黑体" w:cs="黑体"/>
          <w:b w:val="0"/>
          <w:bCs w:val="0"/>
          <w:sz w:val="44"/>
          <w:szCs w:val="44"/>
        </w:rPr>
      </w:pPr>
    </w:p>
    <w:p w14:paraId="604F197C">
      <w:pPr>
        <w:numPr>
          <w:ilvl w:val="0"/>
          <w:numId w:val="0"/>
        </w:num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both"/>
        <w:rPr>
          <w:rFonts w:hint="eastAsia" w:ascii="黑体" w:hAnsi="黑体" w:eastAsia="黑体" w:cs="黑体"/>
          <w:b w:val="0"/>
          <w:bCs w:val="0"/>
          <w:sz w:val="44"/>
          <w:szCs w:val="44"/>
        </w:rPr>
      </w:pPr>
    </w:p>
    <w:p w14:paraId="0F3AAD51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 w14:paraId="43997C5E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center"/>
        <w:rPr>
          <w:rFonts w:ascii="仿宋_GB2312" w:hAnsi="仿宋_GB2312" w:eastAsia="仿宋_GB2312" w:cs="仿宋_GB2312"/>
          <w:sz w:val="32"/>
          <w:szCs w:val="32"/>
        </w:rPr>
        <w:sectPr>
          <w:headerReference r:id="rId3" w:type="default"/>
          <w:pgSz w:w="11906" w:h="16838"/>
          <w:pgMar w:top="1440" w:right="1077" w:bottom="1440" w:left="1077" w:header="851" w:footer="992" w:gutter="0"/>
          <w:cols w:space="425" w:num="1"/>
          <w:docGrid w:type="linesAndChars" w:linePitch="312" w:charSpace="0"/>
        </w:sectPr>
      </w:pPr>
    </w:p>
    <w:p w14:paraId="436F0510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left"/>
        <w:rPr>
          <w:rFonts w:ascii="仿宋_GB2312" w:hAnsi="仿宋_GB2312" w:eastAsia="仿宋_GB2312" w:cs="仿宋_GB2312"/>
          <w:sz w:val="32"/>
          <w:szCs w:val="32"/>
        </w:rPr>
      </w:pPr>
    </w:p>
    <w:p w14:paraId="66A667BB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center"/>
        <w:rPr>
          <w:rFonts w:ascii="仿宋_GB2312" w:hAnsi="仿宋_GB2312" w:eastAsia="仿宋_GB2312" w:cs="仿宋_GB2312"/>
          <w:sz w:val="32"/>
          <w:szCs w:val="32"/>
        </w:rPr>
        <w:sectPr>
          <w:pgSz w:w="11906" w:h="16838"/>
          <w:pgMar w:top="1440" w:right="1077" w:bottom="1440" w:left="1077" w:header="851" w:footer="992" w:gutter="0"/>
          <w:cols w:space="0" w:num="1"/>
          <w:rtlGutter w:val="0"/>
          <w:docGrid w:type="linesAndChars" w:linePitch="317" w:charSpace="409"/>
        </w:sectPr>
      </w:pPr>
      <w:r>
        <w:drawing>
          <wp:inline distT="0" distB="0" distL="114300" distR="114300">
            <wp:extent cx="5876925" cy="78200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76925" cy="782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600FD0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jc w:val="both"/>
        <w:rPr>
          <w:rFonts w:ascii="仿宋_GB2312" w:hAnsi="仿宋_GB2312" w:eastAsia="仿宋_GB2312" w:cs="仿宋_GB2312"/>
          <w:sz w:val="32"/>
          <w:szCs w:val="32"/>
        </w:rPr>
      </w:pPr>
      <w:r>
        <w:drawing>
          <wp:inline distT="0" distB="0" distL="114300" distR="114300">
            <wp:extent cx="8862060" cy="3652520"/>
            <wp:effectExtent l="0" t="0" r="1524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862060" cy="3652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2F12E0">
      <w:pPr>
        <w:adjustRightInd w:val="0"/>
        <w:snapToGrid w:val="0"/>
        <w:spacing w:line="360" w:lineRule="auto"/>
      </w:pPr>
    </w:p>
    <w:p w14:paraId="5A03AA6F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  <w:sectPr>
          <w:pgSz w:w="16838" w:h="11906" w:orient="landscape"/>
          <w:pgMar w:top="1077" w:right="1440" w:bottom="1077" w:left="1440" w:header="851" w:footer="992" w:gutter="0"/>
          <w:cols w:space="0" w:num="1"/>
          <w:rtlGutter w:val="0"/>
          <w:docGrid w:type="linesAndChars" w:linePitch="325" w:charSpace="409"/>
        </w:sectPr>
      </w:pPr>
    </w:p>
    <w:p w14:paraId="544CC4F9">
      <w:pPr>
        <w:adjustRightInd w:val="0"/>
        <w:snapToGrid w:val="0"/>
        <w:spacing w:line="360" w:lineRule="auto"/>
        <w:sectPr>
          <w:pgSz w:w="16838" w:h="11906" w:orient="landscape"/>
          <w:pgMar w:top="1077" w:right="1440" w:bottom="1077" w:left="1440" w:header="851" w:footer="992" w:gutter="0"/>
          <w:cols w:space="0" w:num="1"/>
          <w:rtlGutter w:val="0"/>
          <w:docGrid w:type="linesAndChars" w:linePitch="325" w:charSpace="409"/>
        </w:sectPr>
      </w:pPr>
      <w:r>
        <w:drawing>
          <wp:inline distT="0" distB="0" distL="114300" distR="114300">
            <wp:extent cx="8855710" cy="4874895"/>
            <wp:effectExtent l="0" t="0" r="2540" b="190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855710" cy="4874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57DDE9">
      <w:pPr>
        <w:adjustRightInd w:val="0"/>
        <w:snapToGrid w:val="0"/>
        <w:spacing w:line="360" w:lineRule="auto"/>
        <w:sectPr>
          <w:pgSz w:w="11906" w:h="16838"/>
          <w:pgMar w:top="1440" w:right="1077" w:bottom="1440" w:left="1077" w:header="851" w:footer="992" w:gutter="0"/>
          <w:cols w:space="0" w:num="1"/>
          <w:rtlGutter w:val="0"/>
          <w:docGrid w:type="linesAndChars" w:linePitch="325" w:charSpace="409"/>
        </w:sectPr>
      </w:pPr>
      <w:r>
        <w:drawing>
          <wp:inline distT="0" distB="0" distL="114300" distR="114300">
            <wp:extent cx="6188075" cy="7633970"/>
            <wp:effectExtent l="0" t="0" r="3175" b="508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88075" cy="7633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00908BD">
      <w:pPr>
        <w:adjustRightInd w:val="0"/>
        <w:snapToGrid w:val="0"/>
        <w:spacing w:line="360" w:lineRule="auto"/>
        <w:sectPr>
          <w:pgSz w:w="16838" w:h="11906" w:orient="landscape"/>
          <w:pgMar w:top="1077" w:right="1440" w:bottom="1077" w:left="1440" w:header="851" w:footer="992" w:gutter="0"/>
          <w:cols w:space="0" w:num="1"/>
          <w:rtlGutter w:val="0"/>
          <w:docGrid w:type="linesAndChars" w:linePitch="325" w:charSpace="409"/>
        </w:sectPr>
      </w:pPr>
      <w:r>
        <w:drawing>
          <wp:inline distT="0" distB="0" distL="114300" distR="114300">
            <wp:extent cx="8855710" cy="3420110"/>
            <wp:effectExtent l="0" t="0" r="2540" b="889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855710" cy="3420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3408FA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  <w:r>
        <w:drawing>
          <wp:inline distT="0" distB="0" distL="114300" distR="114300">
            <wp:extent cx="8856980" cy="3677920"/>
            <wp:effectExtent l="0" t="0" r="1270" b="1778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856980" cy="367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42168C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735A7C9C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53A59C48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69A7D382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1F58AC36">
      <w:pPr>
        <w:adjustRightInd w:val="0"/>
        <w:snapToGrid w:val="0"/>
        <w:spacing w:line="360" w:lineRule="auto"/>
      </w:pPr>
    </w:p>
    <w:p w14:paraId="1F65F0FB">
      <w:pPr>
        <w:adjustRightInd w:val="0"/>
        <w:snapToGrid w:val="0"/>
        <w:spacing w:line="360" w:lineRule="auto"/>
      </w:pPr>
    </w:p>
    <w:p w14:paraId="25447C2B">
      <w:pPr>
        <w:adjustRightInd w:val="0"/>
        <w:snapToGrid w:val="0"/>
        <w:spacing w:line="360" w:lineRule="auto"/>
      </w:pPr>
    </w:p>
    <w:p w14:paraId="783451F1">
      <w:pPr>
        <w:adjustRightInd w:val="0"/>
        <w:snapToGrid w:val="0"/>
        <w:spacing w:line="360" w:lineRule="auto"/>
      </w:pPr>
      <w:r>
        <w:drawing>
          <wp:inline distT="0" distB="0" distL="114300" distR="114300">
            <wp:extent cx="8854440" cy="4079875"/>
            <wp:effectExtent l="0" t="0" r="3810" b="1587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854440" cy="407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67F001">
      <w:pPr>
        <w:adjustRightInd w:val="0"/>
        <w:snapToGrid w:val="0"/>
        <w:spacing w:line="360" w:lineRule="auto"/>
      </w:pPr>
    </w:p>
    <w:p w14:paraId="5DDF1F18">
      <w:pPr>
        <w:adjustRightInd w:val="0"/>
        <w:snapToGrid w:val="0"/>
        <w:spacing w:line="360" w:lineRule="auto"/>
      </w:pPr>
    </w:p>
    <w:p w14:paraId="2471BEDD">
      <w:pPr>
        <w:adjustRightInd w:val="0"/>
        <w:snapToGrid w:val="0"/>
        <w:spacing w:line="360" w:lineRule="auto"/>
      </w:pPr>
    </w:p>
    <w:p w14:paraId="52DF4744">
      <w:pPr>
        <w:adjustRightInd w:val="0"/>
        <w:snapToGrid w:val="0"/>
        <w:spacing w:line="360" w:lineRule="auto"/>
      </w:pPr>
    </w:p>
    <w:p w14:paraId="53157EE6">
      <w:pPr>
        <w:adjustRightInd w:val="0"/>
        <w:snapToGrid w:val="0"/>
        <w:spacing w:line="360" w:lineRule="auto"/>
      </w:pPr>
    </w:p>
    <w:p w14:paraId="536E74B8">
      <w:pPr>
        <w:adjustRightInd w:val="0"/>
        <w:snapToGrid w:val="0"/>
        <w:spacing w:line="360" w:lineRule="auto"/>
      </w:pPr>
    </w:p>
    <w:p w14:paraId="16102C4A">
      <w:pPr>
        <w:adjustRightInd w:val="0"/>
        <w:snapToGrid w:val="0"/>
        <w:spacing w:line="360" w:lineRule="auto"/>
      </w:pPr>
    </w:p>
    <w:p w14:paraId="57079D62">
      <w:pPr>
        <w:adjustRightInd w:val="0"/>
        <w:snapToGrid w:val="0"/>
        <w:spacing w:line="360" w:lineRule="auto"/>
      </w:pPr>
    </w:p>
    <w:p w14:paraId="0C4C7396">
      <w:pPr>
        <w:adjustRightInd w:val="0"/>
        <w:snapToGrid w:val="0"/>
        <w:spacing w:line="360" w:lineRule="auto"/>
      </w:pPr>
      <w:r>
        <w:drawing>
          <wp:inline distT="0" distB="0" distL="114300" distR="114300">
            <wp:extent cx="8862695" cy="2449830"/>
            <wp:effectExtent l="0" t="0" r="14605" b="762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862695" cy="244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0CA089">
      <w:pPr>
        <w:adjustRightInd w:val="0"/>
        <w:snapToGrid w:val="0"/>
        <w:spacing w:line="360" w:lineRule="auto"/>
        <w:jc w:val="center"/>
        <w:rPr>
          <w:rFonts w:hint="eastAsia"/>
          <w:sz w:val="36"/>
          <w:szCs w:val="40"/>
          <w:lang w:val="en-US" w:eastAsia="zh-CN"/>
        </w:rPr>
      </w:pPr>
      <w:r>
        <w:rPr>
          <w:rFonts w:hint="eastAsia"/>
          <w:sz w:val="36"/>
          <w:szCs w:val="40"/>
          <w:lang w:val="en-US" w:eastAsia="zh-CN"/>
        </w:rPr>
        <w:t>我单位没有2026年一般公共预算“三公”经费支出情况表资金</w:t>
      </w:r>
    </w:p>
    <w:p w14:paraId="020206A0">
      <w:pPr>
        <w:adjustRightInd w:val="0"/>
        <w:snapToGrid w:val="0"/>
        <w:spacing w:line="360" w:lineRule="auto"/>
        <w:jc w:val="center"/>
        <w:rPr>
          <w:rFonts w:hint="eastAsia"/>
          <w:sz w:val="36"/>
          <w:szCs w:val="40"/>
          <w:lang w:val="en-US" w:eastAsia="zh-CN"/>
        </w:rPr>
      </w:pPr>
    </w:p>
    <w:p w14:paraId="0F75EEB9">
      <w:pPr>
        <w:adjustRightInd w:val="0"/>
        <w:snapToGrid w:val="0"/>
        <w:spacing w:line="360" w:lineRule="auto"/>
        <w:jc w:val="center"/>
        <w:rPr>
          <w:rFonts w:hint="eastAsia"/>
          <w:sz w:val="36"/>
          <w:szCs w:val="40"/>
          <w:lang w:val="en-US" w:eastAsia="zh-CN"/>
        </w:rPr>
      </w:pPr>
    </w:p>
    <w:p w14:paraId="34E02BCF">
      <w:pPr>
        <w:adjustRightInd w:val="0"/>
        <w:snapToGrid w:val="0"/>
        <w:spacing w:line="360" w:lineRule="auto"/>
        <w:jc w:val="center"/>
        <w:rPr>
          <w:rFonts w:hint="default"/>
          <w:sz w:val="36"/>
          <w:szCs w:val="40"/>
          <w:lang w:val="en-US" w:eastAsia="zh-CN"/>
        </w:rPr>
      </w:pPr>
    </w:p>
    <w:p w14:paraId="7508DBFB">
      <w:pPr>
        <w:adjustRightInd w:val="0"/>
        <w:snapToGrid w:val="0"/>
        <w:spacing w:line="360" w:lineRule="auto"/>
      </w:pPr>
    </w:p>
    <w:p w14:paraId="3A8D98BF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3E8CE8FA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25845ECF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0B939A90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7CD6DC03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  <w:r>
        <w:drawing>
          <wp:inline distT="0" distB="0" distL="114300" distR="114300">
            <wp:extent cx="8861425" cy="2104390"/>
            <wp:effectExtent l="0" t="0" r="15875" b="1016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8861425" cy="2104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959E0F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164F0BAD">
      <w:pPr>
        <w:adjustRightInd w:val="0"/>
        <w:snapToGrid w:val="0"/>
        <w:spacing w:line="360" w:lineRule="auto"/>
        <w:jc w:val="center"/>
        <w:rPr>
          <w:rFonts w:hint="default" w:eastAsia="宋体"/>
          <w:sz w:val="36"/>
          <w:szCs w:val="40"/>
          <w:lang w:val="en-US" w:eastAsia="zh-CN"/>
        </w:rPr>
      </w:pPr>
      <w:r>
        <w:rPr>
          <w:rFonts w:hint="eastAsia"/>
          <w:sz w:val="36"/>
          <w:szCs w:val="40"/>
          <w:lang w:val="en-US" w:eastAsia="zh-CN"/>
        </w:rPr>
        <w:t>我单位没有2026年政府基金支出预算表资金</w:t>
      </w:r>
    </w:p>
    <w:p w14:paraId="2E170670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45D0E106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05A0D1E4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615FB986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1DD2595A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2D2B4A6C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2FB74BDB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779A8938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</w:p>
    <w:p w14:paraId="27FF9E8F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sz w:val="32"/>
          <w:szCs w:val="32"/>
        </w:rPr>
      </w:pPr>
      <w:r>
        <w:drawing>
          <wp:inline distT="0" distB="0" distL="114300" distR="114300">
            <wp:extent cx="8855710" cy="3387725"/>
            <wp:effectExtent l="0" t="0" r="2540" b="317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855710" cy="338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258A89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color w:val="FF0000"/>
          <w:sz w:val="32"/>
          <w:szCs w:val="32"/>
        </w:rPr>
      </w:pPr>
    </w:p>
    <w:p w14:paraId="0BC44933">
      <w:pPr>
        <w:adjustRightInd w:val="0"/>
        <w:snapToGrid w:val="0"/>
        <w:spacing w:line="360" w:lineRule="auto"/>
        <w:rPr>
          <w:rFonts w:ascii="仿宋_GB2312" w:hAnsi="仿宋_GB2312" w:eastAsia="仿宋_GB2312" w:cs="仿宋_GB2312"/>
          <w:color w:val="FF0000"/>
          <w:sz w:val="32"/>
          <w:szCs w:val="32"/>
        </w:rPr>
        <w:sectPr>
          <w:pgSz w:w="16838" w:h="11906" w:orient="landscape"/>
          <w:pgMar w:top="1077" w:right="1440" w:bottom="1077" w:left="1440" w:header="851" w:footer="992" w:gutter="0"/>
          <w:cols w:space="0" w:num="1"/>
          <w:rtlGutter w:val="0"/>
          <w:docGrid w:type="linesAndChars" w:linePitch="325" w:charSpace="409"/>
        </w:sectPr>
      </w:pPr>
    </w:p>
    <w:p w14:paraId="7885068D">
      <w:pPr>
        <w:adjustRightInd w:val="0"/>
        <w:snapToGrid w:val="0"/>
        <w:spacing w:line="360" w:lineRule="auto"/>
      </w:pPr>
      <w:r>
        <w:drawing>
          <wp:inline distT="0" distB="0" distL="114300" distR="114300">
            <wp:extent cx="5991225" cy="8353425"/>
            <wp:effectExtent l="0" t="0" r="9525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91225" cy="835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4DFCEB">
      <w:pPr>
        <w:adjustRightInd w:val="0"/>
        <w:snapToGrid w:val="0"/>
        <w:spacing w:line="360" w:lineRule="auto"/>
        <w:jc w:val="center"/>
        <w:rPr>
          <w:rFonts w:hint="default" w:eastAsia="宋体"/>
          <w:sz w:val="24"/>
          <w:szCs w:val="28"/>
          <w:lang w:val="en-US" w:eastAsia="zh-CN"/>
        </w:rPr>
        <w:sectPr>
          <w:pgSz w:w="11906" w:h="16838"/>
          <w:pgMar w:top="1440" w:right="1077" w:bottom="1440" w:left="1077" w:header="851" w:footer="992" w:gutter="0"/>
          <w:cols w:space="0" w:num="1"/>
          <w:rtlGutter w:val="0"/>
          <w:docGrid w:type="linesAndChars" w:linePitch="325" w:charSpace="409"/>
        </w:sectPr>
      </w:pPr>
      <w:r>
        <w:rPr>
          <w:rFonts w:hint="eastAsia"/>
          <w:sz w:val="24"/>
          <w:szCs w:val="28"/>
          <w:lang w:eastAsia="zh-CN"/>
        </w:rPr>
        <w:t>我</w:t>
      </w:r>
      <w:r>
        <w:rPr>
          <w:rFonts w:hint="eastAsia"/>
          <w:sz w:val="24"/>
          <w:szCs w:val="28"/>
          <w:lang w:val="en-US" w:eastAsia="zh-CN"/>
        </w:rPr>
        <w:t>单位没有整体绩效目标</w:t>
      </w:r>
    </w:p>
    <w:p w14:paraId="35698887">
      <w:pPr>
        <w:adjustRightInd w:val="0"/>
        <w:snapToGrid w:val="0"/>
        <w:spacing w:line="360" w:lineRule="auto"/>
      </w:pPr>
    </w:p>
    <w:p w14:paraId="279F422C">
      <w:pPr>
        <w:adjustRightInd w:val="0"/>
        <w:snapToGrid w:val="0"/>
        <w:spacing w:line="360" w:lineRule="auto"/>
      </w:pPr>
      <w:r>
        <w:drawing>
          <wp:inline distT="0" distB="0" distL="114300" distR="114300">
            <wp:extent cx="8862060" cy="4087495"/>
            <wp:effectExtent l="0" t="0" r="15240" b="8255"/>
            <wp:docPr id="1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8862060" cy="4087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1" w:name="_GoBack"/>
      <w:bookmarkEnd w:id="1"/>
    </w:p>
    <w:sectPr>
      <w:pgSz w:w="16838" w:h="11906" w:orient="landscape"/>
      <w:pgMar w:top="1077" w:right="1440" w:bottom="1077" w:left="1440" w:header="851" w:footer="992" w:gutter="0"/>
      <w:cols w:space="0" w:num="1"/>
      <w:rtlGutter w:val="0"/>
      <w:docGrid w:type="linesAndChars" w:linePitch="325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839BCB"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67C0F9"/>
    <w:multiLevelType w:val="singleLevel"/>
    <w:tmpl w:val="AF67C0F9"/>
    <w:lvl w:ilvl="0" w:tentative="0">
      <w:start w:val="2"/>
      <w:numFmt w:val="chineseCounting"/>
      <w:suff w:val="space"/>
      <w:lvlText w:val="第%1部分"/>
      <w:lvlJc w:val="left"/>
      <w:rPr>
        <w:rFonts w:hint="eastAsia"/>
      </w:rPr>
    </w:lvl>
  </w:abstractNum>
  <w:abstractNum w:abstractNumId="1">
    <w:nsid w:val="2CDB7969"/>
    <w:multiLevelType w:val="singleLevel"/>
    <w:tmpl w:val="2CDB7969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43E2796E"/>
    <w:multiLevelType w:val="multilevel"/>
    <w:tmpl w:val="43E2796E"/>
    <w:lvl w:ilvl="0" w:tentative="0">
      <w:start w:val="1"/>
      <w:numFmt w:val="japaneseCounting"/>
      <w:lvlText w:val="%1、"/>
      <w:lvlJc w:val="left"/>
      <w:pPr>
        <w:ind w:left="1360" w:hanging="72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NotTrackMoves/>
  <w:documentProtection w:enforcement="0"/>
  <w:defaultTabStop w:val="420"/>
  <w:drawingGridHorizontalSpacing w:val="106"/>
  <w:drawingGridVerticalSpacing w:val="163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ZDFiOGY2ZDZlNWExYTE3MDg0ZWQ2MDEwNDM1MTE1MTEifQ=="/>
  </w:docVars>
  <w:rsids>
    <w:rsidRoot w:val="006B7E0B"/>
    <w:rsid w:val="00026E9A"/>
    <w:rsid w:val="00044158"/>
    <w:rsid w:val="000445AA"/>
    <w:rsid w:val="000642D8"/>
    <w:rsid w:val="00073592"/>
    <w:rsid w:val="00080DD7"/>
    <w:rsid w:val="00081AB0"/>
    <w:rsid w:val="00091356"/>
    <w:rsid w:val="000A16EC"/>
    <w:rsid w:val="000A1FF3"/>
    <w:rsid w:val="000A2C68"/>
    <w:rsid w:val="000D2294"/>
    <w:rsid w:val="000E720F"/>
    <w:rsid w:val="000F6C8B"/>
    <w:rsid w:val="0010210A"/>
    <w:rsid w:val="00110824"/>
    <w:rsid w:val="00115771"/>
    <w:rsid w:val="00115915"/>
    <w:rsid w:val="0011799F"/>
    <w:rsid w:val="00135308"/>
    <w:rsid w:val="00142115"/>
    <w:rsid w:val="001422FF"/>
    <w:rsid w:val="001470AF"/>
    <w:rsid w:val="00160C6A"/>
    <w:rsid w:val="0016521F"/>
    <w:rsid w:val="00170A57"/>
    <w:rsid w:val="00172B5F"/>
    <w:rsid w:val="00175E9C"/>
    <w:rsid w:val="00184A45"/>
    <w:rsid w:val="00186BD2"/>
    <w:rsid w:val="00193277"/>
    <w:rsid w:val="001A21DA"/>
    <w:rsid w:val="001A3EB9"/>
    <w:rsid w:val="001B0AF0"/>
    <w:rsid w:val="001D4BA6"/>
    <w:rsid w:val="001D7273"/>
    <w:rsid w:val="001E0093"/>
    <w:rsid w:val="001E0F8C"/>
    <w:rsid w:val="001E7927"/>
    <w:rsid w:val="001F7F9B"/>
    <w:rsid w:val="00200BD7"/>
    <w:rsid w:val="00202EA8"/>
    <w:rsid w:val="002030EF"/>
    <w:rsid w:val="002510C2"/>
    <w:rsid w:val="00265B28"/>
    <w:rsid w:val="0026795F"/>
    <w:rsid w:val="00273D47"/>
    <w:rsid w:val="002750D3"/>
    <w:rsid w:val="0029168C"/>
    <w:rsid w:val="002A620A"/>
    <w:rsid w:val="002B2025"/>
    <w:rsid w:val="002C2A80"/>
    <w:rsid w:val="002C5AAE"/>
    <w:rsid w:val="002E3BE4"/>
    <w:rsid w:val="002E4313"/>
    <w:rsid w:val="002F22D2"/>
    <w:rsid w:val="002F3BB6"/>
    <w:rsid w:val="003352BA"/>
    <w:rsid w:val="00336785"/>
    <w:rsid w:val="00350476"/>
    <w:rsid w:val="0035195B"/>
    <w:rsid w:val="0035776D"/>
    <w:rsid w:val="003843F7"/>
    <w:rsid w:val="00390DEF"/>
    <w:rsid w:val="00392E25"/>
    <w:rsid w:val="003A0434"/>
    <w:rsid w:val="003A2DF5"/>
    <w:rsid w:val="003A6F18"/>
    <w:rsid w:val="003C5F21"/>
    <w:rsid w:val="003D744D"/>
    <w:rsid w:val="003E56DE"/>
    <w:rsid w:val="00401345"/>
    <w:rsid w:val="00404663"/>
    <w:rsid w:val="00420855"/>
    <w:rsid w:val="00432539"/>
    <w:rsid w:val="00451611"/>
    <w:rsid w:val="0047756A"/>
    <w:rsid w:val="00494F22"/>
    <w:rsid w:val="00495611"/>
    <w:rsid w:val="00495CEB"/>
    <w:rsid w:val="00496B7C"/>
    <w:rsid w:val="004974DC"/>
    <w:rsid w:val="004A35D2"/>
    <w:rsid w:val="004A4265"/>
    <w:rsid w:val="004A7AF2"/>
    <w:rsid w:val="004B1819"/>
    <w:rsid w:val="004C001F"/>
    <w:rsid w:val="004C13EB"/>
    <w:rsid w:val="004D5B4E"/>
    <w:rsid w:val="004F068A"/>
    <w:rsid w:val="004F1BCB"/>
    <w:rsid w:val="004F3DF3"/>
    <w:rsid w:val="00511219"/>
    <w:rsid w:val="00521104"/>
    <w:rsid w:val="0052193A"/>
    <w:rsid w:val="00523976"/>
    <w:rsid w:val="0054046E"/>
    <w:rsid w:val="00556950"/>
    <w:rsid w:val="00563E46"/>
    <w:rsid w:val="00567364"/>
    <w:rsid w:val="00577C4A"/>
    <w:rsid w:val="00577F81"/>
    <w:rsid w:val="00591F1A"/>
    <w:rsid w:val="00593810"/>
    <w:rsid w:val="00594E25"/>
    <w:rsid w:val="005B1D55"/>
    <w:rsid w:val="005B5A00"/>
    <w:rsid w:val="005C4D0C"/>
    <w:rsid w:val="005D1138"/>
    <w:rsid w:val="005D30D9"/>
    <w:rsid w:val="00600B18"/>
    <w:rsid w:val="0060297E"/>
    <w:rsid w:val="0064056E"/>
    <w:rsid w:val="00647DE6"/>
    <w:rsid w:val="00662E14"/>
    <w:rsid w:val="00666AC4"/>
    <w:rsid w:val="0067124D"/>
    <w:rsid w:val="00672799"/>
    <w:rsid w:val="00680781"/>
    <w:rsid w:val="006B1909"/>
    <w:rsid w:val="006B49B5"/>
    <w:rsid w:val="006B7E0B"/>
    <w:rsid w:val="006C3CD3"/>
    <w:rsid w:val="006C7564"/>
    <w:rsid w:val="006D6D49"/>
    <w:rsid w:val="006E4BF1"/>
    <w:rsid w:val="006F5265"/>
    <w:rsid w:val="006F5EEE"/>
    <w:rsid w:val="00700744"/>
    <w:rsid w:val="0071044E"/>
    <w:rsid w:val="00730F26"/>
    <w:rsid w:val="0073591F"/>
    <w:rsid w:val="007541DA"/>
    <w:rsid w:val="007656BD"/>
    <w:rsid w:val="007740BF"/>
    <w:rsid w:val="007829BC"/>
    <w:rsid w:val="0079641C"/>
    <w:rsid w:val="007B5898"/>
    <w:rsid w:val="007C1DF1"/>
    <w:rsid w:val="007C2AA9"/>
    <w:rsid w:val="007C788C"/>
    <w:rsid w:val="007E6790"/>
    <w:rsid w:val="007F7E98"/>
    <w:rsid w:val="00804322"/>
    <w:rsid w:val="008043D9"/>
    <w:rsid w:val="008122D8"/>
    <w:rsid w:val="00812F5C"/>
    <w:rsid w:val="0081488E"/>
    <w:rsid w:val="00820FF9"/>
    <w:rsid w:val="00825469"/>
    <w:rsid w:val="00830E30"/>
    <w:rsid w:val="00833702"/>
    <w:rsid w:val="00833DBE"/>
    <w:rsid w:val="00850CE1"/>
    <w:rsid w:val="00852299"/>
    <w:rsid w:val="00860A29"/>
    <w:rsid w:val="00874331"/>
    <w:rsid w:val="00891536"/>
    <w:rsid w:val="0089458A"/>
    <w:rsid w:val="00894D24"/>
    <w:rsid w:val="00897148"/>
    <w:rsid w:val="008B72D5"/>
    <w:rsid w:val="008C14BF"/>
    <w:rsid w:val="008C7AD8"/>
    <w:rsid w:val="008D01B3"/>
    <w:rsid w:val="008D6560"/>
    <w:rsid w:val="008E07B1"/>
    <w:rsid w:val="008E4459"/>
    <w:rsid w:val="00923B00"/>
    <w:rsid w:val="009242BF"/>
    <w:rsid w:val="00926E26"/>
    <w:rsid w:val="00943D7C"/>
    <w:rsid w:val="00944A2D"/>
    <w:rsid w:val="00951DEF"/>
    <w:rsid w:val="00952BFE"/>
    <w:rsid w:val="009821A1"/>
    <w:rsid w:val="00987FE0"/>
    <w:rsid w:val="009A520C"/>
    <w:rsid w:val="009B7A51"/>
    <w:rsid w:val="00A216E6"/>
    <w:rsid w:val="00A330EC"/>
    <w:rsid w:val="00A34341"/>
    <w:rsid w:val="00A35A79"/>
    <w:rsid w:val="00A46E26"/>
    <w:rsid w:val="00A503E7"/>
    <w:rsid w:val="00A52337"/>
    <w:rsid w:val="00A52801"/>
    <w:rsid w:val="00A6267D"/>
    <w:rsid w:val="00A727EB"/>
    <w:rsid w:val="00A87DCF"/>
    <w:rsid w:val="00A90D9E"/>
    <w:rsid w:val="00A96CAF"/>
    <w:rsid w:val="00AC3C61"/>
    <w:rsid w:val="00AE549A"/>
    <w:rsid w:val="00B02CB9"/>
    <w:rsid w:val="00B10D6F"/>
    <w:rsid w:val="00B20C5F"/>
    <w:rsid w:val="00B21967"/>
    <w:rsid w:val="00B61D47"/>
    <w:rsid w:val="00B9066B"/>
    <w:rsid w:val="00B95A06"/>
    <w:rsid w:val="00BA362F"/>
    <w:rsid w:val="00BA4FA7"/>
    <w:rsid w:val="00BA58CE"/>
    <w:rsid w:val="00BA7185"/>
    <w:rsid w:val="00BB6662"/>
    <w:rsid w:val="00BC333E"/>
    <w:rsid w:val="00BE56FB"/>
    <w:rsid w:val="00BE716F"/>
    <w:rsid w:val="00C33C76"/>
    <w:rsid w:val="00C34784"/>
    <w:rsid w:val="00C435CB"/>
    <w:rsid w:val="00C436B8"/>
    <w:rsid w:val="00C437E8"/>
    <w:rsid w:val="00C831C5"/>
    <w:rsid w:val="00C83F94"/>
    <w:rsid w:val="00C972C1"/>
    <w:rsid w:val="00CA2F8F"/>
    <w:rsid w:val="00CA7ADA"/>
    <w:rsid w:val="00CB5AAE"/>
    <w:rsid w:val="00CB6DF5"/>
    <w:rsid w:val="00CD03AD"/>
    <w:rsid w:val="00CE3259"/>
    <w:rsid w:val="00CF1B5A"/>
    <w:rsid w:val="00D05ED0"/>
    <w:rsid w:val="00D12D03"/>
    <w:rsid w:val="00D137BC"/>
    <w:rsid w:val="00D15C54"/>
    <w:rsid w:val="00D23117"/>
    <w:rsid w:val="00D32932"/>
    <w:rsid w:val="00D43363"/>
    <w:rsid w:val="00D4466F"/>
    <w:rsid w:val="00D46069"/>
    <w:rsid w:val="00D53D97"/>
    <w:rsid w:val="00D57C35"/>
    <w:rsid w:val="00D609B7"/>
    <w:rsid w:val="00D6792C"/>
    <w:rsid w:val="00D8037E"/>
    <w:rsid w:val="00D8505C"/>
    <w:rsid w:val="00DA0C53"/>
    <w:rsid w:val="00DA0CAA"/>
    <w:rsid w:val="00DA458E"/>
    <w:rsid w:val="00DA6E83"/>
    <w:rsid w:val="00DB68B2"/>
    <w:rsid w:val="00DC0C6B"/>
    <w:rsid w:val="00DC3D97"/>
    <w:rsid w:val="00DC6FBB"/>
    <w:rsid w:val="00DC798D"/>
    <w:rsid w:val="00DF0DA6"/>
    <w:rsid w:val="00DF3140"/>
    <w:rsid w:val="00E133A9"/>
    <w:rsid w:val="00E20A7D"/>
    <w:rsid w:val="00E20E6F"/>
    <w:rsid w:val="00E21F3E"/>
    <w:rsid w:val="00E31EE0"/>
    <w:rsid w:val="00E33EBB"/>
    <w:rsid w:val="00E36AE5"/>
    <w:rsid w:val="00E371FE"/>
    <w:rsid w:val="00E3795E"/>
    <w:rsid w:val="00E37B7D"/>
    <w:rsid w:val="00E57174"/>
    <w:rsid w:val="00E57C5A"/>
    <w:rsid w:val="00E607D3"/>
    <w:rsid w:val="00E72785"/>
    <w:rsid w:val="00E776E0"/>
    <w:rsid w:val="00E913EB"/>
    <w:rsid w:val="00EC2B0B"/>
    <w:rsid w:val="00ED5B3D"/>
    <w:rsid w:val="00EE543C"/>
    <w:rsid w:val="00EF42A2"/>
    <w:rsid w:val="00F0089D"/>
    <w:rsid w:val="00F2113A"/>
    <w:rsid w:val="00F2137C"/>
    <w:rsid w:val="00F4533D"/>
    <w:rsid w:val="00F51FB3"/>
    <w:rsid w:val="00F754BD"/>
    <w:rsid w:val="00F77A8C"/>
    <w:rsid w:val="00F950F8"/>
    <w:rsid w:val="00FA0A5A"/>
    <w:rsid w:val="00FB158E"/>
    <w:rsid w:val="00FD0777"/>
    <w:rsid w:val="00FD6C1F"/>
    <w:rsid w:val="00FD729D"/>
    <w:rsid w:val="02CB1941"/>
    <w:rsid w:val="05532A0D"/>
    <w:rsid w:val="068215D6"/>
    <w:rsid w:val="08E04F88"/>
    <w:rsid w:val="09760A84"/>
    <w:rsid w:val="14B962E5"/>
    <w:rsid w:val="1521105F"/>
    <w:rsid w:val="189C68A9"/>
    <w:rsid w:val="1AA05907"/>
    <w:rsid w:val="1AA556D9"/>
    <w:rsid w:val="1E107DD1"/>
    <w:rsid w:val="2BC2096A"/>
    <w:rsid w:val="2C35005E"/>
    <w:rsid w:val="2CB847EB"/>
    <w:rsid w:val="2E112405"/>
    <w:rsid w:val="2E5859B2"/>
    <w:rsid w:val="2FC73D1B"/>
    <w:rsid w:val="3171432E"/>
    <w:rsid w:val="33EF31E8"/>
    <w:rsid w:val="35610116"/>
    <w:rsid w:val="363870C8"/>
    <w:rsid w:val="3B007A89"/>
    <w:rsid w:val="3BD02956"/>
    <w:rsid w:val="3EBF7D18"/>
    <w:rsid w:val="3FEC3BE7"/>
    <w:rsid w:val="43912057"/>
    <w:rsid w:val="43D62EB7"/>
    <w:rsid w:val="47497FF1"/>
    <w:rsid w:val="48D568D0"/>
    <w:rsid w:val="49290AF3"/>
    <w:rsid w:val="4B0A4C53"/>
    <w:rsid w:val="4B911B6E"/>
    <w:rsid w:val="54A35BFD"/>
    <w:rsid w:val="55ED6C72"/>
    <w:rsid w:val="57BA1007"/>
    <w:rsid w:val="57C96478"/>
    <w:rsid w:val="5B131D9A"/>
    <w:rsid w:val="5D67466C"/>
    <w:rsid w:val="5DB76266"/>
    <w:rsid w:val="66A3766A"/>
    <w:rsid w:val="6EF5232B"/>
    <w:rsid w:val="6F960BEB"/>
    <w:rsid w:val="72BA4DCB"/>
    <w:rsid w:val="74A724C6"/>
    <w:rsid w:val="77494BAF"/>
    <w:rsid w:val="79111DCE"/>
    <w:rsid w:val="795D3D1D"/>
    <w:rsid w:val="7CF33AE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2"/>
    <w:qFormat/>
    <w:uiPriority w:val="99"/>
    <w:rPr>
      <w:rFonts w:ascii="宋体" w:hAnsi="Courier New" w:cs="Courier New"/>
      <w:szCs w:val="21"/>
    </w:rPr>
  </w:style>
  <w:style w:type="paragraph" w:styleId="3">
    <w:name w:val="Balloon Text"/>
    <w:basedOn w:val="1"/>
    <w:link w:val="9"/>
    <w:semiHidden/>
    <w:qFormat/>
    <w:uiPriority w:val="99"/>
    <w:rPr>
      <w:sz w:val="18"/>
      <w:szCs w:val="18"/>
    </w:rPr>
  </w:style>
  <w:style w:type="paragraph" w:styleId="4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8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character" w:customStyle="1" w:styleId="9">
    <w:name w:val="批注框文本 Char"/>
    <w:link w:val="3"/>
    <w:semiHidden/>
    <w:qFormat/>
    <w:locked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页脚 Char"/>
    <w:link w:val="4"/>
    <w:qFormat/>
    <w:locked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页眉 Char"/>
    <w:link w:val="5"/>
    <w:qFormat/>
    <w:locked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2">
    <w:name w:val="纯文本 Char"/>
    <w:link w:val="2"/>
    <w:semiHidden/>
    <w:qFormat/>
    <w:locked/>
    <w:uiPriority w:val="99"/>
    <w:rPr>
      <w:rFonts w:ascii="宋体" w:hAnsi="Courier New" w:cs="Courier New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22</Pages>
  <Words>2932</Words>
  <Characters>3211</Characters>
  <Lines>22</Lines>
  <Paragraphs>6</Paragraphs>
  <TotalTime>0</TotalTime>
  <ScaleCrop>false</ScaleCrop>
  <LinksUpToDate>false</LinksUpToDate>
  <CharactersWithSpaces>3265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2019-06-11T00:19:00Z</dcterms:created>
  <dc:creator>lenovo</dc:creator>
  <cp:lastModifiedBy>王文峰</cp:lastModifiedBy>
  <cp:lastPrinted>2025-03-11T11:23:00Z</cp:lastPrinted>
  <dcterms:modified xsi:type="dcterms:W3CDTF">2026-03-24T02:02:43Z</dcterms:modified>
  <cp:revision>126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97D0D5BCA2FF4A6CBD5543D35C04A45B</vt:lpwstr>
  </property>
  <property fmtid="{D5CDD505-2E9C-101B-9397-08002B2CF9AE}" pid="4" name="KSOTemplateDocerSaveRecord">
    <vt:lpwstr>eyJoZGlkIjoiZDFiOGY2ZDZlNWExYTE3MDg0ZWQ2MDEwNDM1MTE1MTEiLCJ1c2VySWQiOiIxNjM0Mzg4NzQ4In0=</vt:lpwstr>
  </property>
</Properties>
</file>