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DC2726">
      <w:pPr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sz w:val="72"/>
          <w:szCs w:val="72"/>
          <w:lang w:eastAsia="zh-CN"/>
        </w:rPr>
      </w:pPr>
    </w:p>
    <w:p w14:paraId="41175A64">
      <w:pPr>
        <w:adjustRightInd w:val="0"/>
        <w:snapToGrid w:val="0"/>
        <w:spacing w:line="360" w:lineRule="auto"/>
        <w:jc w:val="center"/>
        <w:rPr>
          <w:rFonts w:hint="eastAsia" w:ascii="宋体" w:hAnsi="宋体" w:eastAsia="宋体"/>
          <w:b/>
          <w:color w:val="auto"/>
          <w:sz w:val="72"/>
          <w:szCs w:val="7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 w:val="72"/>
          <w:szCs w:val="72"/>
          <w:lang w:eastAsia="zh-CN"/>
        </w:rPr>
        <w:t>安阳市龙安区</w:t>
      </w:r>
      <w:r>
        <w:rPr>
          <w:rFonts w:hint="eastAsia" w:ascii="宋体" w:hAnsi="宋体" w:cs="宋体"/>
          <w:b/>
          <w:color w:val="auto"/>
          <w:sz w:val="72"/>
          <w:szCs w:val="72"/>
          <w:highlight w:val="none"/>
          <w:lang w:eastAsia="zh-CN"/>
        </w:rPr>
        <w:t>南田小学</w:t>
      </w:r>
    </w:p>
    <w:p w14:paraId="121D6381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72"/>
          <w:szCs w:val="72"/>
        </w:rPr>
      </w:pPr>
      <w:r>
        <w:rPr>
          <w:rFonts w:hint="eastAsia" w:ascii="宋体" w:hAnsi="宋体"/>
          <w:b/>
          <w:sz w:val="72"/>
          <w:szCs w:val="72"/>
          <w:lang w:eastAsia="zh-CN"/>
        </w:rPr>
        <w:t>2026</w:t>
      </w:r>
      <w:r>
        <w:rPr>
          <w:rFonts w:hint="eastAsia" w:ascii="宋体" w:hAnsi="宋体"/>
          <w:b/>
          <w:sz w:val="72"/>
          <w:szCs w:val="72"/>
        </w:rPr>
        <w:t>年度</w:t>
      </w:r>
      <w:r>
        <w:rPr>
          <w:rFonts w:hint="eastAsia" w:ascii="宋体" w:hAnsi="宋体"/>
          <w:b/>
          <w:sz w:val="72"/>
          <w:szCs w:val="72"/>
          <w:lang w:eastAsia="zh-CN"/>
        </w:rPr>
        <w:t>单位</w:t>
      </w:r>
      <w:r>
        <w:rPr>
          <w:rFonts w:hint="eastAsia" w:ascii="宋体" w:hAnsi="宋体"/>
          <w:b/>
          <w:sz w:val="72"/>
          <w:szCs w:val="72"/>
        </w:rPr>
        <w:t>预算公开说明</w:t>
      </w:r>
    </w:p>
    <w:p w14:paraId="14FD6DDE">
      <w:pPr>
        <w:adjustRightInd w:val="0"/>
        <w:snapToGrid w:val="0"/>
        <w:spacing w:line="360" w:lineRule="auto"/>
        <w:jc w:val="center"/>
        <w:rPr>
          <w:rFonts w:ascii="方正小标宋简体" w:hAnsi="Times New Roman" w:eastAsia="方正小标宋简体"/>
          <w:b/>
          <w:sz w:val="84"/>
          <w:szCs w:val="84"/>
        </w:rPr>
      </w:pPr>
    </w:p>
    <w:p w14:paraId="5BBE3EE3">
      <w:pPr>
        <w:adjustRightInd w:val="0"/>
        <w:snapToGrid w:val="0"/>
        <w:spacing w:line="360" w:lineRule="auto"/>
        <w:jc w:val="center"/>
        <w:rPr>
          <w:rFonts w:ascii="方正小标宋简体" w:hAnsi="Times New Roman" w:eastAsia="方正小标宋简体"/>
          <w:b/>
          <w:sz w:val="84"/>
          <w:szCs w:val="84"/>
        </w:rPr>
      </w:pPr>
    </w:p>
    <w:p w14:paraId="6DAA4FEF">
      <w:pPr>
        <w:adjustRightInd w:val="0"/>
        <w:snapToGrid w:val="0"/>
        <w:spacing w:line="360" w:lineRule="auto"/>
        <w:rPr>
          <w:rFonts w:ascii="方正小标宋简体" w:hAnsi="Times New Roman" w:eastAsia="方正小标宋简体"/>
          <w:b/>
          <w:sz w:val="84"/>
          <w:szCs w:val="84"/>
        </w:rPr>
      </w:pPr>
    </w:p>
    <w:p w14:paraId="0B51B1BA">
      <w:pPr>
        <w:adjustRightInd w:val="0"/>
        <w:snapToGrid w:val="0"/>
        <w:spacing w:line="360" w:lineRule="auto"/>
        <w:rPr>
          <w:rFonts w:ascii="方正小标宋简体" w:hAnsi="Times New Roman" w:eastAsia="方正小标宋简体"/>
          <w:b/>
          <w:sz w:val="84"/>
          <w:szCs w:val="84"/>
        </w:rPr>
      </w:pPr>
    </w:p>
    <w:p w14:paraId="2EA07828">
      <w:pPr>
        <w:kinsoku w:val="0"/>
        <w:overflowPunct w:val="0"/>
        <w:adjustRightInd w:val="0"/>
        <w:snapToGrid w:val="0"/>
        <w:spacing w:line="360" w:lineRule="auto"/>
        <w:ind w:left="101" w:leftChars="48" w:right="-58" w:firstLine="2831" w:firstLineChars="641"/>
        <w:rPr>
          <w:rFonts w:ascii="宋体" w:hAnsi="宋体"/>
          <w:b/>
          <w:bCs w:val="0"/>
          <w:color w:val="auto"/>
          <w:sz w:val="44"/>
          <w:szCs w:val="44"/>
        </w:rPr>
      </w:pPr>
      <w:r>
        <w:rPr>
          <w:rFonts w:hint="eastAsia" w:ascii="宋体" w:hAnsi="宋体"/>
          <w:b/>
          <w:bCs w:val="0"/>
          <w:color w:val="auto"/>
          <w:sz w:val="44"/>
          <w:szCs w:val="44"/>
          <w:lang w:eastAsia="zh-CN"/>
        </w:rPr>
        <w:t>2026</w:t>
      </w:r>
      <w:r>
        <w:rPr>
          <w:rFonts w:hint="eastAsia" w:ascii="宋体" w:hAnsi="宋体"/>
          <w:b/>
          <w:bCs w:val="0"/>
          <w:color w:val="auto"/>
          <w:sz w:val="44"/>
          <w:szCs w:val="44"/>
        </w:rPr>
        <w:t>年</w:t>
      </w:r>
      <w:r>
        <w:rPr>
          <w:rFonts w:hint="eastAsia" w:ascii="宋体" w:hAnsi="宋体"/>
          <w:b/>
          <w:bCs w:val="0"/>
          <w:color w:val="auto"/>
          <w:sz w:val="44"/>
          <w:szCs w:val="44"/>
          <w:lang w:val="en-US" w:eastAsia="zh-CN"/>
        </w:rPr>
        <w:t>3</w:t>
      </w:r>
      <w:r>
        <w:rPr>
          <w:rFonts w:hint="eastAsia" w:ascii="宋体" w:hAnsi="宋体"/>
          <w:b/>
          <w:bCs w:val="0"/>
          <w:color w:val="auto"/>
          <w:sz w:val="44"/>
          <w:szCs w:val="44"/>
        </w:rPr>
        <w:t>月</w:t>
      </w:r>
      <w:r>
        <w:rPr>
          <w:rFonts w:hint="eastAsia" w:ascii="宋体" w:hAnsi="宋体"/>
          <w:b/>
          <w:bCs w:val="0"/>
          <w:color w:val="auto"/>
          <w:sz w:val="44"/>
          <w:szCs w:val="44"/>
          <w:lang w:val="en-US" w:eastAsia="zh-CN"/>
        </w:rPr>
        <w:t xml:space="preserve"> 20 </w:t>
      </w:r>
      <w:r>
        <w:rPr>
          <w:rFonts w:hint="eastAsia" w:ascii="宋体" w:hAnsi="宋体"/>
          <w:b/>
          <w:bCs w:val="0"/>
          <w:color w:val="auto"/>
          <w:sz w:val="44"/>
          <w:szCs w:val="44"/>
        </w:rPr>
        <w:t>日</w:t>
      </w:r>
    </w:p>
    <w:p w14:paraId="66A61688">
      <w:pPr>
        <w:kinsoku w:val="0"/>
        <w:overflowPunct w:val="0"/>
        <w:adjustRightInd w:val="0"/>
        <w:snapToGrid w:val="0"/>
        <w:spacing w:line="360" w:lineRule="auto"/>
        <w:ind w:left="-142" w:firstLine="39" w:firstLineChars="7"/>
        <w:jc w:val="center"/>
        <w:rPr>
          <w:rFonts w:ascii="黑体" w:hAnsi="Times New Roman" w:eastAsia="黑体" w:cs="黑体"/>
          <w:sz w:val="56"/>
          <w:szCs w:val="56"/>
        </w:rPr>
      </w:pPr>
    </w:p>
    <w:p w14:paraId="3C07CDA2">
      <w:pPr>
        <w:kinsoku w:val="0"/>
        <w:overflowPunct w:val="0"/>
        <w:adjustRightInd w:val="0"/>
        <w:snapToGrid w:val="0"/>
        <w:spacing w:line="360" w:lineRule="auto"/>
        <w:rPr>
          <w:rFonts w:ascii="黑体" w:hAnsi="Times New Roman" w:eastAsia="黑体" w:cs="黑体"/>
          <w:sz w:val="56"/>
          <w:szCs w:val="56"/>
        </w:rPr>
      </w:pPr>
    </w:p>
    <w:p w14:paraId="40E4E10F">
      <w:pPr>
        <w:kinsoku w:val="0"/>
        <w:overflowPunct w:val="0"/>
        <w:adjustRightInd w:val="0"/>
        <w:snapToGrid w:val="0"/>
        <w:spacing w:line="360" w:lineRule="auto"/>
        <w:ind w:left="-142" w:firstLine="39" w:firstLineChars="7"/>
        <w:jc w:val="center"/>
        <w:rPr>
          <w:rFonts w:ascii="黑体" w:hAnsi="Times New Roman" w:eastAsia="黑体" w:cs="黑体"/>
          <w:sz w:val="56"/>
          <w:szCs w:val="56"/>
        </w:rPr>
      </w:pPr>
      <w:r>
        <w:rPr>
          <w:rFonts w:hint="eastAsia" w:ascii="黑体" w:hAnsi="Times New Roman" w:eastAsia="黑体" w:cs="黑体"/>
          <w:sz w:val="56"/>
          <w:szCs w:val="56"/>
        </w:rPr>
        <w:t>目  录</w:t>
      </w:r>
    </w:p>
    <w:p w14:paraId="004B7E8F">
      <w:pPr>
        <w:kinsoku w:val="0"/>
        <w:overflowPunct w:val="0"/>
        <w:adjustRightInd w:val="0"/>
        <w:snapToGrid w:val="0"/>
        <w:spacing w:line="360" w:lineRule="auto"/>
        <w:ind w:firstLine="640" w:firstLineChars="200"/>
        <w:rPr>
          <w:rFonts w:ascii="黑体" w:hAnsi="Times New Roman" w:eastAsia="黑体" w:cs="黑体"/>
          <w:w w:val="99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第一部分</w:t>
      </w:r>
      <w:r>
        <w:rPr>
          <w:rFonts w:ascii="黑体" w:hAnsi="Times New Roman" w:eastAsia="黑体" w:cs="黑体"/>
          <w:sz w:val="32"/>
          <w:szCs w:val="32"/>
        </w:rPr>
        <w:t xml:space="preserve">  </w:t>
      </w:r>
      <w:r>
        <w:rPr>
          <w:rFonts w:hint="eastAsia" w:ascii="黑体" w:hAnsi="Times New Roman" w:eastAsia="黑体" w:cs="黑体"/>
          <w:sz w:val="32"/>
          <w:szCs w:val="32"/>
          <w:lang w:eastAsia="zh-CN"/>
        </w:rPr>
        <w:t>安阳市龙安区南田小学</w:t>
      </w:r>
      <w:r>
        <w:rPr>
          <w:rFonts w:hint="eastAsia" w:ascii="黑体" w:hAnsi="黑体" w:eastAsia="黑体"/>
          <w:sz w:val="32"/>
          <w:szCs w:val="32"/>
          <w:lang w:eastAsia="zh-CN"/>
        </w:rPr>
        <w:t>单位</w:t>
      </w:r>
      <w:r>
        <w:rPr>
          <w:rFonts w:hint="eastAsia" w:ascii="黑体" w:hAnsi="Times New Roman" w:eastAsia="黑体" w:cs="黑体"/>
          <w:sz w:val="32"/>
          <w:szCs w:val="32"/>
        </w:rPr>
        <w:t>概况</w:t>
      </w:r>
    </w:p>
    <w:p w14:paraId="6DC917A4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一、主要职能</w:t>
      </w:r>
    </w:p>
    <w:p w14:paraId="7C347D58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二、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Times New Roman" w:eastAsia="仿宋_GB2312" w:cs="仿宋_GB2312"/>
          <w:sz w:val="32"/>
          <w:szCs w:val="32"/>
        </w:rPr>
        <w:t>预算单位构成</w:t>
      </w:r>
    </w:p>
    <w:p w14:paraId="51F7FF0E">
      <w:pPr>
        <w:kinsoku w:val="0"/>
        <w:overflowPunct w:val="0"/>
        <w:adjustRightInd w:val="0"/>
        <w:snapToGrid w:val="0"/>
        <w:spacing w:line="360" w:lineRule="auto"/>
        <w:ind w:firstLine="640" w:firstLineChars="200"/>
        <w:rPr>
          <w:rFonts w:ascii="黑体" w:hAnsi="Times New Roman" w:eastAsia="黑体" w:cs="黑体"/>
          <w:w w:val="99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第二部分</w:t>
      </w:r>
      <w:r>
        <w:rPr>
          <w:rFonts w:ascii="黑体" w:hAnsi="Times New Roman" w:eastAsia="黑体" w:cs="黑体"/>
          <w:sz w:val="32"/>
          <w:szCs w:val="32"/>
        </w:rPr>
        <w:t xml:space="preserve"> </w:t>
      </w:r>
      <w:r>
        <w:rPr>
          <w:rFonts w:hint="eastAsia" w:ascii="黑体" w:hAnsi="Times New Roman" w:eastAsia="黑体" w:cs="黑体"/>
          <w:sz w:val="32"/>
          <w:szCs w:val="32"/>
        </w:rPr>
        <w:t xml:space="preserve"> </w:t>
      </w:r>
      <w:r>
        <w:rPr>
          <w:rFonts w:hint="eastAsia" w:ascii="黑体" w:hAnsi="Times New Roman" w:eastAsia="黑体" w:cs="黑体"/>
          <w:sz w:val="32"/>
          <w:szCs w:val="32"/>
          <w:lang w:eastAsia="zh-CN"/>
        </w:rPr>
        <w:t>安阳市龙安区南田小学2026</w:t>
      </w:r>
      <w:r>
        <w:rPr>
          <w:rFonts w:hint="eastAsia" w:ascii="黑体" w:hAnsi="Times New Roman" w:eastAsia="黑体" w:cs="黑体"/>
          <w:sz w:val="32"/>
          <w:szCs w:val="32"/>
        </w:rPr>
        <w:t>年度</w:t>
      </w:r>
      <w:r>
        <w:rPr>
          <w:rFonts w:hint="eastAsia" w:ascii="黑体" w:hAnsi="Times New Roman" w:eastAsia="黑体" w:cs="黑体"/>
          <w:sz w:val="32"/>
          <w:szCs w:val="32"/>
          <w:lang w:eastAsia="zh-CN"/>
        </w:rPr>
        <w:t>单位</w:t>
      </w:r>
      <w:r>
        <w:rPr>
          <w:rFonts w:hint="eastAsia" w:ascii="黑体" w:hAnsi="Times New Roman" w:eastAsia="黑体" w:cs="黑体"/>
          <w:sz w:val="32"/>
          <w:szCs w:val="32"/>
        </w:rPr>
        <w:t>预算情况说明</w:t>
      </w:r>
    </w:p>
    <w:p w14:paraId="58D4C279">
      <w:pPr>
        <w:kinsoku w:val="0"/>
        <w:overflowPunct w:val="0"/>
        <w:adjustRightInd w:val="0"/>
        <w:snapToGrid w:val="0"/>
        <w:spacing w:line="360" w:lineRule="auto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ascii="仿宋_GB2312" w:hAnsi="Times New Roman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一、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Times New Roman" w:eastAsia="仿宋_GB2312" w:cs="仿宋_GB2312"/>
          <w:sz w:val="32"/>
          <w:szCs w:val="32"/>
        </w:rPr>
        <w:t>收支总体情况说明</w:t>
      </w:r>
    </w:p>
    <w:p w14:paraId="38AF0048">
      <w:pPr>
        <w:kinsoku w:val="0"/>
        <w:overflowPunct w:val="0"/>
        <w:adjustRightInd w:val="0"/>
        <w:snapToGrid w:val="0"/>
        <w:spacing w:line="360" w:lineRule="auto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ascii="仿宋_GB2312" w:hAnsi="Times New Roman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二、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Times New Roman" w:eastAsia="仿宋_GB2312" w:cs="仿宋_GB2312"/>
          <w:sz w:val="32"/>
          <w:szCs w:val="32"/>
        </w:rPr>
        <w:t>收入总体情况说明</w:t>
      </w:r>
    </w:p>
    <w:p w14:paraId="3C94375C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三、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Times New Roman" w:eastAsia="仿宋_GB2312" w:cs="仿宋_GB2312"/>
          <w:sz w:val="32"/>
          <w:szCs w:val="32"/>
        </w:rPr>
        <w:t>支出总体情况说明</w:t>
      </w:r>
    </w:p>
    <w:p w14:paraId="153288DA">
      <w:pPr>
        <w:kinsoku w:val="0"/>
        <w:overflowPunct w:val="0"/>
        <w:adjustRightInd w:val="0"/>
        <w:snapToGrid w:val="0"/>
        <w:spacing w:line="360" w:lineRule="auto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ascii="仿宋_GB2312" w:hAnsi="Times New Roman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四、财政拨款收支总体情况说明</w:t>
      </w:r>
    </w:p>
    <w:p w14:paraId="66AF7F65">
      <w:pPr>
        <w:kinsoku w:val="0"/>
        <w:overflowPunct w:val="0"/>
        <w:adjustRightInd w:val="0"/>
        <w:snapToGrid w:val="0"/>
        <w:spacing w:line="360" w:lineRule="auto"/>
        <w:jc w:val="left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ascii="仿宋_GB2312" w:hAnsi="Times New Roman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五、一般公共预算支出情况说明</w:t>
      </w:r>
    </w:p>
    <w:p w14:paraId="5485F2C5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六、一般公共预算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基本</w:t>
      </w:r>
      <w:r>
        <w:rPr>
          <w:rFonts w:hint="eastAsia" w:ascii="仿宋_GB2312" w:hAnsi="Times New Roman" w:eastAsia="仿宋_GB2312" w:cs="仿宋_GB2312"/>
          <w:sz w:val="32"/>
          <w:szCs w:val="32"/>
        </w:rPr>
        <w:t>支出情况说明</w:t>
      </w:r>
    </w:p>
    <w:p w14:paraId="565261FD">
      <w:pPr>
        <w:kinsoku w:val="0"/>
        <w:overflowPunct w:val="0"/>
        <w:adjustRightInd w:val="0"/>
        <w:snapToGrid w:val="0"/>
        <w:spacing w:line="360" w:lineRule="auto"/>
        <w:jc w:val="left"/>
        <w:rPr>
          <w:rFonts w:hint="eastAsia" w:ascii="仿宋_GB2312" w:hAnsi="Times New Roman" w:eastAsia="仿宋_GB2312" w:cs="仿宋_GB2312"/>
          <w:sz w:val="32"/>
          <w:szCs w:val="32"/>
          <w:lang w:eastAsia="zh-CN"/>
        </w:rPr>
      </w:pPr>
      <w:r>
        <w:rPr>
          <w:rFonts w:ascii="仿宋_GB2312" w:hAnsi="Times New Roman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七、一般公共预算“三公”经费支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出预算情况说明</w:t>
      </w:r>
    </w:p>
    <w:p w14:paraId="2281A332">
      <w:pPr>
        <w:kinsoku w:val="0"/>
        <w:overflowPunct w:val="0"/>
        <w:adjustRightInd w:val="0"/>
        <w:snapToGrid w:val="0"/>
        <w:spacing w:line="360" w:lineRule="auto"/>
        <w:jc w:val="left"/>
        <w:rPr>
          <w:rFonts w:hint="eastAsia" w:ascii="仿宋_GB2312" w:hAnsi="Times New Roman" w:eastAsia="仿宋_GB2312" w:cs="仿宋_GB2312"/>
          <w:sz w:val="32"/>
          <w:szCs w:val="32"/>
          <w:lang w:eastAsia="zh-CN"/>
        </w:rPr>
      </w:pPr>
      <w:r>
        <w:rPr>
          <w:rFonts w:ascii="仿宋_GB2312" w:hAnsi="Times New Roman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八、政府性基金预算支出情况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说明</w:t>
      </w:r>
    </w:p>
    <w:p w14:paraId="4C7C1508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ascii="仿宋_GB2312" w:eastAsia="仿宋_GB2312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九</w:t>
      </w:r>
      <w:r>
        <w:rPr>
          <w:rFonts w:hint="eastAsia" w:ascii="仿宋_GB2312" w:hAnsi="Times New Roman" w:eastAsia="仿宋_GB2312" w:cs="仿宋_GB2312"/>
          <w:sz w:val="32"/>
          <w:szCs w:val="32"/>
        </w:rPr>
        <w:t>、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其他重要事项的情况说明</w:t>
      </w:r>
    </w:p>
    <w:p w14:paraId="2D873E11">
      <w:pPr>
        <w:kinsoku w:val="0"/>
        <w:overflowPunct w:val="0"/>
        <w:adjustRightInd w:val="0"/>
        <w:snapToGrid w:val="0"/>
        <w:spacing w:line="360" w:lineRule="auto"/>
        <w:ind w:firstLine="640" w:firstLineChars="200"/>
        <w:jc w:val="both"/>
        <w:rPr>
          <w:rFonts w:ascii="黑体" w:hAnsi="Times New Roman" w:eastAsia="黑体" w:cs="黑体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 xml:space="preserve">第三部分  </w:t>
      </w:r>
      <w:r>
        <w:rPr>
          <w:rFonts w:hint="eastAsia" w:ascii="黑体" w:hAnsi="Times New Roman" w:eastAsia="黑体" w:cs="黑体"/>
          <w:spacing w:val="5"/>
          <w:kern w:val="0"/>
          <w:sz w:val="32"/>
          <w:szCs w:val="32"/>
          <w:fitText w:val="1312" w:id="587077376"/>
        </w:rPr>
        <w:t>名词解</w:t>
      </w:r>
      <w:r>
        <w:rPr>
          <w:rFonts w:hint="eastAsia" w:ascii="黑体" w:hAnsi="Times New Roman" w:eastAsia="黑体" w:cs="黑体"/>
          <w:spacing w:val="1"/>
          <w:kern w:val="0"/>
          <w:sz w:val="32"/>
          <w:szCs w:val="32"/>
          <w:fitText w:val="1312" w:id="587077376"/>
        </w:rPr>
        <w:t>释</w:t>
      </w:r>
    </w:p>
    <w:p w14:paraId="0E0D6DEE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640"/>
        <w:jc w:val="left"/>
        <w:textAlignment w:val="auto"/>
        <w:outlineLvl w:val="9"/>
        <w:rPr>
          <w:rFonts w:hint="default" w:ascii="黑体" w:hAnsi="黑体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  <w:lang w:val="en-US" w:eastAsia="zh-CN"/>
        </w:rPr>
        <w:t>附件：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 xml:space="preserve"> </w:t>
      </w:r>
      <w:r>
        <w:rPr>
          <w:rFonts w:hint="eastAsia" w:ascii="黑体" w:hAnsi="黑体" w:eastAsia="黑体"/>
          <w:sz w:val="32"/>
          <w:szCs w:val="32"/>
          <w:highlight w:val="none"/>
          <w:lang w:eastAsia="zh-CN"/>
        </w:rPr>
        <w:t>安阳市龙安区南田小学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2026年单位预算表</w:t>
      </w:r>
    </w:p>
    <w:p w14:paraId="2E2B750C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right="0" w:firstLine="960" w:firstLineChars="3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一、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2026年单位收支预算表</w:t>
      </w:r>
    </w:p>
    <w:p w14:paraId="59FD5338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3569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二、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2026年单位收入预算表</w:t>
      </w:r>
    </w:p>
    <w:p w14:paraId="148656E8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3569" w:firstLine="960" w:firstLineChars="3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三、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2026年单位支出预算表</w:t>
      </w:r>
    </w:p>
    <w:p w14:paraId="7A5D30B0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四、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财政拨款收支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33D1E043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五、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一般公共预算支出预算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表</w:t>
      </w:r>
    </w:p>
    <w:p w14:paraId="18ECCED7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1600" w:leftChars="0" w:right="0" w:hanging="1600" w:hangingChars="5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六、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2026年一般公共预算基本支出表</w:t>
      </w:r>
    </w:p>
    <w:p w14:paraId="38EC5580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七、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2026年支出经济分类汇总表</w:t>
      </w:r>
    </w:p>
    <w:p w14:paraId="1DC9A861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八、2026年一般公共预算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“三公”经费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0747163B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九、2026年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政府性基金预算支出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5DCA51C3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十、2026年项目支出预算表</w:t>
      </w:r>
    </w:p>
    <w:p w14:paraId="75521CE6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十一、2026年单位整体绩效目标表</w:t>
      </w:r>
    </w:p>
    <w:p w14:paraId="71C100DB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十二、2026年单位预算项目绩效目标表</w:t>
      </w:r>
    </w:p>
    <w:p w14:paraId="773102D9">
      <w:pPr>
        <w:kinsoku w:val="0"/>
        <w:overflowPunct w:val="0"/>
        <w:adjustRightInd w:val="0"/>
        <w:snapToGrid w:val="0"/>
        <w:spacing w:line="360" w:lineRule="auto"/>
        <w:ind w:right="51" w:firstLine="900" w:firstLineChars="3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27F67BD5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61B6215C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7B5C0AAA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0FB74BAD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0E12F33B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5A2B120F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6F04BE6D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7FF4E588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62811563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48DBE39B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15532418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29E85DDF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3474BD0A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2D19D89E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45A7C0F9">
      <w:pPr>
        <w:kinsoku w:val="0"/>
        <w:overflowPunct w:val="0"/>
        <w:adjustRightInd w:val="0"/>
        <w:snapToGrid w:val="0"/>
        <w:spacing w:line="360" w:lineRule="auto"/>
        <w:ind w:right="51"/>
        <w:jc w:val="left"/>
        <w:rPr>
          <w:rFonts w:ascii="仿宋_GB2312" w:eastAsia="仿宋_GB2312"/>
          <w:sz w:val="32"/>
          <w:szCs w:val="32"/>
        </w:rPr>
      </w:pPr>
    </w:p>
    <w:p w14:paraId="0444F9AC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44"/>
          <w:szCs w:val="32"/>
        </w:rPr>
      </w:pPr>
      <w:r>
        <w:rPr>
          <w:rFonts w:hint="eastAsia" w:ascii="黑体" w:hAnsi="黑体" w:eastAsia="黑体"/>
          <w:sz w:val="44"/>
          <w:szCs w:val="32"/>
        </w:rPr>
        <w:t>第一部分</w:t>
      </w:r>
    </w:p>
    <w:p w14:paraId="4E47470B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40"/>
          <w:szCs w:val="32"/>
        </w:rPr>
      </w:pPr>
      <w:r>
        <w:rPr>
          <w:rFonts w:hint="eastAsia" w:ascii="黑体" w:hAnsi="黑体" w:eastAsia="黑体"/>
          <w:b/>
          <w:bCs/>
          <w:sz w:val="40"/>
          <w:szCs w:val="32"/>
          <w:lang w:eastAsia="zh-CN"/>
        </w:rPr>
        <w:t>单位</w:t>
      </w:r>
      <w:r>
        <w:rPr>
          <w:rFonts w:hint="eastAsia" w:ascii="黑体" w:hAnsi="黑体" w:eastAsia="黑体"/>
          <w:b/>
          <w:bCs/>
          <w:sz w:val="40"/>
          <w:szCs w:val="32"/>
        </w:rPr>
        <w:t>概</w:t>
      </w:r>
      <w:r>
        <w:rPr>
          <w:rFonts w:hint="eastAsia" w:ascii="黑体" w:hAnsi="黑体" w:eastAsia="黑体"/>
          <w:sz w:val="40"/>
          <w:szCs w:val="32"/>
        </w:rPr>
        <w:t>况</w:t>
      </w:r>
    </w:p>
    <w:p w14:paraId="53342A65">
      <w:pPr>
        <w:adjustRightInd w:val="0"/>
        <w:snapToGrid w:val="0"/>
        <w:spacing w:line="360" w:lineRule="auto"/>
        <w:ind w:firstLine="640" w:firstLineChars="200"/>
        <w:jc w:val="center"/>
        <w:rPr>
          <w:rFonts w:ascii="黑体" w:hAnsi="黑体" w:eastAsia="黑体"/>
          <w:sz w:val="32"/>
          <w:szCs w:val="32"/>
        </w:rPr>
      </w:pPr>
    </w:p>
    <w:p w14:paraId="2737698E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安阳市龙安区南田小学单位</w:t>
      </w:r>
      <w:r>
        <w:rPr>
          <w:rFonts w:hint="eastAsia" w:ascii="宋体" w:hAnsi="宋体"/>
          <w:b/>
          <w:bCs/>
          <w:sz w:val="32"/>
          <w:szCs w:val="32"/>
        </w:rPr>
        <w:t>主要职责</w:t>
      </w:r>
    </w:p>
    <w:p w14:paraId="68B21AFA">
      <w:pPr>
        <w:pStyle w:val="12"/>
        <w:spacing w:before="23" w:line="360" w:lineRule="auto"/>
        <w:ind w:left="-59" w:right="-68" w:firstLine="804"/>
        <w:rPr>
          <w:rFonts w:ascii="仿宋_GB2312" w:hAnsi="宋体" w:eastAsia="仿宋_GB2312" w:cs="Courier New"/>
          <w:sz w:val="32"/>
          <w:szCs w:val="32"/>
        </w:rPr>
      </w:pPr>
      <w:r>
        <w:rPr>
          <w:rFonts w:ascii="仿宋_GB2312" w:hAnsi="宋体" w:eastAsia="仿宋_GB2312" w:cs="Courier New"/>
          <w:sz w:val="32"/>
          <w:szCs w:val="32"/>
        </w:rPr>
        <w:t>(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一</w:t>
      </w:r>
      <w:r>
        <w:rPr>
          <w:rFonts w:ascii="仿宋_GB2312" w:hAnsi="宋体" w:eastAsia="仿宋_GB2312" w:cs="Courier New"/>
          <w:sz w:val="32"/>
          <w:szCs w:val="32"/>
        </w:rPr>
        <w:t>)</w:t>
      </w:r>
      <w:r>
        <w:rPr>
          <w:rFonts w:hint="eastAsia" w:ascii="仿宋_GB2312" w:hAnsi="宋体" w:eastAsia="仿宋_GB2312" w:cs="Courier New"/>
          <w:sz w:val="32"/>
          <w:szCs w:val="32"/>
        </w:rPr>
        <w:t>贯彻实施国家、省、市教育改革与发展的方针、政策和规划</w:t>
      </w:r>
      <w:r>
        <w:rPr>
          <w:rFonts w:ascii="仿宋_GB2312" w:hAnsi="宋体" w:eastAsia="仿宋_GB2312" w:cs="Courier New"/>
          <w:sz w:val="32"/>
          <w:szCs w:val="32"/>
        </w:rPr>
        <w:t xml:space="preserve">; </w:t>
      </w:r>
      <w:r>
        <w:rPr>
          <w:rFonts w:hint="eastAsia" w:ascii="仿宋_GB2312" w:hAnsi="宋体" w:eastAsia="仿宋_GB2312" w:cs="Courier New"/>
          <w:sz w:val="32"/>
          <w:szCs w:val="32"/>
        </w:rPr>
        <w:t>负责教育理论研究和宣传工作。</w:t>
      </w:r>
    </w:p>
    <w:p w14:paraId="51092C88">
      <w:pPr>
        <w:pStyle w:val="12"/>
        <w:spacing w:before="35" w:line="360" w:lineRule="auto"/>
        <w:ind w:left="-59" w:right="-68" w:firstLine="792"/>
        <w:rPr>
          <w:rFonts w:ascii="仿宋_GB2312" w:hAnsi="宋体" w:eastAsia="仿宋_GB2312" w:cs="Courier New"/>
          <w:sz w:val="32"/>
          <w:szCs w:val="32"/>
        </w:rPr>
      </w:pPr>
      <w:r>
        <w:rPr>
          <w:rFonts w:ascii="仿宋_GB2312" w:hAnsi="宋体" w:eastAsia="仿宋_GB2312" w:cs="Courier New"/>
          <w:sz w:val="32"/>
          <w:szCs w:val="32"/>
        </w:rPr>
        <w:t>(</w:t>
      </w:r>
      <w:r>
        <w:rPr>
          <w:rFonts w:hint="eastAsia" w:ascii="仿宋_GB2312" w:hAnsi="宋体" w:eastAsia="仿宋_GB2312" w:cs="Courier New"/>
          <w:sz w:val="32"/>
          <w:szCs w:val="32"/>
        </w:rPr>
        <w:t>二</w:t>
      </w:r>
      <w:r>
        <w:rPr>
          <w:rFonts w:ascii="仿宋_GB2312" w:hAnsi="宋体" w:eastAsia="仿宋_GB2312" w:cs="Courier New"/>
          <w:sz w:val="32"/>
          <w:szCs w:val="32"/>
        </w:rPr>
        <w:t>)</w:t>
      </w:r>
      <w:r>
        <w:rPr>
          <w:rFonts w:hint="eastAsia" w:ascii="仿宋_GB2312" w:hAnsi="宋体" w:eastAsia="仿宋_GB2312" w:cs="Courier New"/>
          <w:sz w:val="32"/>
          <w:szCs w:val="32"/>
        </w:rPr>
        <w:t>坚持党的领导、加强党的建设政策措施并组织实施</w:t>
      </w:r>
      <w:r>
        <w:rPr>
          <w:rFonts w:ascii="仿宋_GB2312" w:hAnsi="宋体" w:eastAsia="仿宋_GB2312" w:cs="Courier New"/>
          <w:sz w:val="32"/>
          <w:szCs w:val="32"/>
        </w:rPr>
        <w:t>;</w:t>
      </w:r>
      <w:r>
        <w:rPr>
          <w:rFonts w:hint="eastAsia" w:ascii="仿宋_GB2312" w:hAnsi="宋体" w:eastAsia="仿宋_GB2312" w:cs="Courier New"/>
          <w:sz w:val="32"/>
          <w:szCs w:val="32"/>
        </w:rPr>
        <w:t>负责协调推进和督促落实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教育工作。</w:t>
      </w:r>
    </w:p>
    <w:p w14:paraId="3F7FFDC7">
      <w:pPr>
        <w:pStyle w:val="12"/>
        <w:spacing w:before="46" w:line="360" w:lineRule="auto"/>
        <w:ind w:left="-59" w:right="-68" w:firstLine="775"/>
        <w:rPr>
          <w:rFonts w:ascii="仿宋_GB2312" w:hAnsi="宋体" w:eastAsia="仿宋_GB2312" w:cs="Courier New"/>
          <w:sz w:val="32"/>
          <w:szCs w:val="32"/>
        </w:rPr>
      </w:pPr>
      <w:r>
        <w:rPr>
          <w:rFonts w:ascii="仿宋_GB2312" w:hAnsi="宋体" w:eastAsia="仿宋_GB2312" w:cs="Courier New"/>
          <w:sz w:val="32"/>
          <w:szCs w:val="32"/>
        </w:rPr>
        <w:t>(</w:t>
      </w:r>
      <w:r>
        <w:rPr>
          <w:rFonts w:hint="eastAsia" w:ascii="仿宋_GB2312" w:hAnsi="宋体" w:eastAsia="仿宋_GB2312" w:cs="Courier New"/>
          <w:sz w:val="32"/>
          <w:szCs w:val="32"/>
        </w:rPr>
        <w:t>三</w:t>
      </w:r>
      <w:r>
        <w:rPr>
          <w:rFonts w:ascii="仿宋_GB2312" w:hAnsi="宋体" w:eastAsia="仿宋_GB2312" w:cs="Courier New"/>
          <w:sz w:val="32"/>
          <w:szCs w:val="32"/>
        </w:rPr>
        <w:t>)</w:t>
      </w:r>
      <w:r>
        <w:rPr>
          <w:rFonts w:hint="eastAsia" w:ascii="仿宋_GB2312" w:hAnsi="宋体" w:eastAsia="仿宋_GB2312" w:cs="Courier New"/>
          <w:sz w:val="32"/>
          <w:szCs w:val="32"/>
        </w:rPr>
        <w:t>制定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教育改革发展战略和教育事业发展规划</w:t>
      </w:r>
      <w:r>
        <w:rPr>
          <w:rFonts w:ascii="仿宋_GB2312" w:hAnsi="宋体" w:eastAsia="仿宋_GB2312" w:cs="Courier New"/>
          <w:sz w:val="32"/>
          <w:szCs w:val="32"/>
        </w:rPr>
        <w:t xml:space="preserve">; </w:t>
      </w:r>
      <w:r>
        <w:rPr>
          <w:rFonts w:hint="eastAsia" w:ascii="仿宋_GB2312" w:hAnsi="宋体" w:eastAsia="仿宋_GB2312" w:cs="Courier New"/>
          <w:sz w:val="32"/>
          <w:szCs w:val="32"/>
        </w:rPr>
        <w:t>负责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教育基本信息的统计、分析和发布。</w:t>
      </w:r>
    </w:p>
    <w:p w14:paraId="6AC79076">
      <w:pPr>
        <w:pStyle w:val="12"/>
        <w:spacing w:before="46" w:line="360" w:lineRule="auto"/>
        <w:ind w:left="-59" w:right="-68" w:firstLine="764"/>
        <w:rPr>
          <w:rFonts w:ascii="仿宋_GB2312" w:hAnsi="宋体" w:eastAsia="仿宋_GB2312" w:cs="Courier New"/>
          <w:sz w:val="32"/>
          <w:szCs w:val="32"/>
        </w:rPr>
      </w:pPr>
      <w:r>
        <w:rPr>
          <w:rFonts w:ascii="仿宋_GB2312" w:hAnsi="宋体" w:eastAsia="仿宋_GB2312" w:cs="Courier New"/>
          <w:sz w:val="32"/>
          <w:szCs w:val="32"/>
        </w:rPr>
        <w:t>(</w:t>
      </w:r>
      <w:r>
        <w:rPr>
          <w:rFonts w:hint="eastAsia" w:ascii="仿宋_GB2312" w:hAnsi="宋体" w:eastAsia="仿宋_GB2312" w:cs="Courier New"/>
          <w:sz w:val="32"/>
          <w:szCs w:val="32"/>
        </w:rPr>
        <w:t>四</w:t>
      </w:r>
      <w:r>
        <w:rPr>
          <w:rFonts w:ascii="仿宋_GB2312" w:hAnsi="宋体" w:eastAsia="仿宋_GB2312" w:cs="Courier New"/>
          <w:sz w:val="32"/>
          <w:szCs w:val="32"/>
        </w:rPr>
        <w:t>)</w:t>
      </w:r>
      <w:r>
        <w:rPr>
          <w:rFonts w:hint="eastAsia" w:ascii="仿宋_GB2312" w:hAnsi="宋体" w:eastAsia="仿宋_GB2312" w:cs="Courier New"/>
          <w:sz w:val="32"/>
          <w:szCs w:val="32"/>
        </w:rPr>
        <w:t>负责本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Courier New"/>
          <w:sz w:val="32"/>
          <w:szCs w:val="32"/>
        </w:rPr>
        <w:t>教育经费的统筹管理</w:t>
      </w:r>
      <w:r>
        <w:rPr>
          <w:rFonts w:ascii="仿宋_GB2312" w:hAnsi="宋体" w:eastAsia="仿宋_GB2312" w:cs="Courier New"/>
          <w:sz w:val="32"/>
          <w:szCs w:val="32"/>
        </w:rPr>
        <w:t>,</w:t>
      </w:r>
      <w:r>
        <w:rPr>
          <w:rFonts w:hint="eastAsia" w:ascii="仿宋_GB2312" w:hAnsi="宋体" w:eastAsia="仿宋_GB2312" w:cs="Courier New"/>
          <w:sz w:val="32"/>
          <w:szCs w:val="32"/>
        </w:rPr>
        <w:t>参与拟订教育经费筹措、教育拨款、教育基建投资的政策</w:t>
      </w:r>
      <w:r>
        <w:rPr>
          <w:rFonts w:ascii="仿宋_GB2312" w:hAnsi="宋体" w:eastAsia="仿宋_GB2312" w:cs="Courier New"/>
          <w:sz w:val="32"/>
          <w:szCs w:val="32"/>
        </w:rPr>
        <w:t>;</w:t>
      </w:r>
      <w:r>
        <w:rPr>
          <w:rFonts w:hint="eastAsia" w:ascii="仿宋_GB2312" w:hAnsi="宋体" w:eastAsia="仿宋_GB2312" w:cs="Courier New"/>
          <w:sz w:val="32"/>
          <w:szCs w:val="32"/>
        </w:rPr>
        <w:t>负责统计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教育经费收支情况。</w:t>
      </w:r>
    </w:p>
    <w:p w14:paraId="1FFE3BCC">
      <w:pPr>
        <w:pStyle w:val="12"/>
        <w:spacing w:before="20" w:line="360" w:lineRule="auto"/>
        <w:ind w:left="-59" w:right="-68" w:firstLine="746"/>
        <w:rPr>
          <w:rFonts w:ascii="仿宋_GB2312" w:hAnsi="宋体" w:eastAsia="仿宋_GB2312" w:cs="Courier New"/>
          <w:sz w:val="32"/>
          <w:szCs w:val="32"/>
        </w:rPr>
      </w:pPr>
      <w:r>
        <w:rPr>
          <w:rFonts w:ascii="仿宋_GB2312" w:hAnsi="宋体" w:eastAsia="仿宋_GB2312" w:cs="Courier New"/>
          <w:sz w:val="32"/>
          <w:szCs w:val="32"/>
        </w:rPr>
        <w:t>(</w:t>
      </w:r>
      <w:r>
        <w:rPr>
          <w:rFonts w:hint="eastAsia" w:ascii="仿宋_GB2312" w:hAnsi="宋体" w:eastAsia="仿宋_GB2312" w:cs="Courier New"/>
          <w:sz w:val="32"/>
          <w:szCs w:val="32"/>
        </w:rPr>
        <w:t>五</w:t>
      </w:r>
      <w:r>
        <w:rPr>
          <w:rFonts w:ascii="仿宋_GB2312" w:hAnsi="宋体" w:eastAsia="仿宋_GB2312" w:cs="Courier New"/>
          <w:sz w:val="32"/>
          <w:szCs w:val="32"/>
        </w:rPr>
        <w:t>)</w:t>
      </w:r>
      <w:r>
        <w:rPr>
          <w:rFonts w:hint="eastAsia" w:ascii="仿宋_GB2312" w:hAnsi="宋体" w:eastAsia="仿宋_GB2312" w:cs="Courier New"/>
          <w:sz w:val="32"/>
          <w:szCs w:val="32"/>
        </w:rPr>
        <w:t>负责推进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义务教育均衡发展和促进教育公平</w:t>
      </w:r>
      <w:r>
        <w:rPr>
          <w:rFonts w:ascii="仿宋_GB2312" w:hAnsi="宋体" w:eastAsia="仿宋_GB2312" w:cs="Courier New"/>
          <w:sz w:val="32"/>
          <w:szCs w:val="32"/>
        </w:rPr>
        <w:t xml:space="preserve">; </w:t>
      </w:r>
      <w:r>
        <w:rPr>
          <w:rFonts w:hint="eastAsia" w:ascii="仿宋_GB2312" w:hAnsi="宋体" w:eastAsia="仿宋_GB2312" w:cs="Courier New"/>
          <w:sz w:val="32"/>
          <w:szCs w:val="32"/>
        </w:rPr>
        <w:t>负责义务教育的宏观指导与协调</w:t>
      </w:r>
      <w:r>
        <w:rPr>
          <w:rFonts w:ascii="仿宋_GB2312" w:hAnsi="宋体" w:eastAsia="仿宋_GB2312" w:cs="Courier New"/>
          <w:sz w:val="32"/>
          <w:szCs w:val="32"/>
        </w:rPr>
        <w:t>;</w:t>
      </w:r>
      <w:r>
        <w:rPr>
          <w:rFonts w:hint="eastAsia" w:ascii="仿宋_GB2312" w:hAnsi="宋体" w:eastAsia="仿宋_GB2312" w:cs="Courier New"/>
          <w:sz w:val="32"/>
          <w:szCs w:val="32"/>
        </w:rPr>
        <w:t>落实基础教育教学基本要求</w:t>
      </w:r>
      <w:r>
        <w:rPr>
          <w:rFonts w:ascii="仿宋_GB2312" w:hAnsi="宋体" w:eastAsia="仿宋_GB2312" w:cs="Courier New"/>
          <w:sz w:val="32"/>
          <w:szCs w:val="32"/>
        </w:rPr>
        <w:t>,</w:t>
      </w:r>
      <w:r>
        <w:rPr>
          <w:rFonts w:hint="eastAsia" w:ascii="仿宋_GB2312" w:hAnsi="宋体" w:eastAsia="仿宋_GB2312" w:cs="Courier New"/>
          <w:sz w:val="32"/>
          <w:szCs w:val="32"/>
        </w:rPr>
        <w:t>全面实施素质教育</w:t>
      </w:r>
      <w:r>
        <w:rPr>
          <w:rFonts w:ascii="仿宋_GB2312" w:hAnsi="宋体" w:eastAsia="仿宋_GB2312" w:cs="Courier New"/>
          <w:sz w:val="32"/>
          <w:szCs w:val="32"/>
        </w:rPr>
        <w:t>;</w:t>
      </w:r>
      <w:r>
        <w:rPr>
          <w:rFonts w:hint="eastAsia" w:ascii="仿宋_GB2312" w:hAnsi="宋体" w:eastAsia="仿宋_GB2312" w:cs="Courier New"/>
          <w:sz w:val="32"/>
          <w:szCs w:val="32"/>
        </w:rPr>
        <w:t>负责基础教育发展水平、质量的监测工作。</w:t>
      </w:r>
    </w:p>
    <w:p w14:paraId="0CD1BAA0">
      <w:pPr>
        <w:pStyle w:val="12"/>
        <w:spacing w:before="64" w:line="360" w:lineRule="auto"/>
        <w:ind w:left="-8" w:leftChars="-4" w:right="-68"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ascii="仿宋_GB2312" w:hAnsi="宋体" w:eastAsia="仿宋_GB2312" w:cs="Courier New"/>
          <w:sz w:val="32"/>
          <w:szCs w:val="32"/>
        </w:rPr>
        <w:t>(</w:t>
      </w:r>
      <w:r>
        <w:rPr>
          <w:rFonts w:hint="eastAsia" w:ascii="仿宋_GB2312" w:hAnsi="宋体" w:eastAsia="仿宋_GB2312" w:cs="Courier New"/>
          <w:sz w:val="32"/>
          <w:szCs w:val="32"/>
        </w:rPr>
        <w:t>六</w:t>
      </w:r>
      <w:r>
        <w:rPr>
          <w:rFonts w:ascii="仿宋_GB2312" w:hAnsi="宋体" w:eastAsia="仿宋_GB2312" w:cs="Courier New"/>
          <w:sz w:val="32"/>
          <w:szCs w:val="32"/>
        </w:rPr>
        <w:t>)</w:t>
      </w:r>
      <w:r>
        <w:rPr>
          <w:rFonts w:hint="eastAsia" w:ascii="仿宋_GB2312" w:hAnsi="宋体" w:eastAsia="仿宋_GB2312" w:cs="Courier New"/>
          <w:sz w:val="32"/>
          <w:szCs w:val="32"/>
        </w:rPr>
        <w:t>管理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党建工作</w:t>
      </w:r>
      <w:r>
        <w:rPr>
          <w:rFonts w:ascii="仿宋_GB2312" w:hAnsi="宋体" w:eastAsia="仿宋_GB2312" w:cs="Courier New"/>
          <w:sz w:val="32"/>
          <w:szCs w:val="32"/>
        </w:rPr>
        <w:t>;</w:t>
      </w:r>
      <w:r>
        <w:rPr>
          <w:rFonts w:hint="eastAsia" w:ascii="仿宋_GB2312" w:hAnsi="宋体" w:eastAsia="仿宋_GB2312" w:cs="Courier New"/>
          <w:sz w:val="32"/>
          <w:szCs w:val="32"/>
        </w:rPr>
        <w:t>负责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思想政治、意识形态工作</w:t>
      </w:r>
      <w:r>
        <w:rPr>
          <w:rFonts w:ascii="仿宋_GB2312" w:hAnsi="宋体" w:eastAsia="仿宋_GB2312" w:cs="Courier New"/>
          <w:sz w:val="32"/>
          <w:szCs w:val="32"/>
        </w:rPr>
        <w:t>,</w:t>
      </w:r>
      <w:r>
        <w:rPr>
          <w:rFonts w:hint="eastAsia" w:ascii="仿宋_GB2312" w:hAnsi="宋体" w:eastAsia="仿宋_GB2312" w:cs="Courier New"/>
          <w:sz w:val="32"/>
          <w:szCs w:val="32"/>
        </w:rPr>
        <w:t>指导学校的德育、体育、卫生、艺术教育、劳动教育及国防教育工作</w:t>
      </w:r>
      <w:r>
        <w:rPr>
          <w:rFonts w:ascii="仿宋_GB2312" w:hAnsi="宋体" w:eastAsia="仿宋_GB2312" w:cs="Courier New"/>
          <w:sz w:val="32"/>
          <w:szCs w:val="32"/>
        </w:rPr>
        <w:t>;</w:t>
      </w:r>
      <w:r>
        <w:rPr>
          <w:rFonts w:hint="eastAsia" w:ascii="仿宋_GB2312" w:hAnsi="宋体" w:eastAsia="仿宋_GB2312" w:cs="Courier New"/>
          <w:sz w:val="32"/>
          <w:szCs w:val="32"/>
        </w:rPr>
        <w:t>指导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落实好党的民族宗教政策</w:t>
      </w:r>
      <w:r>
        <w:rPr>
          <w:rFonts w:ascii="仿宋_GB2312" w:hAnsi="宋体" w:eastAsia="仿宋_GB2312" w:cs="Courier New"/>
          <w:sz w:val="32"/>
          <w:szCs w:val="32"/>
        </w:rPr>
        <w:t xml:space="preserve">; </w:t>
      </w:r>
      <w:r>
        <w:rPr>
          <w:rFonts w:hint="eastAsia" w:ascii="仿宋_GB2312" w:hAnsi="宋体" w:eastAsia="仿宋_GB2312" w:cs="Courier New"/>
          <w:sz w:val="32"/>
          <w:szCs w:val="32"/>
        </w:rPr>
        <w:t>负责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安全稳定与信访工作。</w:t>
      </w:r>
    </w:p>
    <w:p w14:paraId="5BC4421C">
      <w:pPr>
        <w:pStyle w:val="12"/>
        <w:spacing w:before="21" w:line="360" w:lineRule="auto"/>
        <w:ind w:left="-53" w:leftChars="-25" w:right="-68"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ascii="仿宋_GB2312" w:hAnsi="宋体" w:eastAsia="仿宋_GB2312" w:cs="Courier New"/>
          <w:sz w:val="32"/>
          <w:szCs w:val="32"/>
        </w:rPr>
        <w:t>(</w:t>
      </w:r>
      <w:r>
        <w:rPr>
          <w:rFonts w:hint="eastAsia" w:ascii="仿宋_GB2312" w:hAnsi="宋体" w:eastAsia="仿宋_GB2312" w:cs="Courier New"/>
          <w:sz w:val="32"/>
          <w:szCs w:val="32"/>
        </w:rPr>
        <w:t>七</w:t>
      </w:r>
      <w:r>
        <w:rPr>
          <w:rFonts w:ascii="仿宋_GB2312" w:hAnsi="宋体" w:eastAsia="仿宋_GB2312" w:cs="Courier New"/>
          <w:sz w:val="32"/>
          <w:szCs w:val="32"/>
        </w:rPr>
        <w:t>)</w:t>
      </w:r>
      <w:r>
        <w:rPr>
          <w:rFonts w:hint="eastAsia" w:ascii="仿宋_GB2312" w:hAnsi="宋体" w:eastAsia="仿宋_GB2312" w:cs="Courier New"/>
          <w:sz w:val="32"/>
          <w:szCs w:val="32"/>
        </w:rPr>
        <w:t>主管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教师工作。负责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的表彰奖励</w:t>
      </w:r>
      <w:r>
        <w:rPr>
          <w:rFonts w:ascii="仿宋_GB2312" w:hAnsi="宋体" w:eastAsia="仿宋_GB2312" w:cs="Courier New"/>
          <w:sz w:val="32"/>
          <w:szCs w:val="32"/>
        </w:rPr>
        <w:t xml:space="preserve">, </w:t>
      </w:r>
      <w:r>
        <w:rPr>
          <w:rFonts w:hint="eastAsia" w:ascii="仿宋_GB2312" w:hAnsi="宋体" w:eastAsia="仿宋_GB2312" w:cs="Courier New"/>
          <w:sz w:val="32"/>
          <w:szCs w:val="32"/>
        </w:rPr>
        <w:t>归口管理教师和教育管理人员继续教育</w:t>
      </w:r>
      <w:r>
        <w:rPr>
          <w:rFonts w:ascii="仿宋_GB2312" w:hAnsi="宋体" w:eastAsia="仿宋_GB2312" w:cs="Courier New"/>
          <w:sz w:val="32"/>
          <w:szCs w:val="32"/>
        </w:rPr>
        <w:t xml:space="preserve">; </w:t>
      </w:r>
      <w:r>
        <w:rPr>
          <w:rFonts w:hint="eastAsia" w:ascii="仿宋_GB2312" w:hAnsi="宋体" w:eastAsia="仿宋_GB2312" w:cs="Courier New"/>
          <w:sz w:val="32"/>
          <w:szCs w:val="32"/>
        </w:rPr>
        <w:t>配合有关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Courier New"/>
          <w:sz w:val="32"/>
          <w:szCs w:val="32"/>
        </w:rPr>
        <w:t>研究提出各级各类学校编制标准</w:t>
      </w:r>
      <w:r>
        <w:rPr>
          <w:rFonts w:ascii="仿宋_GB2312" w:hAnsi="宋体" w:eastAsia="仿宋_GB2312" w:cs="Courier New"/>
          <w:sz w:val="32"/>
          <w:szCs w:val="32"/>
        </w:rPr>
        <w:t xml:space="preserve">; </w:t>
      </w:r>
      <w:r>
        <w:rPr>
          <w:rFonts w:hint="eastAsia" w:ascii="仿宋_GB2312" w:hAnsi="宋体" w:eastAsia="仿宋_GB2312" w:cs="Courier New"/>
          <w:sz w:val="32"/>
          <w:szCs w:val="32"/>
        </w:rPr>
        <w:t>指导学校内部人事与分配制度改革</w:t>
      </w:r>
      <w:r>
        <w:rPr>
          <w:rFonts w:ascii="仿宋_GB2312" w:hAnsi="宋体" w:eastAsia="仿宋_GB2312" w:cs="Courier New"/>
          <w:sz w:val="32"/>
          <w:szCs w:val="32"/>
        </w:rPr>
        <w:t xml:space="preserve">; </w:t>
      </w:r>
      <w:r>
        <w:rPr>
          <w:rFonts w:hint="eastAsia" w:ascii="仿宋_GB2312" w:hAnsi="宋体" w:eastAsia="仿宋_GB2312" w:cs="Courier New"/>
          <w:sz w:val="32"/>
          <w:szCs w:val="32"/>
        </w:rPr>
        <w:t>指导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人才队伍建设。</w:t>
      </w:r>
    </w:p>
    <w:p w14:paraId="7CB482FB">
      <w:pPr>
        <w:pStyle w:val="12"/>
        <w:spacing w:before="21" w:line="360" w:lineRule="auto"/>
        <w:ind w:left="-53" w:leftChars="-25" w:right="-68"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ascii="仿宋_GB2312" w:hAnsi="宋体" w:eastAsia="仿宋_GB2312" w:cs="Courier New"/>
          <w:sz w:val="32"/>
          <w:szCs w:val="32"/>
        </w:rPr>
        <w:t>(</w:t>
      </w:r>
      <w:r>
        <w:rPr>
          <w:rFonts w:hint="eastAsia" w:ascii="仿宋_GB2312" w:hAnsi="宋体" w:eastAsia="仿宋_GB2312" w:cs="Courier New"/>
          <w:sz w:val="32"/>
          <w:szCs w:val="32"/>
        </w:rPr>
        <w:t>八</w:t>
      </w:r>
      <w:r>
        <w:rPr>
          <w:rFonts w:ascii="仿宋_GB2312" w:hAnsi="宋体" w:eastAsia="仿宋_GB2312" w:cs="Courier New"/>
          <w:sz w:val="32"/>
          <w:szCs w:val="32"/>
        </w:rPr>
        <w:t>)</w:t>
      </w:r>
      <w:r>
        <w:rPr>
          <w:rFonts w:hint="eastAsia" w:ascii="仿宋_GB2312" w:hAnsi="宋体" w:eastAsia="仿宋_GB2312" w:cs="Courier New"/>
          <w:sz w:val="32"/>
          <w:szCs w:val="32"/>
        </w:rPr>
        <w:t>会同有关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Courier New"/>
          <w:sz w:val="32"/>
          <w:szCs w:val="32"/>
        </w:rPr>
        <w:t>制定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招生计划。</w:t>
      </w:r>
    </w:p>
    <w:p w14:paraId="2DEAEF74">
      <w:pPr>
        <w:pStyle w:val="12"/>
        <w:spacing w:line="360" w:lineRule="auto"/>
        <w:ind w:left="-50" w:leftChars="-24" w:right="-68"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ascii="仿宋_GB2312" w:hAnsi="宋体" w:eastAsia="仿宋_GB2312" w:cs="Courier New"/>
          <w:sz w:val="32"/>
          <w:szCs w:val="32"/>
        </w:rPr>
        <w:t>(</w:t>
      </w:r>
      <w:r>
        <w:rPr>
          <w:rFonts w:hint="eastAsia" w:ascii="仿宋_GB2312" w:hAnsi="宋体" w:eastAsia="仿宋_GB2312" w:cs="Courier New"/>
          <w:sz w:val="32"/>
          <w:szCs w:val="32"/>
        </w:rPr>
        <w:t>九</w:t>
      </w:r>
      <w:r>
        <w:rPr>
          <w:rFonts w:ascii="仿宋_GB2312" w:hAnsi="宋体" w:eastAsia="仿宋_GB2312" w:cs="Courier New"/>
          <w:sz w:val="32"/>
          <w:szCs w:val="32"/>
        </w:rPr>
        <w:t>)</w:t>
      </w:r>
      <w:r>
        <w:rPr>
          <w:rFonts w:hint="eastAsia" w:ascii="仿宋_GB2312" w:hAnsi="宋体" w:eastAsia="仿宋_GB2312" w:cs="Courier New"/>
          <w:sz w:val="32"/>
          <w:szCs w:val="32"/>
        </w:rPr>
        <w:t>负责管理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教育系统的科研工作</w:t>
      </w:r>
      <w:r>
        <w:rPr>
          <w:rFonts w:ascii="仿宋_GB2312" w:hAnsi="宋体" w:eastAsia="仿宋_GB2312" w:cs="Courier New"/>
          <w:sz w:val="32"/>
          <w:szCs w:val="32"/>
        </w:rPr>
        <w:t>;</w:t>
      </w:r>
      <w:r>
        <w:rPr>
          <w:rFonts w:hint="eastAsia" w:ascii="仿宋_GB2312" w:hAnsi="宋体" w:eastAsia="仿宋_GB2312" w:cs="Courier New"/>
          <w:sz w:val="32"/>
          <w:szCs w:val="32"/>
        </w:rPr>
        <w:t>指导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教育系统信息化建设</w:t>
      </w:r>
      <w:r>
        <w:rPr>
          <w:rFonts w:ascii="仿宋_GB2312" w:hAnsi="宋体" w:eastAsia="仿宋_GB2312" w:cs="Courier New"/>
          <w:sz w:val="32"/>
          <w:szCs w:val="32"/>
        </w:rPr>
        <w:t>;</w:t>
      </w:r>
      <w:r>
        <w:rPr>
          <w:rFonts w:hint="eastAsia" w:ascii="仿宋_GB2312" w:hAnsi="宋体" w:eastAsia="仿宋_GB2312" w:cs="Courier New"/>
          <w:sz w:val="32"/>
          <w:szCs w:val="32"/>
        </w:rPr>
        <w:t>组织指导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对外交流与合作。</w:t>
      </w:r>
    </w:p>
    <w:p w14:paraId="1F3F3A38">
      <w:pPr>
        <w:pStyle w:val="12"/>
        <w:spacing w:line="360" w:lineRule="auto"/>
        <w:ind w:right="-68"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ascii="仿宋_GB2312" w:hAnsi="宋体" w:eastAsia="仿宋_GB2312" w:cs="Courier New"/>
          <w:sz w:val="32"/>
          <w:szCs w:val="32"/>
        </w:rPr>
        <w:t>(</w:t>
      </w:r>
      <w:r>
        <w:rPr>
          <w:rFonts w:hint="eastAsia" w:ascii="仿宋_GB2312" w:hAnsi="宋体" w:eastAsia="仿宋_GB2312" w:cs="Courier New"/>
          <w:sz w:val="32"/>
          <w:szCs w:val="32"/>
        </w:rPr>
        <w:t>十</w:t>
      </w:r>
      <w:r>
        <w:rPr>
          <w:rFonts w:ascii="仿宋_GB2312" w:hAnsi="宋体" w:eastAsia="仿宋_GB2312" w:cs="Courier New"/>
          <w:sz w:val="32"/>
          <w:szCs w:val="32"/>
        </w:rPr>
        <w:t>)</w:t>
      </w:r>
      <w:r>
        <w:rPr>
          <w:rFonts w:hint="eastAsia" w:ascii="仿宋_GB2312" w:hAnsi="宋体" w:eastAsia="仿宋_GB2312" w:cs="Courier New"/>
          <w:sz w:val="32"/>
          <w:szCs w:val="32"/>
        </w:rPr>
        <w:t>落实国家语言文字工作的方针政策</w:t>
      </w:r>
      <w:r>
        <w:rPr>
          <w:rFonts w:ascii="仿宋_GB2312" w:hAnsi="宋体" w:eastAsia="仿宋_GB2312" w:cs="Courier New"/>
          <w:sz w:val="32"/>
          <w:szCs w:val="32"/>
        </w:rPr>
        <w:t>,</w:t>
      </w:r>
      <w:r>
        <w:rPr>
          <w:rFonts w:hint="eastAsia" w:ascii="仿宋_GB2312" w:hAnsi="宋体" w:eastAsia="仿宋_GB2312" w:cs="Courier New"/>
          <w:sz w:val="32"/>
          <w:szCs w:val="32"/>
        </w:rPr>
        <w:t>制定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语言文字工作规划</w:t>
      </w:r>
      <w:r>
        <w:rPr>
          <w:rFonts w:ascii="仿宋_GB2312" w:hAnsi="宋体" w:eastAsia="仿宋_GB2312" w:cs="Courier New"/>
          <w:sz w:val="32"/>
          <w:szCs w:val="32"/>
        </w:rPr>
        <w:t xml:space="preserve">; </w:t>
      </w:r>
      <w:r>
        <w:rPr>
          <w:rFonts w:hint="eastAsia" w:ascii="仿宋_GB2312" w:hAnsi="宋体" w:eastAsia="仿宋_GB2312" w:cs="Courier New"/>
          <w:sz w:val="32"/>
          <w:szCs w:val="32"/>
        </w:rPr>
        <w:t>负责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南田小学</w:t>
      </w:r>
      <w:r>
        <w:rPr>
          <w:rFonts w:hint="eastAsia" w:ascii="仿宋_GB2312" w:hAnsi="宋体" w:eastAsia="仿宋_GB2312" w:cs="Courier New"/>
          <w:sz w:val="32"/>
          <w:szCs w:val="32"/>
        </w:rPr>
        <w:t>普通话推广工作和普通话师资培训工作。</w:t>
      </w:r>
    </w:p>
    <w:p w14:paraId="1A73247C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right="-68" w:firstLine="640" w:firstLineChars="200"/>
        <w:textAlignment w:val="auto"/>
        <w:rPr>
          <w:rFonts w:ascii="仿宋_GB2312" w:hAnsi="宋体" w:eastAsia="仿宋_GB2312" w:cs="Courier New"/>
          <w:sz w:val="32"/>
          <w:szCs w:val="32"/>
        </w:rPr>
      </w:pPr>
      <w:r>
        <w:rPr>
          <w:rFonts w:ascii="仿宋_GB2312" w:hAnsi="宋体" w:eastAsia="仿宋_GB2312" w:cs="Courier New"/>
          <w:sz w:val="32"/>
          <w:szCs w:val="32"/>
        </w:rPr>
        <w:t>(</w:t>
      </w:r>
      <w:r>
        <w:rPr>
          <w:rFonts w:hint="eastAsia" w:ascii="仿宋_GB2312" w:hAnsi="宋体" w:eastAsia="仿宋_GB2312" w:cs="Courier New"/>
          <w:sz w:val="32"/>
          <w:szCs w:val="32"/>
        </w:rPr>
        <w:t>十一</w:t>
      </w:r>
      <w:r>
        <w:rPr>
          <w:rFonts w:ascii="仿宋_GB2312" w:hAnsi="宋体" w:eastAsia="仿宋_GB2312" w:cs="Courier New"/>
          <w:sz w:val="32"/>
          <w:szCs w:val="32"/>
        </w:rPr>
        <w:t>)</w:t>
      </w:r>
      <w:r>
        <w:rPr>
          <w:rFonts w:hint="eastAsia" w:ascii="仿宋_GB2312" w:hAnsi="宋体" w:eastAsia="仿宋_GB2312" w:cs="Courier New"/>
          <w:sz w:val="32"/>
          <w:szCs w:val="32"/>
        </w:rPr>
        <w:t>完成区委、区政府交办的其他任务。</w:t>
      </w:r>
    </w:p>
    <w:p w14:paraId="6B801DA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仿宋_GB2312" w:hAnsi="Times New Roman" w:eastAsia="仿宋_GB2312" w:cs="仿宋_GB2312"/>
          <w:b/>
          <w:bCs/>
          <w:sz w:val="32"/>
          <w:szCs w:val="32"/>
          <w:highlight w:val="none"/>
        </w:rPr>
        <w:t>预算单位</w:t>
      </w:r>
      <w:r>
        <w:rPr>
          <w:rFonts w:hint="eastAsia" w:ascii="仿宋_GB2312" w:hAnsi="Times New Roman" w:eastAsia="仿宋_GB2312" w:cs="仿宋_GB2312"/>
          <w:b/>
          <w:bCs/>
          <w:sz w:val="32"/>
          <w:szCs w:val="32"/>
          <w:highlight w:val="none"/>
          <w:lang w:eastAsia="zh-CN"/>
        </w:rPr>
        <w:t>构成情况</w:t>
      </w:r>
    </w:p>
    <w:p w14:paraId="7D75BB0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00"/>
        <w:textAlignment w:val="auto"/>
        <w:rPr>
          <w:rFonts w:ascii="仿宋_GB2312" w:hAnsi="宋体" w:eastAsia="仿宋_GB2312" w:cs="宋体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eastAsia="zh-CN"/>
        </w:rPr>
        <w:t>本单位预算包括机关本级预算和下级所属单位预算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</w:rPr>
        <w:t>。本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</w:rPr>
        <w:t>预算为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</w:rPr>
        <w:t>预算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</w:rPr>
        <w:t>有二级机构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</w:rPr>
        <w:t>个，三级预算单位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</w:rPr>
        <w:t>个。纳入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</w:rPr>
        <w:t>年度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</w:rPr>
        <w:t>预算编报范围的预算单位如下：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eastAsia="zh-CN"/>
        </w:rPr>
        <w:t>安阳市龙安区南田小学</w:t>
      </w:r>
    </w:p>
    <w:p w14:paraId="751925C0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28044F8C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4EACC283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16A2B801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1B3E38E5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149C6F56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0D1BB4B4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56263281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452CEAFE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0D27360A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4FF0DF14">
      <w:pPr>
        <w:adjustRightInd w:val="0"/>
        <w:snapToGrid w:val="0"/>
        <w:spacing w:line="360" w:lineRule="auto"/>
        <w:jc w:val="center"/>
        <w:rPr>
          <w:rFonts w:ascii="宋体" w:hAnsi="宋体" w:cs="黑体"/>
          <w:b/>
          <w:spacing w:val="-38"/>
          <w:sz w:val="40"/>
          <w:szCs w:val="32"/>
        </w:rPr>
      </w:pPr>
      <w:r>
        <w:rPr>
          <w:rFonts w:hint="eastAsia" w:ascii="宋体" w:hAnsi="宋体" w:cs="黑体"/>
          <w:b/>
          <w:sz w:val="40"/>
          <w:szCs w:val="32"/>
        </w:rPr>
        <w:t>第二部分</w:t>
      </w:r>
    </w:p>
    <w:p w14:paraId="191A9632"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bCs/>
          <w:sz w:val="40"/>
          <w:szCs w:val="32"/>
        </w:rPr>
      </w:pPr>
      <w:r>
        <w:rPr>
          <w:rFonts w:hint="eastAsia" w:ascii="黑体" w:hAnsi="Times New Roman" w:eastAsia="黑体" w:cs="黑体"/>
          <w:b/>
          <w:bCs/>
          <w:sz w:val="40"/>
          <w:szCs w:val="32"/>
          <w:lang w:eastAsia="zh-CN"/>
        </w:rPr>
        <w:t>安阳市龙安区南田小学2026</w:t>
      </w:r>
      <w:r>
        <w:rPr>
          <w:rFonts w:hint="eastAsia" w:ascii="黑体" w:hAnsi="Times New Roman" w:eastAsia="黑体" w:cs="黑体"/>
          <w:b/>
          <w:bCs/>
          <w:sz w:val="40"/>
          <w:szCs w:val="32"/>
        </w:rPr>
        <w:t>年度</w:t>
      </w:r>
      <w:r>
        <w:rPr>
          <w:rFonts w:hint="eastAsia" w:ascii="黑体" w:hAnsi="Times New Roman" w:eastAsia="黑体" w:cs="黑体"/>
          <w:b/>
          <w:bCs/>
          <w:sz w:val="40"/>
          <w:szCs w:val="32"/>
          <w:lang w:eastAsia="zh-CN"/>
        </w:rPr>
        <w:t>单位</w:t>
      </w:r>
      <w:r>
        <w:rPr>
          <w:rFonts w:hint="eastAsia" w:ascii="黑体" w:hAnsi="Times New Roman" w:eastAsia="黑体" w:cs="黑体"/>
          <w:b/>
          <w:bCs/>
          <w:sz w:val="40"/>
          <w:szCs w:val="32"/>
        </w:rPr>
        <w:t>预算情况说明</w:t>
      </w:r>
    </w:p>
    <w:p w14:paraId="4940A8EC">
      <w:pPr>
        <w:adjustRightInd w:val="0"/>
        <w:snapToGrid w:val="0"/>
        <w:spacing w:line="360" w:lineRule="auto"/>
        <w:ind w:firstLine="640" w:firstLineChars="200"/>
        <w:rPr>
          <w:rFonts w:ascii="黑体" w:hAnsi="黑体" w:eastAsia="黑体"/>
          <w:sz w:val="32"/>
          <w:szCs w:val="32"/>
        </w:rPr>
      </w:pPr>
    </w:p>
    <w:p w14:paraId="1EAE5170">
      <w:pPr>
        <w:adjustRightInd w:val="0"/>
        <w:snapToGrid w:val="0"/>
        <w:spacing w:line="360" w:lineRule="auto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eastAsia="zh-CN"/>
        </w:rPr>
        <w:t>单位</w:t>
      </w:r>
      <w:r>
        <w:rPr>
          <w:rFonts w:hint="eastAsia" w:ascii="黑体" w:hAnsi="黑体" w:eastAsia="黑体"/>
          <w:sz w:val="32"/>
          <w:szCs w:val="32"/>
        </w:rPr>
        <w:t>收支总体情况说明</w:t>
      </w:r>
      <w:r>
        <w:rPr>
          <w:rFonts w:ascii="黑体" w:hAnsi="黑体" w:eastAsia="黑体"/>
          <w:color w:val="FF0000"/>
          <w:sz w:val="32"/>
          <w:szCs w:val="32"/>
        </w:rPr>
        <w:t xml:space="preserve">                    </w:t>
      </w:r>
    </w:p>
    <w:p w14:paraId="0BFBD349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</w:rPr>
        <w:t>年收入总计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166.61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</w:rPr>
        <w:t>万元，支出总计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166.61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</w:rPr>
        <w:t>万元，与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</w:rPr>
        <w:t>年相比，收支总计各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eastAsia="zh-CN"/>
        </w:rPr>
        <w:t>减少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13.68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eastAsia="zh-CN"/>
        </w:rPr>
        <w:t>减少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7.59</w:t>
      </w:r>
      <w:r>
        <w:rPr>
          <w:rFonts w:ascii="仿宋_GB2312" w:hAnsi="宋体" w:eastAsia="仿宋_GB2312" w:cs="Courier New"/>
          <w:b w:val="0"/>
          <w:bCs w:val="0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</w:rPr>
        <w:t>。主要原因：</w:t>
      </w:r>
      <w:r>
        <w:rPr>
          <w:rFonts w:hint="eastAsia" w:ascii="仿宋_GB2312" w:eastAsia="仿宋_GB2312"/>
          <w:b w:val="0"/>
          <w:bCs w:val="0"/>
          <w:color w:val="000000"/>
          <w:sz w:val="32"/>
          <w:szCs w:val="32"/>
          <w:lang w:eastAsia="zh-CN"/>
        </w:rPr>
        <w:t>工资福利等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  <w:lang w:eastAsia="zh-CN"/>
        </w:rPr>
        <w:t>减少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</w:rPr>
        <w:t>。</w:t>
      </w:r>
    </w:p>
    <w:p w14:paraId="527C51E2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eastAsia="zh-CN"/>
        </w:rPr>
        <w:t>单位</w:t>
      </w:r>
      <w:r>
        <w:rPr>
          <w:rFonts w:hint="eastAsia" w:ascii="黑体" w:hAnsi="黑体" w:eastAsia="黑体"/>
          <w:sz w:val="32"/>
          <w:szCs w:val="32"/>
        </w:rPr>
        <w:t>收入总体情况说明</w:t>
      </w:r>
      <w:r>
        <w:rPr>
          <w:rFonts w:ascii="黑体" w:hAnsi="黑体" w:eastAsia="黑体"/>
          <w:color w:val="FF0000"/>
          <w:sz w:val="32"/>
          <w:szCs w:val="32"/>
        </w:rPr>
        <w:t xml:space="preserve">                  </w:t>
      </w:r>
    </w:p>
    <w:p w14:paraId="29EA401B">
      <w:pPr>
        <w:spacing w:line="560" w:lineRule="exact"/>
        <w:ind w:firstLine="640" w:firstLineChars="200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2026</w:t>
      </w:r>
      <w:r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</w:rPr>
        <w:t>年收入合计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166.61</w:t>
      </w:r>
      <w:r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</w:rPr>
        <w:t>万元，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其中：一般公共预算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166.61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万元</w:t>
      </w:r>
      <w:r>
        <w:rPr>
          <w:rFonts w:ascii="仿宋_GB2312" w:eastAsia="仿宋_GB2312"/>
          <w:b w:val="0"/>
          <w:bCs w:val="0"/>
          <w:color w:val="000000" w:themeColor="text1"/>
          <w:sz w:val="32"/>
          <w:szCs w:val="32"/>
        </w:rPr>
        <w:t>;</w:t>
      </w:r>
      <w:r>
        <w:rPr>
          <w:rFonts w:ascii="仿宋_GB2312" w:hAnsi="Times New Roman" w:eastAsia="仿宋_GB2312"/>
          <w:b w:val="0"/>
          <w:bCs w:val="0"/>
          <w:color w:val="000000" w:themeColor="text1"/>
          <w:sz w:val="32"/>
          <w:szCs w:val="32"/>
        </w:rPr>
        <w:t xml:space="preserve"> </w:t>
      </w:r>
      <w:r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</w:rPr>
        <w:t>政府性基金收入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</w:rPr>
        <w:t>万元；专户管理的教育收费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</w:rPr>
        <w:t>万元；国有资本经营预算收入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</w:rPr>
        <w:t>万元；事业收入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</w:rPr>
        <w:t>万元；经营收入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</w:rPr>
        <w:t>万元；其他收入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</w:rPr>
        <w:t>万元</w:t>
      </w:r>
      <w:r>
        <w:rPr>
          <w:rFonts w:hint="eastAsia" w:ascii="仿宋_GB2312" w:hAnsi="Times New Roman" w:eastAsia="仿宋_GB2312"/>
          <w:b w:val="0"/>
          <w:bCs w:val="0"/>
          <w:sz w:val="32"/>
          <w:szCs w:val="32"/>
        </w:rPr>
        <w:t>。</w:t>
      </w:r>
    </w:p>
    <w:p w14:paraId="2BB163D6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</w:t>
      </w:r>
      <w:r>
        <w:rPr>
          <w:rFonts w:hint="eastAsia" w:ascii="黑体" w:hAnsi="黑体" w:eastAsia="黑体"/>
          <w:sz w:val="32"/>
          <w:szCs w:val="32"/>
          <w:lang w:eastAsia="zh-CN"/>
        </w:rPr>
        <w:t>单位</w:t>
      </w:r>
      <w:r>
        <w:rPr>
          <w:rFonts w:hint="eastAsia" w:ascii="黑体" w:hAnsi="黑体" w:eastAsia="黑体"/>
          <w:sz w:val="32"/>
          <w:szCs w:val="32"/>
        </w:rPr>
        <w:t>支出总体情况说明</w:t>
      </w:r>
      <w:r>
        <w:rPr>
          <w:rFonts w:ascii="黑体" w:hAnsi="黑体" w:eastAsia="黑体"/>
          <w:color w:val="FF0000"/>
          <w:sz w:val="32"/>
          <w:szCs w:val="32"/>
        </w:rPr>
        <w:t xml:space="preserve">                        </w:t>
      </w:r>
    </w:p>
    <w:p w14:paraId="109A32B5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年支出合计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166.61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万元，其中：基本支出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164.23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万元，占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98.57</w:t>
      </w:r>
      <w:r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；项目支出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2.38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万元，占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1.43</w:t>
      </w:r>
      <w:r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。</w:t>
      </w:r>
    </w:p>
    <w:p w14:paraId="5E240F1D">
      <w:pPr>
        <w:spacing w:line="360" w:lineRule="auto"/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四、财政拨款收支总体情况说明</w:t>
      </w:r>
      <w:r>
        <w:rPr>
          <w:rFonts w:ascii="黑体" w:hAnsi="黑体" w:eastAsia="黑体"/>
          <w:color w:val="FF0000"/>
          <w:sz w:val="32"/>
          <w:szCs w:val="32"/>
        </w:rPr>
        <w:t xml:space="preserve">         </w:t>
      </w:r>
    </w:p>
    <w:p w14:paraId="7780B554"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b w:val="0"/>
          <w:bCs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年一般公共预算收支预算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166.61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万元，政府性基金收支预算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万元。与</w:t>
      </w:r>
      <w:r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年相比，一般公共预算收支预算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13.68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</w:rPr>
        <w:t>万元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，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eastAsia="zh-CN"/>
        </w:rPr>
        <w:t>减少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  <w:lang w:val="en-US" w:eastAsia="zh-CN"/>
        </w:rPr>
        <w:t>7.59</w:t>
      </w:r>
      <w:r>
        <w:rPr>
          <w:rFonts w:ascii="仿宋_GB2312" w:hAnsi="宋体" w:eastAsia="仿宋_GB2312" w:cs="Courier New"/>
          <w:b w:val="0"/>
          <w:bCs w:val="0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</w:rPr>
        <w:t>。主要原因：</w:t>
      </w:r>
      <w:r>
        <w:rPr>
          <w:rFonts w:hint="eastAsia" w:ascii="仿宋_GB2312" w:eastAsia="仿宋_GB2312"/>
          <w:b w:val="0"/>
          <w:bCs w:val="0"/>
          <w:color w:val="000000"/>
          <w:sz w:val="32"/>
          <w:szCs w:val="32"/>
          <w:lang w:eastAsia="zh-CN"/>
        </w:rPr>
        <w:t>工资福利等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b/>
          <w:color w:val="000000" w:themeColor="text1"/>
          <w:sz w:val="32"/>
          <w:szCs w:val="32"/>
        </w:rPr>
        <w:t>。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政府性基金收支预算增加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万元，增长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Courier New"/>
          <w:color w:val="000000" w:themeColor="text1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。主要原因：</w:t>
      </w:r>
      <w:r>
        <w:rPr>
          <w:rFonts w:hint="eastAsia" w:ascii="仿宋_GB2312" w:eastAsia="仿宋_GB2312"/>
          <w:b w:val="0"/>
          <w:bCs/>
          <w:color w:val="000000" w:themeColor="text1"/>
          <w:sz w:val="32"/>
          <w:szCs w:val="32"/>
          <w:lang w:eastAsia="zh-CN"/>
        </w:rPr>
        <w:t>无政府性基金</w:t>
      </w:r>
      <w:r>
        <w:rPr>
          <w:rFonts w:hint="eastAsia" w:ascii="仿宋_GB2312" w:eastAsia="仿宋_GB2312"/>
          <w:b w:val="0"/>
          <w:bCs/>
          <w:color w:val="000000" w:themeColor="text1"/>
          <w:sz w:val="32"/>
          <w:szCs w:val="32"/>
        </w:rPr>
        <w:t>。</w:t>
      </w:r>
    </w:p>
    <w:p w14:paraId="79CB8198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五、一般公共预算支出情况说明</w:t>
      </w:r>
      <w:r>
        <w:rPr>
          <w:rFonts w:ascii="黑体" w:hAnsi="黑体" w:eastAsia="黑体"/>
          <w:color w:val="FF0000"/>
          <w:sz w:val="32"/>
          <w:szCs w:val="32"/>
        </w:rPr>
        <w:t xml:space="preserve">                   </w:t>
      </w:r>
    </w:p>
    <w:p w14:paraId="0E550AC0">
      <w:pPr>
        <w:spacing w:line="560" w:lineRule="exact"/>
        <w:ind w:firstLine="640" w:firstLineChars="200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eastAsia="zh-CN"/>
        </w:rPr>
        <w:t>一般公共预算支出年初预算为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166.61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万元，其中：基本支出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164.23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万元，占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98.57</w:t>
      </w:r>
      <w:r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；项目支出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2.38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万元，占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1.43</w:t>
      </w:r>
      <w:r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。</w:t>
      </w:r>
    </w:p>
    <w:p w14:paraId="1722E49C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Times New Roman" w:eastAsia="黑体" w:cs="黑体"/>
          <w:kern w:val="0"/>
          <w:sz w:val="32"/>
          <w:szCs w:val="32"/>
        </w:rPr>
        <w:t>六、</w:t>
      </w:r>
      <w:r>
        <w:rPr>
          <w:rFonts w:hint="eastAsia" w:ascii="黑体" w:hAnsi="黑体" w:eastAsia="黑体"/>
          <w:sz w:val="32"/>
          <w:szCs w:val="32"/>
        </w:rPr>
        <w:t>一般公共预算支出情况说明</w:t>
      </w:r>
      <w:r>
        <w:rPr>
          <w:rFonts w:ascii="黑体" w:hAnsi="黑体" w:eastAsia="黑体"/>
          <w:color w:val="FF0000"/>
          <w:sz w:val="32"/>
          <w:szCs w:val="32"/>
        </w:rPr>
        <w:t xml:space="preserve">                   </w:t>
      </w:r>
    </w:p>
    <w:p w14:paraId="43C66075">
      <w:pPr>
        <w:spacing w:line="360" w:lineRule="auto"/>
        <w:ind w:firstLine="640" w:firstLineChars="200"/>
        <w:rPr>
          <w:rFonts w:ascii="仿宋_GB2312" w:hAnsi="宋体" w:eastAsia="仿宋_GB2312" w:cs="Courier New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eastAsia="zh-CN"/>
        </w:rPr>
        <w:t>一般公共预算基本支出年初预算为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164.23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万元，其中：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eastAsia="zh-CN"/>
        </w:rPr>
        <w:t>人员经费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163.6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万元，占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99.62</w:t>
      </w:r>
      <w:r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；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eastAsia="zh-CN"/>
        </w:rPr>
        <w:t>公用经费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0.63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万元，占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0.38</w:t>
      </w:r>
      <w:r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sz w:val="32"/>
          <w:szCs w:val="32"/>
        </w:rPr>
        <w:t>。</w:t>
      </w:r>
    </w:p>
    <w:p w14:paraId="24CFCF6B">
      <w:pPr>
        <w:spacing w:line="360" w:lineRule="auto"/>
        <w:ind w:firstLine="640" w:firstLineChars="200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黑体" w:hAnsi="Times New Roman" w:eastAsia="黑体" w:cs="黑体"/>
          <w:b w:val="0"/>
          <w:bCs w:val="0"/>
          <w:kern w:val="0"/>
          <w:sz w:val="32"/>
          <w:szCs w:val="32"/>
        </w:rPr>
        <w:t>七、</w:t>
      </w:r>
      <w:r>
        <w:rPr>
          <w:rFonts w:ascii="黑体" w:hAnsi="Times New Roman" w:eastAsia="黑体" w:cs="黑体"/>
          <w:b w:val="0"/>
          <w:bCs w:val="0"/>
          <w:kern w:val="0"/>
          <w:sz w:val="32"/>
          <w:szCs w:val="32"/>
        </w:rPr>
        <w:t xml:space="preserve"> </w:t>
      </w:r>
      <w:r>
        <w:rPr>
          <w:rFonts w:hint="eastAsia" w:ascii="黑体" w:hAnsi="Times New Roman" w:eastAsia="黑体" w:cs="黑体"/>
          <w:b w:val="0"/>
          <w:bCs w:val="0"/>
          <w:kern w:val="0"/>
          <w:sz w:val="32"/>
          <w:szCs w:val="32"/>
        </w:rPr>
        <w:t>一般公共预算“三公”经费支出情况说明</w:t>
      </w:r>
    </w:p>
    <w:p w14:paraId="3129DF33">
      <w:pPr>
        <w:spacing w:line="360" w:lineRule="auto"/>
        <w:ind w:firstLine="640" w:firstLineChars="200"/>
        <w:rPr>
          <w:rFonts w:ascii="仿宋_GB2312" w:eastAsia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我单位2026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年“三公”经费预算为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万元。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年“三公”经费支出预算数比</w:t>
      </w:r>
      <w:r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 xml:space="preserve"> 20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年增加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万元。</w:t>
      </w:r>
    </w:p>
    <w:p w14:paraId="172681F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具体支出情况如下：</w:t>
      </w:r>
    </w:p>
    <w:p w14:paraId="7278E6B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36" w:firstLineChars="200"/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spacing w:val="-1"/>
          <w:kern w:val="0"/>
          <w:sz w:val="32"/>
          <w:szCs w:val="32"/>
        </w:rPr>
        <w:t>（一）因公出国（境）费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spacing w:val="-1"/>
          <w:kern w:val="0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主要用于单位工作人员公务出国（境）的住宿费、旅费、伙食补助费、杂费、培训费等支出。因公出国（境）费预算数与</w:t>
      </w:r>
      <w:r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20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年相比，增加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万元。主要原因：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无因公出国（境）支出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。</w:t>
      </w:r>
    </w:p>
    <w:p w14:paraId="0A3BF63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36" w:firstLineChars="200"/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spacing w:val="-1"/>
          <w:kern w:val="0"/>
          <w:sz w:val="32"/>
          <w:szCs w:val="32"/>
        </w:rPr>
        <w:t>（二）公务用车购置及运行费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kern w:val="0"/>
          <w:sz w:val="32"/>
          <w:szCs w:val="32"/>
        </w:rPr>
        <w:t>万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元，其中，公务用车购置费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万元；公务用车运行维护费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万元，主要用于开展工作所需公务用车的燃料费、维修费、过路过桥费、保险费、安全奖励费用等支出。公务用车购置费预算数与</w:t>
      </w:r>
      <w:r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 xml:space="preserve"> 20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年相比增加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主要原因：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无公务用车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。公务用车运行维护费预算数比</w:t>
      </w:r>
      <w:r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 xml:space="preserve"> 20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年</w:t>
      </w:r>
      <w:bookmarkStart w:id="0" w:name="OLE_LINK1"/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增加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</w:t>
      </w:r>
      <w:bookmarkEnd w:id="0"/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主要原因：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无公务用车运行支出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。</w:t>
      </w:r>
    </w:p>
    <w:p w14:paraId="3769CE1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36" w:firstLineChars="200"/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spacing w:val="-1"/>
          <w:kern w:val="0"/>
          <w:sz w:val="32"/>
          <w:szCs w:val="32"/>
        </w:rPr>
        <w:t>（三）公务接待费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万元，主要用于按规定开支的各类公务接待（含外宾接待）支出。公务接待费预算数比</w:t>
      </w:r>
      <w:r>
        <w:rPr>
          <w:rFonts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 xml:space="preserve"> 20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年增加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万元。主要原因：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无公务接待支出</w:t>
      </w:r>
      <w:r>
        <w:rPr>
          <w:rFonts w:hint="eastAsia" w:ascii="仿宋_GB2312" w:hAnsi="宋体" w:eastAsia="仿宋_GB2312" w:cs="Courier New"/>
          <w:b w:val="0"/>
          <w:bCs w:val="0"/>
          <w:color w:val="000000" w:themeColor="text1"/>
          <w:sz w:val="32"/>
          <w:szCs w:val="32"/>
        </w:rPr>
        <w:t>。</w:t>
      </w:r>
    </w:p>
    <w:p w14:paraId="465BE79C">
      <w:pPr>
        <w:spacing w:line="360" w:lineRule="auto"/>
        <w:ind w:firstLine="640" w:firstLineChars="200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黑体" w:hAnsi="Times New Roman" w:eastAsia="黑体" w:cs="黑体"/>
          <w:b w:val="0"/>
          <w:bCs w:val="0"/>
          <w:kern w:val="0"/>
          <w:sz w:val="32"/>
          <w:szCs w:val="32"/>
        </w:rPr>
        <w:t>八、政府性基金预算支出情况说明</w:t>
      </w:r>
    </w:p>
    <w:p w14:paraId="45A61254">
      <w:pPr>
        <w:spacing w:line="360" w:lineRule="auto"/>
        <w:ind w:firstLine="640" w:firstLineChars="200"/>
        <w:rPr>
          <w:rFonts w:hint="eastAsia" w:ascii="仿宋_GB2312" w:eastAsia="仿宋_GB2312"/>
          <w:b/>
          <w:color w:val="FF0000"/>
          <w:sz w:val="32"/>
          <w:szCs w:val="32"/>
        </w:rPr>
      </w:pP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eastAsia="zh-CN"/>
        </w:rPr>
        <w:t>我单位</w:t>
      </w: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val="en-US" w:eastAsia="zh-CN"/>
        </w:rPr>
        <w:t>2026年没有使用政府性基金预算拨款安排的支出。</w:t>
      </w:r>
    </w:p>
    <w:p w14:paraId="0610445B">
      <w:pPr>
        <w:spacing w:line="360" w:lineRule="auto"/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九、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shd w:val="clear" w:color="auto" w:fill="FFFFFF"/>
        </w:rPr>
        <w:t>其他重要事项的情况说明</w:t>
      </w:r>
    </w:p>
    <w:p w14:paraId="432AB86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（一）机关运行经费支出情况</w:t>
      </w:r>
    </w:p>
    <w:p w14:paraId="399BC5A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  <w:t>安阳市龙安区南田小学2026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运行经费支出预算</w:t>
      </w:r>
      <w:r>
        <w:rPr>
          <w:rFonts w:hint="eastAsia" w:ascii="仿宋_GB2312" w:eastAsia="仿宋_GB2312"/>
          <w:b w:val="0"/>
          <w:bCs/>
          <w:color w:val="000000" w:themeColor="text1"/>
          <w:sz w:val="32"/>
          <w:szCs w:val="32"/>
          <w:lang w:val="en-US" w:eastAsia="zh-CN"/>
        </w:rPr>
        <w:t>0.63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万元，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主要保障机构正常运行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  <w:t>及正常履职需要所需支出，包括公用经费、公务交通补贴、工会经费、职工福利等。</w:t>
      </w:r>
    </w:p>
    <w:p w14:paraId="722AE83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ascii="仿宋_GB2312" w:hAnsi="Times New Roman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（二）政府采购支出情况</w:t>
      </w:r>
    </w:p>
    <w:p w14:paraId="5A689FD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楷体_GB2312" w:hAnsi="Times New Roman" w:eastAsia="楷体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年政府采购预算安排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万元，其中：政府采购货物预算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万元、政府采购工程预算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万元、政府采购服务预算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</w:rPr>
        <w:t>万元。</w:t>
      </w:r>
    </w:p>
    <w:p w14:paraId="7132B1DD">
      <w:pPr>
        <w:kinsoku w:val="0"/>
        <w:overflowPunct w:val="0"/>
        <w:adjustRightInd w:val="0"/>
        <w:snapToGrid w:val="0"/>
        <w:spacing w:line="360" w:lineRule="auto"/>
        <w:ind w:firstLine="482" w:firstLineChars="150"/>
        <w:jc w:val="left"/>
        <w:rPr>
          <w:rFonts w:hint="eastAsia" w:ascii="仿宋_GB2312" w:hAnsi="Times New Roman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（三）</w:t>
      </w:r>
      <w:r>
        <w:rPr>
          <w:rFonts w:hint="eastAsia" w:ascii="仿宋_GB2312" w:hAnsi="Times New Roman" w:eastAsia="仿宋_GB2312" w:cs="仿宋_GB2312"/>
          <w:b/>
          <w:sz w:val="32"/>
          <w:szCs w:val="32"/>
        </w:rPr>
        <w:t>绩效目标</w:t>
      </w:r>
      <w:r>
        <w:rPr>
          <w:rFonts w:hint="eastAsia" w:ascii="仿宋_GB2312" w:hAnsi="Times New Roman" w:eastAsia="仿宋_GB2312" w:cs="仿宋_GB2312"/>
          <w:b/>
          <w:sz w:val="32"/>
          <w:szCs w:val="32"/>
          <w:lang w:eastAsia="zh-CN"/>
        </w:rPr>
        <w:t>设置情况</w:t>
      </w:r>
    </w:p>
    <w:p w14:paraId="4543AD2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我单位 2026年预算项目均分别从项目成本、项目产出、项目效益、项目满意度等方面按要求设置了绩效目标。本单位没有重点项目，所以没有重点项目绩效。</w:t>
      </w:r>
    </w:p>
    <w:p w14:paraId="429040A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ascii="仿宋_GB2312" w:hAnsi="Times New Roman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（四）国有资产占用情况。</w:t>
      </w:r>
    </w:p>
    <w:p w14:paraId="5F95BF1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年末，我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共有车辆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辆，其中：一般公务用车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辆、一般执法执勤用车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辆、特种专业技术用车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辆，其他用车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辆；单价</w:t>
      </w:r>
      <w:r>
        <w:rPr>
          <w:rFonts w:ascii="仿宋_GB2312" w:hAnsi="宋体" w:eastAsia="仿宋_GB2312" w:cs="Courier New"/>
          <w:color w:val="000000" w:themeColor="text1"/>
          <w:sz w:val="32"/>
          <w:szCs w:val="32"/>
        </w:rPr>
        <w:t>50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万元以上通用设备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台（套），单位价值</w:t>
      </w:r>
      <w:r>
        <w:rPr>
          <w:rFonts w:ascii="仿宋_GB2312" w:hAnsi="宋体" w:eastAsia="仿宋_GB2312" w:cs="Courier New"/>
          <w:color w:val="000000" w:themeColor="text1"/>
          <w:sz w:val="32"/>
          <w:szCs w:val="32"/>
        </w:rPr>
        <w:t>100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万元以上专用设备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000000" w:themeColor="text1"/>
          <w:sz w:val="32"/>
          <w:szCs w:val="32"/>
        </w:rPr>
        <w:t>台（套）。</w:t>
      </w:r>
    </w:p>
    <w:p w14:paraId="60C6ABD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 w:cs="Courier New"/>
          <w:b/>
          <w:sz w:val="32"/>
          <w:szCs w:val="32"/>
        </w:rPr>
      </w:pPr>
      <w:r>
        <w:rPr>
          <w:rFonts w:hint="eastAsia" w:ascii="仿宋_GB2312" w:hAnsi="宋体" w:eastAsia="仿宋_GB2312" w:cs="Courier New"/>
          <w:b/>
          <w:sz w:val="32"/>
          <w:szCs w:val="32"/>
        </w:rPr>
        <w:t>（五）专项转移支付项目情况</w:t>
      </w:r>
    </w:p>
    <w:p w14:paraId="64B27AF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我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lang w:eastAsia="zh-CN"/>
        </w:rPr>
        <w:t>单位2026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年没有专项转移支付项目</w:t>
      </w:r>
    </w:p>
    <w:p w14:paraId="073B304B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2"/>
          <w:szCs w:val="32"/>
        </w:rPr>
      </w:pPr>
    </w:p>
    <w:p w14:paraId="7C2D5CAB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2"/>
          <w:szCs w:val="32"/>
        </w:rPr>
      </w:pPr>
    </w:p>
    <w:p w14:paraId="5BA01295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2"/>
          <w:szCs w:val="32"/>
        </w:rPr>
      </w:pPr>
    </w:p>
    <w:p w14:paraId="1C63F3F9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2"/>
          <w:szCs w:val="32"/>
        </w:rPr>
      </w:pPr>
    </w:p>
    <w:p w14:paraId="6BC2FAEE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第三部分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名词解释</w:t>
      </w:r>
    </w:p>
    <w:p w14:paraId="10E6C720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2"/>
          <w:szCs w:val="32"/>
        </w:rPr>
      </w:pPr>
    </w:p>
    <w:p w14:paraId="724E301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一、财政拨款收入：是指同级财政当年拨付的资金。</w:t>
      </w:r>
    </w:p>
    <w:p w14:paraId="5206830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二、事业收入：是指事业单位开展专业活动及辅助活动所取得的收入。</w:t>
      </w:r>
    </w:p>
    <w:p w14:paraId="35B774C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三、其他收入：是指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Courier New"/>
          <w:sz w:val="32"/>
          <w:szCs w:val="32"/>
        </w:rPr>
        <w:t>取得的除“财政拨款”、“事业收入”、“事业单位经营收入”等以外的收入。</w:t>
      </w:r>
      <w:r>
        <w:rPr>
          <w:rFonts w:ascii="仿宋_GB2312" w:hAnsi="宋体" w:eastAsia="仿宋_GB2312" w:cs="Courier New"/>
          <w:sz w:val="32"/>
          <w:szCs w:val="32"/>
        </w:rPr>
        <w:t xml:space="preserve"> </w:t>
      </w:r>
    </w:p>
    <w:p w14:paraId="4E40A95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四、机关运行经费：是指为保障行政单位（含参照公务员法管理的事业单位）运行用于购买货物和服务的各项资金，包括办公及印刷费、邮电费、差旅费、会议费、福利费、日常维修费及一般设备购置费、办公用房水电费、办公用房取暖费、办公用房物业管理费、公务用车运行维护费以及其他费用。</w:t>
      </w:r>
    </w:p>
    <w:p w14:paraId="7A93452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五、用事业基金弥补收支差额：是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</w:t>
      </w:r>
      <w:r>
        <w:rPr>
          <w:rFonts w:ascii="仿宋_GB2312" w:hAnsi="宋体" w:eastAsia="仿宋_GB2312" w:cs="Courier New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sz w:val="32"/>
          <w:szCs w:val="32"/>
        </w:rPr>
        <w:t>支差额的基金）弥补当年收支缺口的资金。</w:t>
      </w:r>
    </w:p>
    <w:p w14:paraId="089B793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六</w:t>
      </w:r>
      <w:r>
        <w:rPr>
          <w:rFonts w:hint="eastAsia" w:ascii="仿宋_GB2312" w:hAnsi="宋体" w:eastAsia="仿宋_GB2312" w:cs="Courier New"/>
          <w:sz w:val="32"/>
          <w:szCs w:val="32"/>
        </w:rPr>
        <w:t>、基本支出：是指为保障机构正常运转、完成日常工作任务所必需的开支，其内容包括人员经费和日常公用经费两部分。</w:t>
      </w:r>
    </w:p>
    <w:p w14:paraId="338D0EE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七</w:t>
      </w:r>
      <w:r>
        <w:rPr>
          <w:rFonts w:hint="eastAsia" w:ascii="仿宋_GB2312" w:hAnsi="宋体" w:eastAsia="仿宋_GB2312" w:cs="Courier New"/>
          <w:sz w:val="32"/>
          <w:szCs w:val="32"/>
        </w:rPr>
        <w:t>、项目支出：是指在基本支出之外，为完成特定的行政工作任务或事业发展目标所发生的支出。</w:t>
      </w:r>
    </w:p>
    <w:p w14:paraId="61A759A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八</w:t>
      </w:r>
      <w:r>
        <w:rPr>
          <w:rFonts w:hint="eastAsia" w:ascii="仿宋_GB2312" w:hAnsi="宋体" w:eastAsia="仿宋_GB2312" w:cs="Courier New"/>
          <w:sz w:val="32"/>
          <w:szCs w:val="32"/>
        </w:rPr>
        <w:t>、“三公”经费：是指纳入同级财政预算管理，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Courier New"/>
          <w:sz w:val="32"/>
          <w:szCs w:val="32"/>
        </w:rPr>
        <w:t>使用财政拨款安排的因公出国（境）费、公务用车购置及运行费和公务接待费。其中，因公出国（境）费反映单位公务出国（境）的住宿费、旅费、伙食补助费、杂费、培训费等支出；公务用车购置及运行费反映单位公务用车购置费及租用费、燃料费、维修费、过路过桥费、保险费、安全奖励费用等支出；公务接待费反映单位按规定开支的各类公务接待（含外宾接待）支出。</w:t>
      </w:r>
    </w:p>
    <w:p w14:paraId="1F82925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0D36B34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70CC14A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60505E0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0CC9945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351A926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3BC666B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47EF78A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1F2FAEE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105EE15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444AD79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08EADCE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63EBD25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2CF6C1A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79BE96DE">
      <w:pPr>
        <w:adjustRightInd w:val="0"/>
        <w:snapToGrid w:val="0"/>
        <w:spacing w:line="360" w:lineRule="auto"/>
        <w:ind w:left="640" w:hanging="640" w:hanging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head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Times New Roman" w:eastAsia="黑体" w:cs="黑体"/>
          <w:sz w:val="32"/>
          <w:szCs w:val="32"/>
          <w:highlight w:val="none"/>
          <w:lang w:val="en-US" w:eastAsia="zh-CN"/>
        </w:rPr>
        <w:t>附件：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 xml:space="preserve"> </w:t>
      </w:r>
      <w:r>
        <w:rPr>
          <w:rFonts w:hint="eastAsia" w:ascii="黑体" w:hAnsi="黑体" w:eastAsia="黑体"/>
          <w:sz w:val="32"/>
          <w:szCs w:val="32"/>
          <w:highlight w:val="none"/>
          <w:lang w:eastAsia="zh-CN"/>
        </w:rPr>
        <w:t>安阳市龙安区南田小学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2026年单位预算表</w:t>
      </w:r>
      <w:r>
        <w:pict>
          <v:shape id="_x0000_i1025" o:spt="75" type="#_x0000_t75" style="height:637.5pt;width:432pt;" filled="f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</w:pict>
      </w:r>
    </w:p>
    <w:p w14:paraId="07BA3B09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DEE1B43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pict>
          <v:shape id="_x0000_i1026" o:spt="75" type="#_x0000_t75" style="height:237.5pt;width:697.2pt;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</w:pict>
      </w:r>
    </w:p>
    <w:p w14:paraId="3916DA45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EF72048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3DE3B6BE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0064E962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D47F890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35B02D58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1DB79C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E792EEB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F7770AF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pict>
          <v:shape id="_x0000_i1027" o:spt="75" type="#_x0000_t75" style="height:272.65pt;width:697.2pt;" filled="f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</w:pict>
      </w:r>
    </w:p>
    <w:p w14:paraId="3AD257EE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0E0CAFF4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0C4A57A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161D57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0F787FF7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461B38D0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pict>
          <v:shape id="_x0000_i1028" o:spt="75" type="#_x0000_t75" style="height:488.7pt;width:697.45pt;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</w:pict>
      </w:r>
    </w:p>
    <w:p w14:paraId="1005FCE1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44678A04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pict>
          <v:shape id="_x0000_i1029" o:spt="75" type="#_x0000_t75" style="height:282.95pt;width:697.35pt;" filled="f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</w:pict>
      </w:r>
    </w:p>
    <w:p w14:paraId="7C7576DD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0D6EC7E2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47C20FE0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DD106D0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401A9E90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4F234A58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pict>
          <v:shape id="_x0000_i1030" o:spt="75" type="#_x0000_t75" style="height:327.35pt;width:697.85pt;" filled="f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</w:pict>
      </w:r>
    </w:p>
    <w:p w14:paraId="71A45AF1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559C8CE7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42AC62E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13968CB0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pict>
          <v:shape id="_x0000_i1031" o:spt="75" type="#_x0000_t75" style="height:405.15pt;width:697.55pt;" filled="f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</w:pict>
      </w:r>
    </w:p>
    <w:p w14:paraId="59C5CE09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0E91787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8A7F80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02AD1067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pict>
          <v:shape id="_x0000_i1032" o:spt="75" type="#_x0000_t75" style="height:241.5pt;width:696.75pt;" filled="f" stroked="f" coordsize="21600,21600">
            <v:path/>
            <v:fill on="f" focussize="0,0"/>
            <v:stroke on="f"/>
            <v:imagedata r:id="rId12" o:title=""/>
            <o:lock v:ext="edit" aspectratio="t"/>
            <w10:wrap type="none"/>
            <w10:anchorlock/>
          </v:shape>
        </w:pict>
      </w:r>
    </w:p>
    <w:p w14:paraId="4C19D832">
      <w:pPr>
        <w:adjustRightInd w:val="0"/>
        <w:snapToGrid w:val="0"/>
        <w:spacing w:line="360" w:lineRule="auto"/>
      </w:pPr>
    </w:p>
    <w:p w14:paraId="6F465227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303AB36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21126593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7BC03BC0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5DA1B41A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5255297D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</w:p>
    <w:p w14:paraId="1F61883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pict>
          <v:shape id="_x0000_i1033" o:spt="75" type="#_x0000_t75" style="height:226.5pt;width:688.5pt;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</w:pict>
      </w:r>
    </w:p>
    <w:p w14:paraId="1258683D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0DA22A7E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48BC6417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3642F641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6F5DA83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3EF237C3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3B8246FA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0FDE6BAC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</w:p>
    <w:p w14:paraId="4D08EF3D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pict>
          <v:shape id="_x0000_i1034" o:spt="75" type="#_x0000_t75" style="height:227.2pt;width:697.2pt;" filled="f" stroked="f" coordsize="21600,21600">
            <v:path/>
            <v:fill on="f" focussize="0,0"/>
            <v:stroke on="f"/>
            <v:imagedata r:id="rId14" o:title=""/>
            <o:lock v:ext="edit" aspectratio="t"/>
            <w10:wrap type="none"/>
            <w10:anchorlock/>
          </v:shape>
        </w:pict>
      </w:r>
    </w:p>
    <w:p w14:paraId="0898D06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1A72A6F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4A0EF511">
      <w:pPr>
        <w:adjustRightInd w:val="0"/>
        <w:snapToGrid w:val="0"/>
        <w:spacing w:line="360" w:lineRule="auto"/>
        <w:jc w:val="center"/>
        <w:rPr>
          <w:rFonts w:hint="eastAsia" w:eastAsia="宋体"/>
          <w:lang w:eastAsia="zh-CN"/>
        </w:rPr>
      </w:pPr>
    </w:p>
    <w:p w14:paraId="6F3A20B7">
      <w:pPr>
        <w:adjustRightInd w:val="0"/>
        <w:snapToGrid w:val="0"/>
        <w:spacing w:line="360" w:lineRule="auto"/>
        <w:rPr>
          <w:rFonts w:hint="eastAsia" w:ascii="仿宋_GB2312" w:hAnsi="仿宋_GB2312" w:eastAsia="宋体" w:cs="仿宋_GB2312"/>
          <w:color w:val="FF0000"/>
          <w:sz w:val="32"/>
          <w:szCs w:val="32"/>
          <w:lang w:eastAsia="zh-CN"/>
        </w:rPr>
      </w:pPr>
      <w:r>
        <w:rPr>
          <w:rFonts w:hint="eastAsia"/>
          <w:lang w:val="en-US" w:eastAsia="zh-CN"/>
        </w:rPr>
        <w:t xml:space="preserve">   </w:t>
      </w:r>
      <w:bookmarkStart w:id="1" w:name="_GoBack"/>
      <w:bookmarkEnd w:id="1"/>
      <w:r>
        <w:rPr>
          <w:rFonts w:hint="eastAsia"/>
          <w:lang w:val="en-US" w:eastAsia="zh-CN"/>
        </w:rPr>
        <w:t xml:space="preserve">           </w:t>
      </w:r>
      <w:r>
        <w:rPr>
          <w:rFonts w:hint="eastAsia" w:ascii="仿宋_GB2312" w:hAnsi="仿宋_GB2312" w:eastAsia="宋体" w:cs="仿宋_GB2312"/>
          <w:color w:val="FF0000"/>
          <w:sz w:val="32"/>
          <w:szCs w:val="32"/>
          <w:lang w:eastAsia="zh-CN"/>
        </w:rPr>
        <w:pict>
          <v:shape id="_x0000_i1037" o:spt="75" alt="1252f99995aed745bc35beba0790952b" type="#_x0000_t75" style="height:487.05pt;width:559.85pt;" filled="f" o:preferrelative="t" stroked="f" coordsize="21600,21600">
            <v:path/>
            <v:fill on="f" focussize="0,0"/>
            <v:stroke on="f"/>
            <v:imagedata r:id="rId15" o:title="1252f99995aed745bc35beba0790952b"/>
            <o:lock v:ext="edit" aspectratio="t"/>
            <w10:wrap type="none"/>
            <w10:anchorlock/>
          </v:shape>
        </w:pict>
      </w:r>
    </w:p>
    <w:p w14:paraId="0CE3107E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  <w:r>
        <w:pict>
          <v:shape id="_x0000_i1036" o:spt="75" type="#_x0000_t75" style="height:233.5pt;width:697.75pt;" filled="f" stroked="f" coordsize="21600,21600">
            <v:path/>
            <v:fill on="f" focussize="0,0"/>
            <v:stroke on="f"/>
            <v:imagedata r:id="rId16" o:title=""/>
            <o:lock v:ext="edit" aspectratio="t"/>
            <w10:wrap type="none"/>
            <w10:anchorlock/>
          </v:shape>
        </w:pict>
      </w:r>
    </w:p>
    <w:p w14:paraId="48C6469A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0967F9AB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sectPr>
      <w:pgSz w:w="16838" w:h="11906" w:orient="landscape"/>
      <w:pgMar w:top="1077" w:right="1440" w:bottom="107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AE5E8B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E2796E"/>
    <w:multiLevelType w:val="multilevel"/>
    <w:tmpl w:val="43E2796E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GE4NTlmYThjZTkzMjFiNzZkMWM0ODZhMjQxMDhhNmIifQ=="/>
  </w:docVars>
  <w:rsids>
    <w:rsidRoot w:val="006B7E0B"/>
    <w:rsid w:val="00026E9A"/>
    <w:rsid w:val="00044158"/>
    <w:rsid w:val="000445AA"/>
    <w:rsid w:val="000642D8"/>
    <w:rsid w:val="00073592"/>
    <w:rsid w:val="00080DD7"/>
    <w:rsid w:val="00091356"/>
    <w:rsid w:val="000A16EC"/>
    <w:rsid w:val="000A1FF3"/>
    <w:rsid w:val="000A2C68"/>
    <w:rsid w:val="000D2294"/>
    <w:rsid w:val="000E720F"/>
    <w:rsid w:val="000F6C8B"/>
    <w:rsid w:val="0010210A"/>
    <w:rsid w:val="00110824"/>
    <w:rsid w:val="00115771"/>
    <w:rsid w:val="00115915"/>
    <w:rsid w:val="0011799F"/>
    <w:rsid w:val="00135308"/>
    <w:rsid w:val="00142115"/>
    <w:rsid w:val="001422FF"/>
    <w:rsid w:val="001470AF"/>
    <w:rsid w:val="00160C6A"/>
    <w:rsid w:val="0016521F"/>
    <w:rsid w:val="00170A57"/>
    <w:rsid w:val="00172B5F"/>
    <w:rsid w:val="00175E9C"/>
    <w:rsid w:val="00184A45"/>
    <w:rsid w:val="00186BD2"/>
    <w:rsid w:val="00193277"/>
    <w:rsid w:val="001A21DA"/>
    <w:rsid w:val="001A3EB9"/>
    <w:rsid w:val="001B0AF0"/>
    <w:rsid w:val="001D4BA6"/>
    <w:rsid w:val="001D7273"/>
    <w:rsid w:val="001E0093"/>
    <w:rsid w:val="001E0F8C"/>
    <w:rsid w:val="001E7927"/>
    <w:rsid w:val="001F7F9B"/>
    <w:rsid w:val="00200BD7"/>
    <w:rsid w:val="00202EA8"/>
    <w:rsid w:val="002030EF"/>
    <w:rsid w:val="002510C2"/>
    <w:rsid w:val="00265B28"/>
    <w:rsid w:val="0026795F"/>
    <w:rsid w:val="00273D47"/>
    <w:rsid w:val="002750D3"/>
    <w:rsid w:val="0029168C"/>
    <w:rsid w:val="002A620A"/>
    <w:rsid w:val="002B2025"/>
    <w:rsid w:val="002C2A80"/>
    <w:rsid w:val="002C5AAE"/>
    <w:rsid w:val="002E3BE4"/>
    <w:rsid w:val="002E4313"/>
    <w:rsid w:val="002F22D2"/>
    <w:rsid w:val="002F3BB6"/>
    <w:rsid w:val="003352BA"/>
    <w:rsid w:val="00336785"/>
    <w:rsid w:val="00350476"/>
    <w:rsid w:val="0035195B"/>
    <w:rsid w:val="0035776D"/>
    <w:rsid w:val="003843F7"/>
    <w:rsid w:val="00390DEF"/>
    <w:rsid w:val="00392E25"/>
    <w:rsid w:val="003A0434"/>
    <w:rsid w:val="003A2DF5"/>
    <w:rsid w:val="003A6F18"/>
    <w:rsid w:val="003C5F21"/>
    <w:rsid w:val="003D744D"/>
    <w:rsid w:val="003E56DE"/>
    <w:rsid w:val="00401345"/>
    <w:rsid w:val="00404663"/>
    <w:rsid w:val="00420855"/>
    <w:rsid w:val="00432539"/>
    <w:rsid w:val="00451611"/>
    <w:rsid w:val="0047756A"/>
    <w:rsid w:val="00494F22"/>
    <w:rsid w:val="00495611"/>
    <w:rsid w:val="00495CEB"/>
    <w:rsid w:val="00496B7C"/>
    <w:rsid w:val="004974DC"/>
    <w:rsid w:val="004A35D2"/>
    <w:rsid w:val="004A4265"/>
    <w:rsid w:val="004A7AF2"/>
    <w:rsid w:val="004B1819"/>
    <w:rsid w:val="004C001F"/>
    <w:rsid w:val="004C13EB"/>
    <w:rsid w:val="004D5B4E"/>
    <w:rsid w:val="004F068A"/>
    <w:rsid w:val="004F1BCB"/>
    <w:rsid w:val="004F3DF3"/>
    <w:rsid w:val="00511219"/>
    <w:rsid w:val="00521104"/>
    <w:rsid w:val="0052193A"/>
    <w:rsid w:val="00523976"/>
    <w:rsid w:val="0054046E"/>
    <w:rsid w:val="00556950"/>
    <w:rsid w:val="00563E46"/>
    <w:rsid w:val="00567364"/>
    <w:rsid w:val="00577C4A"/>
    <w:rsid w:val="00577F81"/>
    <w:rsid w:val="00591F1A"/>
    <w:rsid w:val="00593810"/>
    <w:rsid w:val="00594E25"/>
    <w:rsid w:val="005B1D55"/>
    <w:rsid w:val="005B5A00"/>
    <w:rsid w:val="005C4D0C"/>
    <w:rsid w:val="005D1138"/>
    <w:rsid w:val="005D30D9"/>
    <w:rsid w:val="00600B18"/>
    <w:rsid w:val="0060297E"/>
    <w:rsid w:val="0064056E"/>
    <w:rsid w:val="00647DE6"/>
    <w:rsid w:val="00662E14"/>
    <w:rsid w:val="00666AC4"/>
    <w:rsid w:val="0067124D"/>
    <w:rsid w:val="00672799"/>
    <w:rsid w:val="00680781"/>
    <w:rsid w:val="006B1909"/>
    <w:rsid w:val="006B49B5"/>
    <w:rsid w:val="006B7E0B"/>
    <w:rsid w:val="006C3CD3"/>
    <w:rsid w:val="006C7564"/>
    <w:rsid w:val="006D6D49"/>
    <w:rsid w:val="006E4BF1"/>
    <w:rsid w:val="006F5265"/>
    <w:rsid w:val="006F5EEE"/>
    <w:rsid w:val="00700744"/>
    <w:rsid w:val="0071044E"/>
    <w:rsid w:val="00730F26"/>
    <w:rsid w:val="0073591F"/>
    <w:rsid w:val="007541DA"/>
    <w:rsid w:val="007656BD"/>
    <w:rsid w:val="007740BF"/>
    <w:rsid w:val="007829BC"/>
    <w:rsid w:val="0079641C"/>
    <w:rsid w:val="007B5898"/>
    <w:rsid w:val="007C1DF1"/>
    <w:rsid w:val="007C2AA9"/>
    <w:rsid w:val="007C788C"/>
    <w:rsid w:val="007E6790"/>
    <w:rsid w:val="007F7E98"/>
    <w:rsid w:val="00804322"/>
    <w:rsid w:val="008043D9"/>
    <w:rsid w:val="008122D8"/>
    <w:rsid w:val="00812F5C"/>
    <w:rsid w:val="00820FF9"/>
    <w:rsid w:val="00830E30"/>
    <w:rsid w:val="00833702"/>
    <w:rsid w:val="00833DBE"/>
    <w:rsid w:val="00850CE1"/>
    <w:rsid w:val="00852299"/>
    <w:rsid w:val="00860A29"/>
    <w:rsid w:val="00861DAB"/>
    <w:rsid w:val="00874331"/>
    <w:rsid w:val="00891536"/>
    <w:rsid w:val="0089458A"/>
    <w:rsid w:val="00894D24"/>
    <w:rsid w:val="00897148"/>
    <w:rsid w:val="008B72D5"/>
    <w:rsid w:val="008C14BF"/>
    <w:rsid w:val="008C7AD8"/>
    <w:rsid w:val="008D01B3"/>
    <w:rsid w:val="008D6560"/>
    <w:rsid w:val="008E07B1"/>
    <w:rsid w:val="008E4459"/>
    <w:rsid w:val="00923B00"/>
    <w:rsid w:val="009242BF"/>
    <w:rsid w:val="00926E26"/>
    <w:rsid w:val="00943D7C"/>
    <w:rsid w:val="00944A2D"/>
    <w:rsid w:val="00951DEF"/>
    <w:rsid w:val="00952BFE"/>
    <w:rsid w:val="009821A1"/>
    <w:rsid w:val="00987FE0"/>
    <w:rsid w:val="009A520C"/>
    <w:rsid w:val="009B7A51"/>
    <w:rsid w:val="00A216E6"/>
    <w:rsid w:val="00A330EC"/>
    <w:rsid w:val="00A34341"/>
    <w:rsid w:val="00A35A79"/>
    <w:rsid w:val="00A46E26"/>
    <w:rsid w:val="00A503E7"/>
    <w:rsid w:val="00A52337"/>
    <w:rsid w:val="00A52801"/>
    <w:rsid w:val="00A6267D"/>
    <w:rsid w:val="00A727EB"/>
    <w:rsid w:val="00A87DCF"/>
    <w:rsid w:val="00A90D9E"/>
    <w:rsid w:val="00A96CAF"/>
    <w:rsid w:val="00AC3C61"/>
    <w:rsid w:val="00AE549A"/>
    <w:rsid w:val="00B02CB9"/>
    <w:rsid w:val="00B10D6F"/>
    <w:rsid w:val="00B20C5F"/>
    <w:rsid w:val="00B21967"/>
    <w:rsid w:val="00B61D47"/>
    <w:rsid w:val="00B95A06"/>
    <w:rsid w:val="00BA362F"/>
    <w:rsid w:val="00BA4FA7"/>
    <w:rsid w:val="00BA58CE"/>
    <w:rsid w:val="00BA7185"/>
    <w:rsid w:val="00BB6662"/>
    <w:rsid w:val="00BC333E"/>
    <w:rsid w:val="00BE56FB"/>
    <w:rsid w:val="00BE716F"/>
    <w:rsid w:val="00C33C76"/>
    <w:rsid w:val="00C34784"/>
    <w:rsid w:val="00C435CB"/>
    <w:rsid w:val="00C436B8"/>
    <w:rsid w:val="00C437E8"/>
    <w:rsid w:val="00C831C5"/>
    <w:rsid w:val="00C83F94"/>
    <w:rsid w:val="00CA2F8F"/>
    <w:rsid w:val="00CA7ADA"/>
    <w:rsid w:val="00CB5AAE"/>
    <w:rsid w:val="00CB6DF5"/>
    <w:rsid w:val="00CD03AD"/>
    <w:rsid w:val="00CE3259"/>
    <w:rsid w:val="00CF1B5A"/>
    <w:rsid w:val="00D05ED0"/>
    <w:rsid w:val="00D12D03"/>
    <w:rsid w:val="00D137BC"/>
    <w:rsid w:val="00D15C54"/>
    <w:rsid w:val="00D23117"/>
    <w:rsid w:val="00D32932"/>
    <w:rsid w:val="00D43363"/>
    <w:rsid w:val="00D4466F"/>
    <w:rsid w:val="00D46069"/>
    <w:rsid w:val="00D53D97"/>
    <w:rsid w:val="00D609B7"/>
    <w:rsid w:val="00D6792C"/>
    <w:rsid w:val="00D8037E"/>
    <w:rsid w:val="00D8505C"/>
    <w:rsid w:val="00DA0C53"/>
    <w:rsid w:val="00DA0CAA"/>
    <w:rsid w:val="00DA458E"/>
    <w:rsid w:val="00DA6E83"/>
    <w:rsid w:val="00DB68B2"/>
    <w:rsid w:val="00DC0C6B"/>
    <w:rsid w:val="00DC3D97"/>
    <w:rsid w:val="00DC6FBB"/>
    <w:rsid w:val="00DC798D"/>
    <w:rsid w:val="00DF0DA6"/>
    <w:rsid w:val="00DF3140"/>
    <w:rsid w:val="00E133A9"/>
    <w:rsid w:val="00E20A7D"/>
    <w:rsid w:val="00E20E6F"/>
    <w:rsid w:val="00E21F3E"/>
    <w:rsid w:val="00E31EE0"/>
    <w:rsid w:val="00E33EBB"/>
    <w:rsid w:val="00E36AE5"/>
    <w:rsid w:val="00E371FE"/>
    <w:rsid w:val="00E3795E"/>
    <w:rsid w:val="00E37B7D"/>
    <w:rsid w:val="00E57174"/>
    <w:rsid w:val="00E57C5A"/>
    <w:rsid w:val="00E607D3"/>
    <w:rsid w:val="00E72785"/>
    <w:rsid w:val="00E776E0"/>
    <w:rsid w:val="00E913EB"/>
    <w:rsid w:val="00EC2B0B"/>
    <w:rsid w:val="00ED5B3D"/>
    <w:rsid w:val="00EE543C"/>
    <w:rsid w:val="00EF42A2"/>
    <w:rsid w:val="00F0089D"/>
    <w:rsid w:val="00F2113A"/>
    <w:rsid w:val="00F2137C"/>
    <w:rsid w:val="00F4533D"/>
    <w:rsid w:val="00F51FB3"/>
    <w:rsid w:val="00F754BD"/>
    <w:rsid w:val="00F77A8C"/>
    <w:rsid w:val="00F950F8"/>
    <w:rsid w:val="00FA0A5A"/>
    <w:rsid w:val="00FB158E"/>
    <w:rsid w:val="00FD0777"/>
    <w:rsid w:val="00FD6C1F"/>
    <w:rsid w:val="00FD729D"/>
    <w:rsid w:val="013B2119"/>
    <w:rsid w:val="03976A5D"/>
    <w:rsid w:val="043735AC"/>
    <w:rsid w:val="05532A0D"/>
    <w:rsid w:val="09E7549D"/>
    <w:rsid w:val="0B4E133B"/>
    <w:rsid w:val="0B8F7BE0"/>
    <w:rsid w:val="0C27303E"/>
    <w:rsid w:val="0D721683"/>
    <w:rsid w:val="0E740257"/>
    <w:rsid w:val="0F711E78"/>
    <w:rsid w:val="112C2191"/>
    <w:rsid w:val="119C71EF"/>
    <w:rsid w:val="14B962E5"/>
    <w:rsid w:val="14C16864"/>
    <w:rsid w:val="154647A2"/>
    <w:rsid w:val="155D6FCB"/>
    <w:rsid w:val="176F116D"/>
    <w:rsid w:val="189C68A9"/>
    <w:rsid w:val="18B43680"/>
    <w:rsid w:val="19E03E83"/>
    <w:rsid w:val="1A985EB5"/>
    <w:rsid w:val="1AA05907"/>
    <w:rsid w:val="1AA556D9"/>
    <w:rsid w:val="1AF92767"/>
    <w:rsid w:val="1B9C4A61"/>
    <w:rsid w:val="1DED6B6E"/>
    <w:rsid w:val="1E107DD1"/>
    <w:rsid w:val="1EE775A6"/>
    <w:rsid w:val="1F6E34C1"/>
    <w:rsid w:val="1F7314D6"/>
    <w:rsid w:val="1FB77EF0"/>
    <w:rsid w:val="20781EBE"/>
    <w:rsid w:val="20DE4E3A"/>
    <w:rsid w:val="215C31AE"/>
    <w:rsid w:val="22582B2D"/>
    <w:rsid w:val="24397021"/>
    <w:rsid w:val="255F2A47"/>
    <w:rsid w:val="25A246E2"/>
    <w:rsid w:val="289A78F2"/>
    <w:rsid w:val="2BA411B4"/>
    <w:rsid w:val="2BC2096A"/>
    <w:rsid w:val="2BC35AD1"/>
    <w:rsid w:val="2C35005E"/>
    <w:rsid w:val="2CB847EB"/>
    <w:rsid w:val="2E112405"/>
    <w:rsid w:val="2E5859B2"/>
    <w:rsid w:val="2FC34602"/>
    <w:rsid w:val="2FC73D1B"/>
    <w:rsid w:val="3171432E"/>
    <w:rsid w:val="31993480"/>
    <w:rsid w:val="32B95F0C"/>
    <w:rsid w:val="32F56799"/>
    <w:rsid w:val="33EF31E8"/>
    <w:rsid w:val="35610116"/>
    <w:rsid w:val="374F2433"/>
    <w:rsid w:val="38E35E43"/>
    <w:rsid w:val="39241B86"/>
    <w:rsid w:val="3B007A89"/>
    <w:rsid w:val="3B5C0464"/>
    <w:rsid w:val="3C505DE2"/>
    <w:rsid w:val="3D8A20A7"/>
    <w:rsid w:val="3DD255FF"/>
    <w:rsid w:val="3EBF7D18"/>
    <w:rsid w:val="3FE85B30"/>
    <w:rsid w:val="3FEC3BE7"/>
    <w:rsid w:val="43D62EB7"/>
    <w:rsid w:val="44732BEA"/>
    <w:rsid w:val="47076CC8"/>
    <w:rsid w:val="474E18EE"/>
    <w:rsid w:val="47662E24"/>
    <w:rsid w:val="48F44CD9"/>
    <w:rsid w:val="49290AF3"/>
    <w:rsid w:val="498126DD"/>
    <w:rsid w:val="4A656950"/>
    <w:rsid w:val="4B346A57"/>
    <w:rsid w:val="4B6C3DC1"/>
    <w:rsid w:val="4B911B6E"/>
    <w:rsid w:val="4CFD207A"/>
    <w:rsid w:val="4D781243"/>
    <w:rsid w:val="4DD22666"/>
    <w:rsid w:val="4E842C06"/>
    <w:rsid w:val="4EC512BE"/>
    <w:rsid w:val="50BA6464"/>
    <w:rsid w:val="546B42EC"/>
    <w:rsid w:val="54883C78"/>
    <w:rsid w:val="54A35BFD"/>
    <w:rsid w:val="54BD66EB"/>
    <w:rsid w:val="55C00765"/>
    <w:rsid w:val="55ED6C72"/>
    <w:rsid w:val="565371AF"/>
    <w:rsid w:val="56891596"/>
    <w:rsid w:val="57EE606E"/>
    <w:rsid w:val="59A752FC"/>
    <w:rsid w:val="5A5334DA"/>
    <w:rsid w:val="5B131D9A"/>
    <w:rsid w:val="5C7F7D87"/>
    <w:rsid w:val="6002424B"/>
    <w:rsid w:val="61E11E46"/>
    <w:rsid w:val="61E94D98"/>
    <w:rsid w:val="63627732"/>
    <w:rsid w:val="66D659BE"/>
    <w:rsid w:val="690E2E73"/>
    <w:rsid w:val="6A1C5DDE"/>
    <w:rsid w:val="6A9F2258"/>
    <w:rsid w:val="6BAE5FCC"/>
    <w:rsid w:val="6BBB07E6"/>
    <w:rsid w:val="6C504CB2"/>
    <w:rsid w:val="6E122338"/>
    <w:rsid w:val="6FBD60D4"/>
    <w:rsid w:val="70501F38"/>
    <w:rsid w:val="71107D1F"/>
    <w:rsid w:val="716224F2"/>
    <w:rsid w:val="71704C61"/>
    <w:rsid w:val="720B5CEA"/>
    <w:rsid w:val="72BA4DCB"/>
    <w:rsid w:val="734E7848"/>
    <w:rsid w:val="74A40EAA"/>
    <w:rsid w:val="75771810"/>
    <w:rsid w:val="771147F0"/>
    <w:rsid w:val="782E4E14"/>
    <w:rsid w:val="79111DCE"/>
    <w:rsid w:val="795D3D1D"/>
    <w:rsid w:val="7B640DDA"/>
    <w:rsid w:val="7C833DC2"/>
    <w:rsid w:val="7CF33AE1"/>
    <w:rsid w:val="7FBC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autoRedefine/>
    <w:qFormat/>
    <w:uiPriority w:val="99"/>
    <w:rPr>
      <w:rFonts w:ascii="宋体" w:hAnsi="Courier New" w:cs="Courier New"/>
      <w:szCs w:val="21"/>
    </w:rPr>
  </w:style>
  <w:style w:type="paragraph" w:styleId="3">
    <w:name w:val="Balloon Text"/>
    <w:basedOn w:val="1"/>
    <w:link w:val="8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link w:val="3"/>
    <w:autoRedefine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link w:val="4"/>
    <w:autoRedefine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眉 Char"/>
    <w:link w:val="5"/>
    <w:autoRedefine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纯文本 Char"/>
    <w:link w:val="2"/>
    <w:autoRedefine/>
    <w:semiHidden/>
    <w:qFormat/>
    <w:locked/>
    <w:uiPriority w:val="99"/>
    <w:rPr>
      <w:rFonts w:ascii="宋体" w:hAnsi="Courier New" w:cs="Courier New"/>
      <w:sz w:val="21"/>
      <w:szCs w:val="21"/>
    </w:rPr>
  </w:style>
  <w:style w:type="paragraph" w:customStyle="1" w:styleId="12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22</Pages>
  <Words>3095</Words>
  <Characters>3329</Characters>
  <Lines>30</Lines>
  <Paragraphs>8</Paragraphs>
  <TotalTime>48</TotalTime>
  <ScaleCrop>false</ScaleCrop>
  <LinksUpToDate>false</LinksUpToDate>
  <CharactersWithSpaces>3552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2019-06-11T00:19:00Z</dcterms:created>
  <dc:creator>lenovo</dc:creator>
  <cp:lastModifiedBy>东方</cp:lastModifiedBy>
  <cp:lastPrinted>2025-03-12T07:04:00Z</cp:lastPrinted>
  <dcterms:modified xsi:type="dcterms:W3CDTF">2026-03-18T07:42:58Z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97D0D5BCA2FF4A6CBD5543D35C04A45B</vt:lpwstr>
  </property>
  <property fmtid="{D5CDD505-2E9C-101B-9397-08002B2CF9AE}" pid="4" name="KSOTemplateDocerSaveRecord">
    <vt:lpwstr>eyJoZGlkIjoiODdlZjdiMWFmZTY5ZTg5MjQ2Nzc1M2I0N2JjMmU3ZDUiLCJ1c2VySWQiOiIzMjcyNDgxNzUifQ==</vt:lpwstr>
  </property>
</Properties>
</file>