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CE8CF" w:themeColor="background1"/>
  <w:body>
    <w:p w14:paraId="18B8105F">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楷体_GB2312" w:hAnsi="楷体_GB2312" w:eastAsia="楷体_GB2312" w:cs="楷体_GB2312"/>
          <w:spacing w:val="0"/>
          <w:sz w:val="30"/>
          <w:szCs w:val="30"/>
          <w:lang w:val="en-US" w:eastAsia="zh-CN"/>
        </w:rPr>
      </w:pPr>
      <w:r>
        <w:rPr>
          <w:rFonts w:hint="default" w:ascii="楷体_GB2312" w:hAnsi="楷体_GB2312" w:eastAsia="楷体_GB2312" w:cs="楷体_GB2312"/>
          <w:spacing w:val="0"/>
          <w:sz w:val="30"/>
          <w:szCs w:val="30"/>
          <w:lang w:val="en-US" w:eastAsia="zh-CN"/>
        </w:rPr>
        <w:t>安阳市龙安区</w:t>
      </w:r>
      <w:r>
        <w:rPr>
          <w:rFonts w:hint="eastAsia" w:ascii="楷体_GB2312" w:hAnsi="楷体_GB2312" w:eastAsia="楷体_GB2312" w:cs="楷体_GB2312"/>
          <w:spacing w:val="0"/>
          <w:sz w:val="30"/>
          <w:szCs w:val="30"/>
          <w:lang w:val="en-US" w:eastAsia="zh-CN"/>
        </w:rPr>
        <w:t>五</w:t>
      </w:r>
      <w:r>
        <w:rPr>
          <w:rFonts w:hint="default" w:ascii="楷体_GB2312" w:hAnsi="楷体_GB2312" w:eastAsia="楷体_GB2312" w:cs="楷体_GB2312"/>
          <w:spacing w:val="0"/>
          <w:sz w:val="30"/>
          <w:szCs w:val="30"/>
          <w:lang w:val="en-US" w:eastAsia="zh-CN"/>
        </w:rPr>
        <w:t>届</w:t>
      </w:r>
      <w:r>
        <w:rPr>
          <w:rFonts w:hint="eastAsia" w:ascii="楷体_GB2312" w:hAnsi="楷体_GB2312" w:eastAsia="楷体_GB2312" w:cs="楷体_GB2312"/>
          <w:spacing w:val="0"/>
          <w:sz w:val="30"/>
          <w:szCs w:val="30"/>
          <w:lang w:val="en-US" w:eastAsia="zh-CN"/>
        </w:rPr>
        <w:t>人大</w:t>
      </w:r>
    </w:p>
    <w:p w14:paraId="71F5B1AE">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楷体_GB2312" w:hAnsi="楷体_GB2312" w:eastAsia="楷体_GB2312" w:cs="楷体_GB2312"/>
          <w:spacing w:val="34"/>
          <w:sz w:val="30"/>
          <w:szCs w:val="30"/>
          <w:lang w:val="en-US" w:eastAsia="zh-CN"/>
        </w:rPr>
      </w:pPr>
      <w:r>
        <w:rPr>
          <w:rFonts w:hint="eastAsia" w:ascii="楷体_GB2312" w:hAnsi="楷体_GB2312" w:eastAsia="楷体_GB2312" w:cs="楷体_GB2312"/>
          <w:spacing w:val="34"/>
          <w:sz w:val="30"/>
          <w:szCs w:val="30"/>
          <w:lang w:val="en-US" w:eastAsia="zh-CN"/>
        </w:rPr>
        <w:t>六</w:t>
      </w:r>
      <w:r>
        <w:rPr>
          <w:rFonts w:hint="default" w:ascii="楷体_GB2312" w:hAnsi="楷体_GB2312" w:eastAsia="楷体_GB2312" w:cs="楷体_GB2312"/>
          <w:spacing w:val="34"/>
          <w:sz w:val="30"/>
          <w:szCs w:val="30"/>
          <w:lang w:val="en-US" w:eastAsia="zh-CN"/>
        </w:rPr>
        <w:t>次会议文件（</w:t>
      </w:r>
      <w:r>
        <w:rPr>
          <w:rFonts w:hint="eastAsia" w:ascii="楷体_GB2312" w:hAnsi="楷体_GB2312" w:eastAsia="楷体_GB2312" w:cs="楷体_GB2312"/>
          <w:spacing w:val="34"/>
          <w:sz w:val="30"/>
          <w:szCs w:val="30"/>
          <w:lang w:val="en-US" w:eastAsia="zh-CN"/>
        </w:rPr>
        <w:t>16</w:t>
      </w:r>
      <w:r>
        <w:rPr>
          <w:rFonts w:hint="default" w:ascii="楷体_GB2312" w:hAnsi="楷体_GB2312" w:eastAsia="楷体_GB2312" w:cs="楷体_GB2312"/>
          <w:spacing w:val="34"/>
          <w:sz w:val="30"/>
          <w:szCs w:val="30"/>
          <w:lang w:val="en-US" w:eastAsia="zh-CN"/>
        </w:rPr>
        <w:t>）</w:t>
      </w:r>
    </w:p>
    <w:p w14:paraId="2F5074F9">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jc w:val="center"/>
        <w:textAlignment w:val="auto"/>
        <w:rPr>
          <w:rFonts w:hint="eastAsia" w:ascii="方正小标宋简体" w:hAnsi="方正小标宋简体" w:eastAsia="方正小标宋简体" w:cs="方正小标宋简体"/>
          <w:color w:val="000000"/>
          <w:spacing w:val="0"/>
          <w:w w:val="100"/>
          <w:sz w:val="44"/>
          <w:szCs w:val="44"/>
          <w:lang w:val="en-US" w:eastAsia="zh-CN"/>
        </w:rPr>
      </w:pPr>
    </w:p>
    <w:p w14:paraId="111DC29A">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jc w:val="center"/>
        <w:textAlignment w:val="auto"/>
        <w:rPr>
          <w:rFonts w:hint="eastAsia" w:ascii="方正小标宋简体" w:hAnsi="方正小标宋简体" w:eastAsia="方正小标宋简体" w:cs="方正小标宋简体"/>
          <w:color w:val="000000"/>
          <w:spacing w:val="0"/>
          <w:w w:val="100"/>
          <w:sz w:val="44"/>
          <w:szCs w:val="44"/>
          <w:lang w:val="en-US" w:eastAsia="zh-CN"/>
        </w:rPr>
      </w:pPr>
      <w:r>
        <w:rPr>
          <w:rFonts w:hint="eastAsia" w:ascii="方正小标宋简体" w:hAnsi="方正小标宋简体" w:eastAsia="方正小标宋简体" w:cs="方正小标宋简体"/>
          <w:color w:val="000000"/>
          <w:spacing w:val="0"/>
          <w:w w:val="100"/>
          <w:sz w:val="44"/>
          <w:szCs w:val="44"/>
          <w:lang w:val="en-US" w:eastAsia="zh-CN"/>
        </w:rPr>
        <w:t>关于龙安区2025年财政预算执行情况和</w:t>
      </w:r>
    </w:p>
    <w:p w14:paraId="345FC542">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jc w:val="center"/>
        <w:textAlignment w:val="auto"/>
        <w:rPr>
          <w:rFonts w:hint="eastAsia" w:ascii="方正小标宋简体" w:hAnsi="方正小标宋简体" w:eastAsia="方正小标宋简体" w:cs="方正小标宋简体"/>
          <w:color w:val="000000"/>
          <w:spacing w:val="0"/>
          <w:w w:val="100"/>
          <w:sz w:val="44"/>
          <w:szCs w:val="44"/>
          <w:lang w:val="en-US" w:eastAsia="zh-CN"/>
        </w:rPr>
      </w:pPr>
      <w:r>
        <w:rPr>
          <w:rFonts w:hint="eastAsia" w:ascii="方正小标宋简体" w:hAnsi="方正小标宋简体" w:eastAsia="方正小标宋简体" w:cs="方正小标宋简体"/>
          <w:color w:val="000000"/>
          <w:spacing w:val="0"/>
          <w:w w:val="100"/>
          <w:sz w:val="44"/>
          <w:szCs w:val="44"/>
          <w:lang w:val="en-US" w:eastAsia="zh-CN"/>
        </w:rPr>
        <w:t>2026年财政预算（草案）的报告</w:t>
      </w:r>
    </w:p>
    <w:p w14:paraId="729700B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楷体_GB2312" w:hAnsi="楷体_GB2312" w:eastAsia="楷体_GB2312" w:cs="楷体_GB2312"/>
          <w:b w:val="0"/>
          <w:bCs w:val="0"/>
          <w:spacing w:val="-34"/>
          <w:sz w:val="30"/>
          <w:szCs w:val="30"/>
          <w:lang w:eastAsia="zh-CN"/>
        </w:rPr>
      </w:pPr>
    </w:p>
    <w:p w14:paraId="4F3D14F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楷体_GB2312" w:hAnsi="楷体_GB2312" w:eastAsia="楷体_GB2312" w:cs="楷体_GB2312"/>
          <w:b w:val="0"/>
          <w:bCs w:val="0"/>
          <w:color w:val="000000"/>
          <w:spacing w:val="0"/>
          <w:sz w:val="32"/>
          <w:szCs w:val="32"/>
        </w:rPr>
      </w:pPr>
      <w:r>
        <w:rPr>
          <w:rFonts w:hint="eastAsia" w:ascii="楷体_GB2312" w:hAnsi="楷体_GB2312" w:eastAsia="楷体_GB2312" w:cs="楷体_GB2312"/>
          <w:b w:val="0"/>
          <w:bCs w:val="0"/>
          <w:spacing w:val="-34"/>
          <w:sz w:val="30"/>
          <w:szCs w:val="30"/>
          <w:lang w:eastAsia="zh-CN"/>
        </w:rPr>
        <w:t>——</w:t>
      </w:r>
      <w:r>
        <w:rPr>
          <w:rFonts w:hint="eastAsia" w:ascii="楷体_GB2312" w:hAnsi="楷体_GB2312" w:eastAsia="楷体_GB2312" w:cs="楷体_GB2312"/>
          <w:b w:val="0"/>
          <w:bCs w:val="0"/>
          <w:color w:val="000000"/>
          <w:spacing w:val="0"/>
          <w:sz w:val="32"/>
          <w:szCs w:val="32"/>
        </w:rPr>
        <w:t>202</w:t>
      </w:r>
      <w:r>
        <w:rPr>
          <w:rFonts w:hint="eastAsia" w:ascii="楷体_GB2312" w:hAnsi="楷体_GB2312" w:eastAsia="楷体_GB2312" w:cs="楷体_GB2312"/>
          <w:b w:val="0"/>
          <w:bCs w:val="0"/>
          <w:color w:val="000000"/>
          <w:spacing w:val="0"/>
          <w:sz w:val="32"/>
          <w:szCs w:val="32"/>
          <w:lang w:val="en-US" w:eastAsia="zh-CN"/>
        </w:rPr>
        <w:t>6</w:t>
      </w:r>
      <w:r>
        <w:rPr>
          <w:rFonts w:hint="eastAsia" w:ascii="楷体_GB2312" w:hAnsi="楷体_GB2312" w:eastAsia="楷体_GB2312" w:cs="楷体_GB2312"/>
          <w:b w:val="0"/>
          <w:bCs w:val="0"/>
          <w:color w:val="000000"/>
          <w:spacing w:val="0"/>
          <w:sz w:val="32"/>
          <w:szCs w:val="32"/>
        </w:rPr>
        <w:t>年</w:t>
      </w:r>
      <w:r>
        <w:rPr>
          <w:rFonts w:hint="eastAsia" w:ascii="楷体_GB2312" w:hAnsi="楷体_GB2312" w:eastAsia="楷体_GB2312" w:cs="楷体_GB2312"/>
          <w:b w:val="0"/>
          <w:bCs w:val="0"/>
          <w:color w:val="000000"/>
          <w:spacing w:val="0"/>
          <w:sz w:val="32"/>
          <w:szCs w:val="32"/>
          <w:lang w:val="en-US" w:eastAsia="zh-CN"/>
        </w:rPr>
        <w:t>2</w:t>
      </w:r>
      <w:r>
        <w:rPr>
          <w:rFonts w:hint="eastAsia" w:ascii="楷体_GB2312" w:hAnsi="楷体_GB2312" w:eastAsia="楷体_GB2312" w:cs="楷体_GB2312"/>
          <w:b w:val="0"/>
          <w:bCs w:val="0"/>
          <w:color w:val="000000"/>
          <w:spacing w:val="0"/>
          <w:sz w:val="32"/>
          <w:szCs w:val="32"/>
        </w:rPr>
        <w:t>月</w:t>
      </w:r>
      <w:r>
        <w:rPr>
          <w:rFonts w:hint="eastAsia" w:ascii="楷体_GB2312" w:hAnsi="楷体_GB2312" w:eastAsia="楷体_GB2312" w:cs="楷体_GB2312"/>
          <w:b w:val="0"/>
          <w:bCs w:val="0"/>
          <w:color w:val="000000"/>
          <w:spacing w:val="0"/>
          <w:sz w:val="32"/>
          <w:szCs w:val="32"/>
          <w:lang w:val="en-US" w:eastAsia="zh-CN"/>
        </w:rPr>
        <w:t>28</w:t>
      </w:r>
      <w:r>
        <w:rPr>
          <w:rFonts w:hint="eastAsia" w:ascii="楷体_GB2312" w:hAnsi="楷体_GB2312" w:eastAsia="楷体_GB2312" w:cs="楷体_GB2312"/>
          <w:b w:val="0"/>
          <w:bCs w:val="0"/>
          <w:color w:val="000000"/>
          <w:spacing w:val="0"/>
          <w:sz w:val="32"/>
          <w:szCs w:val="32"/>
        </w:rPr>
        <w:t>日在安阳市龙安区</w:t>
      </w:r>
      <w:r>
        <w:rPr>
          <w:rFonts w:hint="eastAsia" w:ascii="楷体_GB2312" w:hAnsi="楷体_GB2312" w:eastAsia="楷体_GB2312" w:cs="楷体_GB2312"/>
          <w:b w:val="0"/>
          <w:bCs w:val="0"/>
          <w:color w:val="000000"/>
          <w:spacing w:val="0"/>
          <w:sz w:val="32"/>
          <w:szCs w:val="32"/>
          <w:lang w:eastAsia="zh-CN"/>
        </w:rPr>
        <w:t>第</w:t>
      </w:r>
      <w:r>
        <w:rPr>
          <w:rFonts w:hint="eastAsia" w:ascii="楷体_GB2312" w:hAnsi="楷体_GB2312" w:eastAsia="楷体_GB2312" w:cs="楷体_GB2312"/>
          <w:b w:val="0"/>
          <w:bCs w:val="0"/>
          <w:color w:val="000000"/>
          <w:spacing w:val="0"/>
          <w:sz w:val="32"/>
          <w:szCs w:val="32"/>
        </w:rPr>
        <w:t>五届人民代表大会</w:t>
      </w:r>
    </w:p>
    <w:p w14:paraId="5CB6F1D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楷体_GB2312" w:hAnsi="楷体_GB2312" w:eastAsia="楷体_GB2312" w:cs="楷体_GB2312"/>
          <w:color w:val="000000"/>
          <w:spacing w:val="0"/>
          <w:w w:val="90"/>
          <w:sz w:val="32"/>
          <w:szCs w:val="32"/>
          <w:highlight w:val="none"/>
          <w:lang w:val="en-US" w:eastAsia="zh-CN"/>
        </w:rPr>
      </w:pPr>
      <w:r>
        <w:rPr>
          <w:rFonts w:hint="eastAsia" w:ascii="楷体_GB2312" w:hAnsi="楷体_GB2312" w:eastAsia="楷体_GB2312" w:cs="楷体_GB2312"/>
          <w:b w:val="0"/>
          <w:bCs w:val="0"/>
          <w:color w:val="000000"/>
          <w:spacing w:val="0"/>
          <w:sz w:val="32"/>
          <w:szCs w:val="32"/>
          <w:lang w:val="en-US" w:eastAsia="zh-CN"/>
        </w:rPr>
        <w:t>第六</w:t>
      </w:r>
      <w:r>
        <w:rPr>
          <w:rFonts w:hint="eastAsia" w:ascii="楷体_GB2312" w:hAnsi="楷体_GB2312" w:eastAsia="楷体_GB2312" w:cs="楷体_GB2312"/>
          <w:b w:val="0"/>
          <w:bCs w:val="0"/>
          <w:color w:val="000000"/>
          <w:spacing w:val="0"/>
          <w:sz w:val="32"/>
          <w:szCs w:val="32"/>
        </w:rPr>
        <w:t>次会议上</w:t>
      </w:r>
    </w:p>
    <w:p w14:paraId="2B58B554">
      <w:pPr>
        <w:keepNext w:val="0"/>
        <w:keepLines w:val="0"/>
        <w:pageBreakBefore w:val="0"/>
        <w:widowControl w:val="0"/>
        <w:tabs>
          <w:tab w:val="left" w:pos="840"/>
        </w:tabs>
        <w:kinsoku/>
        <w:wordWrap/>
        <w:overflowPunct/>
        <w:topLinePunct w:val="0"/>
        <w:autoSpaceDE/>
        <w:autoSpaceDN/>
        <w:bidi w:val="0"/>
        <w:adjustRightInd/>
        <w:snapToGrid/>
        <w:spacing w:line="600" w:lineRule="exact"/>
        <w:ind w:left="0" w:leftChars="0" w:right="0" w:rightChars="0"/>
        <w:jc w:val="center"/>
        <w:textAlignment w:val="auto"/>
        <w:rPr>
          <w:rFonts w:hint="eastAsia" w:ascii="楷体_GB2312" w:hAnsi="楷体_GB2312" w:eastAsia="楷体_GB2312" w:cs="楷体_GB2312"/>
          <w:color w:val="000000"/>
          <w:spacing w:val="0"/>
          <w:sz w:val="32"/>
          <w:szCs w:val="32"/>
          <w:lang w:eastAsia="zh-CN"/>
        </w:rPr>
      </w:pPr>
    </w:p>
    <w:p w14:paraId="3E6A3C40">
      <w:pPr>
        <w:keepNext w:val="0"/>
        <w:keepLines w:val="0"/>
        <w:pageBreakBefore w:val="0"/>
        <w:widowControl w:val="0"/>
        <w:tabs>
          <w:tab w:val="left" w:pos="840"/>
        </w:tabs>
        <w:kinsoku/>
        <w:wordWrap/>
        <w:overflowPunct/>
        <w:topLinePunct w:val="0"/>
        <w:autoSpaceDE/>
        <w:autoSpaceDN/>
        <w:bidi w:val="0"/>
        <w:adjustRightInd/>
        <w:snapToGrid/>
        <w:spacing w:line="600" w:lineRule="exact"/>
        <w:ind w:left="0" w:leftChars="0" w:right="0" w:rightChars="0"/>
        <w:jc w:val="center"/>
        <w:textAlignment w:val="auto"/>
        <w:rPr>
          <w:rFonts w:hint="eastAsia" w:ascii="楷体_GB2312" w:hAnsi="楷体_GB2312" w:eastAsia="楷体_GB2312" w:cs="楷体_GB2312"/>
          <w:color w:val="000000"/>
          <w:spacing w:val="0"/>
          <w:sz w:val="32"/>
          <w:szCs w:val="32"/>
        </w:rPr>
      </w:pPr>
      <w:r>
        <w:rPr>
          <w:rFonts w:hint="eastAsia" w:ascii="楷体_GB2312" w:hAnsi="楷体_GB2312" w:eastAsia="楷体_GB2312" w:cs="楷体_GB2312"/>
          <w:color w:val="000000"/>
          <w:spacing w:val="0"/>
          <w:sz w:val="32"/>
          <w:szCs w:val="32"/>
          <w:lang w:eastAsia="zh-CN"/>
        </w:rPr>
        <w:t>安阳市</w:t>
      </w:r>
      <w:r>
        <w:rPr>
          <w:rFonts w:hint="eastAsia" w:ascii="楷体_GB2312" w:hAnsi="楷体_GB2312" w:eastAsia="楷体_GB2312" w:cs="楷体_GB2312"/>
          <w:color w:val="000000"/>
          <w:spacing w:val="0"/>
          <w:sz w:val="32"/>
          <w:szCs w:val="32"/>
        </w:rPr>
        <w:t>龙安区财政局</w:t>
      </w:r>
    </w:p>
    <w:p w14:paraId="732FE071">
      <w:pPr>
        <w:keepNext w:val="0"/>
        <w:keepLines w:val="0"/>
        <w:pageBreakBefore w:val="0"/>
        <w:widowControl w:val="0"/>
        <w:tabs>
          <w:tab w:val="left" w:pos="840"/>
        </w:tabs>
        <w:kinsoku/>
        <w:wordWrap/>
        <w:overflowPunct/>
        <w:topLinePunct w:val="0"/>
        <w:autoSpaceDE/>
        <w:autoSpaceDN/>
        <w:bidi w:val="0"/>
        <w:adjustRightInd/>
        <w:snapToGrid/>
        <w:spacing w:line="600" w:lineRule="exact"/>
        <w:ind w:left="0" w:leftChars="0" w:right="0" w:rightChars="0"/>
        <w:jc w:val="center"/>
        <w:textAlignment w:val="auto"/>
        <w:rPr>
          <w:rFonts w:hint="eastAsia" w:ascii="楷体_GB2312" w:hAnsi="楷体_GB2312" w:eastAsia="楷体_GB2312" w:cs="楷体_GB2312"/>
          <w:color w:val="000000"/>
          <w:spacing w:val="0"/>
          <w:sz w:val="32"/>
          <w:szCs w:val="32"/>
          <w:lang w:val="en-US" w:eastAsia="zh-CN"/>
        </w:rPr>
      </w:pPr>
      <w:r>
        <w:rPr>
          <w:rFonts w:hint="eastAsia" w:ascii="楷体_GB2312" w:hAnsi="楷体_GB2312" w:eastAsia="楷体_GB2312" w:cs="楷体_GB2312"/>
          <w:color w:val="000000"/>
          <w:spacing w:val="0"/>
          <w:sz w:val="32"/>
          <w:szCs w:val="32"/>
        </w:rPr>
        <w:t xml:space="preserve"> </w:t>
      </w:r>
    </w:p>
    <w:p w14:paraId="1057526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各位代表</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w:t>
      </w:r>
    </w:p>
    <w:p w14:paraId="5E991A28">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hAnsi="仿宋_GB2312" w:eastAsia="仿宋_GB2312" w:cs="仿宋_GB2312"/>
          <w:color w:val="000000" w:themeColor="text1"/>
          <w:spacing w:val="0"/>
          <w:kern w:val="10"/>
          <w:sz w:val="32"/>
          <w:szCs w:val="32"/>
          <w:highlight w:val="none"/>
          <w:lang w:val="en-US"/>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受区政府委托，现将我</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年财政预算执行情况和202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年财政预算（草案）提请区五届人大第</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次会议审议</w:t>
      </w:r>
      <w:r>
        <w:rPr>
          <w:rFonts w:hint="eastAsia" w:ascii="仿宋_GB2312" w:hAnsi="仿宋_GB2312" w:eastAsia="仿宋_GB2312" w:cs="仿宋_GB2312"/>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并请各位代表、各位委员和列席人员提出意见。</w:t>
      </w:r>
    </w:p>
    <w:p w14:paraId="00B45DD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黑体" w:hAnsi="黑体" w:eastAsia="黑体" w:cs="黑体"/>
          <w:color w:val="000000" w:themeColor="text1"/>
          <w:spacing w:val="0"/>
          <w:kern w:val="10"/>
          <w:sz w:val="32"/>
          <w:szCs w:val="32"/>
          <w:highlight w:val="none"/>
          <w14:textFill>
            <w14:solidFill>
              <w14:schemeClr w14:val="tx1"/>
            </w14:solidFill>
          </w14:textFill>
        </w:rPr>
      </w:pPr>
      <w:r>
        <w:rPr>
          <w:rFonts w:hint="eastAsia" w:ascii="黑体" w:hAnsi="黑体" w:eastAsia="黑体" w:cs="黑体"/>
          <w:color w:val="000000" w:themeColor="text1"/>
          <w:spacing w:val="0"/>
          <w:kern w:val="10"/>
          <w:sz w:val="32"/>
          <w:szCs w:val="32"/>
          <w:highlight w:val="none"/>
          <w14:textFill>
            <w14:solidFill>
              <w14:schemeClr w14:val="tx1"/>
            </w14:solidFill>
          </w14:textFill>
        </w:rPr>
        <w:t>一、202</w:t>
      </w:r>
      <w:r>
        <w:rPr>
          <w:rFonts w:hint="eastAsia" w:ascii="黑体" w:hAnsi="黑体" w:eastAsia="黑体" w:cs="黑体"/>
          <w:color w:val="000000" w:themeColor="text1"/>
          <w:spacing w:val="0"/>
          <w:kern w:val="10"/>
          <w:sz w:val="32"/>
          <w:szCs w:val="32"/>
          <w:highlight w:val="none"/>
          <w:lang w:val="en-US" w:eastAsia="zh-CN"/>
          <w14:textFill>
            <w14:solidFill>
              <w14:schemeClr w14:val="tx1"/>
            </w14:solidFill>
          </w14:textFill>
        </w:rPr>
        <w:t>5</w:t>
      </w:r>
      <w:r>
        <w:rPr>
          <w:rFonts w:hint="eastAsia" w:ascii="黑体" w:hAnsi="黑体" w:eastAsia="黑体" w:cs="黑体"/>
          <w:color w:val="000000" w:themeColor="text1"/>
          <w:spacing w:val="0"/>
          <w:kern w:val="10"/>
          <w:sz w:val="32"/>
          <w:szCs w:val="32"/>
          <w:highlight w:val="none"/>
          <w14:textFill>
            <w14:solidFill>
              <w14:schemeClr w14:val="tx1"/>
            </w14:solidFill>
          </w14:textFill>
        </w:rPr>
        <w:t>年财政预算执行情况</w:t>
      </w:r>
    </w:p>
    <w:p w14:paraId="6DA3479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楷体_GB2312" w:hAnsi="仿宋_GB2312" w:eastAsia="楷体_GB2312" w:cs="仿宋_GB2312"/>
          <w:color w:val="000000" w:themeColor="text1"/>
          <w:spacing w:val="0"/>
          <w:kern w:val="2"/>
          <w:sz w:val="32"/>
          <w:szCs w:val="32"/>
          <w:highlight w:val="none"/>
          <w14:textFill>
            <w14:solidFill>
              <w14:schemeClr w14:val="tx1"/>
            </w14:solidFill>
          </w14:textFill>
        </w:rPr>
      </w:pPr>
      <w:r>
        <w:rPr>
          <w:rFonts w:hint="eastAsia" w:ascii="楷体_GB2312" w:hAnsi="仿宋_GB2312" w:eastAsia="楷体_GB2312" w:cs="仿宋_GB2312"/>
          <w:color w:val="000000" w:themeColor="text1"/>
          <w:spacing w:val="0"/>
          <w:kern w:val="2"/>
          <w:sz w:val="32"/>
          <w:szCs w:val="32"/>
          <w:highlight w:val="none"/>
          <w14:textFill>
            <w14:solidFill>
              <w14:schemeClr w14:val="tx1"/>
            </w14:solidFill>
          </w14:textFill>
        </w:rPr>
        <w:t>（一）一般公共预算执行情况</w:t>
      </w:r>
    </w:p>
    <w:p w14:paraId="40B5CEF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ascii="仿宋_GB2312" w:hAnsi="仿宋_GB2312" w:eastAsia="仿宋_GB2312" w:cs="仿宋_GB2312"/>
          <w:b/>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1</w:t>
      </w:r>
      <w:r>
        <w:rPr>
          <w:rFonts w:hint="eastAsia" w:ascii="仿宋_GB2312" w:hAnsi="仿宋_GB2312" w:eastAsia="仿宋_GB2312" w:cs="仿宋_GB2312"/>
          <w:b/>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一般公共预算收入执行情况</w:t>
      </w:r>
    </w:p>
    <w:p w14:paraId="669E0360">
      <w:pPr>
        <w:pStyle w:val="5"/>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2025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年全区一般公共预算收入年初预算为</w:t>
      </w:r>
      <w:r>
        <w:rPr>
          <w:rFonts w:hint="eastAsia" w:ascii="仿宋_GB2312" w:hAnsi="仿宋_GB2312" w:eastAsia="仿宋_GB2312" w:cs="仿宋_GB2312"/>
          <w:color w:val="auto"/>
          <w:spacing w:val="0"/>
          <w:sz w:val="32"/>
          <w:szCs w:val="32"/>
          <w:highlight w:val="none"/>
          <w:u w:val="none"/>
          <w:lang w:val="en-US" w:eastAsia="zh-CN"/>
        </w:rPr>
        <w:t>118055</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万元，其中税收收入</w:t>
      </w:r>
      <w:r>
        <w:rPr>
          <w:rFonts w:hint="eastAsia" w:ascii="仿宋_GB2312" w:hAnsi="仿宋_GB2312" w:eastAsia="仿宋_GB2312" w:cs="仿宋_GB2312"/>
          <w:b w:val="0"/>
          <w:bCs/>
          <w:color w:val="000000" w:themeColor="text1"/>
          <w:spacing w:val="0"/>
          <w:sz w:val="32"/>
          <w:szCs w:val="32"/>
          <w:highlight w:val="none"/>
          <w:u w:val="none"/>
          <w:lang w:val="en-US" w:eastAsia="zh-CN"/>
          <w14:textFill>
            <w14:solidFill>
              <w14:schemeClr w14:val="tx1"/>
            </w14:solidFill>
          </w14:textFill>
        </w:rPr>
        <w:t>82639</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万元、非税收入</w:t>
      </w:r>
      <w:r>
        <w:rPr>
          <w:rFonts w:hint="eastAsia" w:ascii="仿宋_GB2312" w:hAnsi="仿宋_GB2312" w:eastAsia="仿宋_GB2312" w:cs="仿宋_GB2312"/>
          <w:color w:val="000000" w:themeColor="text1"/>
          <w:spacing w:val="0"/>
          <w:kern w:val="10"/>
          <w:sz w:val="32"/>
          <w:szCs w:val="32"/>
          <w:highlight w:val="none"/>
          <w:u w:val="none"/>
          <w:lang w:val="en-US" w:eastAsia="zh-CN"/>
          <w14:textFill>
            <w14:solidFill>
              <w14:schemeClr w14:val="tx1"/>
            </w14:solidFill>
          </w14:textFill>
        </w:rPr>
        <w:t>35416</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万元。</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2025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年全区一般公共预算收入实际完成</w:t>
      </w:r>
      <w:r>
        <w:rPr>
          <w:rFonts w:hint="eastAsia" w:ascii="仿宋_GB2312" w:hAnsi="仿宋_GB2312" w:eastAsia="仿宋_GB2312" w:cs="仿宋_GB2312"/>
          <w:color w:val="000000"/>
          <w:spacing w:val="0"/>
          <w:kern w:val="10"/>
          <w:sz w:val="32"/>
          <w:szCs w:val="32"/>
          <w:highlight w:val="none"/>
          <w:lang w:val="en-US" w:eastAsia="zh-CN" w:bidi="ar-SA"/>
        </w:rPr>
        <w:t>119029</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w:t>
      </w:r>
      <w:r>
        <w:rPr>
          <w:rFonts w:hint="eastAsia" w:ascii="仿宋_GB2312" w:hAnsi="仿宋_GB2312" w:eastAsia="仿宋_GB2312" w:cs="仿宋_GB2312"/>
          <w:color w:val="000000" w:themeColor="text1"/>
          <w:spacing w:val="0"/>
          <w:kern w:val="10"/>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其中税收收入完成</w:t>
      </w:r>
      <w:r>
        <w:rPr>
          <w:rFonts w:hint="eastAsia" w:ascii="仿宋_GB2312" w:hAnsi="仿宋_GB2312" w:eastAsia="仿宋_GB2312" w:cs="仿宋_GB2312"/>
          <w:color w:val="000000"/>
          <w:spacing w:val="0"/>
          <w:kern w:val="10"/>
          <w:sz w:val="32"/>
          <w:szCs w:val="32"/>
          <w:highlight w:val="none"/>
          <w:lang w:val="en-US" w:eastAsia="zh-CN" w:bidi="ar-SA"/>
        </w:rPr>
        <w:t>68736</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万元</w:t>
      </w:r>
      <w:r>
        <w:rPr>
          <w:rFonts w:hint="eastAsia" w:ascii="仿宋_GB2312" w:hAnsi="仿宋_GB2312" w:eastAsia="仿宋_GB2312" w:cs="仿宋_GB2312"/>
          <w:color w:val="000000" w:themeColor="text1"/>
          <w:spacing w:val="0"/>
          <w:kern w:val="10"/>
          <w:sz w:val="32"/>
          <w:szCs w:val="32"/>
          <w:highlight w:val="none"/>
          <w:u w:val="none"/>
          <w:lang w:eastAsia="zh-CN"/>
          <w14:textFill>
            <w14:solidFill>
              <w14:schemeClr w14:val="tx1"/>
            </w14:solidFill>
          </w14:textFill>
        </w:rPr>
        <w:t>、</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非税收入完成</w:t>
      </w:r>
      <w:r>
        <w:rPr>
          <w:rFonts w:hint="eastAsia" w:ascii="仿宋_GB2312" w:hAnsi="仿宋_GB2312" w:eastAsia="仿宋_GB2312" w:cs="仿宋_GB2312"/>
          <w:color w:val="000000"/>
          <w:spacing w:val="0"/>
          <w:kern w:val="10"/>
          <w:sz w:val="32"/>
          <w:szCs w:val="32"/>
          <w:highlight w:val="none"/>
          <w:lang w:val="en-US" w:eastAsia="zh-CN" w:bidi="ar-SA"/>
        </w:rPr>
        <w:t>50293</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万元。税收收入占一般公共预算收入的比重为</w:t>
      </w:r>
      <w:r>
        <w:rPr>
          <w:rFonts w:hint="eastAsia" w:ascii="仿宋_GB2312" w:hAnsi="仿宋_GB2312" w:eastAsia="仿宋_GB2312" w:cs="仿宋_GB2312"/>
          <w:color w:val="000000"/>
          <w:spacing w:val="0"/>
          <w:kern w:val="10"/>
          <w:sz w:val="32"/>
          <w:szCs w:val="32"/>
          <w:highlight w:val="none"/>
          <w:lang w:val="en-US" w:eastAsia="zh-CN" w:bidi="ar-SA"/>
        </w:rPr>
        <w:t>57.7%</w:t>
      </w:r>
      <w:r>
        <w:rPr>
          <w:rFonts w:hint="eastAsia" w:ascii="仿宋_GB2312" w:hAnsi="仿宋_GB2312" w:eastAsia="仿宋_GB2312" w:cs="仿宋_GB2312"/>
          <w:color w:val="000000" w:themeColor="text1"/>
          <w:spacing w:val="0"/>
          <w:kern w:val="10"/>
          <w:sz w:val="32"/>
          <w:szCs w:val="32"/>
          <w:highlight w:val="none"/>
          <w:u w:val="none"/>
          <w14:textFill>
            <w14:solidFill>
              <w14:schemeClr w14:val="tx1"/>
            </w14:solidFill>
          </w14:textFill>
        </w:rPr>
        <w:t>。</w:t>
      </w:r>
    </w:p>
    <w:p w14:paraId="162BC16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ascii="仿宋_GB2312" w:hAnsi="仿宋_GB2312" w:eastAsia="仿宋_GB2312" w:cs="仿宋_GB2312"/>
          <w:b/>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2</w:t>
      </w:r>
      <w:r>
        <w:rPr>
          <w:rFonts w:hint="eastAsia" w:ascii="仿宋_GB2312" w:hAnsi="仿宋_GB2312" w:eastAsia="仿宋_GB2312" w:cs="仿宋_GB2312"/>
          <w:b/>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一般公共预算支出执行情况</w:t>
      </w:r>
    </w:p>
    <w:p w14:paraId="288E17CB">
      <w:pPr>
        <w:pStyle w:val="5"/>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hAnsi="仿宋_GB2312" w:eastAsia="仿宋_GB2312" w:cs="仿宋_GB2312"/>
          <w:color w:val="000000" w:themeColor="text1"/>
          <w:spacing w:val="0"/>
          <w:kern w:val="10"/>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2025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年全区一般公共预算支出年初预算为</w:t>
      </w:r>
      <w:r>
        <w:rPr>
          <w:rFonts w:hint="eastAsia" w:ascii="仿宋_GB2312" w:hAnsi="仿宋_GB2312" w:eastAsia="仿宋_GB2312" w:cs="仿宋_GB2312"/>
          <w:b w:val="0"/>
          <w:bCs/>
          <w:color w:val="auto"/>
          <w:spacing w:val="0"/>
          <w:sz w:val="32"/>
          <w:szCs w:val="32"/>
          <w:highlight w:val="none"/>
          <w:lang w:val="en-US" w:eastAsia="zh-CN"/>
        </w:rPr>
        <w:t>234718</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w:t>
      </w:r>
      <w:r>
        <w:rPr>
          <w:rFonts w:hint="eastAsia" w:ascii="仿宋_GB2312" w:hAnsi="仿宋_GB2312" w:eastAsia="仿宋_GB2312" w:cs="仿宋_GB2312"/>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color w:val="auto"/>
          <w:spacing w:val="0"/>
          <w:sz w:val="32"/>
          <w:szCs w:val="32"/>
          <w:highlight w:val="none"/>
          <w:lang w:val="en-US" w:eastAsia="zh-CN"/>
        </w:rPr>
        <w:t>经五届人大常委会第二十九次会议批准，</w:t>
      </w:r>
      <w:r>
        <w:rPr>
          <w:rFonts w:hint="eastAsia" w:ascii="仿宋_GB2312" w:hAnsi="仿宋_GB2312" w:eastAsia="仿宋_GB2312" w:cs="仿宋_GB2312"/>
          <w:b w:val="0"/>
          <w:bCs/>
          <w:color w:val="auto"/>
          <w:spacing w:val="0"/>
          <w:sz w:val="32"/>
          <w:szCs w:val="32"/>
          <w:highlight w:val="none"/>
          <w:u w:val="none"/>
          <w:lang w:val="en-US" w:eastAsia="zh-CN"/>
        </w:rPr>
        <w:t>2025年全区一般公共预算支出调整预算为172464万元，</w:t>
      </w:r>
      <w:r>
        <w:rPr>
          <w:rFonts w:hint="eastAsia" w:ascii="仿宋_GB2312" w:hAnsi="仿宋_GB2312" w:eastAsia="仿宋_GB2312" w:cs="仿宋_GB2312"/>
          <w:color w:val="auto"/>
          <w:spacing w:val="0"/>
          <w:kern w:val="10"/>
          <w:sz w:val="32"/>
          <w:szCs w:val="32"/>
          <w:highlight w:val="none"/>
          <w:u w:val="none"/>
          <w:lang w:val="en-US" w:eastAsia="zh-CN"/>
        </w:rPr>
        <w:t>当年全区一般公共预算支</w:t>
      </w:r>
      <w:r>
        <w:rPr>
          <w:rFonts w:hint="eastAsia" w:ascii="仿宋_GB2312" w:hAnsi="仿宋_GB2312" w:eastAsia="仿宋_GB2312" w:cs="仿宋_GB2312"/>
          <w:color w:val="000000" w:themeColor="text1"/>
          <w:spacing w:val="0"/>
          <w:kern w:val="10"/>
          <w:sz w:val="32"/>
          <w:szCs w:val="32"/>
          <w:highlight w:val="none"/>
          <w:u w:val="none"/>
          <w:lang w:val="en-US" w:eastAsia="zh-CN"/>
          <w14:textFill>
            <w14:solidFill>
              <w14:schemeClr w14:val="tx1"/>
            </w14:solidFill>
          </w14:textFill>
        </w:rPr>
        <w:t>出实际完成158607万元。</w:t>
      </w:r>
    </w:p>
    <w:p w14:paraId="0A740338">
      <w:pPr>
        <w:keepNext w:val="0"/>
        <w:keepLines w:val="0"/>
        <w:pageBreakBefore w:val="0"/>
        <w:widowControl w:val="0"/>
        <w:shd w:val="clear"/>
        <w:tabs>
          <w:tab w:val="left" w:pos="2310"/>
        </w:tabs>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 w:val="0"/>
          <w:bCs w:val="0"/>
          <w:color w:val="auto"/>
          <w:spacing w:val="0"/>
          <w:kern w:val="10"/>
          <w:sz w:val="32"/>
          <w:szCs w:val="32"/>
          <w:highlight w:val="none"/>
          <w:lang w:eastAsia="zh-CN"/>
        </w:rPr>
      </w:pPr>
      <w:r>
        <w:rPr>
          <w:rFonts w:hint="eastAsia" w:ascii="仿宋_GB2312" w:hAnsi="仿宋_GB2312" w:eastAsia="仿宋_GB2312" w:cs="仿宋_GB2312"/>
          <w:b/>
          <w:bCs/>
          <w:color w:val="auto"/>
          <w:spacing w:val="0"/>
          <w:kern w:val="10"/>
          <w:sz w:val="32"/>
          <w:szCs w:val="32"/>
          <w:highlight w:val="none"/>
        </w:rPr>
        <w:t>功能分类支出主要是：</w:t>
      </w:r>
      <w:r>
        <w:rPr>
          <w:rFonts w:hint="eastAsia" w:ascii="仿宋_GB2312" w:hAnsi="仿宋_GB2312" w:eastAsia="仿宋_GB2312" w:cs="仿宋_GB2312"/>
          <w:b w:val="0"/>
          <w:bCs w:val="0"/>
          <w:color w:val="auto"/>
          <w:spacing w:val="0"/>
          <w:kern w:val="10"/>
          <w:sz w:val="32"/>
          <w:szCs w:val="32"/>
          <w:highlight w:val="none"/>
        </w:rPr>
        <w:t>一般公共服务支出</w:t>
      </w:r>
      <w:r>
        <w:rPr>
          <w:rFonts w:hint="eastAsia" w:ascii="仿宋_GB2312" w:hAnsi="仿宋_GB2312" w:eastAsia="仿宋_GB2312" w:cs="仿宋_GB2312"/>
          <w:b w:val="0"/>
          <w:bCs w:val="0"/>
          <w:color w:val="auto"/>
          <w:spacing w:val="0"/>
          <w:kern w:val="10"/>
          <w:sz w:val="32"/>
          <w:szCs w:val="32"/>
          <w:highlight w:val="none"/>
          <w:lang w:val="en-US" w:eastAsia="zh-CN"/>
        </w:rPr>
        <w:t>39334</w:t>
      </w:r>
      <w:r>
        <w:rPr>
          <w:rFonts w:hint="eastAsia" w:ascii="仿宋_GB2312" w:hAnsi="仿宋_GB2312" w:eastAsia="仿宋_GB2312" w:cs="仿宋_GB2312"/>
          <w:b w:val="0"/>
          <w:bCs w:val="0"/>
          <w:color w:val="auto"/>
          <w:spacing w:val="0"/>
          <w:kern w:val="10"/>
          <w:sz w:val="32"/>
          <w:szCs w:val="32"/>
          <w:highlight w:val="none"/>
        </w:rPr>
        <w:t>万元、教育支出</w:t>
      </w:r>
      <w:r>
        <w:rPr>
          <w:rFonts w:hint="eastAsia" w:ascii="仿宋_GB2312" w:hAnsi="仿宋_GB2312" w:eastAsia="仿宋_GB2312" w:cs="仿宋_GB2312"/>
          <w:b w:val="0"/>
          <w:bCs w:val="0"/>
          <w:color w:val="auto"/>
          <w:spacing w:val="0"/>
          <w:kern w:val="10"/>
          <w:sz w:val="32"/>
          <w:szCs w:val="32"/>
          <w:highlight w:val="none"/>
          <w:lang w:val="en-US" w:eastAsia="zh-CN"/>
        </w:rPr>
        <w:t>26294</w:t>
      </w:r>
      <w:r>
        <w:rPr>
          <w:rFonts w:hint="eastAsia" w:ascii="仿宋_GB2312" w:hAnsi="仿宋_GB2312" w:eastAsia="仿宋_GB2312" w:cs="仿宋_GB2312"/>
          <w:b w:val="0"/>
          <w:bCs w:val="0"/>
          <w:color w:val="auto"/>
          <w:spacing w:val="0"/>
          <w:kern w:val="10"/>
          <w:sz w:val="32"/>
          <w:szCs w:val="32"/>
          <w:highlight w:val="none"/>
        </w:rPr>
        <w:t>万元、科学技术支出</w:t>
      </w:r>
      <w:r>
        <w:rPr>
          <w:rFonts w:hint="eastAsia" w:ascii="仿宋_GB2312" w:hAnsi="仿宋_GB2312" w:eastAsia="仿宋_GB2312" w:cs="仿宋_GB2312"/>
          <w:b w:val="0"/>
          <w:bCs w:val="0"/>
          <w:color w:val="auto"/>
          <w:spacing w:val="0"/>
          <w:kern w:val="10"/>
          <w:sz w:val="32"/>
          <w:szCs w:val="32"/>
          <w:highlight w:val="none"/>
          <w:lang w:val="en-US" w:eastAsia="zh-CN"/>
        </w:rPr>
        <w:t>4210</w:t>
      </w:r>
      <w:r>
        <w:rPr>
          <w:rFonts w:hint="eastAsia" w:ascii="仿宋_GB2312" w:hAnsi="仿宋_GB2312" w:eastAsia="仿宋_GB2312" w:cs="仿宋_GB2312"/>
          <w:b w:val="0"/>
          <w:bCs w:val="0"/>
          <w:color w:val="auto"/>
          <w:spacing w:val="0"/>
          <w:kern w:val="10"/>
          <w:sz w:val="32"/>
          <w:szCs w:val="32"/>
          <w:highlight w:val="none"/>
        </w:rPr>
        <w:t>万元、社会保障和就业支出</w:t>
      </w:r>
      <w:r>
        <w:rPr>
          <w:rFonts w:hint="eastAsia" w:ascii="仿宋_GB2312" w:hAnsi="仿宋_GB2312" w:eastAsia="仿宋_GB2312" w:cs="仿宋_GB2312"/>
          <w:b w:val="0"/>
          <w:bCs w:val="0"/>
          <w:color w:val="auto"/>
          <w:spacing w:val="0"/>
          <w:kern w:val="10"/>
          <w:sz w:val="32"/>
          <w:szCs w:val="32"/>
          <w:highlight w:val="none"/>
          <w:lang w:val="en-US" w:eastAsia="zh-CN"/>
        </w:rPr>
        <w:t>20367</w:t>
      </w:r>
      <w:r>
        <w:rPr>
          <w:rFonts w:hint="eastAsia" w:ascii="仿宋_GB2312" w:hAnsi="仿宋_GB2312" w:eastAsia="仿宋_GB2312" w:cs="仿宋_GB2312"/>
          <w:b w:val="0"/>
          <w:bCs w:val="0"/>
          <w:color w:val="auto"/>
          <w:spacing w:val="0"/>
          <w:kern w:val="10"/>
          <w:sz w:val="32"/>
          <w:szCs w:val="32"/>
          <w:highlight w:val="none"/>
        </w:rPr>
        <w:t>万元、卫生健康支出</w:t>
      </w:r>
      <w:r>
        <w:rPr>
          <w:rFonts w:hint="eastAsia" w:ascii="仿宋_GB2312" w:hAnsi="仿宋_GB2312" w:eastAsia="仿宋_GB2312" w:cs="仿宋_GB2312"/>
          <w:b w:val="0"/>
          <w:bCs w:val="0"/>
          <w:color w:val="auto"/>
          <w:spacing w:val="0"/>
          <w:kern w:val="10"/>
          <w:sz w:val="32"/>
          <w:szCs w:val="32"/>
          <w:highlight w:val="none"/>
          <w:lang w:val="en-US" w:eastAsia="zh-CN"/>
        </w:rPr>
        <w:t>14094</w:t>
      </w:r>
      <w:r>
        <w:rPr>
          <w:rFonts w:hint="eastAsia" w:ascii="仿宋_GB2312" w:hAnsi="仿宋_GB2312" w:eastAsia="仿宋_GB2312" w:cs="仿宋_GB2312"/>
          <w:b w:val="0"/>
          <w:bCs w:val="0"/>
          <w:color w:val="auto"/>
          <w:spacing w:val="0"/>
          <w:kern w:val="10"/>
          <w:sz w:val="32"/>
          <w:szCs w:val="32"/>
          <w:highlight w:val="none"/>
        </w:rPr>
        <w:t>万元、节能环保支出</w:t>
      </w:r>
      <w:r>
        <w:rPr>
          <w:rFonts w:hint="eastAsia" w:ascii="仿宋_GB2312" w:hAnsi="仿宋_GB2312" w:eastAsia="仿宋_GB2312" w:cs="仿宋_GB2312"/>
          <w:b w:val="0"/>
          <w:bCs w:val="0"/>
          <w:color w:val="auto"/>
          <w:spacing w:val="0"/>
          <w:kern w:val="10"/>
          <w:sz w:val="32"/>
          <w:szCs w:val="32"/>
          <w:highlight w:val="none"/>
          <w:lang w:val="en-US" w:eastAsia="zh-CN"/>
        </w:rPr>
        <w:t>6787</w:t>
      </w:r>
      <w:r>
        <w:rPr>
          <w:rFonts w:hint="eastAsia" w:ascii="仿宋_GB2312" w:hAnsi="仿宋_GB2312" w:eastAsia="仿宋_GB2312" w:cs="仿宋_GB2312"/>
          <w:b w:val="0"/>
          <w:bCs w:val="0"/>
          <w:color w:val="auto"/>
          <w:spacing w:val="0"/>
          <w:kern w:val="10"/>
          <w:sz w:val="32"/>
          <w:szCs w:val="32"/>
          <w:highlight w:val="none"/>
        </w:rPr>
        <w:t>万元、城乡社区支出</w:t>
      </w:r>
      <w:r>
        <w:rPr>
          <w:rFonts w:hint="eastAsia" w:ascii="仿宋_GB2312" w:hAnsi="仿宋_GB2312" w:eastAsia="仿宋_GB2312" w:cs="仿宋_GB2312"/>
          <w:b w:val="0"/>
          <w:bCs w:val="0"/>
          <w:color w:val="auto"/>
          <w:spacing w:val="0"/>
          <w:kern w:val="10"/>
          <w:sz w:val="32"/>
          <w:szCs w:val="32"/>
          <w:highlight w:val="none"/>
          <w:lang w:val="en-US" w:eastAsia="zh-CN"/>
        </w:rPr>
        <w:t>13507</w:t>
      </w:r>
      <w:r>
        <w:rPr>
          <w:rFonts w:hint="eastAsia" w:ascii="仿宋_GB2312" w:hAnsi="仿宋_GB2312" w:eastAsia="仿宋_GB2312" w:cs="仿宋_GB2312"/>
          <w:b w:val="0"/>
          <w:bCs w:val="0"/>
          <w:color w:val="auto"/>
          <w:spacing w:val="0"/>
          <w:kern w:val="10"/>
          <w:sz w:val="32"/>
          <w:szCs w:val="32"/>
          <w:highlight w:val="none"/>
        </w:rPr>
        <w:t>万元、</w:t>
      </w:r>
      <w:r>
        <w:rPr>
          <w:rFonts w:hint="eastAsia" w:ascii="仿宋_GB2312" w:hAnsi="仿宋_GB2312" w:eastAsia="仿宋_GB2312" w:cs="仿宋_GB2312"/>
          <w:b w:val="0"/>
          <w:bCs w:val="0"/>
          <w:color w:val="auto"/>
          <w:spacing w:val="0"/>
          <w:kern w:val="10"/>
          <w:sz w:val="32"/>
          <w:szCs w:val="32"/>
          <w:highlight w:val="none"/>
          <w:lang w:eastAsia="zh-CN"/>
        </w:rPr>
        <w:t>文化旅游体育与传媒支出</w:t>
      </w:r>
      <w:r>
        <w:rPr>
          <w:rFonts w:hint="eastAsia" w:ascii="仿宋_GB2312" w:hAnsi="仿宋_GB2312" w:eastAsia="仿宋_GB2312" w:cs="仿宋_GB2312"/>
          <w:b w:val="0"/>
          <w:bCs w:val="0"/>
          <w:color w:val="auto"/>
          <w:spacing w:val="0"/>
          <w:kern w:val="10"/>
          <w:sz w:val="32"/>
          <w:szCs w:val="32"/>
          <w:highlight w:val="none"/>
          <w:lang w:val="en-US" w:eastAsia="zh-CN"/>
        </w:rPr>
        <w:t>1186万元、</w:t>
      </w:r>
      <w:r>
        <w:rPr>
          <w:rFonts w:hint="eastAsia" w:ascii="仿宋_GB2312" w:hAnsi="仿宋_GB2312" w:eastAsia="仿宋_GB2312" w:cs="仿宋_GB2312"/>
          <w:b w:val="0"/>
          <w:bCs w:val="0"/>
          <w:color w:val="auto"/>
          <w:spacing w:val="0"/>
          <w:kern w:val="10"/>
          <w:sz w:val="32"/>
          <w:szCs w:val="32"/>
          <w:highlight w:val="none"/>
        </w:rPr>
        <w:t>农林水支出</w:t>
      </w:r>
      <w:r>
        <w:rPr>
          <w:rFonts w:hint="eastAsia" w:ascii="仿宋_GB2312" w:hAnsi="仿宋_GB2312" w:eastAsia="仿宋_GB2312" w:cs="仿宋_GB2312"/>
          <w:b w:val="0"/>
          <w:bCs w:val="0"/>
          <w:color w:val="auto"/>
          <w:spacing w:val="0"/>
          <w:kern w:val="10"/>
          <w:sz w:val="32"/>
          <w:szCs w:val="32"/>
          <w:highlight w:val="none"/>
          <w:lang w:val="en-US" w:eastAsia="zh-CN"/>
        </w:rPr>
        <w:t>18256</w:t>
      </w:r>
      <w:r>
        <w:rPr>
          <w:rFonts w:hint="eastAsia" w:ascii="仿宋_GB2312" w:hAnsi="仿宋_GB2312" w:eastAsia="仿宋_GB2312" w:cs="仿宋_GB2312"/>
          <w:b w:val="0"/>
          <w:bCs w:val="0"/>
          <w:color w:val="auto"/>
          <w:spacing w:val="0"/>
          <w:kern w:val="10"/>
          <w:sz w:val="32"/>
          <w:szCs w:val="32"/>
          <w:highlight w:val="none"/>
        </w:rPr>
        <w:t>万元、</w:t>
      </w:r>
      <w:r>
        <w:rPr>
          <w:rFonts w:hint="eastAsia" w:ascii="仿宋_GB2312" w:hAnsi="仿宋_GB2312" w:eastAsia="仿宋_GB2312" w:cs="仿宋_GB2312"/>
          <w:b w:val="0"/>
          <w:bCs w:val="0"/>
          <w:color w:val="auto"/>
          <w:spacing w:val="0"/>
          <w:kern w:val="10"/>
          <w:sz w:val="32"/>
          <w:szCs w:val="32"/>
          <w:highlight w:val="none"/>
          <w:lang w:eastAsia="zh-CN"/>
        </w:rPr>
        <w:t>交通运输支出</w:t>
      </w:r>
      <w:r>
        <w:rPr>
          <w:rFonts w:hint="eastAsia" w:ascii="仿宋_GB2312" w:hAnsi="仿宋_GB2312" w:eastAsia="仿宋_GB2312" w:cs="仿宋_GB2312"/>
          <w:b w:val="0"/>
          <w:bCs w:val="0"/>
          <w:color w:val="auto"/>
          <w:spacing w:val="0"/>
          <w:kern w:val="10"/>
          <w:sz w:val="32"/>
          <w:szCs w:val="32"/>
          <w:highlight w:val="none"/>
          <w:lang w:val="en-US" w:eastAsia="zh-CN"/>
        </w:rPr>
        <w:t>3097万元、资源勘探工业信息等支出262万元、商业服务业等支出544万元、</w:t>
      </w:r>
      <w:r>
        <w:rPr>
          <w:rFonts w:hint="eastAsia" w:ascii="仿宋_GB2312" w:hAnsi="仿宋_GB2312" w:eastAsia="仿宋_GB2312" w:cs="仿宋_GB2312"/>
          <w:b w:val="0"/>
          <w:bCs w:val="0"/>
          <w:color w:val="auto"/>
          <w:spacing w:val="0"/>
          <w:kern w:val="10"/>
          <w:sz w:val="32"/>
          <w:szCs w:val="32"/>
          <w:highlight w:val="none"/>
        </w:rPr>
        <w:t>自然资源海洋气象等支出</w:t>
      </w:r>
      <w:r>
        <w:rPr>
          <w:rFonts w:hint="eastAsia" w:ascii="仿宋_GB2312" w:hAnsi="仿宋_GB2312" w:eastAsia="仿宋_GB2312" w:cs="仿宋_GB2312"/>
          <w:b w:val="0"/>
          <w:bCs w:val="0"/>
          <w:color w:val="auto"/>
          <w:spacing w:val="0"/>
          <w:kern w:val="10"/>
          <w:sz w:val="32"/>
          <w:szCs w:val="32"/>
          <w:highlight w:val="none"/>
          <w:lang w:val="en-US" w:eastAsia="zh-CN"/>
        </w:rPr>
        <w:t>3395</w:t>
      </w:r>
      <w:r>
        <w:rPr>
          <w:rFonts w:hint="eastAsia" w:ascii="仿宋_GB2312" w:hAnsi="仿宋_GB2312" w:eastAsia="仿宋_GB2312" w:cs="仿宋_GB2312"/>
          <w:b w:val="0"/>
          <w:bCs w:val="0"/>
          <w:color w:val="auto"/>
          <w:spacing w:val="0"/>
          <w:kern w:val="10"/>
          <w:sz w:val="32"/>
          <w:szCs w:val="32"/>
          <w:highlight w:val="none"/>
        </w:rPr>
        <w:t>万元、住房保障支出</w:t>
      </w:r>
      <w:r>
        <w:rPr>
          <w:rFonts w:hint="eastAsia" w:ascii="仿宋_GB2312" w:hAnsi="仿宋_GB2312" w:eastAsia="仿宋_GB2312" w:cs="仿宋_GB2312"/>
          <w:b w:val="0"/>
          <w:bCs w:val="0"/>
          <w:color w:val="auto"/>
          <w:spacing w:val="0"/>
          <w:kern w:val="10"/>
          <w:sz w:val="32"/>
          <w:szCs w:val="32"/>
          <w:highlight w:val="none"/>
          <w:lang w:val="en-US" w:eastAsia="zh-CN"/>
        </w:rPr>
        <w:t>2749</w:t>
      </w:r>
      <w:r>
        <w:rPr>
          <w:rFonts w:hint="eastAsia" w:ascii="仿宋_GB2312" w:hAnsi="仿宋_GB2312" w:eastAsia="仿宋_GB2312" w:cs="仿宋_GB2312"/>
          <w:b w:val="0"/>
          <w:bCs w:val="0"/>
          <w:color w:val="auto"/>
          <w:spacing w:val="0"/>
          <w:kern w:val="10"/>
          <w:sz w:val="32"/>
          <w:szCs w:val="32"/>
          <w:highlight w:val="none"/>
        </w:rPr>
        <w:t>万元、</w:t>
      </w:r>
      <w:r>
        <w:rPr>
          <w:rFonts w:hint="eastAsia" w:ascii="仿宋_GB2312" w:hAnsi="仿宋_GB2312" w:eastAsia="仿宋_GB2312" w:cs="仿宋_GB2312"/>
          <w:b w:val="0"/>
          <w:bCs w:val="0"/>
          <w:color w:val="auto"/>
          <w:spacing w:val="0"/>
          <w:kern w:val="10"/>
          <w:sz w:val="32"/>
          <w:szCs w:val="32"/>
          <w:highlight w:val="none"/>
          <w:lang w:eastAsia="zh-CN"/>
        </w:rPr>
        <w:t>灾害防治及应急管理支出</w:t>
      </w:r>
      <w:r>
        <w:rPr>
          <w:rFonts w:hint="eastAsia" w:ascii="仿宋_GB2312" w:hAnsi="仿宋_GB2312" w:eastAsia="仿宋_GB2312" w:cs="仿宋_GB2312"/>
          <w:b w:val="0"/>
          <w:bCs w:val="0"/>
          <w:color w:val="auto"/>
          <w:spacing w:val="0"/>
          <w:kern w:val="10"/>
          <w:sz w:val="32"/>
          <w:szCs w:val="32"/>
          <w:highlight w:val="none"/>
          <w:lang w:val="en-US" w:eastAsia="zh-CN"/>
        </w:rPr>
        <w:t>2109万元、</w:t>
      </w:r>
      <w:r>
        <w:rPr>
          <w:rFonts w:hint="eastAsia" w:ascii="仿宋_GB2312" w:hAnsi="仿宋_GB2312" w:eastAsia="仿宋_GB2312" w:cs="仿宋_GB2312"/>
          <w:b w:val="0"/>
          <w:bCs w:val="0"/>
          <w:color w:val="auto"/>
          <w:spacing w:val="0"/>
          <w:kern w:val="10"/>
          <w:sz w:val="32"/>
          <w:szCs w:val="32"/>
          <w:highlight w:val="none"/>
        </w:rPr>
        <w:t>债务付息支出</w:t>
      </w:r>
      <w:r>
        <w:rPr>
          <w:rFonts w:hint="eastAsia" w:ascii="仿宋_GB2312" w:hAnsi="仿宋_GB2312" w:eastAsia="仿宋_GB2312" w:cs="仿宋_GB2312"/>
          <w:b w:val="0"/>
          <w:bCs w:val="0"/>
          <w:color w:val="auto"/>
          <w:spacing w:val="0"/>
          <w:kern w:val="10"/>
          <w:sz w:val="32"/>
          <w:szCs w:val="32"/>
          <w:highlight w:val="none"/>
          <w:lang w:val="en-US" w:eastAsia="zh-CN"/>
        </w:rPr>
        <w:t>1514</w:t>
      </w:r>
      <w:r>
        <w:rPr>
          <w:rFonts w:hint="eastAsia" w:ascii="仿宋_GB2312" w:hAnsi="仿宋_GB2312" w:eastAsia="仿宋_GB2312" w:cs="仿宋_GB2312"/>
          <w:b w:val="0"/>
          <w:bCs w:val="0"/>
          <w:color w:val="auto"/>
          <w:spacing w:val="0"/>
          <w:kern w:val="10"/>
          <w:sz w:val="32"/>
          <w:szCs w:val="32"/>
          <w:highlight w:val="none"/>
        </w:rPr>
        <w:t>万元</w:t>
      </w:r>
      <w:r>
        <w:rPr>
          <w:rFonts w:hint="eastAsia" w:ascii="仿宋_GB2312" w:hAnsi="仿宋_GB2312" w:eastAsia="仿宋_GB2312" w:cs="仿宋_GB2312"/>
          <w:b w:val="0"/>
          <w:bCs w:val="0"/>
          <w:color w:val="auto"/>
          <w:spacing w:val="0"/>
          <w:kern w:val="10"/>
          <w:sz w:val="32"/>
          <w:szCs w:val="32"/>
          <w:highlight w:val="none"/>
          <w:lang w:eastAsia="zh-CN"/>
        </w:rPr>
        <w:t>。</w:t>
      </w:r>
    </w:p>
    <w:p w14:paraId="01313033">
      <w:pPr>
        <w:keepNext w:val="0"/>
        <w:keepLines w:val="0"/>
        <w:pageBreakBefore w:val="0"/>
        <w:widowControl w:val="0"/>
        <w:shd w:val="clear"/>
        <w:tabs>
          <w:tab w:val="left" w:pos="2310"/>
        </w:tabs>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 w:val="0"/>
          <w:bCs w:val="0"/>
          <w:color w:val="auto"/>
          <w:spacing w:val="0"/>
          <w:kern w:val="10"/>
          <w:sz w:val="32"/>
          <w:szCs w:val="32"/>
          <w:highlight w:val="none"/>
        </w:rPr>
      </w:pPr>
      <w:r>
        <w:rPr>
          <w:rFonts w:hint="eastAsia" w:ascii="仿宋_GB2312" w:hAnsi="仿宋_GB2312" w:eastAsia="仿宋_GB2312" w:cs="仿宋_GB2312"/>
          <w:b/>
          <w:bCs/>
          <w:color w:val="auto"/>
          <w:spacing w:val="0"/>
          <w:kern w:val="10"/>
          <w:sz w:val="32"/>
          <w:szCs w:val="32"/>
          <w:highlight w:val="none"/>
        </w:rPr>
        <w:t>经济分类支出主要是：</w:t>
      </w:r>
      <w:r>
        <w:rPr>
          <w:rFonts w:hint="eastAsia" w:ascii="仿宋_GB2312" w:hAnsi="仿宋_GB2312" w:eastAsia="仿宋_GB2312" w:cs="仿宋_GB2312"/>
          <w:b w:val="0"/>
          <w:bCs w:val="0"/>
          <w:color w:val="auto"/>
          <w:spacing w:val="0"/>
          <w:kern w:val="10"/>
          <w:sz w:val="32"/>
          <w:szCs w:val="32"/>
          <w:highlight w:val="none"/>
        </w:rPr>
        <w:t>机关工资福利支出</w:t>
      </w:r>
      <w:r>
        <w:rPr>
          <w:rFonts w:hint="eastAsia" w:ascii="仿宋_GB2312" w:hAnsi="仿宋_GB2312" w:eastAsia="仿宋_GB2312" w:cs="仿宋_GB2312"/>
          <w:b w:val="0"/>
          <w:bCs w:val="0"/>
          <w:color w:val="auto"/>
          <w:spacing w:val="0"/>
          <w:kern w:val="10"/>
          <w:sz w:val="32"/>
          <w:szCs w:val="32"/>
          <w:highlight w:val="none"/>
          <w:lang w:val="en-US" w:eastAsia="zh-CN"/>
        </w:rPr>
        <w:t>28968</w:t>
      </w:r>
      <w:r>
        <w:rPr>
          <w:rFonts w:hint="eastAsia" w:ascii="仿宋_GB2312" w:hAnsi="仿宋_GB2312" w:eastAsia="仿宋_GB2312" w:cs="仿宋_GB2312"/>
          <w:b w:val="0"/>
          <w:bCs w:val="0"/>
          <w:color w:val="auto"/>
          <w:spacing w:val="0"/>
          <w:kern w:val="10"/>
          <w:sz w:val="32"/>
          <w:szCs w:val="32"/>
          <w:highlight w:val="none"/>
        </w:rPr>
        <w:t>万元、机关商品和服务支出</w:t>
      </w:r>
      <w:r>
        <w:rPr>
          <w:rFonts w:hint="eastAsia" w:ascii="仿宋_GB2312" w:hAnsi="仿宋_GB2312" w:eastAsia="仿宋_GB2312" w:cs="仿宋_GB2312"/>
          <w:b w:val="0"/>
          <w:bCs w:val="0"/>
          <w:color w:val="auto"/>
          <w:spacing w:val="0"/>
          <w:kern w:val="10"/>
          <w:sz w:val="32"/>
          <w:szCs w:val="32"/>
          <w:highlight w:val="none"/>
          <w:lang w:val="en-US" w:eastAsia="zh-CN"/>
        </w:rPr>
        <w:t>29312</w:t>
      </w:r>
      <w:r>
        <w:rPr>
          <w:rFonts w:hint="eastAsia" w:ascii="仿宋_GB2312" w:hAnsi="仿宋_GB2312" w:eastAsia="仿宋_GB2312" w:cs="仿宋_GB2312"/>
          <w:b w:val="0"/>
          <w:bCs w:val="0"/>
          <w:color w:val="auto"/>
          <w:spacing w:val="0"/>
          <w:kern w:val="10"/>
          <w:sz w:val="32"/>
          <w:szCs w:val="32"/>
          <w:highlight w:val="none"/>
        </w:rPr>
        <w:t>万元、机关资本性支出</w:t>
      </w:r>
      <w:r>
        <w:rPr>
          <w:rFonts w:hint="eastAsia" w:ascii="仿宋_GB2312" w:hAnsi="仿宋_GB2312" w:eastAsia="仿宋_GB2312" w:cs="仿宋_GB2312"/>
          <w:b w:val="0"/>
          <w:bCs w:val="0"/>
          <w:color w:val="auto"/>
          <w:spacing w:val="0"/>
          <w:kern w:val="10"/>
          <w:sz w:val="32"/>
          <w:szCs w:val="32"/>
          <w:highlight w:val="none"/>
          <w:lang w:val="en-US" w:eastAsia="zh-CN"/>
        </w:rPr>
        <w:t>5912</w:t>
      </w:r>
      <w:r>
        <w:rPr>
          <w:rFonts w:hint="eastAsia" w:ascii="仿宋_GB2312" w:hAnsi="仿宋_GB2312" w:eastAsia="仿宋_GB2312" w:cs="仿宋_GB2312"/>
          <w:b w:val="0"/>
          <w:bCs w:val="0"/>
          <w:color w:val="auto"/>
          <w:spacing w:val="0"/>
          <w:kern w:val="10"/>
          <w:sz w:val="32"/>
          <w:szCs w:val="32"/>
          <w:highlight w:val="none"/>
        </w:rPr>
        <w:t>万元、机关资本性支出</w:t>
      </w:r>
      <w:r>
        <w:rPr>
          <w:rFonts w:hint="eastAsia" w:ascii="仿宋_GB2312" w:hAnsi="仿宋_GB2312" w:eastAsia="仿宋_GB2312" w:cs="仿宋_GB2312"/>
          <w:b w:val="0"/>
          <w:bCs w:val="0"/>
          <w:color w:val="auto"/>
          <w:spacing w:val="0"/>
          <w:kern w:val="10"/>
          <w:sz w:val="32"/>
          <w:szCs w:val="32"/>
          <w:highlight w:val="none"/>
          <w:lang w:eastAsia="zh-CN"/>
        </w:rPr>
        <w:t>（基本建设）</w:t>
      </w:r>
      <w:r>
        <w:rPr>
          <w:rFonts w:hint="eastAsia" w:ascii="仿宋_GB2312" w:hAnsi="仿宋_GB2312" w:eastAsia="仿宋_GB2312" w:cs="仿宋_GB2312"/>
          <w:b w:val="0"/>
          <w:bCs w:val="0"/>
          <w:color w:val="auto"/>
          <w:spacing w:val="0"/>
          <w:kern w:val="10"/>
          <w:sz w:val="32"/>
          <w:szCs w:val="32"/>
          <w:highlight w:val="none"/>
          <w:lang w:val="en-US" w:eastAsia="zh-CN"/>
        </w:rPr>
        <w:t>6650万元、</w:t>
      </w:r>
      <w:r>
        <w:rPr>
          <w:rFonts w:hint="eastAsia" w:ascii="仿宋_GB2312" w:hAnsi="仿宋_GB2312" w:eastAsia="仿宋_GB2312" w:cs="仿宋_GB2312"/>
          <w:b w:val="0"/>
          <w:bCs w:val="0"/>
          <w:color w:val="auto"/>
          <w:spacing w:val="0"/>
          <w:kern w:val="10"/>
          <w:sz w:val="32"/>
          <w:szCs w:val="32"/>
          <w:highlight w:val="none"/>
        </w:rPr>
        <w:t>对事业单位经常性补助</w:t>
      </w:r>
      <w:r>
        <w:rPr>
          <w:rFonts w:hint="eastAsia" w:ascii="仿宋_GB2312" w:hAnsi="仿宋_GB2312" w:eastAsia="仿宋_GB2312" w:cs="仿宋_GB2312"/>
          <w:b w:val="0"/>
          <w:bCs w:val="0"/>
          <w:color w:val="auto"/>
          <w:spacing w:val="0"/>
          <w:kern w:val="10"/>
          <w:sz w:val="32"/>
          <w:szCs w:val="32"/>
          <w:highlight w:val="none"/>
          <w:lang w:val="en-US" w:eastAsia="zh-CN"/>
        </w:rPr>
        <w:t>34080</w:t>
      </w:r>
      <w:r>
        <w:rPr>
          <w:rFonts w:hint="eastAsia" w:ascii="仿宋_GB2312" w:hAnsi="仿宋_GB2312" w:eastAsia="仿宋_GB2312" w:cs="仿宋_GB2312"/>
          <w:b w:val="0"/>
          <w:bCs w:val="0"/>
          <w:color w:val="auto"/>
          <w:spacing w:val="0"/>
          <w:kern w:val="10"/>
          <w:sz w:val="32"/>
          <w:szCs w:val="32"/>
          <w:highlight w:val="none"/>
        </w:rPr>
        <w:t>万元、对事业单位资本性补助</w:t>
      </w:r>
      <w:r>
        <w:rPr>
          <w:rFonts w:hint="eastAsia" w:ascii="仿宋_GB2312" w:hAnsi="仿宋_GB2312" w:eastAsia="仿宋_GB2312" w:cs="仿宋_GB2312"/>
          <w:b w:val="0"/>
          <w:bCs w:val="0"/>
          <w:color w:val="auto"/>
          <w:spacing w:val="0"/>
          <w:kern w:val="10"/>
          <w:sz w:val="32"/>
          <w:szCs w:val="32"/>
          <w:highlight w:val="none"/>
          <w:lang w:val="en-US" w:eastAsia="zh-CN"/>
        </w:rPr>
        <w:t>3046</w:t>
      </w:r>
      <w:r>
        <w:rPr>
          <w:rFonts w:hint="eastAsia" w:ascii="仿宋_GB2312" w:hAnsi="仿宋_GB2312" w:eastAsia="仿宋_GB2312" w:cs="仿宋_GB2312"/>
          <w:b w:val="0"/>
          <w:bCs w:val="0"/>
          <w:color w:val="auto"/>
          <w:spacing w:val="0"/>
          <w:kern w:val="10"/>
          <w:sz w:val="32"/>
          <w:szCs w:val="32"/>
          <w:highlight w:val="none"/>
        </w:rPr>
        <w:t>万元、对个人和家庭的补助</w:t>
      </w:r>
      <w:r>
        <w:rPr>
          <w:rFonts w:hint="eastAsia" w:ascii="仿宋_GB2312" w:hAnsi="仿宋_GB2312" w:eastAsia="仿宋_GB2312" w:cs="仿宋_GB2312"/>
          <w:b w:val="0"/>
          <w:bCs w:val="0"/>
          <w:color w:val="auto"/>
          <w:spacing w:val="0"/>
          <w:kern w:val="10"/>
          <w:sz w:val="32"/>
          <w:szCs w:val="32"/>
          <w:highlight w:val="none"/>
          <w:lang w:val="en-US" w:eastAsia="zh-CN"/>
        </w:rPr>
        <w:t>19069</w:t>
      </w:r>
      <w:r>
        <w:rPr>
          <w:rFonts w:hint="eastAsia" w:ascii="仿宋_GB2312" w:hAnsi="仿宋_GB2312" w:eastAsia="仿宋_GB2312" w:cs="仿宋_GB2312"/>
          <w:b w:val="0"/>
          <w:bCs w:val="0"/>
          <w:color w:val="auto"/>
          <w:spacing w:val="0"/>
          <w:kern w:val="10"/>
          <w:sz w:val="32"/>
          <w:szCs w:val="32"/>
          <w:highlight w:val="none"/>
        </w:rPr>
        <w:t>万元、对社会保障基金补助</w:t>
      </w:r>
      <w:r>
        <w:rPr>
          <w:rFonts w:hint="eastAsia" w:ascii="仿宋_GB2312" w:hAnsi="仿宋_GB2312" w:eastAsia="仿宋_GB2312" w:cs="仿宋_GB2312"/>
          <w:b w:val="0"/>
          <w:bCs w:val="0"/>
          <w:color w:val="auto"/>
          <w:spacing w:val="0"/>
          <w:kern w:val="10"/>
          <w:sz w:val="32"/>
          <w:szCs w:val="32"/>
          <w:highlight w:val="none"/>
          <w:lang w:val="en-US" w:eastAsia="zh-CN"/>
        </w:rPr>
        <w:t>9457</w:t>
      </w:r>
      <w:r>
        <w:rPr>
          <w:rFonts w:hint="eastAsia" w:ascii="仿宋_GB2312" w:hAnsi="仿宋_GB2312" w:eastAsia="仿宋_GB2312" w:cs="仿宋_GB2312"/>
          <w:b w:val="0"/>
          <w:bCs w:val="0"/>
          <w:color w:val="auto"/>
          <w:spacing w:val="0"/>
          <w:kern w:val="10"/>
          <w:sz w:val="32"/>
          <w:szCs w:val="32"/>
          <w:highlight w:val="none"/>
        </w:rPr>
        <w:t>万元、债务付息及费用支出</w:t>
      </w:r>
      <w:r>
        <w:rPr>
          <w:rFonts w:hint="eastAsia" w:ascii="仿宋_GB2312" w:hAnsi="仿宋_GB2312" w:eastAsia="仿宋_GB2312" w:cs="仿宋_GB2312"/>
          <w:b w:val="0"/>
          <w:bCs w:val="0"/>
          <w:color w:val="auto"/>
          <w:spacing w:val="0"/>
          <w:kern w:val="10"/>
          <w:sz w:val="32"/>
          <w:szCs w:val="32"/>
          <w:highlight w:val="none"/>
          <w:lang w:val="en-US" w:eastAsia="zh-CN"/>
        </w:rPr>
        <w:t>1515</w:t>
      </w:r>
      <w:r>
        <w:rPr>
          <w:rFonts w:hint="eastAsia" w:ascii="仿宋_GB2312" w:hAnsi="仿宋_GB2312" w:eastAsia="仿宋_GB2312" w:cs="仿宋_GB2312"/>
          <w:b w:val="0"/>
          <w:bCs w:val="0"/>
          <w:color w:val="auto"/>
          <w:spacing w:val="0"/>
          <w:kern w:val="10"/>
          <w:sz w:val="32"/>
          <w:szCs w:val="32"/>
          <w:highlight w:val="none"/>
        </w:rPr>
        <w:t>万元</w:t>
      </w:r>
      <w:r>
        <w:rPr>
          <w:rFonts w:hint="eastAsia" w:ascii="仿宋_GB2312" w:hAnsi="仿宋_GB2312" w:eastAsia="仿宋_GB2312" w:cs="仿宋_GB2312"/>
          <w:b w:val="0"/>
          <w:bCs w:val="0"/>
          <w:color w:val="auto"/>
          <w:spacing w:val="0"/>
          <w:kern w:val="10"/>
          <w:sz w:val="32"/>
          <w:szCs w:val="32"/>
          <w:highlight w:val="none"/>
          <w:lang w:eastAsia="zh-CN"/>
        </w:rPr>
        <w:t>、其他支出</w:t>
      </w:r>
      <w:r>
        <w:rPr>
          <w:rFonts w:hint="eastAsia" w:ascii="仿宋_GB2312" w:hAnsi="仿宋_GB2312" w:eastAsia="仿宋_GB2312" w:cs="仿宋_GB2312"/>
          <w:b w:val="0"/>
          <w:bCs w:val="0"/>
          <w:color w:val="auto"/>
          <w:spacing w:val="0"/>
          <w:kern w:val="10"/>
          <w:sz w:val="32"/>
          <w:szCs w:val="32"/>
          <w:highlight w:val="none"/>
          <w:lang w:val="en-US" w:eastAsia="zh-CN"/>
        </w:rPr>
        <w:t>14666万元</w:t>
      </w:r>
      <w:r>
        <w:rPr>
          <w:rFonts w:hint="eastAsia" w:ascii="仿宋_GB2312" w:hAnsi="仿宋_GB2312" w:eastAsia="仿宋_GB2312" w:cs="仿宋_GB2312"/>
          <w:b w:val="0"/>
          <w:bCs w:val="0"/>
          <w:color w:val="auto"/>
          <w:spacing w:val="0"/>
          <w:kern w:val="10"/>
          <w:sz w:val="32"/>
          <w:szCs w:val="32"/>
          <w:highlight w:val="none"/>
        </w:rPr>
        <w:t>。</w:t>
      </w:r>
    </w:p>
    <w:p w14:paraId="5CBD59B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根据最新财政决算数据，2025年全区一般公共预算收入119029万元，加上级补助收入79596万元、地方政府一般债券转贷收入9160万元、上年结转结余28390万元、动用预算稳定调节基金1111万元，减上解支出35782万元、债务还本支出10042万元、结转下年支出8673万元、调出资金20000万元、安排预算稳定调节基金4182万元，2025年全区一般公共预算财力为158607万元，当年全区一般公共预算支出完成158607万元。</w:t>
      </w:r>
    </w:p>
    <w:p w14:paraId="3D2F7B0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楷体_GB2312" w:hAnsi="仿宋_GB2312" w:eastAsia="楷体_GB2312" w:cs="仿宋_GB2312"/>
          <w:color w:val="000000" w:themeColor="text1"/>
          <w:spacing w:val="0"/>
          <w:kern w:val="2"/>
          <w:sz w:val="32"/>
          <w:szCs w:val="32"/>
          <w:highlight w:val="none"/>
          <w14:textFill>
            <w14:solidFill>
              <w14:schemeClr w14:val="tx1"/>
            </w14:solidFill>
          </w14:textFill>
        </w:rPr>
      </w:pPr>
      <w:r>
        <w:rPr>
          <w:rFonts w:hint="eastAsia" w:ascii="楷体_GB2312" w:hAnsi="仿宋_GB2312" w:eastAsia="楷体_GB2312" w:cs="仿宋_GB2312"/>
          <w:color w:val="000000" w:themeColor="text1"/>
          <w:spacing w:val="0"/>
          <w:kern w:val="2"/>
          <w:sz w:val="32"/>
          <w:szCs w:val="32"/>
          <w:highlight w:val="none"/>
          <w14:textFill>
            <w14:solidFill>
              <w14:schemeClr w14:val="tx1"/>
            </w14:solidFill>
          </w14:textFill>
        </w:rPr>
        <w:t>（二）政府性基金预算执行情况</w:t>
      </w:r>
    </w:p>
    <w:p w14:paraId="2C59CEF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ascii="仿宋_GB2312" w:hAnsi="仿宋_GB2312" w:eastAsia="仿宋_GB2312" w:cs="仿宋_GB2312"/>
          <w:b/>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1</w:t>
      </w:r>
      <w:r>
        <w:rPr>
          <w:rFonts w:hint="eastAsia" w:ascii="仿宋_GB2312" w:hAnsi="仿宋_GB2312" w:eastAsia="仿宋_GB2312" w:cs="仿宋_GB2312"/>
          <w:b/>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政府性基金预算收入执行情况</w:t>
      </w:r>
    </w:p>
    <w:p w14:paraId="6334FC5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hAnsi="仿宋_GB2312" w:eastAsia="仿宋_GB2312" w:cs="仿宋_GB2312"/>
          <w:color w:val="000000" w:themeColor="text1"/>
          <w:spacing w:val="0"/>
          <w:kern w:val="10"/>
          <w:sz w:val="32"/>
          <w:szCs w:val="32"/>
          <w:highlight w:val="none"/>
          <w:u w:val="none"/>
          <w:lang w:val="en-US"/>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2025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年全区政府性基金预算收入年初预算为</w:t>
      </w:r>
      <w:r>
        <w:rPr>
          <w:rFonts w:hint="eastAsia" w:ascii="仿宋_GB2312" w:hAnsi="仿宋_GB2312" w:eastAsia="仿宋_GB2312" w:cs="仿宋_GB2312"/>
          <w:b w:val="0"/>
          <w:bCs/>
          <w:color w:val="auto"/>
          <w:spacing w:val="0"/>
          <w:sz w:val="32"/>
          <w:szCs w:val="32"/>
          <w:highlight w:val="none"/>
          <w:lang w:val="en-US" w:eastAsia="zh-CN"/>
        </w:rPr>
        <w:t>180000</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w:t>
      </w:r>
      <w:r>
        <w:rPr>
          <w:rFonts w:hint="eastAsia" w:ascii="仿宋_GB2312" w:hAnsi="仿宋_GB2312" w:eastAsia="仿宋_GB2312" w:cs="仿宋_GB2312"/>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color w:val="auto"/>
          <w:spacing w:val="0"/>
          <w:sz w:val="32"/>
          <w:szCs w:val="32"/>
          <w:highlight w:val="none"/>
          <w:lang w:val="en-US" w:eastAsia="zh-CN"/>
        </w:rPr>
        <w:t>经五届人大常委会第二十九次会议批准，2025年全区</w:t>
      </w:r>
      <w:r>
        <w:rPr>
          <w:rFonts w:hint="eastAsia" w:ascii="仿宋_GB2312" w:hAnsi="仿宋_GB2312" w:eastAsia="仿宋_GB2312" w:cs="仿宋_GB2312"/>
          <w:b w:val="0"/>
          <w:bCs/>
          <w:color w:val="auto"/>
          <w:spacing w:val="0"/>
          <w:sz w:val="32"/>
          <w:szCs w:val="32"/>
          <w:highlight w:val="none"/>
          <w:lang w:val="en-US" w:eastAsia="zh-CN"/>
        </w:rPr>
        <w:t>政</w:t>
      </w:r>
      <w:r>
        <w:rPr>
          <w:rFonts w:hint="eastAsia" w:ascii="仿宋_GB2312" w:hAnsi="仿宋_GB2312" w:eastAsia="仿宋_GB2312" w:cs="仿宋_GB2312"/>
          <w:color w:val="auto"/>
          <w:spacing w:val="0"/>
          <w:sz w:val="32"/>
          <w:szCs w:val="32"/>
          <w:highlight w:val="none"/>
          <w:lang w:val="en-US" w:eastAsia="zh-CN"/>
        </w:rPr>
        <w:t>府性基金预算收入调整预算为10000万元。</w:t>
      </w:r>
      <w:r>
        <w:rPr>
          <w:rFonts w:hint="eastAsia" w:ascii="仿宋_GB2312" w:hAnsi="仿宋_GB2312" w:eastAsia="仿宋_GB2312" w:cs="仿宋_GB2312"/>
          <w:color w:val="000000" w:themeColor="text1"/>
          <w:spacing w:val="0"/>
          <w:kern w:val="10"/>
          <w:sz w:val="32"/>
          <w:szCs w:val="32"/>
          <w:highlight w:val="none"/>
          <w:u w:val="none"/>
          <w:lang w:val="en-US" w:eastAsia="zh-CN"/>
          <w14:textFill>
            <w14:solidFill>
              <w14:schemeClr w14:val="tx1"/>
            </w14:solidFill>
          </w14:textFill>
        </w:rPr>
        <w:t>当年全区政府性基金预算收入实际完成11530万元。</w:t>
      </w:r>
    </w:p>
    <w:p w14:paraId="338C596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ascii="仿宋_GB2312" w:hAnsi="仿宋_GB2312" w:eastAsia="仿宋_GB2312" w:cs="仿宋_GB2312"/>
          <w:b/>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2</w:t>
      </w:r>
      <w:r>
        <w:rPr>
          <w:rFonts w:hint="eastAsia" w:ascii="仿宋_GB2312" w:hAnsi="仿宋_GB2312" w:eastAsia="仿宋_GB2312" w:cs="仿宋_GB2312"/>
          <w:b/>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政府性基金预算支出执行情况</w:t>
      </w:r>
    </w:p>
    <w:p w14:paraId="335BC65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仿宋_GB2312" w:hAnsi="仿宋_GB2312" w:eastAsia="仿宋_GB2312" w:cs="仿宋_GB2312"/>
          <w:bCs/>
          <w:color w:val="000000" w:themeColor="text1"/>
          <w:spacing w:val="0"/>
          <w:kern w:val="10"/>
          <w:sz w:val="32"/>
          <w:szCs w:val="32"/>
          <w:highlight w:val="yellow"/>
          <w:u w:val="none"/>
          <w:lang w:val="en-US"/>
          <w14:textFill>
            <w14:solidFill>
              <w14:schemeClr w14:val="tx1"/>
            </w14:solidFill>
          </w14:textFill>
        </w:rPr>
      </w:pP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2025</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年全区政府性基金预算支出年初预算为</w:t>
      </w:r>
      <w:r>
        <w:rPr>
          <w:rFonts w:hint="eastAsia" w:ascii="仿宋_GB2312" w:hAnsi="仿宋_GB2312" w:eastAsia="仿宋_GB2312" w:cs="仿宋_GB2312"/>
          <w:color w:val="auto"/>
          <w:spacing w:val="0"/>
          <w:sz w:val="32"/>
          <w:szCs w:val="32"/>
          <w:highlight w:val="none"/>
          <w:lang w:val="en-US" w:eastAsia="zh-CN"/>
        </w:rPr>
        <w:t>196582</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w:t>
      </w:r>
      <w:r>
        <w:rPr>
          <w:rFonts w:hint="eastAsia" w:ascii="仿宋_GB2312" w:hAnsi="仿宋_GB2312" w:eastAsia="仿宋_GB2312" w:cs="仿宋_GB2312"/>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color w:val="auto"/>
          <w:spacing w:val="0"/>
          <w:sz w:val="32"/>
          <w:szCs w:val="32"/>
          <w:highlight w:val="none"/>
          <w:lang w:val="en-US" w:eastAsia="zh-CN"/>
        </w:rPr>
        <w:t>经五届人大常委会第二十九次会议批准，2025年全区政府性基金支出调整预算为138227万元，</w:t>
      </w:r>
      <w:r>
        <w:rPr>
          <w:rFonts w:hint="eastAsia" w:ascii="仿宋_GB2312" w:hAnsi="仿宋_GB2312" w:eastAsia="仿宋_GB2312" w:cs="仿宋_GB2312"/>
          <w:color w:val="000000" w:themeColor="text1"/>
          <w:spacing w:val="0"/>
          <w:kern w:val="10"/>
          <w:sz w:val="32"/>
          <w:szCs w:val="32"/>
          <w:highlight w:val="none"/>
          <w:u w:val="none"/>
          <w:lang w:val="en-US" w:eastAsia="zh-CN"/>
          <w14:textFill>
            <w14:solidFill>
              <w14:schemeClr w14:val="tx1"/>
            </w14:solidFill>
          </w14:textFill>
        </w:rPr>
        <w:t>当年全区政府性基金预算支出</w:t>
      </w:r>
      <w:r>
        <w:rPr>
          <w:rFonts w:hint="eastAsia" w:ascii="仿宋_GB2312" w:hAnsi="仿宋_GB2312" w:eastAsia="仿宋_GB2312" w:cs="仿宋_GB2312"/>
          <w:color w:val="auto"/>
          <w:spacing w:val="0"/>
          <w:sz w:val="32"/>
          <w:szCs w:val="32"/>
          <w:highlight w:val="none"/>
          <w:u w:val="none"/>
          <w:lang w:val="en-US" w:eastAsia="zh-CN"/>
        </w:rPr>
        <w:t>实际完成134116万元。</w:t>
      </w:r>
    </w:p>
    <w:p w14:paraId="5EA8A07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 w:val="0"/>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color w:val="000000" w:themeColor="text1"/>
          <w:spacing w:val="0"/>
          <w:kern w:val="10"/>
          <w:sz w:val="32"/>
          <w:szCs w:val="32"/>
          <w:highlight w:val="none"/>
          <w14:textFill>
            <w14:solidFill>
              <w14:schemeClr w14:val="tx1"/>
            </w14:solidFill>
          </w14:textFill>
        </w:rPr>
        <w:t>功能分类支出主要是：</w:t>
      </w:r>
      <w:r>
        <w:rPr>
          <w:rFonts w:hint="eastAsia" w:ascii="仿宋_GB2312" w:hAnsi="仿宋_GB2312" w:eastAsia="仿宋_GB2312" w:cs="仿宋_GB2312"/>
          <w:b w:val="0"/>
          <w:bCs/>
          <w:color w:val="000000" w:themeColor="text1"/>
          <w:spacing w:val="0"/>
          <w:kern w:val="10"/>
          <w:sz w:val="32"/>
          <w:szCs w:val="32"/>
          <w:highlight w:val="none"/>
          <w14:textFill>
            <w14:solidFill>
              <w14:schemeClr w14:val="tx1"/>
            </w14:solidFill>
          </w14:textFill>
        </w:rPr>
        <w:t>城乡社区支出</w:t>
      </w:r>
      <w:r>
        <w:rPr>
          <w:rFonts w:hint="eastAsia" w:ascii="仿宋_GB2312" w:hAnsi="仿宋_GB2312" w:eastAsia="仿宋_GB2312" w:cs="仿宋_GB2312"/>
          <w:b w:val="0"/>
          <w:bCs/>
          <w:color w:val="000000" w:themeColor="text1"/>
          <w:spacing w:val="0"/>
          <w:kern w:val="10"/>
          <w:sz w:val="32"/>
          <w:szCs w:val="32"/>
          <w:highlight w:val="none"/>
          <w:lang w:val="en-US" w:eastAsia="zh-CN"/>
          <w14:textFill>
            <w14:solidFill>
              <w14:schemeClr w14:val="tx1"/>
            </w14:solidFill>
          </w14:textFill>
        </w:rPr>
        <w:t>54927</w:t>
      </w:r>
      <w:r>
        <w:rPr>
          <w:rFonts w:hint="eastAsia" w:ascii="仿宋_GB2312" w:hAnsi="仿宋_GB2312" w:eastAsia="仿宋_GB2312" w:cs="仿宋_GB2312"/>
          <w:b w:val="0"/>
          <w:bCs/>
          <w:color w:val="000000" w:themeColor="text1"/>
          <w:spacing w:val="0"/>
          <w:kern w:val="10"/>
          <w:sz w:val="32"/>
          <w:szCs w:val="32"/>
          <w:highlight w:val="none"/>
          <w14:textFill>
            <w14:solidFill>
              <w14:schemeClr w14:val="tx1"/>
            </w14:solidFill>
          </w14:textFill>
        </w:rPr>
        <w:t>万元、债务付息支出</w:t>
      </w:r>
      <w:r>
        <w:rPr>
          <w:rFonts w:hint="eastAsia" w:ascii="仿宋_GB2312" w:hAnsi="仿宋_GB2312" w:eastAsia="仿宋_GB2312" w:cs="仿宋_GB2312"/>
          <w:b w:val="0"/>
          <w:bCs/>
          <w:color w:val="000000" w:themeColor="text1"/>
          <w:spacing w:val="0"/>
          <w:kern w:val="10"/>
          <w:sz w:val="32"/>
          <w:szCs w:val="32"/>
          <w:highlight w:val="none"/>
          <w:lang w:val="en-US" w:eastAsia="zh-CN"/>
          <w14:textFill>
            <w14:solidFill>
              <w14:schemeClr w14:val="tx1"/>
            </w14:solidFill>
          </w14:textFill>
        </w:rPr>
        <w:t>13738</w:t>
      </w:r>
      <w:r>
        <w:rPr>
          <w:rFonts w:hint="eastAsia" w:ascii="仿宋_GB2312" w:hAnsi="仿宋_GB2312" w:eastAsia="仿宋_GB2312" w:cs="仿宋_GB2312"/>
          <w:b w:val="0"/>
          <w:bCs/>
          <w:color w:val="000000" w:themeColor="text1"/>
          <w:spacing w:val="0"/>
          <w:kern w:val="10"/>
          <w:sz w:val="32"/>
          <w:szCs w:val="32"/>
          <w:highlight w:val="none"/>
          <w14:textFill>
            <w14:solidFill>
              <w14:schemeClr w14:val="tx1"/>
            </w14:solidFill>
          </w14:textFill>
        </w:rPr>
        <w:t>万元、农林水支出</w:t>
      </w:r>
      <w:r>
        <w:rPr>
          <w:rFonts w:hint="eastAsia" w:ascii="仿宋_GB2312" w:hAnsi="仿宋_GB2312" w:eastAsia="仿宋_GB2312" w:cs="仿宋_GB2312"/>
          <w:b w:val="0"/>
          <w:bCs/>
          <w:color w:val="000000" w:themeColor="text1"/>
          <w:spacing w:val="0"/>
          <w:kern w:val="10"/>
          <w:sz w:val="32"/>
          <w:szCs w:val="32"/>
          <w:highlight w:val="none"/>
          <w:lang w:val="en-US" w:eastAsia="zh-CN"/>
          <w14:textFill>
            <w14:solidFill>
              <w14:schemeClr w14:val="tx1"/>
            </w14:solidFill>
          </w14:textFill>
        </w:rPr>
        <w:t>1072</w:t>
      </w:r>
      <w:r>
        <w:rPr>
          <w:rFonts w:hint="eastAsia" w:ascii="仿宋_GB2312" w:hAnsi="仿宋_GB2312" w:eastAsia="仿宋_GB2312" w:cs="仿宋_GB2312"/>
          <w:b w:val="0"/>
          <w:bCs/>
          <w:color w:val="000000" w:themeColor="text1"/>
          <w:spacing w:val="0"/>
          <w:kern w:val="10"/>
          <w:sz w:val="32"/>
          <w:szCs w:val="32"/>
          <w:highlight w:val="none"/>
          <w14:textFill>
            <w14:solidFill>
              <w14:schemeClr w14:val="tx1"/>
            </w14:solidFill>
          </w14:textFill>
        </w:rPr>
        <w:t>万元、其他支出</w:t>
      </w:r>
      <w:r>
        <w:rPr>
          <w:rFonts w:hint="eastAsia" w:ascii="仿宋_GB2312" w:hAnsi="仿宋_GB2312" w:eastAsia="仿宋_GB2312" w:cs="仿宋_GB2312"/>
          <w:b w:val="0"/>
          <w:bCs/>
          <w:color w:val="000000" w:themeColor="text1"/>
          <w:spacing w:val="0"/>
          <w:kern w:val="10"/>
          <w:sz w:val="32"/>
          <w:szCs w:val="32"/>
          <w:highlight w:val="none"/>
          <w:lang w:val="en-US" w:eastAsia="zh-CN"/>
          <w14:textFill>
            <w14:solidFill>
              <w14:schemeClr w14:val="tx1"/>
            </w14:solidFill>
          </w14:textFill>
        </w:rPr>
        <w:t>64375</w:t>
      </w:r>
      <w:r>
        <w:rPr>
          <w:rFonts w:hint="eastAsia" w:ascii="仿宋_GB2312" w:hAnsi="仿宋_GB2312" w:eastAsia="仿宋_GB2312" w:cs="仿宋_GB2312"/>
          <w:b w:val="0"/>
          <w:bCs/>
          <w:color w:val="000000" w:themeColor="text1"/>
          <w:spacing w:val="0"/>
          <w:kern w:val="10"/>
          <w:sz w:val="32"/>
          <w:szCs w:val="32"/>
          <w:highlight w:val="none"/>
          <w14:textFill>
            <w14:solidFill>
              <w14:schemeClr w14:val="tx1"/>
            </w14:solidFill>
          </w14:textFill>
        </w:rPr>
        <w:t>万元</w:t>
      </w:r>
      <w:r>
        <w:rPr>
          <w:rFonts w:hint="eastAsia" w:ascii="仿宋_GB2312" w:hAnsi="仿宋_GB2312" w:eastAsia="仿宋_GB2312" w:cs="仿宋_GB2312"/>
          <w:b w:val="0"/>
          <w:bCs/>
          <w:color w:val="000000" w:themeColor="text1"/>
          <w:spacing w:val="0"/>
          <w:kern w:val="10"/>
          <w:sz w:val="32"/>
          <w:szCs w:val="32"/>
          <w:highlight w:val="none"/>
          <w:lang w:val="en-US" w:eastAsia="zh-CN"/>
          <w14:textFill>
            <w14:solidFill>
              <w14:schemeClr w14:val="tx1"/>
            </w14:solidFill>
          </w14:textFill>
        </w:rPr>
        <w:t>。</w:t>
      </w:r>
    </w:p>
    <w:p w14:paraId="558685A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color w:val="000000" w:themeColor="text1"/>
          <w:spacing w:val="0"/>
          <w:kern w:val="10"/>
          <w:sz w:val="32"/>
          <w:szCs w:val="32"/>
          <w:highlight w:val="none"/>
          <w14:textFill>
            <w14:solidFill>
              <w14:schemeClr w14:val="tx1"/>
            </w14:solidFill>
          </w14:textFill>
        </w:rPr>
        <w:t>经济分类支出主要是：</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机关商品和服务支出</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10366</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万元、机关资本性支出</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35790</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w:t>
      </w:r>
      <w:r>
        <w:rPr>
          <w:rFonts w:hint="eastAsia" w:ascii="仿宋_GB2312" w:hAnsi="仿宋_GB2312" w:eastAsia="仿宋_GB2312" w:cs="仿宋_GB2312"/>
          <w:bCs/>
          <w:color w:val="000000" w:themeColor="text1"/>
          <w:spacing w:val="0"/>
          <w:kern w:val="10"/>
          <w:sz w:val="32"/>
          <w:szCs w:val="32"/>
          <w:highlight w:val="none"/>
          <w:lang w:eastAsia="zh-CN"/>
          <w14:textFill>
            <w14:solidFill>
              <w14:schemeClr w14:val="tx1"/>
            </w14:solidFill>
          </w14:textFill>
        </w:rPr>
        <w:t>机关资本性支出（基本建设）</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34911万元、</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对个人和家庭的补助支</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出1361</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万元、债务付息</w:t>
      </w:r>
      <w:r>
        <w:rPr>
          <w:rFonts w:hint="eastAsia" w:ascii="仿宋_GB2312" w:hAnsi="仿宋_GB2312" w:eastAsia="仿宋_GB2312" w:cs="仿宋_GB2312"/>
          <w:bCs/>
          <w:color w:val="000000" w:themeColor="text1"/>
          <w:spacing w:val="0"/>
          <w:kern w:val="10"/>
          <w:sz w:val="32"/>
          <w:szCs w:val="32"/>
          <w:highlight w:val="none"/>
          <w:lang w:eastAsia="zh-CN"/>
          <w14:textFill>
            <w14:solidFill>
              <w14:schemeClr w14:val="tx1"/>
            </w14:solidFill>
          </w14:textFill>
        </w:rPr>
        <w:t>及费用</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支出</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13740</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万元、其他支出</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37947</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w:t>
      </w:r>
    </w:p>
    <w:p w14:paraId="002FF4E6">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根据最新财政决算数据</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2025年全区政府性基金收入11530万元，加上级补助收入5446万元、上年结转结余24790万元、地方政府专项债券转贷收入64800万元、调入资金60000万元，减基金上解支出3267万元、结转下年支出8125万元、债务还本支出21058万元</w:t>
      </w:r>
      <w:r>
        <w:rPr>
          <w:rFonts w:hint="eastAsia" w:ascii="仿宋_GB2312" w:hAnsi="仿宋_GB2312" w:eastAsia="仿宋_GB2312" w:cs="仿宋_GB2312"/>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2025年全区政府性基金预算财力为134116万元，当年全区政府性基金预算支出完成134116万元。</w:t>
      </w:r>
    </w:p>
    <w:p w14:paraId="4B01F91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rPr>
      </w:pPr>
      <w:r>
        <w:rPr>
          <w:rFonts w:hint="eastAsia" w:ascii="楷体_GB2312" w:hAnsi="仿宋_GB2312" w:eastAsia="楷体_GB2312" w:cs="仿宋_GB2312"/>
          <w:b w:val="0"/>
          <w:bCs w:val="0"/>
          <w:color w:val="auto"/>
          <w:spacing w:val="0"/>
          <w:kern w:val="2"/>
          <w:sz w:val="32"/>
          <w:szCs w:val="32"/>
          <w:highlight w:val="none"/>
        </w:rPr>
        <w:t>（三）国有资本经营预算执行情况</w:t>
      </w:r>
    </w:p>
    <w:p w14:paraId="1BE9B0F1">
      <w:pPr>
        <w:keepNext w:val="0"/>
        <w:keepLines w:val="0"/>
        <w:pageBreakBefore w:val="0"/>
        <w:widowControl/>
        <w:kinsoku/>
        <w:wordWrap/>
        <w:overflowPunct/>
        <w:autoSpaceDE/>
        <w:autoSpaceDN/>
        <w:bidi w:val="0"/>
        <w:adjustRightInd/>
        <w:snapToGrid/>
        <w:spacing w:line="600" w:lineRule="exact"/>
        <w:ind w:left="0" w:leftChars="0" w:right="0" w:rightChars="0" w:firstLine="643" w:firstLineChars="200"/>
        <w:jc w:val="both"/>
        <w:textAlignment w:val="auto"/>
        <w:rPr>
          <w:rFonts w:ascii="仿宋_GB2312" w:hAnsi="仿宋_GB2312" w:eastAsia="仿宋_GB2312" w:cs="仿宋_GB2312"/>
          <w:b/>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1</w:t>
      </w:r>
      <w:r>
        <w:rPr>
          <w:rFonts w:hint="eastAsia" w:ascii="仿宋_GB2312" w:hAnsi="仿宋_GB2312" w:eastAsia="仿宋_GB2312" w:cs="仿宋_GB2312"/>
          <w:b/>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国有资本经营预算收入执行情况</w:t>
      </w:r>
    </w:p>
    <w:p w14:paraId="173397BC">
      <w:pPr>
        <w:keepNext w:val="0"/>
        <w:keepLines w:val="0"/>
        <w:pageBreakBefore w:val="0"/>
        <w:widowControl/>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年年初未安排国有资本经营预算收入，202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年国有资本经营预算收入实际完成0万元。</w:t>
      </w:r>
    </w:p>
    <w:p w14:paraId="2BF6DE27">
      <w:pPr>
        <w:keepNext w:val="0"/>
        <w:keepLines w:val="0"/>
        <w:pageBreakBefore w:val="0"/>
        <w:widowControl/>
        <w:kinsoku/>
        <w:wordWrap/>
        <w:overflowPunct/>
        <w:autoSpaceDE/>
        <w:autoSpaceDN/>
        <w:bidi w:val="0"/>
        <w:adjustRightInd/>
        <w:snapToGrid/>
        <w:spacing w:line="600" w:lineRule="exact"/>
        <w:ind w:left="0" w:leftChars="0" w:right="0" w:rightChars="0" w:firstLine="643" w:firstLineChars="200"/>
        <w:jc w:val="both"/>
        <w:textAlignment w:val="auto"/>
        <w:rPr>
          <w:rFonts w:ascii="仿宋_GB2312" w:hAnsi="仿宋_GB2312" w:eastAsia="仿宋_GB2312" w:cs="仿宋_GB2312"/>
          <w:b/>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2</w:t>
      </w:r>
      <w:r>
        <w:rPr>
          <w:rFonts w:hint="eastAsia" w:ascii="仿宋_GB2312" w:hAnsi="仿宋_GB2312" w:eastAsia="仿宋_GB2312" w:cs="仿宋_GB2312"/>
          <w:b/>
          <w:bCs/>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pacing w:val="0"/>
          <w:kern w:val="10"/>
          <w:sz w:val="32"/>
          <w:szCs w:val="32"/>
          <w:highlight w:val="none"/>
          <w14:textFill>
            <w14:solidFill>
              <w14:schemeClr w14:val="tx1"/>
            </w14:solidFill>
          </w14:textFill>
        </w:rPr>
        <w:t>国有资本经营预算支出执行情况</w:t>
      </w:r>
    </w:p>
    <w:p w14:paraId="5286133D">
      <w:pPr>
        <w:keepNext w:val="0"/>
        <w:keepLines w:val="0"/>
        <w:pageBreakBefore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bCs/>
          <w:color w:val="000000" w:themeColor="text1"/>
          <w:spacing w:val="0"/>
          <w:kern w:val="10"/>
          <w:sz w:val="32"/>
          <w:szCs w:val="32"/>
          <w:highlight w:val="none"/>
          <w:lang w:val="en-US" w:eastAsia="zh-CN" w:bidi="ar-SA"/>
          <w14:textFill>
            <w14:solidFill>
              <w14:schemeClr w14:val="tx1"/>
            </w14:solidFill>
          </w14:textFill>
        </w:rPr>
      </w:pPr>
      <w:r>
        <w:rPr>
          <w:rFonts w:hint="eastAsia" w:ascii="仿宋_GB2312" w:hAnsi="仿宋_GB2312" w:eastAsia="仿宋_GB2312" w:cs="仿宋_GB2312"/>
          <w:bCs/>
          <w:color w:val="000000" w:themeColor="text1"/>
          <w:spacing w:val="0"/>
          <w:kern w:val="10"/>
          <w:sz w:val="32"/>
          <w:szCs w:val="32"/>
          <w:highlight w:val="none"/>
          <w:lang w:val="en-US" w:eastAsia="zh-CN" w:bidi="ar-SA"/>
          <w14:textFill>
            <w14:solidFill>
              <w14:schemeClr w14:val="tx1"/>
            </w14:solidFill>
          </w14:textFill>
        </w:rPr>
        <w:t>2025年年初未安排国有资本经营预算支出，实际支出完成0万元。</w:t>
      </w:r>
    </w:p>
    <w:p w14:paraId="707242F2">
      <w:pPr>
        <w:keepNext w:val="0"/>
        <w:keepLines w:val="0"/>
        <w:pageBreakBefore w:val="0"/>
        <w:kinsoku/>
        <w:wordWrap/>
        <w:overflowPunct/>
        <w:autoSpaceDE/>
        <w:autoSpaceDN/>
        <w:bidi w:val="0"/>
        <w:adjustRightInd/>
        <w:snapToGrid/>
        <w:spacing w:line="600" w:lineRule="exact"/>
        <w:ind w:left="0" w:leftChars="0" w:right="0" w:rightChars="0" w:firstLine="640" w:firstLineChars="200"/>
        <w:jc w:val="both"/>
        <w:textAlignment w:val="auto"/>
        <w:rPr>
          <w:rFonts w:ascii="Times New Roman" w:hAnsi="Times New Roman" w:eastAsia="宋体" w:cs="Times New Roman"/>
          <w:color w:val="000000" w:themeColor="text1"/>
          <w:spacing w:val="0"/>
          <w:kern w:val="2"/>
          <w:sz w:val="21"/>
          <w:szCs w:val="24"/>
          <w:highlight w:val="none"/>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根据最新财政决算数据</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w:t>
      </w:r>
      <w:r>
        <w:rPr>
          <w:rFonts w:hint="eastAsia" w:ascii="仿宋_GB2312" w:hAnsi="仿宋_GB2312" w:eastAsia="仿宋_GB2312" w:cs="仿宋_GB2312"/>
          <w:bCs/>
          <w:color w:val="000000" w:themeColor="text1"/>
          <w:spacing w:val="0"/>
          <w:kern w:val="10"/>
          <w:sz w:val="32"/>
          <w:szCs w:val="32"/>
          <w:highlight w:val="none"/>
          <w:lang w:val="en-US" w:eastAsia="zh-CN" w:bidi="ar-SA"/>
          <w14:textFill>
            <w14:solidFill>
              <w14:schemeClr w14:val="tx1"/>
            </w14:solidFill>
          </w14:textFill>
        </w:rPr>
        <w:t>2025年全区国有资本经营预</w:t>
      </w:r>
      <w:r>
        <w:rPr>
          <w:rFonts w:hint="eastAsia" w:ascii="仿宋_GB2312" w:hAnsi="仿宋_GB2312" w:eastAsia="仿宋_GB2312" w:cs="仿宋_GB2312"/>
          <w:bCs/>
          <w:color w:val="000000" w:themeColor="text1"/>
          <w:spacing w:val="0"/>
          <w:kern w:val="10"/>
          <w:sz w:val="32"/>
          <w:szCs w:val="32"/>
          <w:highlight w:val="none"/>
          <w:u w:val="none"/>
          <w:lang w:val="en-US" w:eastAsia="zh-CN" w:bidi="ar-SA"/>
          <w14:textFill>
            <w14:solidFill>
              <w14:schemeClr w14:val="tx1"/>
            </w14:solidFill>
          </w14:textFill>
        </w:rPr>
        <w:t>算收入0万元，加上级补助收入45万元、上年结转收入180万元，减国有资本经营支出0万元，年末结转结余225万元。</w:t>
      </w:r>
    </w:p>
    <w:p w14:paraId="20A46A09">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楷体_GB2312" w:hAnsi="仿宋_GB2312" w:eastAsia="楷体_GB2312" w:cs="仿宋_GB2312"/>
          <w:b w:val="0"/>
          <w:bCs w:val="0"/>
          <w:color w:val="auto"/>
          <w:spacing w:val="0"/>
          <w:kern w:val="2"/>
          <w:sz w:val="32"/>
          <w:szCs w:val="32"/>
          <w:highlight w:val="none"/>
        </w:rPr>
      </w:pPr>
      <w:r>
        <w:rPr>
          <w:rFonts w:hint="eastAsia" w:ascii="楷体_GB2312" w:hAnsi="仿宋_GB2312" w:eastAsia="楷体_GB2312" w:cs="仿宋_GB2312"/>
          <w:b w:val="0"/>
          <w:bCs w:val="0"/>
          <w:color w:val="auto"/>
          <w:spacing w:val="0"/>
          <w:kern w:val="2"/>
          <w:sz w:val="32"/>
          <w:szCs w:val="32"/>
          <w:highlight w:val="none"/>
        </w:rPr>
        <w:t>（四）社会保险基金预算执行情况</w:t>
      </w:r>
    </w:p>
    <w:p w14:paraId="4F1970C8">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bCs/>
          <w:color w:val="auto"/>
          <w:spacing w:val="0"/>
          <w:kern w:val="10"/>
          <w:sz w:val="32"/>
          <w:szCs w:val="32"/>
          <w:highlight w:val="none"/>
          <w:u w:val="none"/>
        </w:rPr>
      </w:pPr>
      <w:r>
        <w:rPr>
          <w:rFonts w:hint="eastAsia" w:ascii="仿宋_GB2312" w:hAnsi="仿宋_GB2312" w:eastAsia="仿宋_GB2312" w:cs="仿宋_GB2312"/>
          <w:bCs/>
          <w:color w:val="auto"/>
          <w:spacing w:val="0"/>
          <w:kern w:val="10"/>
          <w:sz w:val="32"/>
          <w:szCs w:val="32"/>
          <w:highlight w:val="none"/>
          <w:u w:val="none"/>
          <w:lang w:eastAsia="zh-CN"/>
        </w:rPr>
        <w:t>202</w:t>
      </w:r>
      <w:r>
        <w:rPr>
          <w:rFonts w:hint="eastAsia" w:ascii="仿宋_GB2312" w:hAnsi="仿宋_GB2312" w:eastAsia="仿宋_GB2312" w:cs="仿宋_GB2312"/>
          <w:bCs/>
          <w:color w:val="auto"/>
          <w:spacing w:val="0"/>
          <w:kern w:val="10"/>
          <w:sz w:val="32"/>
          <w:szCs w:val="32"/>
          <w:highlight w:val="none"/>
          <w:u w:val="none"/>
          <w:lang w:val="en-US" w:eastAsia="zh-CN"/>
        </w:rPr>
        <w:t>5</w:t>
      </w:r>
      <w:r>
        <w:rPr>
          <w:rFonts w:hint="eastAsia" w:ascii="仿宋_GB2312" w:hAnsi="仿宋_GB2312" w:eastAsia="仿宋_GB2312" w:cs="仿宋_GB2312"/>
          <w:bCs/>
          <w:color w:val="auto"/>
          <w:spacing w:val="0"/>
          <w:kern w:val="10"/>
          <w:sz w:val="32"/>
          <w:szCs w:val="32"/>
          <w:highlight w:val="none"/>
          <w:u w:val="none"/>
        </w:rPr>
        <w:t>年社会保险基金年初预算收入为</w:t>
      </w:r>
      <w:r>
        <w:rPr>
          <w:rFonts w:hint="eastAsia" w:ascii="仿宋_GB2312" w:hAnsi="仿宋_GB2312" w:eastAsia="仿宋_GB2312" w:cs="仿宋_GB2312"/>
          <w:bCs/>
          <w:color w:val="auto"/>
          <w:spacing w:val="0"/>
          <w:kern w:val="10"/>
          <w:sz w:val="32"/>
          <w:szCs w:val="32"/>
          <w:highlight w:val="none"/>
          <w:u w:val="none"/>
          <w:lang w:val="en-US" w:eastAsia="zh-CN"/>
        </w:rPr>
        <w:t>11943</w:t>
      </w:r>
      <w:r>
        <w:rPr>
          <w:rFonts w:hint="eastAsia" w:ascii="仿宋_GB2312" w:hAnsi="仿宋_GB2312" w:eastAsia="仿宋_GB2312" w:cs="仿宋_GB2312"/>
          <w:bCs/>
          <w:color w:val="auto"/>
          <w:spacing w:val="0"/>
          <w:kern w:val="10"/>
          <w:sz w:val="32"/>
          <w:szCs w:val="32"/>
          <w:highlight w:val="none"/>
          <w:u w:val="none"/>
        </w:rPr>
        <w:t>万元，社保基金收入实际完成</w:t>
      </w:r>
      <w:r>
        <w:rPr>
          <w:rFonts w:hint="eastAsia" w:ascii="仿宋_GB2312" w:hAnsi="仿宋_GB2312" w:eastAsia="仿宋_GB2312" w:cs="仿宋_GB2312"/>
          <w:bCs/>
          <w:color w:val="auto"/>
          <w:spacing w:val="0"/>
          <w:kern w:val="10"/>
          <w:sz w:val="32"/>
          <w:szCs w:val="32"/>
          <w:highlight w:val="none"/>
          <w:u w:val="none"/>
          <w:lang w:val="en-US" w:eastAsia="zh-CN"/>
        </w:rPr>
        <w:t>14083</w:t>
      </w:r>
      <w:r>
        <w:rPr>
          <w:rFonts w:hint="eastAsia" w:ascii="仿宋_GB2312" w:hAnsi="仿宋_GB2312" w:eastAsia="仿宋_GB2312" w:cs="仿宋_GB2312"/>
          <w:bCs/>
          <w:color w:val="auto"/>
          <w:spacing w:val="0"/>
          <w:kern w:val="10"/>
          <w:sz w:val="32"/>
          <w:szCs w:val="32"/>
          <w:highlight w:val="none"/>
          <w:u w:val="none"/>
        </w:rPr>
        <w:t>万元，为年初预算的</w:t>
      </w:r>
      <w:r>
        <w:rPr>
          <w:rFonts w:hint="eastAsia" w:ascii="仿宋_GB2312" w:hAnsi="仿宋_GB2312" w:eastAsia="仿宋_GB2312" w:cs="仿宋_GB2312"/>
          <w:bCs/>
          <w:color w:val="auto"/>
          <w:spacing w:val="0"/>
          <w:kern w:val="10"/>
          <w:sz w:val="32"/>
          <w:szCs w:val="32"/>
          <w:highlight w:val="none"/>
          <w:u w:val="none"/>
          <w:lang w:val="en-US" w:eastAsia="zh-CN"/>
        </w:rPr>
        <w:t>117.9%</w:t>
      </w:r>
      <w:r>
        <w:rPr>
          <w:rFonts w:hint="eastAsia" w:ascii="仿宋_GB2312" w:hAnsi="仿宋_GB2312" w:eastAsia="仿宋_GB2312" w:cs="仿宋_GB2312"/>
          <w:bCs/>
          <w:color w:val="auto"/>
          <w:spacing w:val="0"/>
          <w:kern w:val="10"/>
          <w:sz w:val="32"/>
          <w:szCs w:val="32"/>
          <w:highlight w:val="none"/>
          <w:u w:val="none"/>
        </w:rPr>
        <w:t>。</w:t>
      </w:r>
    </w:p>
    <w:p w14:paraId="308EAE3F">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bCs/>
          <w:color w:val="auto"/>
          <w:spacing w:val="0"/>
          <w:kern w:val="10"/>
          <w:sz w:val="32"/>
          <w:szCs w:val="32"/>
          <w:highlight w:val="green"/>
          <w:u w:val="none"/>
          <w:lang w:eastAsia="zh-CN"/>
        </w:rPr>
      </w:pPr>
      <w:r>
        <w:rPr>
          <w:rFonts w:hint="eastAsia" w:ascii="仿宋_GB2312" w:hAnsi="仿宋_GB2312" w:eastAsia="仿宋_GB2312" w:cs="仿宋_GB2312"/>
          <w:bCs/>
          <w:color w:val="auto"/>
          <w:spacing w:val="0"/>
          <w:kern w:val="10"/>
          <w:sz w:val="32"/>
          <w:szCs w:val="32"/>
          <w:highlight w:val="none"/>
          <w:u w:val="none"/>
          <w:lang w:eastAsia="zh-CN"/>
        </w:rPr>
        <w:t>202</w:t>
      </w:r>
      <w:r>
        <w:rPr>
          <w:rFonts w:hint="eastAsia" w:ascii="仿宋_GB2312" w:hAnsi="仿宋_GB2312" w:eastAsia="仿宋_GB2312" w:cs="仿宋_GB2312"/>
          <w:bCs/>
          <w:color w:val="auto"/>
          <w:spacing w:val="0"/>
          <w:kern w:val="10"/>
          <w:sz w:val="32"/>
          <w:szCs w:val="32"/>
          <w:highlight w:val="none"/>
          <w:u w:val="none"/>
          <w:lang w:val="en-US" w:eastAsia="zh-CN"/>
        </w:rPr>
        <w:t>5</w:t>
      </w:r>
      <w:r>
        <w:rPr>
          <w:rFonts w:hint="eastAsia" w:ascii="仿宋_GB2312" w:hAnsi="仿宋_GB2312" w:eastAsia="仿宋_GB2312" w:cs="仿宋_GB2312"/>
          <w:bCs/>
          <w:color w:val="auto"/>
          <w:spacing w:val="0"/>
          <w:kern w:val="10"/>
          <w:sz w:val="32"/>
          <w:szCs w:val="32"/>
          <w:highlight w:val="none"/>
          <w:u w:val="none"/>
        </w:rPr>
        <w:t>年社会保险基金年初预算支出为</w:t>
      </w:r>
      <w:r>
        <w:rPr>
          <w:rFonts w:hint="eastAsia" w:ascii="仿宋_GB2312" w:hAnsi="仿宋_GB2312" w:eastAsia="仿宋_GB2312" w:cs="仿宋_GB2312"/>
          <w:bCs/>
          <w:color w:val="auto"/>
          <w:spacing w:val="0"/>
          <w:kern w:val="10"/>
          <w:sz w:val="32"/>
          <w:szCs w:val="32"/>
          <w:highlight w:val="none"/>
          <w:u w:val="none"/>
          <w:lang w:val="en-US" w:eastAsia="zh-CN"/>
        </w:rPr>
        <w:t>8578</w:t>
      </w:r>
      <w:r>
        <w:rPr>
          <w:rFonts w:hint="eastAsia" w:ascii="仿宋_GB2312" w:hAnsi="仿宋_GB2312" w:eastAsia="仿宋_GB2312" w:cs="仿宋_GB2312"/>
          <w:bCs/>
          <w:color w:val="auto"/>
          <w:spacing w:val="0"/>
          <w:kern w:val="10"/>
          <w:sz w:val="32"/>
          <w:szCs w:val="32"/>
          <w:highlight w:val="none"/>
          <w:u w:val="none"/>
        </w:rPr>
        <w:t>万元，社保基金支出实际完成</w:t>
      </w:r>
      <w:r>
        <w:rPr>
          <w:rFonts w:hint="eastAsia" w:ascii="仿宋_GB2312" w:hAnsi="仿宋_GB2312" w:eastAsia="仿宋_GB2312" w:cs="仿宋_GB2312"/>
          <w:bCs/>
          <w:color w:val="auto"/>
          <w:spacing w:val="0"/>
          <w:kern w:val="10"/>
          <w:sz w:val="32"/>
          <w:szCs w:val="32"/>
          <w:highlight w:val="none"/>
          <w:u w:val="none"/>
          <w:lang w:val="en-US" w:eastAsia="zh-CN"/>
        </w:rPr>
        <w:t>9785</w:t>
      </w:r>
      <w:r>
        <w:rPr>
          <w:rFonts w:hint="eastAsia" w:ascii="仿宋_GB2312" w:hAnsi="仿宋_GB2312" w:eastAsia="仿宋_GB2312" w:cs="仿宋_GB2312"/>
          <w:bCs/>
          <w:color w:val="auto"/>
          <w:spacing w:val="0"/>
          <w:kern w:val="10"/>
          <w:sz w:val="32"/>
          <w:szCs w:val="32"/>
          <w:highlight w:val="none"/>
          <w:u w:val="none"/>
        </w:rPr>
        <w:t>万元，为年初预算的</w:t>
      </w:r>
      <w:r>
        <w:rPr>
          <w:rFonts w:hint="eastAsia" w:ascii="仿宋_GB2312" w:hAnsi="仿宋_GB2312" w:eastAsia="仿宋_GB2312" w:cs="仿宋_GB2312"/>
          <w:bCs/>
          <w:color w:val="auto"/>
          <w:spacing w:val="0"/>
          <w:kern w:val="10"/>
          <w:sz w:val="32"/>
          <w:szCs w:val="32"/>
          <w:highlight w:val="none"/>
          <w:u w:val="none"/>
          <w:lang w:val="en-US" w:eastAsia="zh-CN"/>
        </w:rPr>
        <w:t>114.1</w:t>
      </w:r>
      <w:r>
        <w:rPr>
          <w:rFonts w:hint="eastAsia" w:ascii="仿宋_GB2312" w:hAnsi="仿宋_GB2312" w:eastAsia="仿宋_GB2312" w:cs="仿宋_GB2312"/>
          <w:bCs/>
          <w:color w:val="auto"/>
          <w:spacing w:val="0"/>
          <w:kern w:val="10"/>
          <w:sz w:val="32"/>
          <w:szCs w:val="32"/>
          <w:highlight w:val="none"/>
          <w:u w:val="none"/>
        </w:rPr>
        <w:t>%。</w:t>
      </w:r>
    </w:p>
    <w:p w14:paraId="35680A47">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（五）政府债务情况</w:t>
      </w:r>
    </w:p>
    <w:p w14:paraId="750C3739">
      <w:pPr>
        <w:pStyle w:val="5"/>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bCs/>
          <w:color w:val="000000" w:themeColor="text1"/>
          <w:spacing w:val="0"/>
          <w:kern w:val="10"/>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通过强化限额管理、优化债务结构、完善风险防控体系等措施，全区债务风险总体可控。全区债务总额和分项余额均低于上级财政部门核定的债务限额。</w:t>
      </w:r>
      <w:r>
        <w:rPr>
          <w:rFonts w:hint="eastAsia" w:ascii="仿宋_GB2312" w:hAnsi="仿宋_GB2312" w:eastAsia="仿宋_GB2312" w:cs="仿宋_GB2312"/>
          <w:bCs/>
          <w:color w:val="000000" w:themeColor="text1"/>
          <w:spacing w:val="0"/>
          <w:kern w:val="10"/>
          <w:sz w:val="32"/>
          <w:szCs w:val="32"/>
          <w:highlight w:val="none"/>
          <w:u w:val="none"/>
          <w:lang w:val="en-US" w:eastAsia="zh-CN"/>
          <w14:textFill>
            <w14:solidFill>
              <w14:schemeClr w14:val="tx1"/>
            </w14:solidFill>
          </w14:textFill>
        </w:rPr>
        <w:t>2025年，上级财政部门核定我区政府法定债务限额为523400万元，其中：一般债务限额52600万元，专项债务限额470800万元（含化解中小银行风险专项债券176300万元）。全区累计债务余额519888万元，其中：一般债务51188万元，专项债务468700万元。全年我区新增债券共54160万元，其中：专项债券发行金额54000万元，一般债券发行金额160万元。上级财政部门转贷我区再融资类债券19800万元，其中：一般债券再融资9000万元，专项债券再融资10800万元。</w:t>
      </w:r>
    </w:p>
    <w:p w14:paraId="434F479B">
      <w:pPr>
        <w:pStyle w:val="5"/>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pP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上述预算执行情况经上级财政部门批复后如有变化，将依据法定程序向区人大常委会报告。</w:t>
      </w:r>
    </w:p>
    <w:p w14:paraId="2104510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黑体" w:hAnsi="黑体" w:eastAsia="黑体" w:cs="黑体"/>
          <w:color w:val="000000" w:themeColor="text1"/>
          <w:spacing w:val="0"/>
          <w:kern w:val="10"/>
          <w:sz w:val="32"/>
          <w:szCs w:val="32"/>
          <w:highlight w:val="none"/>
          <w14:textFill>
            <w14:solidFill>
              <w14:schemeClr w14:val="tx1"/>
            </w14:solidFill>
          </w14:textFill>
        </w:rPr>
      </w:pPr>
      <w:r>
        <w:rPr>
          <w:rFonts w:hint="eastAsia" w:ascii="黑体" w:hAnsi="黑体" w:eastAsia="黑体" w:cs="黑体"/>
          <w:color w:val="000000" w:themeColor="text1"/>
          <w:spacing w:val="0"/>
          <w:kern w:val="10"/>
          <w:sz w:val="32"/>
          <w:szCs w:val="32"/>
          <w:highlight w:val="none"/>
          <w14:textFill>
            <w14:solidFill>
              <w14:schemeClr w14:val="tx1"/>
            </w14:solidFill>
          </w14:textFill>
        </w:rPr>
        <w:t>二、202</w:t>
      </w:r>
      <w:r>
        <w:rPr>
          <w:rFonts w:hint="eastAsia" w:ascii="黑体" w:hAnsi="黑体" w:eastAsia="黑体" w:cs="黑体"/>
          <w:color w:val="000000" w:themeColor="text1"/>
          <w:spacing w:val="0"/>
          <w:kern w:val="10"/>
          <w:sz w:val="32"/>
          <w:szCs w:val="32"/>
          <w:highlight w:val="none"/>
          <w:lang w:val="en-US" w:eastAsia="zh-CN"/>
          <w14:textFill>
            <w14:solidFill>
              <w14:schemeClr w14:val="tx1"/>
            </w14:solidFill>
          </w14:textFill>
        </w:rPr>
        <w:t>5</w:t>
      </w:r>
      <w:r>
        <w:rPr>
          <w:rFonts w:hint="eastAsia" w:ascii="黑体" w:hAnsi="黑体" w:eastAsia="黑体" w:cs="黑体"/>
          <w:color w:val="000000" w:themeColor="text1"/>
          <w:spacing w:val="0"/>
          <w:kern w:val="10"/>
          <w:sz w:val="32"/>
          <w:szCs w:val="32"/>
          <w:highlight w:val="none"/>
          <w14:textFill>
            <w14:solidFill>
              <w14:schemeClr w14:val="tx1"/>
            </w14:solidFill>
          </w14:textFill>
        </w:rPr>
        <w:t>年主要财政工作</w:t>
      </w:r>
    </w:p>
    <w:p w14:paraId="643BCEE4">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default"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（一）推进财源税源建设</w:t>
      </w:r>
    </w:p>
    <w:p w14:paraId="283B551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牢固树立“聚财为国，理财为民”理念，</w:t>
      </w:r>
      <w:r>
        <w:rPr>
          <w:rFonts w:hint="eastAsia" w:ascii="仿宋_GB2312" w:hAnsi="仿宋_GB2312" w:eastAsia="仿宋_GB2312" w:cs="仿宋_GB2312"/>
          <w:spacing w:val="0"/>
          <w:sz w:val="32"/>
          <w:szCs w:val="32"/>
        </w:rPr>
        <w:t>始终将服务发展大局作为财政工作的重中之重，多措并举培育壮大</w:t>
      </w:r>
      <w:r>
        <w:rPr>
          <w:rFonts w:hint="eastAsia" w:ascii="仿宋_GB2312" w:hAnsi="仿宋_GB2312" w:eastAsia="仿宋_GB2312" w:cs="仿宋_GB2312"/>
          <w:spacing w:val="0"/>
          <w:sz w:val="32"/>
          <w:szCs w:val="32"/>
          <w:lang w:val="en-US" w:eastAsia="zh-CN"/>
        </w:rPr>
        <w:t>税</w:t>
      </w:r>
      <w:r>
        <w:rPr>
          <w:rFonts w:hint="eastAsia" w:ascii="仿宋_GB2312" w:hAnsi="仿宋_GB2312" w:eastAsia="仿宋_GB2312" w:cs="仿宋_GB2312"/>
          <w:spacing w:val="0"/>
          <w:sz w:val="32"/>
          <w:szCs w:val="32"/>
        </w:rPr>
        <w:t>源，增强经济发展后劲。</w:t>
      </w:r>
    </w:p>
    <w:p w14:paraId="344BBCD0">
      <w:pPr>
        <w:pStyle w:val="4"/>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3" w:firstLineChars="200"/>
        <w:jc w:val="both"/>
        <w:textAlignment w:val="auto"/>
        <w:rPr>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b/>
          <w:bCs/>
          <w:spacing w:val="0"/>
          <w:sz w:val="32"/>
          <w:szCs w:val="32"/>
          <w:lang w:val="en-US" w:eastAsia="zh-CN"/>
        </w:rPr>
        <w:t>1.构建“税务+乡镇”责任共担机制。</w:t>
      </w:r>
      <w:r>
        <w:rPr>
          <w:rFonts w:hint="eastAsia" w:ascii="仿宋_GB2312" w:hAnsi="仿宋_GB2312" w:eastAsia="仿宋_GB2312" w:cs="仿宋_GB2312"/>
          <w:b w:val="0"/>
          <w:bCs w:val="0"/>
          <w:spacing w:val="0"/>
          <w:sz w:val="32"/>
          <w:szCs w:val="32"/>
          <w:lang w:val="en-US" w:eastAsia="zh-CN"/>
        </w:rPr>
        <w:t>为适应新时代税收治理现代化要求，有效应对复杂经济形势下税收征管面临的新挑战，积极构建“</w:t>
      </w:r>
      <w:r>
        <w:rPr>
          <w:rFonts w:hint="eastAsia" w:ascii="仿宋_GB2312" w:hAnsi="仿宋_GB2312" w:eastAsia="仿宋_GB2312" w:cs="仿宋_GB2312"/>
          <w:spacing w:val="0"/>
          <w:sz w:val="32"/>
          <w:szCs w:val="32"/>
          <w:lang w:val="en-US" w:eastAsia="zh-CN"/>
        </w:rPr>
        <w:t>税务+乡镇”信息共享、责任共担机制。</w:t>
      </w:r>
      <w:r>
        <w:rPr>
          <w:rFonts w:hint="eastAsia" w:ascii="仿宋_GB2312" w:hAnsi="仿宋_GB2312" w:eastAsia="仿宋_GB2312" w:cs="仿宋_GB2312"/>
          <w:b w:val="0"/>
          <w:bCs w:val="0"/>
          <w:spacing w:val="0"/>
          <w:sz w:val="32"/>
          <w:szCs w:val="32"/>
          <w:lang w:val="en-US" w:eastAsia="zh-CN"/>
        </w:rPr>
        <w:t>建立“税务主导、乡办辅助、双向赋能、责任共担”分工体系，</w:t>
      </w:r>
      <w:r>
        <w:rPr>
          <w:rFonts w:hint="eastAsia" w:ascii="仿宋_GB2312" w:hAnsi="仿宋_GB2312" w:eastAsia="仿宋_GB2312" w:cs="仿宋_GB2312"/>
          <w:b w:val="0"/>
          <w:bCs w:val="0"/>
          <w:spacing w:val="0"/>
          <w:sz w:val="32"/>
          <w:szCs w:val="32"/>
          <w:u w:val="none"/>
          <w:lang w:val="en-US" w:eastAsia="zh-CN"/>
        </w:rPr>
        <w:t>创新打造乡镇税务专员直联机制，将</w:t>
      </w:r>
      <w:r>
        <w:rPr>
          <w:rFonts w:hint="eastAsia" w:ascii="仿宋_GB2312" w:hAnsi="仿宋_GB2312" w:eastAsia="仿宋_GB2312" w:cs="仿宋_GB2312"/>
          <w:spacing w:val="0"/>
          <w:sz w:val="32"/>
          <w:szCs w:val="32"/>
          <w:lang w:val="en-US" w:eastAsia="zh-CN"/>
        </w:rPr>
        <w:t>共治目标层层分解、共担责任逐级压实，形成“分局长统筹、副局长牵头、税管员落实”的责任网格。</w:t>
      </w:r>
    </w:p>
    <w:p w14:paraId="0F0763A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bCs/>
          <w:spacing w:val="0"/>
          <w:sz w:val="32"/>
          <w:szCs w:val="32"/>
          <w:lang w:val="en-US" w:eastAsia="zh-CN"/>
        </w:rPr>
        <w:t>2.加大综合治税力度。一是成立八个综合治税专班。</w:t>
      </w:r>
      <w:r>
        <w:rPr>
          <w:rFonts w:hint="eastAsia" w:ascii="仿宋_GB2312" w:hAnsi="仿宋_GB2312" w:eastAsia="仿宋_GB2312" w:cs="仿宋_GB2312"/>
          <w:b w:val="0"/>
          <w:bCs w:val="0"/>
          <w:spacing w:val="0"/>
          <w:sz w:val="32"/>
          <w:szCs w:val="32"/>
          <w:lang w:val="en-US" w:eastAsia="zh-CN"/>
        </w:rPr>
        <w:t>年初在成立工业、建筑和房地产业、商贸业、交通物流业行业专班的基础上，新增契税、环保税、水资源税和其他新型行业税收治理专班，八个专班强化跨部门联动和信息共享，形成工作合力。全年区级税收收入物流业完成879万元，工业完成30647万元，商贸业完成13165万元，建筑业完成4843万元；全年区级税收收入契税完成4950万元，固体废物环保税完成169万元，扬尘环保税完成137万元，水资源税完成802万元。</w:t>
      </w:r>
      <w:r>
        <w:rPr>
          <w:rFonts w:hint="eastAsia" w:ascii="仿宋_GB2312" w:hAnsi="仿宋_GB2312" w:eastAsia="仿宋_GB2312" w:cs="仿宋_GB2312"/>
          <w:b/>
          <w:bCs/>
          <w:spacing w:val="0"/>
          <w:sz w:val="32"/>
          <w:szCs w:val="32"/>
          <w:lang w:val="en-US" w:eastAsia="zh-CN"/>
        </w:rPr>
        <w:t>二是加大风险应对和清理陈欠。</w:t>
      </w:r>
      <w:r>
        <w:rPr>
          <w:rFonts w:hint="eastAsia" w:ascii="仿宋_GB2312" w:hAnsi="仿宋_GB2312" w:eastAsia="仿宋_GB2312" w:cs="仿宋_GB2312"/>
          <w:b w:val="0"/>
          <w:bCs w:val="0"/>
          <w:spacing w:val="0"/>
          <w:sz w:val="32"/>
          <w:szCs w:val="32"/>
          <w:lang w:val="en-US" w:eastAsia="zh-CN"/>
        </w:rPr>
        <w:t>全年风险应对企业226户，涉及制造业、建筑业、批发零售业等13个行业，实现税收1.93亿元，拉动税收增长12.9%，风险应对贡献率15.6%，全市第一。每季度定期开展房土两税同比环比筛查，房土登记率位居全市前列，房土两税区级税款入库1.13亿元。加大环保税和水资源税核查，环保税同比增长85.5%，水资源税同比增长29.3%。全年累计清理欠税1.98亿元，其中清理陈欠5146万元，清理进度位居全市前列。有效对冲了税源支撑弱、同期基数高等带来的减收压力，为财政收入稳定增长提供有力保障。</w:t>
      </w:r>
    </w:p>
    <w:p w14:paraId="7F60BBE4">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lang w:val="en-US" w:eastAsia="zh-CN"/>
        </w:rPr>
        <w:t>3.</w:t>
      </w:r>
      <w:r>
        <w:rPr>
          <w:rFonts w:hint="eastAsia" w:ascii="仿宋_GB2312" w:hAnsi="仿宋_GB2312" w:eastAsia="仿宋_GB2312" w:cs="仿宋_GB2312"/>
          <w:b/>
          <w:bCs/>
          <w:color w:val="auto"/>
          <w:spacing w:val="0"/>
          <w:sz w:val="32"/>
          <w:szCs w:val="32"/>
          <w:lang w:val="en-US" w:eastAsia="zh-CN"/>
        </w:rPr>
        <w:t>盘活国有资产（资源）。一是出让国有土地。</w:t>
      </w:r>
      <w:r>
        <w:rPr>
          <w:rFonts w:hint="eastAsia" w:ascii="仿宋_GB2312" w:hAnsi="仿宋_GB2312" w:eastAsia="仿宋_GB2312" w:cs="仿宋_GB2312"/>
          <w:b w:val="0"/>
          <w:bCs w:val="0"/>
          <w:color w:val="auto"/>
          <w:spacing w:val="0"/>
          <w:kern w:val="2"/>
          <w:sz w:val="32"/>
          <w:szCs w:val="32"/>
          <w:highlight w:val="none"/>
          <w:lang w:val="en-US" w:eastAsia="zh-CN" w:bidi="ar-SA"/>
        </w:rPr>
        <w:t>2025年度出让土地5宗，其中工业用地1宗、住宅用地3宗、划拨医疗用地1宗，出让总面积178亩，共</w:t>
      </w:r>
      <w:r>
        <w:rPr>
          <w:rFonts w:hint="eastAsia" w:ascii="仿宋_GB2312" w:hAnsi="仿宋_GB2312" w:eastAsia="仿宋_GB2312" w:cs="仿宋_GB2312"/>
          <w:b w:val="0"/>
          <w:bCs w:val="0"/>
          <w:spacing w:val="0"/>
          <w:kern w:val="2"/>
          <w:sz w:val="32"/>
          <w:szCs w:val="32"/>
          <w:highlight w:val="none"/>
          <w:lang w:val="en-US" w:eastAsia="zh-CN" w:bidi="ar-SA"/>
        </w:rPr>
        <w:t>增加区级财力26473万元。</w:t>
      </w:r>
      <w:r>
        <w:rPr>
          <w:rFonts w:hint="eastAsia" w:ascii="仿宋_GB2312" w:hAnsi="仿宋_GB2312" w:eastAsia="仿宋_GB2312" w:cs="仿宋_GB2312"/>
          <w:b/>
          <w:bCs/>
          <w:color w:val="auto"/>
          <w:spacing w:val="0"/>
          <w:sz w:val="32"/>
          <w:szCs w:val="32"/>
          <w:lang w:val="en-US" w:eastAsia="zh-CN"/>
        </w:rPr>
        <w:t>二是清查盘活低效资产。</w:t>
      </w:r>
      <w:r>
        <w:rPr>
          <w:rFonts w:hint="eastAsia" w:ascii="仿宋_GB2312" w:hAnsi="仿宋_GB2312" w:eastAsia="仿宋_GB2312" w:cs="仿宋_GB2312"/>
          <w:b w:val="0"/>
          <w:bCs w:val="0"/>
          <w:color w:val="auto"/>
          <w:spacing w:val="0"/>
          <w:sz w:val="32"/>
          <w:szCs w:val="32"/>
          <w:lang w:val="en-US" w:eastAsia="zh-CN"/>
        </w:rPr>
        <w:t>开展2025年全区单位低效资产清查盘活专项活动，共清查出需盘活资产原值13244万元，其中行政事业单位4751万元，重点集中在教育系统撤点并校资产；非行政事业单位（国有企业）8493万元，重点集中在公司改制时划拨的公益性资产。配合区直单位做好国有资源公拍，其中文广体旅部门的灵泉石窟景区运营权公拍，以9050万元成交。督促国有公司低效资产有效盘活，完成龙城公司龙盛项目整体转让、西南棚改部分商住楼有效盘活、商务中心实现部分房产有效转让，龙翔公司銮海地块完成整体挂牌出让，龙浩公司花卉市场项目实现战略性合作。</w:t>
      </w:r>
    </w:p>
    <w:p w14:paraId="55C97C2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default" w:ascii="楷体" w:hAnsi="楷体" w:eastAsia="楷体" w:cs="楷体"/>
          <w:spacing w:val="0"/>
          <w:sz w:val="32"/>
          <w:szCs w:val="32"/>
          <w:highlight w:val="none"/>
          <w:lang w:val="en-US" w:eastAsia="zh-CN"/>
        </w:rPr>
      </w:pPr>
      <w:r>
        <w:rPr>
          <w:rFonts w:hint="eastAsia" w:ascii="仿宋_GB2312" w:hAnsi="仿宋_GB2312" w:eastAsia="仿宋_GB2312" w:cs="仿宋_GB2312"/>
          <w:b/>
          <w:bCs/>
          <w:color w:val="auto"/>
          <w:spacing w:val="0"/>
          <w:sz w:val="32"/>
          <w:szCs w:val="32"/>
          <w:lang w:val="en-US" w:eastAsia="zh-CN"/>
        </w:rPr>
        <w:t>4.</w:t>
      </w:r>
      <w:r>
        <w:rPr>
          <w:rFonts w:hint="eastAsia" w:ascii="仿宋_GB2312" w:hAnsi="仿宋_GB2312" w:eastAsia="仿宋_GB2312" w:cs="仿宋_GB2312"/>
          <w:b/>
          <w:bCs/>
          <w:spacing w:val="0"/>
          <w:sz w:val="32"/>
          <w:szCs w:val="32"/>
          <w:lang w:val="en-US" w:eastAsia="zh-CN"/>
        </w:rPr>
        <w:t>谋划项目</w:t>
      </w:r>
      <w:r>
        <w:rPr>
          <w:rFonts w:hint="eastAsia" w:ascii="仿宋_GB2312" w:hAnsi="仿宋_GB2312" w:eastAsia="仿宋_GB2312" w:cs="仿宋_GB2312"/>
          <w:b/>
          <w:bCs/>
          <w:spacing w:val="0"/>
          <w:sz w:val="32"/>
          <w:szCs w:val="32"/>
        </w:rPr>
        <w:t>争取</w:t>
      </w:r>
      <w:r>
        <w:rPr>
          <w:rFonts w:hint="eastAsia" w:ascii="仿宋_GB2312" w:hAnsi="仿宋_GB2312" w:eastAsia="仿宋_GB2312" w:cs="仿宋_GB2312"/>
          <w:b/>
          <w:bCs/>
          <w:spacing w:val="0"/>
          <w:sz w:val="32"/>
          <w:szCs w:val="32"/>
          <w:lang w:val="en-US" w:eastAsia="zh-CN"/>
        </w:rPr>
        <w:t>债券</w:t>
      </w:r>
      <w:r>
        <w:rPr>
          <w:rFonts w:hint="eastAsia" w:ascii="仿宋_GB2312" w:hAnsi="仿宋_GB2312" w:eastAsia="仿宋_GB2312" w:cs="仿宋_GB2312"/>
          <w:b/>
          <w:bCs/>
          <w:spacing w:val="0"/>
          <w:sz w:val="32"/>
          <w:szCs w:val="32"/>
        </w:rPr>
        <w:t>资金</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认真</w:t>
      </w:r>
      <w:r>
        <w:rPr>
          <w:rFonts w:hint="eastAsia" w:ascii="仿宋_GB2312" w:hAnsi="仿宋_GB2312" w:eastAsia="仿宋_GB2312" w:cs="仿宋_GB2312"/>
          <w:spacing w:val="0"/>
          <w:sz w:val="32"/>
          <w:szCs w:val="32"/>
          <w:lang w:val="en-US" w:eastAsia="zh-CN"/>
        </w:rPr>
        <w:t>落实</w:t>
      </w:r>
      <w:r>
        <w:rPr>
          <w:rFonts w:hint="eastAsia" w:ascii="仿宋_GB2312" w:hAnsi="仿宋_GB2312" w:eastAsia="仿宋_GB2312" w:cs="仿宋_GB2312"/>
          <w:spacing w:val="0"/>
          <w:sz w:val="32"/>
          <w:szCs w:val="32"/>
        </w:rPr>
        <w:t>中央和省市</w:t>
      </w:r>
      <w:r>
        <w:rPr>
          <w:rFonts w:hint="eastAsia" w:ascii="仿宋_GB2312" w:hAnsi="仿宋_GB2312" w:eastAsia="仿宋_GB2312" w:cs="仿宋_GB2312"/>
          <w:spacing w:val="0"/>
          <w:sz w:val="32"/>
          <w:szCs w:val="32"/>
          <w:lang w:val="en-US" w:eastAsia="zh-CN"/>
        </w:rPr>
        <w:t>产业</w:t>
      </w:r>
      <w:r>
        <w:rPr>
          <w:rFonts w:hint="eastAsia" w:ascii="仿宋_GB2312" w:hAnsi="仿宋_GB2312" w:eastAsia="仿宋_GB2312" w:cs="仿宋_GB2312"/>
          <w:spacing w:val="0"/>
          <w:sz w:val="32"/>
          <w:szCs w:val="32"/>
        </w:rPr>
        <w:t>政策导向，</w:t>
      </w:r>
      <w:r>
        <w:rPr>
          <w:rFonts w:hint="eastAsia" w:ascii="仿宋_GB2312" w:hAnsi="仿宋_GB2312" w:eastAsia="仿宋_GB2312" w:cs="仿宋_GB2312"/>
          <w:spacing w:val="0"/>
          <w:sz w:val="32"/>
          <w:szCs w:val="32"/>
          <w:lang w:val="en-US" w:eastAsia="zh-CN"/>
        </w:rPr>
        <w:t>结合我区产业现状与实际</w:t>
      </w:r>
      <w:r>
        <w:rPr>
          <w:rFonts w:hint="eastAsia" w:ascii="仿宋_GB2312" w:hAnsi="仿宋_GB2312" w:eastAsia="仿宋_GB2312" w:cs="仿宋_GB2312"/>
          <w:spacing w:val="0"/>
          <w:sz w:val="32"/>
          <w:szCs w:val="32"/>
        </w:rPr>
        <w:t>谋划申报项目。</w:t>
      </w:r>
      <w:r>
        <w:rPr>
          <w:rFonts w:hint="eastAsia" w:ascii="仿宋_GB2312" w:hAnsi="仿宋_GB2312" w:eastAsia="仿宋_GB2312" w:cs="仿宋_GB2312"/>
          <w:spacing w:val="0"/>
          <w:sz w:val="32"/>
          <w:szCs w:val="32"/>
          <w:lang w:val="en-US" w:eastAsia="zh-CN"/>
        </w:rPr>
        <w:t>全年</w:t>
      </w:r>
      <w:r>
        <w:rPr>
          <w:rFonts w:hint="eastAsia" w:ascii="仿宋_GB2312" w:hAnsi="仿宋_GB2312" w:eastAsia="仿宋_GB2312" w:cs="仿宋_GB2312"/>
          <w:spacing w:val="0"/>
          <w:sz w:val="32"/>
          <w:szCs w:val="32"/>
        </w:rPr>
        <w:t>共争取置换债券、专项债券等</w:t>
      </w:r>
      <w:r>
        <w:rPr>
          <w:rFonts w:hint="eastAsia" w:ascii="仿宋_GB2312" w:hAnsi="仿宋_GB2312" w:eastAsia="仿宋_GB2312" w:cs="仿宋_GB2312"/>
          <w:spacing w:val="0"/>
          <w:sz w:val="32"/>
          <w:szCs w:val="32"/>
          <w:lang w:val="en-US" w:eastAsia="zh-CN"/>
        </w:rPr>
        <w:t>资金54160万</w:t>
      </w:r>
      <w:r>
        <w:rPr>
          <w:rFonts w:hint="eastAsia" w:ascii="仿宋_GB2312" w:hAnsi="仿宋_GB2312" w:eastAsia="仿宋_GB2312" w:cs="仿宋_GB2312"/>
          <w:spacing w:val="0"/>
          <w:sz w:val="32"/>
          <w:szCs w:val="32"/>
        </w:rPr>
        <w:t>元，为全区重大项目建设和经济社会发展提供了有力支撑</w:t>
      </w:r>
      <w:r>
        <w:rPr>
          <w:rFonts w:hint="eastAsia" w:ascii="仿宋_GB2312" w:hAnsi="仿宋_GB2312" w:eastAsia="仿宋_GB2312" w:cs="仿宋_GB2312"/>
          <w:b w:val="0"/>
          <w:bCs w:val="0"/>
          <w:color w:val="auto"/>
          <w:spacing w:val="0"/>
          <w:sz w:val="32"/>
          <w:szCs w:val="32"/>
          <w:lang w:val="en-US" w:eastAsia="zh-CN"/>
        </w:rPr>
        <w:t>。</w:t>
      </w:r>
    </w:p>
    <w:p w14:paraId="3F55272F">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default"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rPr>
        <w:t>（二）</w:t>
      </w:r>
      <w:r>
        <w:rPr>
          <w:rFonts w:hint="eastAsia" w:ascii="楷体_GB2312" w:hAnsi="仿宋_GB2312" w:eastAsia="楷体_GB2312" w:cs="仿宋_GB2312"/>
          <w:b w:val="0"/>
          <w:bCs w:val="0"/>
          <w:color w:val="auto"/>
          <w:spacing w:val="0"/>
          <w:kern w:val="2"/>
          <w:sz w:val="32"/>
          <w:szCs w:val="32"/>
          <w:highlight w:val="none"/>
          <w:lang w:val="en-US" w:eastAsia="zh-CN"/>
        </w:rPr>
        <w:t>强化财政日常管理</w:t>
      </w:r>
    </w:p>
    <w:p w14:paraId="195B754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 w:val="0"/>
          <w:bCs w:val="0"/>
          <w:spacing w:val="0"/>
          <w:sz w:val="32"/>
          <w:szCs w:val="32"/>
          <w:highlight w:val="green"/>
          <w:u w:val="none"/>
          <w:lang w:val="en-US" w:eastAsia="zh-CN"/>
        </w:rPr>
      </w:pPr>
      <w:r>
        <w:rPr>
          <w:rFonts w:hint="eastAsia" w:ascii="仿宋_GB2312" w:hAnsi="Times New Roman" w:eastAsia="仿宋_GB2312" w:cs="Times New Roman"/>
          <w:b/>
          <w:bCs w:val="0"/>
          <w:color w:val="auto"/>
          <w:spacing w:val="0"/>
          <w:kern w:val="2"/>
          <w:sz w:val="32"/>
          <w:szCs w:val="32"/>
          <w:highlight w:val="none"/>
          <w:lang w:val="en-US" w:eastAsia="zh-CN" w:bidi="ar-SA"/>
        </w:rPr>
        <w:t>加强</w:t>
      </w:r>
      <w:r>
        <w:rPr>
          <w:rFonts w:hint="eastAsia" w:ascii="仿宋_GB2312" w:eastAsia="仿宋_GB2312" w:cs="Times New Roman"/>
          <w:b/>
          <w:bCs w:val="0"/>
          <w:color w:val="auto"/>
          <w:spacing w:val="0"/>
          <w:kern w:val="2"/>
          <w:sz w:val="32"/>
          <w:szCs w:val="32"/>
          <w:highlight w:val="none"/>
          <w:lang w:val="en-US" w:eastAsia="zh-CN" w:bidi="ar-SA"/>
        </w:rPr>
        <w:t>预算编制及执行管理，积极落实上级“三保”及过紧日子政策。</w:t>
      </w:r>
      <w:r>
        <w:rPr>
          <w:rFonts w:hint="eastAsia" w:ascii="仿宋_GB2312" w:hAnsi="仿宋_GB2312" w:eastAsia="仿宋_GB2312" w:cs="仿宋_GB2312"/>
          <w:b/>
          <w:bCs/>
          <w:color w:val="auto"/>
          <w:sz w:val="32"/>
          <w:szCs w:val="32"/>
          <w:highlight w:val="none"/>
          <w:lang w:val="en-US" w:eastAsia="zh-CN"/>
        </w:rPr>
        <w:t>一是</w:t>
      </w:r>
      <w:r>
        <w:rPr>
          <w:rFonts w:hint="eastAsia" w:ascii="仿宋_GB2312" w:hAnsi="仿宋_GB2312" w:eastAsia="仿宋_GB2312" w:cs="仿宋_GB2312"/>
          <w:b w:val="0"/>
          <w:bCs w:val="0"/>
          <w:color w:val="auto"/>
          <w:sz w:val="32"/>
          <w:szCs w:val="32"/>
          <w:highlight w:val="none"/>
          <w:lang w:val="en-US" w:eastAsia="zh-CN"/>
        </w:rPr>
        <w:t>严格落实过紧日子要求</w:t>
      </w:r>
      <w:r>
        <w:rPr>
          <w:rFonts w:hint="eastAsia" w:ascii="仿宋_GB2312" w:hAnsi="仿宋_GB2312" w:eastAsia="仿宋_GB2312" w:cs="仿宋_GB2312"/>
          <w:color w:val="auto"/>
          <w:sz w:val="32"/>
          <w:szCs w:val="32"/>
          <w:highlight w:val="none"/>
          <w:lang w:val="en-US" w:eastAsia="zh-CN"/>
        </w:rPr>
        <w:t>。2025年相继出台《安阳市龙安区落实党政机关习惯过紧日子要求实施细则》</w:t>
      </w:r>
      <w:r>
        <w:rPr>
          <w:rFonts w:hint="eastAsia" w:ascii="仿宋_GB2312" w:eastAsia="仿宋_GB2312" w:cs="Times New Roman"/>
          <w:b w:val="0"/>
          <w:bCs/>
          <w:color w:val="auto"/>
          <w:spacing w:val="0"/>
          <w:kern w:val="2"/>
          <w:sz w:val="32"/>
          <w:szCs w:val="32"/>
          <w:highlight w:val="none"/>
          <w:lang w:val="en-US" w:eastAsia="zh-CN" w:bidi="ar-SA"/>
        </w:rPr>
        <w:t>《安阳市龙安区财政局关于加强财政资金后续监管及绩效评价工作的通知》，提倡厉行节约，</w:t>
      </w:r>
      <w:r>
        <w:rPr>
          <w:rFonts w:hint="eastAsia" w:ascii="仿宋_GB2312" w:hAnsi="仿宋_GB2312" w:eastAsia="仿宋_GB2312" w:cs="仿宋_GB2312"/>
          <w:color w:val="auto"/>
          <w:sz w:val="32"/>
          <w:szCs w:val="32"/>
          <w:highlight w:val="none"/>
          <w:lang w:val="en-US" w:eastAsia="zh-CN"/>
        </w:rPr>
        <w:t>压减非刚性、非重点和低效支出</w:t>
      </w:r>
      <w:r>
        <w:rPr>
          <w:rFonts w:hint="eastAsia" w:ascii="仿宋_GB2312" w:eastAsia="仿宋_GB2312" w:cs="Times New Roman"/>
          <w:b w:val="0"/>
          <w:bCs/>
          <w:color w:val="auto"/>
          <w:spacing w:val="0"/>
          <w:kern w:val="2"/>
          <w:sz w:val="32"/>
          <w:szCs w:val="32"/>
          <w:highlight w:val="none"/>
          <w:lang w:val="en-US" w:eastAsia="zh-CN" w:bidi="ar-SA"/>
        </w:rPr>
        <w:t>，提升财政资金使用质效。</w:t>
      </w:r>
      <w:r>
        <w:rPr>
          <w:rFonts w:hint="eastAsia" w:ascii="仿宋_GB2312" w:hAnsi="仿宋_GB2312" w:eastAsia="仿宋_GB2312" w:cs="仿宋_GB2312"/>
          <w:b/>
          <w:bCs/>
          <w:color w:val="auto"/>
          <w:sz w:val="32"/>
          <w:szCs w:val="32"/>
          <w:highlight w:val="none"/>
          <w:lang w:val="en-US" w:eastAsia="zh-CN"/>
        </w:rPr>
        <w:t>二是</w:t>
      </w:r>
      <w:r>
        <w:rPr>
          <w:rFonts w:hint="eastAsia" w:ascii="仿宋_GB2312" w:hAnsi="仿宋_GB2312" w:eastAsia="仿宋_GB2312" w:cs="仿宋_GB2312"/>
          <w:color w:val="auto"/>
          <w:sz w:val="32"/>
          <w:szCs w:val="32"/>
          <w:highlight w:val="none"/>
          <w:lang w:val="en-US" w:eastAsia="zh-CN"/>
        </w:rPr>
        <w:t>大力压减预算支出，年初预算人均公用经费压缩10%，压减99万元。“三公”经费压缩35%，压减238万元。</w:t>
      </w:r>
      <w:r>
        <w:rPr>
          <w:rFonts w:hint="eastAsia" w:ascii="仿宋_GB2312" w:hAnsi="仿宋_GB2312" w:eastAsia="仿宋_GB2312" w:cs="仿宋_GB2312"/>
          <w:b/>
          <w:bCs w:val="0"/>
          <w:spacing w:val="0"/>
          <w:kern w:val="0"/>
          <w:sz w:val="32"/>
          <w:szCs w:val="32"/>
          <w:highlight w:val="none"/>
          <w:lang w:val="en-US" w:eastAsia="zh-CN" w:bidi="ar-SA"/>
        </w:rPr>
        <w:t>强化财政投资评审，提升财政资金使用效益。</w:t>
      </w:r>
      <w:r>
        <w:rPr>
          <w:rFonts w:hint="eastAsia" w:ascii="仿宋_GB2312" w:hAnsi="仿宋_GB2312" w:eastAsia="仿宋_GB2312" w:cs="仿宋_GB2312"/>
          <w:b w:val="0"/>
          <w:color w:val="auto"/>
          <w:kern w:val="2"/>
          <w:sz w:val="32"/>
          <w:szCs w:val="32"/>
          <w:lang w:val="en-US" w:eastAsia="zh-CN" w:bidi="ar-SA"/>
        </w:rPr>
        <w:t>为规范政府投资项目的变更监管，加强预算约束，制定下发了</w:t>
      </w:r>
      <w:r>
        <w:rPr>
          <w:rFonts w:hint="eastAsia" w:ascii="仿宋_GB2312" w:hAnsi="仿宋_GB2312" w:eastAsia="仿宋_GB2312" w:cs="仿宋_GB2312"/>
          <w:color w:val="auto"/>
          <w:sz w:val="32"/>
          <w:szCs w:val="32"/>
          <w:lang w:val="en-US" w:eastAsia="zh-CN"/>
        </w:rPr>
        <w:t>《关于规范区政府项目变更审核管理的通知》《关于调整财政性投资项目工程预结算评审限额的通知》等文件。</w:t>
      </w:r>
      <w:r>
        <w:rPr>
          <w:rFonts w:hint="eastAsia" w:ascii="仿宋_GB2312" w:hAnsi="仿宋_GB2312" w:eastAsia="仿宋_GB2312" w:cs="仿宋_GB2312"/>
          <w:b w:val="0"/>
          <w:bCs/>
          <w:spacing w:val="0"/>
          <w:kern w:val="0"/>
          <w:sz w:val="32"/>
          <w:szCs w:val="32"/>
          <w:highlight w:val="none"/>
          <w:lang w:val="en-US" w:eastAsia="zh-CN" w:bidi="ar-SA"/>
        </w:rPr>
        <w:t>通过采取资料审核数据化、现场勘察精细化、报告审核信息化等手段，加大政府投资项目监管力度，全年</w:t>
      </w:r>
      <w:r>
        <w:rPr>
          <w:rFonts w:hint="default" w:ascii="仿宋_GB2312" w:hAnsi="仿宋_GB2312" w:eastAsia="仿宋_GB2312" w:cs="仿宋_GB2312"/>
          <w:b w:val="0"/>
          <w:bCs/>
          <w:spacing w:val="0"/>
          <w:kern w:val="0"/>
          <w:sz w:val="32"/>
          <w:szCs w:val="32"/>
          <w:highlight w:val="none"/>
          <w:lang w:val="en-US" w:eastAsia="zh-CN" w:bidi="ar-SA"/>
        </w:rPr>
        <w:t>完成评审并出具报告115个，送审金额69279万元，审定金额62942万元，审减金额6337万元，审减率9.1%</w:t>
      </w:r>
      <w:r>
        <w:rPr>
          <w:rFonts w:hint="eastAsia" w:ascii="仿宋_GB2312" w:hAnsi="仿宋_GB2312" w:eastAsia="仿宋_GB2312" w:cs="仿宋_GB2312"/>
          <w:b w:val="0"/>
          <w:bCs/>
          <w:spacing w:val="0"/>
          <w:kern w:val="0"/>
          <w:sz w:val="32"/>
          <w:szCs w:val="32"/>
          <w:highlight w:val="none"/>
          <w:lang w:val="en-US" w:eastAsia="zh-CN" w:bidi="ar-SA"/>
        </w:rPr>
        <w:t>。</w:t>
      </w:r>
      <w:r>
        <w:rPr>
          <w:rFonts w:hint="eastAsia" w:ascii="仿宋_GB2312" w:hAnsi="仿宋_GB2312" w:eastAsia="仿宋_GB2312" w:cs="仿宋_GB2312"/>
          <w:b/>
          <w:bCs w:val="0"/>
          <w:color w:val="auto"/>
          <w:spacing w:val="0"/>
          <w:kern w:val="0"/>
          <w:sz w:val="32"/>
          <w:szCs w:val="32"/>
          <w:highlight w:val="none"/>
          <w:lang w:val="en-US" w:eastAsia="zh-CN" w:bidi="ar-SA"/>
        </w:rPr>
        <w:t>规范政府采购行为，优化政府采购营商环境。</w:t>
      </w:r>
      <w:r>
        <w:rPr>
          <w:rFonts w:hint="eastAsia" w:ascii="仿宋_GB2312" w:hAnsi="仿宋_GB2312" w:eastAsia="仿宋_GB2312" w:cs="仿宋_GB2312"/>
          <w:b w:val="0"/>
          <w:bCs/>
          <w:spacing w:val="0"/>
          <w:kern w:val="0"/>
          <w:sz w:val="32"/>
          <w:szCs w:val="32"/>
          <w:highlight w:val="none"/>
          <w:lang w:val="en-US" w:eastAsia="zh-CN" w:bidi="ar-SA"/>
        </w:rPr>
        <w:t>持续提升政府采购营商环境，开展政府采购领域“四类”违法违规行为专项整治活动；强化政府采购政策落实，支持中小企业发展；</w:t>
      </w:r>
      <w:r>
        <w:rPr>
          <w:rFonts w:hint="eastAsia" w:ascii="仿宋_GB2312" w:hAnsi="仿宋_GB2312" w:eastAsia="仿宋_GB2312" w:cs="仿宋_GB2312"/>
          <w:b w:val="0"/>
          <w:bCs/>
          <w:color w:val="auto"/>
          <w:spacing w:val="0"/>
          <w:kern w:val="0"/>
          <w:sz w:val="32"/>
          <w:szCs w:val="32"/>
          <w:highlight w:val="none"/>
          <w:lang w:val="en-US" w:eastAsia="zh-CN" w:bidi="ar-SA"/>
        </w:rPr>
        <w:t>打造阳光高效、公平公正的政府采购环境，保障各类社会市场主体平等参与。全年网上商城采购160次，采购金额215万元；限额以上政府采购项目36个，采购预算金额5456万元，中标金额5066万元，</w:t>
      </w:r>
      <w:r>
        <w:rPr>
          <w:rFonts w:hint="eastAsia" w:ascii="仿宋_GB2312" w:hAnsi="仿宋_GB2312" w:eastAsia="仿宋_GB2312" w:cs="仿宋_GB2312"/>
          <w:color w:val="auto"/>
          <w:sz w:val="32"/>
          <w:szCs w:val="32"/>
          <w:highlight w:val="none"/>
          <w:lang w:val="en-US" w:eastAsia="zh-CN"/>
        </w:rPr>
        <w:t>节约资金390万元，节约率7.1%。</w:t>
      </w:r>
      <w:r>
        <w:rPr>
          <w:rFonts w:hint="eastAsia" w:ascii="仿宋_GB2312" w:hAnsi="仿宋_GB2312" w:eastAsia="仿宋_GB2312" w:cs="仿宋_GB2312"/>
          <w:b w:val="0"/>
          <w:bCs/>
          <w:color w:val="auto"/>
          <w:spacing w:val="0"/>
          <w:kern w:val="0"/>
          <w:sz w:val="32"/>
          <w:szCs w:val="32"/>
          <w:highlight w:val="none"/>
          <w:lang w:val="en-US" w:eastAsia="zh-CN" w:bidi="ar-SA"/>
        </w:rPr>
        <w:t>采购贫困地区农副产品32万元，政府采购合同融资37万元。</w:t>
      </w:r>
      <w:r>
        <w:rPr>
          <w:rFonts w:hint="eastAsia" w:ascii="仿宋_GB2312" w:hAnsi="仿宋_GB2312" w:eastAsia="仿宋_GB2312" w:cs="仿宋_GB2312"/>
          <w:b/>
          <w:bCs/>
          <w:i w:val="0"/>
          <w:iCs w:val="0"/>
          <w:caps w:val="0"/>
          <w:color w:val="000000"/>
          <w:spacing w:val="0"/>
          <w:sz w:val="32"/>
          <w:szCs w:val="32"/>
          <w:highlight w:val="none"/>
          <w:u w:val="none"/>
          <w:shd w:val="clear" w:color="auto" w:fill="FFFFFF"/>
          <w:lang w:val="en-US" w:eastAsia="zh-CN"/>
        </w:rPr>
        <w:t>持续提升行政事业单位国有资产监管水平。</w:t>
      </w:r>
      <w:r>
        <w:rPr>
          <w:rFonts w:hint="eastAsia" w:ascii="仿宋_GB2312" w:hAnsi="仿宋_GB2312" w:eastAsia="仿宋_GB2312" w:cs="仿宋_GB2312"/>
          <w:b w:val="0"/>
          <w:bCs w:val="0"/>
          <w:i w:val="0"/>
          <w:iCs w:val="0"/>
          <w:caps w:val="0"/>
          <w:color w:val="000000"/>
          <w:spacing w:val="0"/>
          <w:sz w:val="32"/>
          <w:szCs w:val="32"/>
          <w:highlight w:val="none"/>
          <w:u w:val="none"/>
          <w:shd w:val="clear" w:color="auto" w:fill="FFFFFF"/>
          <w:lang w:val="en-US" w:eastAsia="zh-CN"/>
        </w:rPr>
        <w:t>督促指导单位加强资产管理、处置问题资产，组织开展资产管理专项知识培训，配合主管部门指导涉案房产和国有资源公拍，协调第三方评估机构做好重点项目评估。全年共处置（含报备）各类资产68批次、6543万元；批复（含报备）对外有偿使用资产10批次、收入32万元；按程序批复公开交易资产5批次、成交786万元。做好事业单位改革资产划转和以前年度问题车辆处理工作，配合编办和涉改事业单位做好资产划转转移工作，全年共批复划转资产35批次、5376万元；审批各类问题车辆6批次、涉及价值87万元，确保单位资产账实相符、账卡一致。</w:t>
      </w:r>
    </w:p>
    <w:p w14:paraId="6ED1946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楷体_GB2312" w:hAnsi="楷体_GB2312" w:eastAsia="楷体_GB2312" w:cs="楷体_GB2312"/>
          <w:color w:val="000000" w:themeColor="text1"/>
          <w:spacing w:val="0"/>
          <w:kern w:val="2"/>
          <w:sz w:val="32"/>
          <w:szCs w:val="32"/>
          <w:highlight w:val="none"/>
          <w:lang w:val="en-US"/>
          <w14:textFill>
            <w14:solidFill>
              <w14:schemeClr w14:val="tx1"/>
            </w14:solidFill>
          </w14:textFill>
        </w:rPr>
      </w:pPr>
      <w:r>
        <w:rPr>
          <w:rFonts w:hint="eastAsia" w:ascii="楷体_GB2312" w:hAnsi="仿宋_GB2312" w:eastAsia="楷体_GB2312" w:cs="仿宋_GB2312"/>
          <w:b w:val="0"/>
          <w:bCs w:val="0"/>
          <w:color w:val="auto"/>
          <w:spacing w:val="0"/>
          <w:kern w:val="2"/>
          <w:sz w:val="32"/>
          <w:szCs w:val="32"/>
          <w:highlight w:val="none"/>
        </w:rPr>
        <w:t>（</w:t>
      </w:r>
      <w:r>
        <w:rPr>
          <w:rFonts w:hint="eastAsia" w:ascii="楷体_GB2312" w:hAnsi="仿宋_GB2312" w:eastAsia="楷体_GB2312" w:cs="仿宋_GB2312"/>
          <w:b w:val="0"/>
          <w:bCs w:val="0"/>
          <w:color w:val="auto"/>
          <w:spacing w:val="0"/>
          <w:kern w:val="2"/>
          <w:sz w:val="32"/>
          <w:szCs w:val="32"/>
          <w:highlight w:val="none"/>
          <w:lang w:val="en-US" w:eastAsia="zh-CN"/>
        </w:rPr>
        <w:t>三</w:t>
      </w:r>
      <w:r>
        <w:rPr>
          <w:rFonts w:hint="eastAsia" w:ascii="楷体_GB2312" w:hAnsi="仿宋_GB2312" w:eastAsia="楷体_GB2312" w:cs="仿宋_GB2312"/>
          <w:b w:val="0"/>
          <w:bCs w:val="0"/>
          <w:color w:val="auto"/>
          <w:spacing w:val="0"/>
          <w:kern w:val="2"/>
          <w:sz w:val="32"/>
          <w:szCs w:val="32"/>
          <w:highlight w:val="none"/>
        </w:rPr>
        <w:t>）</w:t>
      </w:r>
      <w:r>
        <w:rPr>
          <w:rFonts w:hint="eastAsia" w:ascii="楷体_GB2312" w:hAnsi="仿宋_GB2312" w:eastAsia="楷体_GB2312" w:cs="仿宋_GB2312"/>
          <w:b w:val="0"/>
          <w:bCs w:val="0"/>
          <w:color w:val="auto"/>
          <w:spacing w:val="0"/>
          <w:kern w:val="2"/>
          <w:sz w:val="32"/>
          <w:szCs w:val="32"/>
          <w:highlight w:val="none"/>
          <w:lang w:val="en-US" w:eastAsia="zh-CN"/>
        </w:rPr>
        <w:t>支持做好“三农”工作</w:t>
      </w:r>
    </w:p>
    <w:p w14:paraId="7771ECF5">
      <w:pPr>
        <w:keepNext w:val="0"/>
        <w:keepLines w:val="0"/>
        <w:pageBreakBefore w:val="0"/>
        <w:kinsoku/>
        <w:wordWrap/>
        <w:overflowPunct/>
        <w:autoSpaceDE/>
        <w:autoSpaceDN/>
        <w:bidi w:val="0"/>
        <w:adjustRightInd/>
        <w:snapToGrid/>
        <w:spacing w:line="600" w:lineRule="exact"/>
        <w:ind w:left="0" w:leftChars="0" w:right="0" w:rightChars="0" w:firstLine="643" w:firstLineChars="200"/>
        <w:jc w:val="both"/>
        <w:textAlignment w:val="auto"/>
        <w:rPr>
          <w:rFonts w:hint="default" w:ascii="仿宋_GB2312" w:hAnsi="仿宋_GB2312" w:eastAsia="仿宋_GB2312" w:cs="仿宋_GB2312"/>
          <w:b w:val="0"/>
          <w:bCs/>
          <w:color w:val="auto"/>
          <w:spacing w:val="0"/>
          <w:kern w:val="0"/>
          <w:sz w:val="32"/>
          <w:szCs w:val="32"/>
          <w:highlight w:val="none"/>
          <w:lang w:val="en-US" w:eastAsia="zh-CN" w:bidi="ar-SA"/>
        </w:rPr>
      </w:pPr>
      <w:r>
        <w:rPr>
          <w:rFonts w:hint="eastAsia" w:ascii="仿宋_GB2312" w:hAnsi="仿宋_GB2312" w:eastAsia="仿宋_GB2312" w:cs="仿宋_GB2312"/>
          <w:b/>
          <w:bCs w:val="0"/>
          <w:color w:val="auto"/>
          <w:spacing w:val="0"/>
          <w:kern w:val="0"/>
          <w:sz w:val="32"/>
          <w:szCs w:val="32"/>
          <w:highlight w:val="none"/>
          <w:lang w:val="en-US" w:eastAsia="zh-CN" w:bidi="ar-SA"/>
        </w:rPr>
        <w:t>统筹涉农资金保障。</w:t>
      </w:r>
      <w:r>
        <w:rPr>
          <w:rFonts w:hint="eastAsia" w:ascii="仿宋_GB2312" w:hAnsi="仿宋_GB2312" w:eastAsia="仿宋_GB2312" w:cs="仿宋_GB2312"/>
          <w:b w:val="0"/>
          <w:bCs/>
          <w:color w:val="auto"/>
          <w:spacing w:val="0"/>
          <w:kern w:val="0"/>
          <w:sz w:val="32"/>
          <w:szCs w:val="32"/>
          <w:highlight w:val="none"/>
          <w:lang w:val="en-US" w:eastAsia="zh-CN" w:bidi="ar-SA"/>
        </w:rPr>
        <w:t>围绕区委提出的“农业强区”建设目标，重点投向高标准农田建设、特色农业产业培育、农村人居环境整治等领域。同时，严格落实涉农资金公示制度，确保资金用在“刀刃上”。</w:t>
      </w:r>
      <w:r>
        <w:rPr>
          <w:rFonts w:hint="eastAsia" w:ascii="仿宋_GB2312" w:hAnsi="仿宋_GB2312" w:eastAsia="仿宋_GB2312" w:cs="仿宋_GB2312"/>
          <w:b/>
          <w:bCs w:val="0"/>
          <w:color w:val="auto"/>
          <w:spacing w:val="0"/>
          <w:kern w:val="0"/>
          <w:sz w:val="32"/>
          <w:szCs w:val="32"/>
          <w:highlight w:val="none"/>
          <w:lang w:val="en-US" w:eastAsia="zh-CN" w:bidi="ar-SA"/>
        </w:rPr>
        <w:t>落实惠农政策落地。</w:t>
      </w:r>
      <w:r>
        <w:rPr>
          <w:rFonts w:hint="eastAsia" w:ascii="仿宋_GB2312" w:hAnsi="仿宋_GB2312" w:eastAsia="仿宋_GB2312" w:cs="仿宋_GB2312"/>
          <w:b w:val="0"/>
          <w:bCs/>
          <w:color w:val="auto"/>
          <w:spacing w:val="0"/>
          <w:kern w:val="0"/>
          <w:sz w:val="32"/>
          <w:szCs w:val="32"/>
          <w:highlight w:val="none"/>
          <w:lang w:val="en-US" w:eastAsia="zh-CN" w:bidi="ar-SA"/>
        </w:rPr>
        <w:t>精准执行耕地地力保护补贴、农机购置补贴、移民补贴等强农惠农政策。2025年发放各类补贴资金2776万元，惠及农户4万多户。投入2586万元做好村级组织运转经费保障。</w:t>
      </w:r>
      <w:r>
        <w:rPr>
          <w:rFonts w:hint="eastAsia" w:ascii="仿宋_GB2312" w:hAnsi="仿宋_GB2312" w:eastAsia="仿宋_GB2312" w:cs="仿宋_GB2312"/>
          <w:b/>
          <w:bCs w:val="0"/>
          <w:color w:val="auto"/>
          <w:spacing w:val="0"/>
          <w:kern w:val="0"/>
          <w:sz w:val="32"/>
          <w:szCs w:val="32"/>
          <w:highlight w:val="none"/>
          <w:lang w:val="en-US" w:eastAsia="zh-CN" w:bidi="ar-SA"/>
        </w:rPr>
        <w:t>防范农业金融风险。</w:t>
      </w:r>
      <w:r>
        <w:rPr>
          <w:rFonts w:hint="eastAsia" w:ascii="仿宋_GB2312" w:hAnsi="仿宋_GB2312" w:eastAsia="仿宋_GB2312" w:cs="仿宋_GB2312"/>
          <w:b w:val="0"/>
          <w:bCs/>
          <w:color w:val="auto"/>
          <w:spacing w:val="0"/>
          <w:kern w:val="0"/>
          <w:sz w:val="32"/>
          <w:szCs w:val="32"/>
          <w:highlight w:val="none"/>
          <w:lang w:val="en-US" w:eastAsia="zh-CN" w:bidi="ar-SA"/>
        </w:rPr>
        <w:t>开展小麦、玉米完全成本保险承保工作，为种粮农户提供风险保障2893 万元。加强对农业保险保费补贴资金的监管，全年拨付保费补贴118万元，覆盖农作物种植、畜禽养殖等险种，有效降低农业生产经营风险。</w:t>
      </w:r>
    </w:p>
    <w:p w14:paraId="7FCA7B0D">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（四）确保重点民生项目</w:t>
      </w:r>
    </w:p>
    <w:p w14:paraId="5BCAB7C2">
      <w:pPr>
        <w:keepNext w:val="0"/>
        <w:keepLines w:val="0"/>
        <w:pageBreakBefore w:val="0"/>
        <w:widowControl/>
        <w:numPr>
          <w:ilvl w:val="0"/>
          <w:numId w:val="0"/>
        </w:numPr>
        <w:shd w:val="clear" w:color="auto" w:fill="FFFFFF"/>
        <w:wordWrap/>
        <w:overflowPunct/>
        <w:bidi w:val="0"/>
        <w:spacing w:line="600" w:lineRule="exact"/>
        <w:ind w:left="0" w:leftChars="0" w:right="0" w:rightChars="0" w:firstLine="640" w:firstLineChars="200"/>
        <w:jc w:val="both"/>
        <w:rPr>
          <w:rFonts w:hint="default" w:ascii="仿宋_GB2312" w:hAnsi="Times New Roman" w:eastAsia="仿宋_GB2312" w:cs="Times New Roman"/>
          <w:color w:val="000000"/>
          <w:kern w:val="0"/>
          <w:sz w:val="32"/>
          <w:szCs w:val="32"/>
          <w:lang w:val="en-US" w:eastAsia="zh-CN"/>
        </w:rPr>
      </w:pPr>
      <w:r>
        <w:rPr>
          <w:rFonts w:hint="eastAsia" w:ascii="仿宋_GB2312" w:hAnsi="仿宋_GB2312" w:eastAsia="仿宋_GB2312" w:cs="仿宋_GB2312"/>
          <w:b w:val="0"/>
          <w:bCs w:val="0"/>
          <w:sz w:val="32"/>
          <w:szCs w:val="32"/>
          <w:u w:val="none"/>
          <w:lang w:val="en-US" w:eastAsia="zh-CN"/>
        </w:rPr>
        <w:t>2025年</w:t>
      </w:r>
      <w:r>
        <w:rPr>
          <w:rFonts w:hint="eastAsia" w:ascii="仿宋_GB2312" w:hAnsi="仿宋_GB2312" w:eastAsia="仿宋_GB2312" w:cs="仿宋_GB2312"/>
          <w:b w:val="0"/>
          <w:bCs w:val="0"/>
          <w:sz w:val="32"/>
          <w:szCs w:val="32"/>
          <w:u w:val="none"/>
          <w:lang w:eastAsia="zh-CN"/>
        </w:rPr>
        <w:t>全区民生支出占一般公共预算支出的比重达6</w:t>
      </w:r>
      <w:r>
        <w:rPr>
          <w:rFonts w:hint="eastAsia" w:ascii="仿宋_GB2312" w:hAnsi="仿宋_GB2312" w:eastAsia="仿宋_GB2312" w:cs="仿宋_GB2312"/>
          <w:b w:val="0"/>
          <w:bCs w:val="0"/>
          <w:sz w:val="32"/>
          <w:szCs w:val="32"/>
          <w:u w:val="none"/>
          <w:lang w:val="en-US" w:eastAsia="zh-CN"/>
        </w:rPr>
        <w:t>4</w:t>
      </w:r>
      <w:r>
        <w:rPr>
          <w:rFonts w:hint="eastAsia" w:ascii="仿宋_GB2312" w:hAnsi="仿宋_GB2312" w:eastAsia="仿宋_GB2312" w:cs="仿宋_GB2312"/>
          <w:b w:val="0"/>
          <w:bCs w:val="0"/>
          <w:sz w:val="32"/>
          <w:szCs w:val="32"/>
          <w:u w:val="none"/>
          <w:lang w:eastAsia="zh-CN"/>
        </w:rPr>
        <w:t>%。</w:t>
      </w:r>
      <w:r>
        <w:rPr>
          <w:rFonts w:hint="eastAsia" w:ascii="仿宋_GB2312" w:hAnsi="仿宋_GB2312" w:eastAsia="仿宋_GB2312" w:cs="仿宋_GB2312"/>
          <w:b/>
          <w:bCs/>
          <w:sz w:val="32"/>
          <w:szCs w:val="32"/>
          <w:u w:val="none"/>
          <w:lang w:eastAsia="zh-CN"/>
        </w:rPr>
        <w:t>教育领域</w:t>
      </w:r>
      <w:r>
        <w:rPr>
          <w:rFonts w:hint="eastAsia" w:ascii="仿宋_GB2312" w:hAnsi="仿宋_GB2312" w:eastAsia="仿宋_GB2312" w:cs="仿宋_GB2312"/>
          <w:b/>
          <w:bCs/>
          <w:sz w:val="32"/>
          <w:szCs w:val="32"/>
          <w:u w:val="none"/>
          <w:lang w:val="en-US" w:eastAsia="zh-CN"/>
        </w:rPr>
        <w:t>投入不断加大。</w:t>
      </w:r>
      <w:r>
        <w:rPr>
          <w:rFonts w:hint="eastAsia" w:ascii="仿宋_GB2312" w:hAnsi="仿宋_GB2312" w:eastAsia="仿宋_GB2312" w:cs="仿宋_GB2312"/>
          <w:b w:val="0"/>
          <w:bCs w:val="0"/>
          <w:sz w:val="32"/>
          <w:szCs w:val="32"/>
          <w:u w:val="none"/>
          <w:lang w:val="en-US" w:eastAsia="zh-CN"/>
        </w:rPr>
        <w:t>全区</w:t>
      </w:r>
      <w:r>
        <w:rPr>
          <w:rFonts w:hint="eastAsia" w:ascii="仿宋_GB2312" w:hAnsi="Times New Roman" w:eastAsia="仿宋_GB2312" w:cs="Times New Roman"/>
          <w:b w:val="0"/>
          <w:bCs/>
          <w:color w:val="auto"/>
          <w:spacing w:val="0"/>
          <w:kern w:val="2"/>
          <w:sz w:val="32"/>
          <w:szCs w:val="32"/>
          <w:highlight w:val="none"/>
          <w:u w:val="none"/>
          <w:lang w:val="en-US" w:eastAsia="zh-CN" w:bidi="ar-SA"/>
        </w:rPr>
        <w:t>安排教育经费支出</w:t>
      </w:r>
      <w:r>
        <w:rPr>
          <w:rFonts w:hint="eastAsia" w:ascii="仿宋_GB2312" w:eastAsia="仿宋_GB2312" w:cs="Times New Roman"/>
          <w:b w:val="0"/>
          <w:bCs/>
          <w:color w:val="auto"/>
          <w:spacing w:val="0"/>
          <w:kern w:val="2"/>
          <w:sz w:val="32"/>
          <w:szCs w:val="32"/>
          <w:highlight w:val="none"/>
          <w:u w:val="none"/>
          <w:lang w:val="en-US" w:eastAsia="zh-CN" w:bidi="ar-SA"/>
        </w:rPr>
        <w:t>26294</w:t>
      </w:r>
      <w:r>
        <w:rPr>
          <w:rFonts w:hint="eastAsia" w:ascii="仿宋_GB2312" w:hAnsi="Times New Roman" w:eastAsia="仿宋_GB2312" w:cs="Times New Roman"/>
          <w:b w:val="0"/>
          <w:bCs/>
          <w:color w:val="auto"/>
          <w:spacing w:val="0"/>
          <w:kern w:val="2"/>
          <w:sz w:val="32"/>
          <w:szCs w:val="32"/>
          <w:highlight w:val="none"/>
          <w:u w:val="none"/>
          <w:lang w:val="en-US" w:eastAsia="zh-CN" w:bidi="ar-SA"/>
        </w:rPr>
        <w:t>万元</w:t>
      </w:r>
      <w:r>
        <w:rPr>
          <w:rFonts w:hint="eastAsia" w:ascii="仿宋_GB2312" w:eastAsia="仿宋_GB2312" w:cs="Times New Roman"/>
          <w:b w:val="0"/>
          <w:bCs/>
          <w:color w:val="auto"/>
          <w:spacing w:val="0"/>
          <w:kern w:val="2"/>
          <w:sz w:val="32"/>
          <w:szCs w:val="32"/>
          <w:highlight w:val="none"/>
          <w:u w:val="none"/>
          <w:lang w:val="en-US" w:eastAsia="zh-CN" w:bidi="ar-SA"/>
        </w:rPr>
        <w:t>。</w:t>
      </w:r>
      <w:r>
        <w:rPr>
          <w:rFonts w:hint="eastAsia" w:ascii="仿宋_GB2312" w:hAnsi="Times New Roman" w:eastAsia="仿宋_GB2312" w:cs="Times New Roman"/>
          <w:b w:val="0"/>
          <w:bCs/>
          <w:color w:val="auto"/>
          <w:spacing w:val="0"/>
          <w:kern w:val="2"/>
          <w:sz w:val="32"/>
          <w:szCs w:val="32"/>
          <w:highlight w:val="none"/>
          <w:u w:val="none"/>
          <w:lang w:val="en-US" w:eastAsia="zh-CN" w:bidi="ar-SA"/>
        </w:rPr>
        <w:t>争取</w:t>
      </w:r>
      <w:r>
        <w:rPr>
          <w:rFonts w:hint="eastAsia" w:ascii="仿宋_GB2312" w:eastAsia="仿宋_GB2312" w:cs="Times New Roman"/>
          <w:b w:val="0"/>
          <w:bCs/>
          <w:color w:val="auto"/>
          <w:spacing w:val="0"/>
          <w:kern w:val="2"/>
          <w:sz w:val="32"/>
          <w:szCs w:val="32"/>
          <w:highlight w:val="none"/>
          <w:u w:val="none"/>
          <w:lang w:val="en-US" w:eastAsia="zh-CN" w:bidi="ar-SA"/>
        </w:rPr>
        <w:t>上级</w:t>
      </w:r>
      <w:r>
        <w:rPr>
          <w:rFonts w:hint="eastAsia" w:ascii="仿宋_GB2312" w:hAnsi="Times New Roman" w:eastAsia="仿宋_GB2312" w:cs="Times New Roman"/>
          <w:b w:val="0"/>
          <w:bCs/>
          <w:color w:val="auto"/>
          <w:spacing w:val="0"/>
          <w:kern w:val="2"/>
          <w:sz w:val="32"/>
          <w:szCs w:val="32"/>
          <w:highlight w:val="none"/>
          <w:u w:val="none"/>
          <w:lang w:val="en-US" w:eastAsia="zh-CN" w:bidi="ar-SA"/>
        </w:rPr>
        <w:t>薄弱环节改善与能力提升专项资金2058万元，用于龙安实验小学建设</w:t>
      </w:r>
      <w:r>
        <w:rPr>
          <w:rFonts w:hint="eastAsia" w:ascii="仿宋_GB2312" w:eastAsia="仿宋_GB2312" w:cs="Times New Roman"/>
          <w:b w:val="0"/>
          <w:bCs/>
          <w:color w:val="auto"/>
          <w:spacing w:val="0"/>
          <w:kern w:val="2"/>
          <w:sz w:val="32"/>
          <w:szCs w:val="32"/>
          <w:highlight w:val="none"/>
          <w:u w:val="none"/>
          <w:lang w:val="en-US" w:eastAsia="zh-CN" w:bidi="ar-SA"/>
        </w:rPr>
        <w:t>，</w:t>
      </w:r>
      <w:r>
        <w:rPr>
          <w:rFonts w:hint="eastAsia" w:ascii="仿宋_GB2312" w:hAnsi="Times New Roman" w:eastAsia="仿宋_GB2312" w:cs="Times New Roman"/>
          <w:b w:val="0"/>
          <w:bCs/>
          <w:color w:val="auto"/>
          <w:spacing w:val="0"/>
          <w:kern w:val="2"/>
          <w:sz w:val="32"/>
          <w:szCs w:val="32"/>
          <w:highlight w:val="none"/>
          <w:u w:val="none"/>
          <w:lang w:val="en-US" w:eastAsia="zh-CN" w:bidi="ar-SA"/>
        </w:rPr>
        <w:t>增加小学学位1620个；争取上级资金51</w:t>
      </w:r>
      <w:r>
        <w:rPr>
          <w:rFonts w:hint="eastAsia" w:ascii="仿宋_GB2312" w:eastAsia="仿宋_GB2312" w:cs="Times New Roman"/>
          <w:b w:val="0"/>
          <w:bCs/>
          <w:color w:val="auto"/>
          <w:spacing w:val="0"/>
          <w:kern w:val="2"/>
          <w:sz w:val="32"/>
          <w:szCs w:val="32"/>
          <w:highlight w:val="none"/>
          <w:u w:val="none"/>
          <w:lang w:val="en-US" w:eastAsia="zh-CN" w:bidi="ar-SA"/>
        </w:rPr>
        <w:t>9</w:t>
      </w:r>
      <w:r>
        <w:rPr>
          <w:rFonts w:hint="eastAsia" w:ascii="仿宋_GB2312" w:hAnsi="Times New Roman" w:eastAsia="仿宋_GB2312" w:cs="Times New Roman"/>
          <w:b w:val="0"/>
          <w:bCs/>
          <w:color w:val="auto"/>
          <w:spacing w:val="0"/>
          <w:kern w:val="2"/>
          <w:sz w:val="32"/>
          <w:szCs w:val="32"/>
          <w:highlight w:val="none"/>
          <w:u w:val="none"/>
          <w:lang w:val="en-US" w:eastAsia="zh-CN" w:bidi="ar-SA"/>
        </w:rPr>
        <w:t>万元，支持普惠性幼儿园新建、改建</w:t>
      </w:r>
      <w:r>
        <w:rPr>
          <w:rFonts w:hint="eastAsia" w:ascii="仿宋_GB2312" w:eastAsia="仿宋_GB2312" w:cs="Times New Roman"/>
          <w:b w:val="0"/>
          <w:bCs/>
          <w:color w:val="auto"/>
          <w:spacing w:val="0"/>
          <w:kern w:val="2"/>
          <w:sz w:val="32"/>
          <w:szCs w:val="32"/>
          <w:highlight w:val="none"/>
          <w:u w:val="none"/>
          <w:lang w:val="en-US" w:eastAsia="zh-CN" w:bidi="ar-SA"/>
        </w:rPr>
        <w:t>；</w:t>
      </w:r>
      <w:r>
        <w:rPr>
          <w:rFonts w:hint="eastAsia" w:ascii="仿宋_GB2312" w:hAnsi="Times New Roman" w:eastAsia="仿宋_GB2312" w:cs="Times New Roman"/>
          <w:b w:val="0"/>
          <w:bCs/>
          <w:color w:val="auto"/>
          <w:spacing w:val="0"/>
          <w:kern w:val="2"/>
          <w:sz w:val="32"/>
          <w:szCs w:val="32"/>
          <w:highlight w:val="none"/>
          <w:u w:val="none"/>
          <w:lang w:val="en-US" w:eastAsia="zh-CN" w:bidi="ar-SA"/>
        </w:rPr>
        <w:t>争取554万元长效机制项目资金，</w:t>
      </w:r>
      <w:r>
        <w:rPr>
          <w:rFonts w:hint="eastAsia" w:ascii="仿宋_GB2312" w:eastAsia="仿宋_GB2312" w:cs="Times New Roman"/>
          <w:b w:val="0"/>
          <w:bCs/>
          <w:color w:val="auto"/>
          <w:spacing w:val="0"/>
          <w:kern w:val="2"/>
          <w:sz w:val="32"/>
          <w:szCs w:val="32"/>
          <w:highlight w:val="none"/>
          <w:u w:val="none"/>
          <w:lang w:val="en-US" w:eastAsia="zh-CN" w:bidi="ar-SA"/>
        </w:rPr>
        <w:t>改善中小学办学条件；</w:t>
      </w:r>
      <w:r>
        <w:rPr>
          <w:rFonts w:hint="eastAsia" w:ascii="仿宋_GB2312" w:hAnsi="Times New Roman" w:eastAsia="仿宋_GB2312" w:cs="Times New Roman"/>
          <w:b w:val="0"/>
          <w:bCs/>
          <w:color w:val="auto"/>
          <w:spacing w:val="0"/>
          <w:kern w:val="2"/>
          <w:sz w:val="32"/>
          <w:szCs w:val="32"/>
          <w:highlight w:val="none"/>
          <w:u w:val="none"/>
          <w:lang w:val="en-US" w:eastAsia="zh-CN" w:bidi="ar-SA"/>
        </w:rPr>
        <w:t>通过财政补助兜底免除学前保教费527万</w:t>
      </w:r>
      <w:r>
        <w:rPr>
          <w:rFonts w:hint="eastAsia" w:ascii="仿宋_GB2312" w:eastAsia="仿宋_GB2312" w:cs="Times New Roman"/>
          <w:b w:val="0"/>
          <w:bCs/>
          <w:color w:val="auto"/>
          <w:spacing w:val="0"/>
          <w:kern w:val="2"/>
          <w:sz w:val="32"/>
          <w:szCs w:val="32"/>
          <w:highlight w:val="none"/>
          <w:u w:val="none"/>
          <w:lang w:val="en-US" w:eastAsia="zh-CN" w:bidi="ar-SA"/>
        </w:rPr>
        <w:t>元</w:t>
      </w:r>
      <w:r>
        <w:rPr>
          <w:rFonts w:hint="eastAsia" w:ascii="仿宋_GB2312" w:hAnsi="Times New Roman" w:eastAsia="仿宋_GB2312" w:cs="Times New Roman"/>
          <w:b w:val="0"/>
          <w:bCs/>
          <w:color w:val="auto"/>
          <w:spacing w:val="0"/>
          <w:kern w:val="2"/>
          <w:sz w:val="32"/>
          <w:szCs w:val="32"/>
          <w:highlight w:val="none"/>
          <w:u w:val="none"/>
          <w:lang w:val="en-US" w:eastAsia="zh-CN" w:bidi="ar-SA"/>
        </w:rPr>
        <w:t>，惠及私立幼儿园1823人，公立幼儿园779人</w:t>
      </w:r>
      <w:r>
        <w:rPr>
          <w:rFonts w:hint="eastAsia" w:ascii="仿宋_GB2312" w:eastAsia="仿宋_GB2312" w:cs="Times New Roman"/>
          <w:b w:val="0"/>
          <w:bCs/>
          <w:color w:val="auto"/>
          <w:spacing w:val="0"/>
          <w:kern w:val="2"/>
          <w:sz w:val="32"/>
          <w:szCs w:val="32"/>
          <w:highlight w:val="none"/>
          <w:u w:val="none"/>
          <w:lang w:val="en-US" w:eastAsia="zh-CN" w:bidi="ar-SA"/>
        </w:rPr>
        <w:t>；</w:t>
      </w:r>
      <w:r>
        <w:rPr>
          <w:rFonts w:hint="eastAsia" w:ascii="仿宋_GB2312" w:hAnsi="Times New Roman" w:eastAsia="仿宋_GB2312" w:cs="Times New Roman"/>
          <w:b w:val="0"/>
          <w:bCs/>
          <w:color w:val="auto"/>
          <w:spacing w:val="0"/>
          <w:kern w:val="2"/>
          <w:sz w:val="32"/>
          <w:szCs w:val="32"/>
          <w:highlight w:val="none"/>
          <w:u w:val="none"/>
          <w:lang w:val="en-US" w:eastAsia="zh-CN" w:bidi="ar-SA"/>
        </w:rPr>
        <w:t>多渠道筹措教育资助资金13</w:t>
      </w:r>
      <w:r>
        <w:rPr>
          <w:rFonts w:hint="eastAsia" w:ascii="仿宋_GB2312" w:eastAsia="仿宋_GB2312" w:cs="Times New Roman"/>
          <w:b w:val="0"/>
          <w:bCs/>
          <w:color w:val="auto"/>
          <w:spacing w:val="0"/>
          <w:kern w:val="2"/>
          <w:sz w:val="32"/>
          <w:szCs w:val="32"/>
          <w:highlight w:val="none"/>
          <w:u w:val="none"/>
          <w:lang w:val="en-US" w:eastAsia="zh-CN" w:bidi="ar-SA"/>
        </w:rPr>
        <w:t>4</w:t>
      </w:r>
      <w:r>
        <w:rPr>
          <w:rFonts w:hint="eastAsia" w:ascii="仿宋_GB2312" w:hAnsi="Times New Roman" w:eastAsia="仿宋_GB2312" w:cs="Times New Roman"/>
          <w:b w:val="0"/>
          <w:bCs/>
          <w:color w:val="auto"/>
          <w:spacing w:val="0"/>
          <w:kern w:val="2"/>
          <w:sz w:val="32"/>
          <w:szCs w:val="32"/>
          <w:highlight w:val="none"/>
          <w:u w:val="none"/>
          <w:lang w:val="en-US" w:eastAsia="zh-CN" w:bidi="ar-SA"/>
        </w:rPr>
        <w:t>万元，落实各学段家庭经济困难学生资助政策</w:t>
      </w:r>
      <w:r>
        <w:rPr>
          <w:rFonts w:hint="eastAsia" w:ascii="仿宋_GB2312" w:eastAsia="仿宋_GB2312" w:cs="Times New Roman"/>
          <w:b w:val="0"/>
          <w:bCs/>
          <w:color w:val="auto"/>
          <w:spacing w:val="0"/>
          <w:kern w:val="2"/>
          <w:sz w:val="32"/>
          <w:szCs w:val="32"/>
          <w:highlight w:val="none"/>
          <w:u w:val="none"/>
          <w:lang w:val="en-US" w:eastAsia="zh-CN" w:bidi="ar-SA"/>
        </w:rPr>
        <w:t>。</w:t>
      </w:r>
      <w:r>
        <w:rPr>
          <w:rFonts w:hint="eastAsia" w:ascii="仿宋_GB2312" w:hAnsi="仿宋_GB2312" w:eastAsia="仿宋_GB2312" w:cs="仿宋_GB2312"/>
          <w:b/>
          <w:bCs/>
          <w:sz w:val="32"/>
          <w:szCs w:val="32"/>
          <w:u w:val="none"/>
          <w:lang w:eastAsia="zh-CN"/>
        </w:rPr>
        <w:t>社会保障体系持续完善。</w:t>
      </w:r>
      <w:r>
        <w:rPr>
          <w:rFonts w:hint="eastAsia" w:ascii="仿宋_GB2312" w:eastAsia="仿宋_GB2312" w:cs="Times New Roman"/>
          <w:b w:val="0"/>
          <w:bCs/>
          <w:color w:val="auto"/>
          <w:spacing w:val="0"/>
          <w:kern w:val="2"/>
          <w:sz w:val="32"/>
          <w:szCs w:val="32"/>
          <w:highlight w:val="none"/>
          <w:u w:val="none"/>
          <w:lang w:val="en-US" w:eastAsia="zh-CN" w:bidi="ar-SA"/>
        </w:rPr>
        <w:t>社会保障和就业支出20367万元，持续加大对社保资金的投入力度，</w:t>
      </w:r>
      <w:r>
        <w:rPr>
          <w:rFonts w:hint="eastAsia" w:ascii="仿宋_GB2312" w:hAnsi="仿宋_GB2312" w:eastAsia="仿宋_GB2312" w:cs="仿宋_GB2312"/>
          <w:b w:val="0"/>
          <w:bCs w:val="0"/>
          <w:sz w:val="32"/>
          <w:szCs w:val="32"/>
          <w:highlight w:val="none"/>
          <w:u w:val="none"/>
          <w:lang w:eastAsia="zh-CN"/>
        </w:rPr>
        <w:t>全年累计发放城乡低保金</w:t>
      </w:r>
      <w:r>
        <w:rPr>
          <w:rFonts w:hint="eastAsia" w:ascii="仿宋_GB2312" w:hAnsi="仿宋_GB2312" w:eastAsia="仿宋_GB2312" w:cs="仿宋_GB2312"/>
          <w:b w:val="0"/>
          <w:bCs w:val="0"/>
          <w:color w:val="auto"/>
          <w:sz w:val="32"/>
          <w:szCs w:val="32"/>
          <w:highlight w:val="none"/>
          <w:u w:val="none"/>
          <w:lang w:eastAsia="zh-CN"/>
        </w:rPr>
        <w:t>872</w:t>
      </w:r>
      <w:r>
        <w:rPr>
          <w:rFonts w:hint="eastAsia" w:ascii="仿宋_GB2312" w:hAnsi="仿宋_GB2312" w:eastAsia="仿宋_GB2312" w:cs="仿宋_GB2312"/>
          <w:b w:val="0"/>
          <w:bCs w:val="0"/>
          <w:sz w:val="32"/>
          <w:szCs w:val="32"/>
          <w:highlight w:val="none"/>
          <w:u w:val="none"/>
          <w:lang w:eastAsia="zh-CN"/>
        </w:rPr>
        <w:t>万元，惠及</w:t>
      </w:r>
      <w:r>
        <w:rPr>
          <w:rFonts w:hint="eastAsia" w:ascii="仿宋_GB2312" w:hAnsi="仿宋_GB2312" w:eastAsia="仿宋_GB2312" w:cs="仿宋_GB2312"/>
          <w:b w:val="0"/>
          <w:bCs w:val="0"/>
          <w:sz w:val="32"/>
          <w:szCs w:val="32"/>
          <w:highlight w:val="none"/>
          <w:u w:val="none"/>
          <w:lang w:val="en-US" w:eastAsia="zh-CN"/>
        </w:rPr>
        <w:t>低保</w:t>
      </w:r>
      <w:r>
        <w:rPr>
          <w:rFonts w:hint="eastAsia" w:ascii="仿宋_GB2312" w:hAnsi="仿宋_GB2312" w:eastAsia="仿宋_GB2312" w:cs="仿宋_GB2312"/>
          <w:b w:val="0"/>
          <w:bCs w:val="0"/>
          <w:sz w:val="32"/>
          <w:szCs w:val="32"/>
          <w:highlight w:val="none"/>
          <w:u w:val="none"/>
          <w:lang w:eastAsia="zh-CN"/>
        </w:rPr>
        <w:t>群众3.3万余人</w:t>
      </w:r>
      <w:r>
        <w:rPr>
          <w:rFonts w:hint="eastAsia" w:ascii="仿宋_GB2312" w:hAnsi="仿宋_GB2312" w:eastAsia="仿宋_GB2312" w:cs="仿宋_GB2312"/>
          <w:b w:val="0"/>
          <w:bCs w:val="0"/>
          <w:sz w:val="32"/>
          <w:szCs w:val="32"/>
          <w:u w:val="none"/>
          <w:lang w:eastAsia="zh-CN"/>
        </w:rPr>
        <w:t>次；特困人员供养支出724万元，保障6936</w:t>
      </w:r>
      <w:r>
        <w:rPr>
          <w:rFonts w:hint="eastAsia" w:ascii="仿宋_GB2312" w:hAnsi="仿宋_GB2312" w:eastAsia="仿宋_GB2312" w:cs="仿宋_GB2312"/>
          <w:b w:val="0"/>
          <w:bCs w:val="0"/>
          <w:sz w:val="32"/>
          <w:szCs w:val="32"/>
          <w:u w:val="none"/>
          <w:lang w:val="en-US" w:eastAsia="zh-CN"/>
        </w:rPr>
        <w:t>人次</w:t>
      </w:r>
      <w:r>
        <w:rPr>
          <w:rFonts w:hint="eastAsia" w:ascii="仿宋_GB2312" w:hAnsi="仿宋_GB2312" w:eastAsia="仿宋_GB2312" w:cs="仿宋_GB2312"/>
          <w:b w:val="0"/>
          <w:bCs w:val="0"/>
          <w:sz w:val="32"/>
          <w:szCs w:val="32"/>
          <w:u w:val="none"/>
          <w:lang w:eastAsia="zh-CN"/>
        </w:rPr>
        <w:t>特困人员基本生活；儿童福利支出14</w:t>
      </w:r>
      <w:r>
        <w:rPr>
          <w:rFonts w:hint="eastAsia" w:ascii="仿宋_GB2312" w:hAnsi="仿宋_GB2312" w:eastAsia="仿宋_GB2312" w:cs="仿宋_GB2312"/>
          <w:b w:val="0"/>
          <w:bCs w:val="0"/>
          <w:sz w:val="32"/>
          <w:szCs w:val="32"/>
          <w:u w:val="none"/>
          <w:lang w:val="en-US" w:eastAsia="zh-CN"/>
        </w:rPr>
        <w:t>6</w:t>
      </w:r>
      <w:r>
        <w:rPr>
          <w:rFonts w:hint="eastAsia" w:ascii="仿宋_GB2312" w:hAnsi="仿宋_GB2312" w:eastAsia="仿宋_GB2312" w:cs="仿宋_GB2312"/>
          <w:b w:val="0"/>
          <w:bCs w:val="0"/>
          <w:sz w:val="32"/>
          <w:szCs w:val="32"/>
          <w:u w:val="none"/>
          <w:lang w:eastAsia="zh-CN"/>
        </w:rPr>
        <w:t>万元，为1311</w:t>
      </w:r>
      <w:r>
        <w:rPr>
          <w:rFonts w:hint="eastAsia" w:ascii="仿宋_GB2312" w:hAnsi="仿宋_GB2312" w:eastAsia="仿宋_GB2312" w:cs="仿宋_GB2312"/>
          <w:b w:val="0"/>
          <w:bCs w:val="0"/>
          <w:sz w:val="32"/>
          <w:szCs w:val="32"/>
          <w:u w:val="none"/>
          <w:lang w:val="en-US" w:eastAsia="zh-CN"/>
        </w:rPr>
        <w:t>人次</w:t>
      </w:r>
      <w:r>
        <w:rPr>
          <w:rFonts w:hint="eastAsia" w:ascii="仿宋_GB2312" w:hAnsi="仿宋_GB2312" w:eastAsia="仿宋_GB2312" w:cs="仿宋_GB2312"/>
          <w:b w:val="0"/>
          <w:bCs w:val="0"/>
          <w:sz w:val="32"/>
          <w:szCs w:val="32"/>
          <w:u w:val="none"/>
          <w:lang w:eastAsia="zh-CN"/>
        </w:rPr>
        <w:t>困境儿童撑起保护伞；残疾人两项补贴350万元，惠及4.1万余</w:t>
      </w:r>
      <w:r>
        <w:rPr>
          <w:rFonts w:hint="eastAsia" w:ascii="仿宋_GB2312" w:hAnsi="仿宋_GB2312" w:eastAsia="仿宋_GB2312" w:cs="仿宋_GB2312"/>
          <w:b w:val="0"/>
          <w:bCs w:val="0"/>
          <w:sz w:val="32"/>
          <w:szCs w:val="32"/>
          <w:u w:val="none"/>
          <w:lang w:val="en-US" w:eastAsia="zh-CN"/>
        </w:rPr>
        <w:t>人次</w:t>
      </w:r>
      <w:r>
        <w:rPr>
          <w:rFonts w:hint="eastAsia" w:ascii="仿宋_GB2312" w:hAnsi="仿宋_GB2312" w:eastAsia="仿宋_GB2312" w:cs="仿宋_GB2312"/>
          <w:b w:val="0"/>
          <w:bCs w:val="0"/>
          <w:sz w:val="32"/>
          <w:szCs w:val="32"/>
          <w:u w:val="none"/>
          <w:lang w:eastAsia="zh-CN"/>
        </w:rPr>
        <w:t>残疾人；高龄津贴681万元，让6.4万余</w:t>
      </w:r>
      <w:r>
        <w:rPr>
          <w:rFonts w:hint="eastAsia" w:ascii="仿宋_GB2312" w:hAnsi="仿宋_GB2312" w:eastAsia="仿宋_GB2312" w:cs="仿宋_GB2312"/>
          <w:b w:val="0"/>
          <w:bCs w:val="0"/>
          <w:sz w:val="32"/>
          <w:szCs w:val="32"/>
          <w:u w:val="none"/>
          <w:lang w:val="en-US" w:eastAsia="zh-CN"/>
        </w:rPr>
        <w:t>人次</w:t>
      </w:r>
      <w:r>
        <w:rPr>
          <w:rFonts w:hint="eastAsia" w:ascii="仿宋_GB2312" w:hAnsi="仿宋_GB2312" w:eastAsia="仿宋_GB2312" w:cs="仿宋_GB2312"/>
          <w:b w:val="0"/>
          <w:bCs w:val="0"/>
          <w:sz w:val="32"/>
          <w:szCs w:val="32"/>
          <w:u w:val="none"/>
          <w:lang w:eastAsia="zh-CN"/>
        </w:rPr>
        <w:t>老人安享晚年。</w:t>
      </w:r>
      <w:r>
        <w:rPr>
          <w:rFonts w:hint="eastAsia" w:ascii="仿宋_GB2312" w:hAnsi="仿宋_GB2312" w:eastAsia="仿宋_GB2312" w:cs="仿宋_GB2312"/>
          <w:b/>
          <w:bCs/>
          <w:sz w:val="32"/>
          <w:szCs w:val="32"/>
          <w:u w:val="none"/>
          <w:lang w:eastAsia="zh-CN"/>
        </w:rPr>
        <w:t>医疗卫生</w:t>
      </w:r>
      <w:r>
        <w:rPr>
          <w:rFonts w:hint="eastAsia" w:ascii="仿宋_GB2312" w:hAnsi="仿宋_GB2312" w:eastAsia="仿宋_GB2312" w:cs="仿宋_GB2312"/>
          <w:b/>
          <w:bCs/>
          <w:sz w:val="32"/>
          <w:szCs w:val="32"/>
          <w:u w:val="none"/>
          <w:lang w:val="en-US" w:eastAsia="zh-CN"/>
        </w:rPr>
        <w:t>覆盖更加广泛</w:t>
      </w:r>
      <w:r>
        <w:rPr>
          <w:rFonts w:hint="eastAsia" w:ascii="仿宋_GB2312" w:eastAsia="仿宋_GB2312" w:cs="Times New Roman"/>
          <w:b/>
          <w:bCs w:val="0"/>
          <w:color w:val="auto"/>
          <w:spacing w:val="0"/>
          <w:kern w:val="2"/>
          <w:sz w:val="32"/>
          <w:szCs w:val="32"/>
          <w:highlight w:val="none"/>
          <w:u w:val="none"/>
          <w:lang w:val="en-US" w:eastAsia="zh-CN" w:bidi="ar-SA"/>
        </w:rPr>
        <w:t>。</w:t>
      </w:r>
      <w:r>
        <w:rPr>
          <w:rFonts w:hint="eastAsia" w:ascii="仿宋_GB2312" w:eastAsia="仿宋_GB2312" w:cs="Times New Roman"/>
          <w:b w:val="0"/>
          <w:bCs/>
          <w:color w:val="auto"/>
          <w:spacing w:val="0"/>
          <w:kern w:val="2"/>
          <w:sz w:val="32"/>
          <w:szCs w:val="32"/>
          <w:highlight w:val="none"/>
          <w:u w:val="none"/>
          <w:lang w:val="en-US" w:eastAsia="zh-CN" w:bidi="ar-SA"/>
        </w:rPr>
        <w:t>卫生健康支出14094万元，公共卫生服务能力持续提升，</w:t>
      </w:r>
      <w:r>
        <w:rPr>
          <w:rFonts w:hint="eastAsia" w:ascii="仿宋_GB2312" w:hAnsi="仿宋_GB2312" w:eastAsia="仿宋_GB2312" w:cs="仿宋_GB2312"/>
          <w:b w:val="0"/>
          <w:bCs w:val="0"/>
          <w:color w:val="auto"/>
          <w:sz w:val="32"/>
          <w:szCs w:val="32"/>
          <w:highlight w:val="none"/>
          <w:u w:val="none"/>
          <w:lang w:eastAsia="zh-CN"/>
        </w:rPr>
        <w:t>全年投入基本公共卫生服务资金1557万元，实现公共卫生院全覆盖，切实筑牢基层医疗卫生服务网底</w:t>
      </w:r>
      <w:r>
        <w:rPr>
          <w:rFonts w:hint="eastAsia" w:ascii="仿宋_GB2312" w:hAnsi="仿宋_GB2312" w:eastAsia="仿宋_GB2312" w:cs="仿宋_GB2312"/>
          <w:b w:val="0"/>
          <w:bCs w:val="0"/>
          <w:sz w:val="32"/>
          <w:szCs w:val="32"/>
          <w:u w:val="none"/>
          <w:lang w:eastAsia="zh-CN"/>
        </w:rPr>
        <w:t>。</w:t>
      </w:r>
      <w:r>
        <w:rPr>
          <w:rFonts w:hint="eastAsia" w:ascii="仿宋_GB2312" w:hAnsi="仿宋_GB2312" w:eastAsia="仿宋_GB2312" w:cs="仿宋_GB2312"/>
          <w:b w:val="0"/>
          <w:bCs w:val="0"/>
          <w:sz w:val="32"/>
          <w:szCs w:val="32"/>
          <w:u w:val="none"/>
          <w:lang w:val="en-US" w:eastAsia="zh-CN"/>
        </w:rPr>
        <w:t>落实育儿补贴政策，累计发放1620万元，惠及5106人。</w:t>
      </w:r>
      <w:r>
        <w:rPr>
          <w:rFonts w:hint="eastAsia" w:ascii="仿宋_GB2312" w:hAnsi="仿宋_GB2312" w:eastAsia="仿宋_GB2312" w:cs="仿宋_GB2312"/>
          <w:b/>
          <w:bCs/>
          <w:sz w:val="32"/>
          <w:szCs w:val="32"/>
          <w:highlight w:val="none"/>
          <w:u w:val="none"/>
          <w:lang w:eastAsia="zh-CN"/>
        </w:rPr>
        <w:t>住</w:t>
      </w:r>
      <w:r>
        <w:rPr>
          <w:rFonts w:hint="eastAsia" w:ascii="仿宋_GB2312" w:hAnsi="仿宋_GB2312" w:eastAsia="仿宋_GB2312" w:cs="仿宋_GB2312"/>
          <w:b/>
          <w:bCs/>
          <w:sz w:val="32"/>
          <w:szCs w:val="32"/>
          <w:u w:val="none"/>
          <w:lang w:eastAsia="zh-CN"/>
        </w:rPr>
        <w:t>房保障工作扎实推进。</w:t>
      </w:r>
      <w:r>
        <w:rPr>
          <w:rFonts w:hint="eastAsia" w:ascii="仿宋_GB2312" w:hAnsi="仿宋_GB2312" w:eastAsia="仿宋_GB2312" w:cs="仿宋_GB2312"/>
          <w:b w:val="0"/>
          <w:bCs w:val="0"/>
          <w:sz w:val="32"/>
          <w:szCs w:val="32"/>
          <w:u w:val="none"/>
          <w:lang w:eastAsia="zh-CN"/>
        </w:rPr>
        <w:t>置度、寺沟、吉党等</w:t>
      </w:r>
      <w:r>
        <w:rPr>
          <w:rFonts w:hint="eastAsia" w:ascii="仿宋_GB2312" w:hAnsi="仿宋_GB2312" w:eastAsia="仿宋_GB2312" w:cs="仿宋_GB2312"/>
          <w:b w:val="0"/>
          <w:bCs w:val="0"/>
          <w:sz w:val="32"/>
          <w:szCs w:val="32"/>
          <w:u w:val="none"/>
          <w:lang w:val="en-US" w:eastAsia="zh-CN"/>
        </w:rPr>
        <w:t>3</w:t>
      </w:r>
      <w:r>
        <w:rPr>
          <w:rFonts w:hint="eastAsia" w:ascii="仿宋_GB2312" w:hAnsi="仿宋_GB2312" w:eastAsia="仿宋_GB2312" w:cs="仿宋_GB2312"/>
          <w:b w:val="0"/>
          <w:bCs w:val="0"/>
          <w:sz w:val="32"/>
          <w:szCs w:val="32"/>
          <w:u w:val="none"/>
          <w:lang w:eastAsia="zh-CN"/>
        </w:rPr>
        <w:t>个村庄改造项目规划总面积35.5公顷，总建筑面积</w:t>
      </w:r>
      <w:r>
        <w:rPr>
          <w:rFonts w:hint="eastAsia" w:ascii="仿宋_GB2312" w:hAnsi="仿宋_GB2312" w:eastAsia="仿宋_GB2312" w:cs="仿宋_GB2312"/>
          <w:b w:val="0"/>
          <w:bCs w:val="0"/>
          <w:sz w:val="32"/>
          <w:szCs w:val="32"/>
          <w:u w:val="none"/>
          <w:lang w:val="en-US" w:eastAsia="zh-CN"/>
        </w:rPr>
        <w:t>86</w:t>
      </w:r>
      <w:r>
        <w:rPr>
          <w:rFonts w:hint="eastAsia" w:ascii="仿宋_GB2312" w:hAnsi="仿宋_GB2312" w:eastAsia="仿宋_GB2312" w:cs="仿宋_GB2312"/>
          <w:b w:val="0"/>
          <w:bCs w:val="0"/>
          <w:sz w:val="32"/>
          <w:szCs w:val="32"/>
          <w:u w:val="none"/>
          <w:lang w:eastAsia="zh-CN"/>
        </w:rPr>
        <w:t>万平方米，安置居民</w:t>
      </w:r>
      <w:r>
        <w:rPr>
          <w:rFonts w:hint="eastAsia" w:ascii="仿宋_GB2312" w:hAnsi="仿宋_GB2312" w:eastAsia="仿宋_GB2312" w:cs="仿宋_GB2312"/>
          <w:b w:val="0"/>
          <w:bCs w:val="0"/>
          <w:sz w:val="32"/>
          <w:szCs w:val="32"/>
          <w:u w:val="none"/>
          <w:lang w:val="en-US" w:eastAsia="zh-CN"/>
        </w:rPr>
        <w:t>1500</w:t>
      </w:r>
      <w:r>
        <w:rPr>
          <w:rFonts w:hint="eastAsia" w:ascii="仿宋_GB2312" w:hAnsi="仿宋_GB2312" w:eastAsia="仿宋_GB2312" w:cs="仿宋_GB2312"/>
          <w:b w:val="0"/>
          <w:bCs w:val="0"/>
          <w:sz w:val="32"/>
          <w:szCs w:val="32"/>
          <w:u w:val="none"/>
          <w:lang w:eastAsia="zh-CN"/>
        </w:rPr>
        <w:t>户，切实改善群众居住条件。</w:t>
      </w:r>
      <w:r>
        <w:rPr>
          <w:rFonts w:hint="eastAsia" w:ascii="仿宋_GB2312" w:hAnsi="仿宋_GB2312" w:eastAsia="仿宋_GB2312" w:cs="仿宋_GB2312"/>
          <w:b/>
          <w:bCs/>
          <w:sz w:val="32"/>
          <w:szCs w:val="32"/>
          <w:u w:val="none"/>
          <w:lang w:val="en-US" w:eastAsia="zh-CN"/>
        </w:rPr>
        <w:t>促消费资金惠及群众。</w:t>
      </w:r>
      <w:r>
        <w:rPr>
          <w:rFonts w:hint="eastAsia" w:ascii="仿宋_GB2312" w:eastAsia="仿宋_GB2312"/>
          <w:color w:val="000000"/>
          <w:kern w:val="0"/>
          <w:sz w:val="32"/>
          <w:szCs w:val="32"/>
          <w:lang w:val="en-US" w:eastAsia="zh-CN"/>
        </w:rPr>
        <w:t>下达“促消费”资金6592万元，消费券资金累计申请5314万元，拉动消费115831万元，合计销售27562台（辆）。</w:t>
      </w:r>
      <w:r>
        <w:rPr>
          <w:rFonts w:hint="eastAsia" w:ascii="仿宋_GB2312" w:hAnsi="仿宋_GB2312" w:eastAsia="仿宋_GB2312" w:cs="仿宋_GB2312"/>
          <w:b/>
          <w:bCs/>
          <w:sz w:val="32"/>
          <w:szCs w:val="32"/>
          <w:u w:val="none"/>
          <w:lang w:val="en-US" w:eastAsia="zh-CN"/>
        </w:rPr>
        <w:t>稳就业促就业持续推进。</w:t>
      </w:r>
      <w:r>
        <w:rPr>
          <w:rFonts w:hint="eastAsia" w:ascii="仿宋_GB2312" w:hAnsi="Times New Roman" w:eastAsia="仿宋_GB2312" w:cs="Times New Roman"/>
          <w:color w:val="000000"/>
          <w:kern w:val="0"/>
          <w:sz w:val="32"/>
          <w:szCs w:val="32"/>
          <w:lang w:val="en-US" w:eastAsia="zh-CN"/>
        </w:rPr>
        <w:t>“人人持证、技能河南”建设深入推进，累计投入专项资金103万元用于培训补贴。</w:t>
      </w:r>
      <w:r>
        <w:rPr>
          <w:rFonts w:hint="eastAsia" w:ascii="仿宋_GB2312" w:hAnsi="Times New Roman" w:eastAsia="仿宋_GB2312" w:cs="Times New Roman"/>
          <w:b w:val="0"/>
          <w:bCs/>
          <w:color w:val="auto"/>
          <w:spacing w:val="0"/>
          <w:kern w:val="2"/>
          <w:sz w:val="32"/>
          <w:szCs w:val="32"/>
          <w:highlight w:val="none"/>
          <w:u w:val="none"/>
          <w:lang w:val="en-US" w:eastAsia="zh-CN" w:bidi="ar-SA"/>
        </w:rPr>
        <w:t>统筹使用就业资金，为公益性岗</w:t>
      </w:r>
      <w:r>
        <w:rPr>
          <w:rFonts w:hint="eastAsia" w:ascii="仿宋_GB2312" w:eastAsia="仿宋_GB2312" w:cs="Times New Roman"/>
          <w:b w:val="0"/>
          <w:bCs/>
          <w:color w:val="auto"/>
          <w:spacing w:val="0"/>
          <w:kern w:val="2"/>
          <w:sz w:val="32"/>
          <w:szCs w:val="32"/>
          <w:highlight w:val="none"/>
          <w:u w:val="none"/>
          <w:lang w:val="en-US" w:eastAsia="zh-CN" w:bidi="ar-SA"/>
        </w:rPr>
        <w:t>位</w:t>
      </w:r>
      <w:r>
        <w:rPr>
          <w:rFonts w:hint="eastAsia" w:ascii="仿宋_GB2312" w:hAnsi="Times New Roman" w:eastAsia="仿宋_GB2312" w:cs="Times New Roman"/>
          <w:b w:val="0"/>
          <w:bCs/>
          <w:color w:val="auto"/>
          <w:spacing w:val="0"/>
          <w:kern w:val="2"/>
          <w:sz w:val="32"/>
          <w:szCs w:val="32"/>
          <w:highlight w:val="none"/>
          <w:u w:val="none"/>
          <w:lang w:val="en-US" w:eastAsia="zh-CN" w:bidi="ar-SA"/>
        </w:rPr>
        <w:t>发放补贴180万元。为灵活就业人员</w:t>
      </w:r>
      <w:r>
        <w:rPr>
          <w:rFonts w:hint="eastAsia" w:ascii="仿宋_GB2312" w:hAnsi="Times New Roman" w:eastAsia="仿宋_GB2312" w:cs="Times New Roman"/>
          <w:color w:val="000000"/>
          <w:kern w:val="0"/>
          <w:sz w:val="32"/>
          <w:szCs w:val="32"/>
          <w:lang w:val="en-US" w:eastAsia="zh-CN"/>
        </w:rPr>
        <w:t>提供社保补贴408万元，切实保障重点群体就业权益。</w:t>
      </w:r>
      <w:r>
        <w:rPr>
          <w:rFonts w:hint="eastAsia" w:ascii="仿宋_GB2312" w:eastAsia="仿宋_GB2312" w:cs="Times New Roman"/>
          <w:color w:val="000000"/>
          <w:kern w:val="0"/>
          <w:sz w:val="32"/>
          <w:szCs w:val="32"/>
          <w:lang w:val="en-US" w:eastAsia="zh-CN"/>
        </w:rPr>
        <w:t>使用“洹泉涌流”专项资金291万元，引进高层次人才。</w:t>
      </w:r>
    </w:p>
    <w:p w14:paraId="63504986">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（五）持续加强财政监管</w:t>
      </w:r>
    </w:p>
    <w:p w14:paraId="09664783">
      <w:pPr>
        <w:keepNext w:val="0"/>
        <w:keepLines w:val="0"/>
        <w:pageBreakBefore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2"/>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highlight w:val="none"/>
          <w:lang w:val="en-US" w:eastAsia="zh-CN"/>
          <w14:textFill>
            <w14:solidFill>
              <w14:schemeClr w14:val="tx1"/>
            </w14:solidFill>
          </w14:textFill>
        </w:rPr>
        <w:t>严格绩效目标管理，加强绩效运行监控，提升绩效评价质效。对2024年农村公路第一批安防工程等8个项目开展重点绩效评价，对区水利局开展2024年部门整体绩效评价，对区交通局机械使用费进行成本效益分析，对2025年基层文化服务中心活动经费开展绩效重点监控。同步加大财监力度，对区教育局、中州路街道、区机关事务中心、龙城公司开展会计信息质量检查。通过“一卡通”管理系统发放惠民惠农项目64个，补贴项目涉及资金16240万元、43.94万人次。监督推进全区预决算公开，主动向社会“晒账本”“亮业绩”，持续增强财政透明度。</w:t>
      </w:r>
    </w:p>
    <w:p w14:paraId="2AEEC40D">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default"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（六）强化国有企业监管</w:t>
      </w:r>
    </w:p>
    <w:p w14:paraId="09248F7C">
      <w:pPr>
        <w:keepNext w:val="0"/>
        <w:keepLines w:val="0"/>
        <w:pageBreakBefore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2"/>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highlight w:val="none"/>
          <w:lang w:val="en-US" w:eastAsia="zh-CN"/>
          <w14:textFill>
            <w14:solidFill>
              <w14:schemeClr w14:val="tx1"/>
            </w14:solidFill>
          </w14:textFill>
        </w:rPr>
        <w:t xml:space="preserve">完成国企负责人遴选和主要部门工作人员公开选聘。抓好监事会改革，调整改组国企内审类机构设置和章程修订。指导企业利用政府项目代建政策，提升公司资质，增加企业营收。完成年度责任目标签订和考核。做好新公司设立、股（产）权转让产权系统登记前置。严格“六个文件”制度执行，规范“三重一大”备案审批，贯彻落实“631”偿债机制，做好巡察问题整改，同时增加国企抗风险能力，确保国企不发生系统性金融违约风险。 </w:t>
      </w:r>
    </w:p>
    <w:p w14:paraId="576E23D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黑体" w:hAnsi="黑体" w:eastAsia="黑体" w:cs="黑体"/>
          <w:bCs/>
          <w:color w:val="000000" w:themeColor="text1"/>
          <w:spacing w:val="0"/>
          <w:kern w:val="2"/>
          <w:sz w:val="32"/>
          <w:szCs w:val="32"/>
          <w:highlight w:val="none"/>
          <w14:textFill>
            <w14:solidFill>
              <w14:schemeClr w14:val="tx1"/>
            </w14:solidFill>
          </w14:textFill>
        </w:rPr>
      </w:pPr>
      <w:r>
        <w:rPr>
          <w:rFonts w:hint="eastAsia" w:ascii="黑体" w:hAnsi="黑体" w:eastAsia="黑体" w:cs="黑体"/>
          <w:bCs/>
          <w:color w:val="000000" w:themeColor="text1"/>
          <w:spacing w:val="0"/>
          <w:kern w:val="2"/>
          <w:sz w:val="32"/>
          <w:szCs w:val="32"/>
          <w:highlight w:val="none"/>
          <w14:textFill>
            <w14:solidFill>
              <w14:schemeClr w14:val="tx1"/>
            </w14:solidFill>
          </w14:textFill>
        </w:rPr>
        <w:t>三、202</w:t>
      </w:r>
      <w:r>
        <w:rPr>
          <w:rFonts w:hint="eastAsia" w:ascii="黑体" w:hAnsi="黑体" w:eastAsia="黑体" w:cs="黑体"/>
          <w:bCs/>
          <w:color w:val="000000" w:themeColor="text1"/>
          <w:spacing w:val="0"/>
          <w:kern w:val="2"/>
          <w:sz w:val="32"/>
          <w:szCs w:val="32"/>
          <w:highlight w:val="none"/>
          <w:lang w:val="en-US" w:eastAsia="zh-CN"/>
          <w14:textFill>
            <w14:solidFill>
              <w14:schemeClr w14:val="tx1"/>
            </w14:solidFill>
          </w14:textFill>
        </w:rPr>
        <w:t>6</w:t>
      </w:r>
      <w:r>
        <w:rPr>
          <w:rFonts w:hint="eastAsia" w:ascii="黑体" w:hAnsi="黑体" w:eastAsia="黑体" w:cs="黑体"/>
          <w:bCs/>
          <w:color w:val="000000" w:themeColor="text1"/>
          <w:spacing w:val="0"/>
          <w:kern w:val="2"/>
          <w:sz w:val="32"/>
          <w:szCs w:val="32"/>
          <w:highlight w:val="none"/>
          <w14:textFill>
            <w14:solidFill>
              <w14:schemeClr w14:val="tx1"/>
            </w14:solidFill>
          </w14:textFill>
        </w:rPr>
        <w:t>年财政预算（草案）安排</w:t>
      </w:r>
    </w:p>
    <w:p w14:paraId="18342C4D">
      <w:pPr>
        <w:keepNext w:val="0"/>
        <w:keepLines w:val="0"/>
        <w:pageBreakBefore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2"/>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2"/>
          <w:sz w:val="32"/>
          <w:szCs w:val="32"/>
          <w:highlight w:val="none"/>
          <w14:textFill>
            <w14:solidFill>
              <w14:schemeClr w14:val="tx1"/>
            </w14:solidFill>
          </w14:textFill>
        </w:rPr>
        <w:t>2026年是实施“十五五”规划的开局之年，</w:t>
      </w:r>
      <w:r>
        <w:rPr>
          <w:rFonts w:hint="eastAsia" w:ascii="仿宋_GB2312" w:hAnsi="仿宋_GB2312" w:eastAsia="仿宋_GB2312" w:cs="仿宋_GB2312"/>
          <w:color w:val="000000" w:themeColor="text1"/>
          <w:spacing w:val="0"/>
          <w:kern w:val="2"/>
          <w:sz w:val="32"/>
          <w:szCs w:val="32"/>
          <w:highlight w:val="none"/>
          <w:lang w:val="en-US" w:eastAsia="zh-CN"/>
          <w14:textFill>
            <w14:solidFill>
              <w14:schemeClr w14:val="tx1"/>
            </w14:solidFill>
          </w14:textFill>
        </w:rPr>
        <w:t>科学编制财政预算，对于推动更加积极的财政政策落实落地，促进全区经济健康平稳运行具有十分重要的意义</w:t>
      </w:r>
      <w:r>
        <w:rPr>
          <w:rFonts w:hint="eastAsia" w:ascii="仿宋_GB2312" w:hAnsi="仿宋_GB2312" w:eastAsia="仿宋_GB2312" w:cs="仿宋_GB2312"/>
          <w:color w:val="000000" w:themeColor="text1"/>
          <w:spacing w:val="0"/>
          <w:kern w:val="2"/>
          <w:sz w:val="32"/>
          <w:szCs w:val="32"/>
          <w:highlight w:val="none"/>
          <w14:textFill>
            <w14:solidFill>
              <w14:schemeClr w14:val="tx1"/>
            </w14:solidFill>
          </w14:textFill>
        </w:rPr>
        <w:t>。</w:t>
      </w:r>
    </w:p>
    <w:p w14:paraId="6CA73A29">
      <w:pPr>
        <w:keepNext w:val="0"/>
        <w:keepLines w:val="0"/>
        <w:pageBreakBefore w:val="0"/>
        <w:kinsoku/>
        <w:wordWrap/>
        <w:overflowPunct/>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color w:val="000000" w:themeColor="text1"/>
          <w:spacing w:val="0"/>
          <w:kern w:val="2"/>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pacing w:val="0"/>
          <w:kern w:val="2"/>
          <w:sz w:val="32"/>
          <w:szCs w:val="32"/>
          <w:highlight w:val="none"/>
          <w14:textFill>
            <w14:solidFill>
              <w14:schemeClr w14:val="tx1"/>
            </w14:solidFill>
          </w14:textFill>
        </w:rPr>
        <w:t>202</w:t>
      </w:r>
      <w:r>
        <w:rPr>
          <w:rFonts w:hint="eastAsia" w:ascii="仿宋_GB2312" w:hAnsi="仿宋_GB2312" w:eastAsia="仿宋_GB2312" w:cs="仿宋_GB2312"/>
          <w:b/>
          <w:bCs/>
          <w:color w:val="000000" w:themeColor="text1"/>
          <w:spacing w:val="0"/>
          <w:kern w:val="2"/>
          <w:sz w:val="32"/>
          <w:szCs w:val="32"/>
          <w:highlight w:val="none"/>
          <w:lang w:val="en-US" w:eastAsia="zh-CN"/>
          <w14:textFill>
            <w14:solidFill>
              <w14:schemeClr w14:val="tx1"/>
            </w14:solidFill>
          </w14:textFill>
        </w:rPr>
        <w:t>6</w:t>
      </w:r>
      <w:r>
        <w:rPr>
          <w:rFonts w:hint="eastAsia" w:ascii="仿宋_GB2312" w:hAnsi="仿宋_GB2312" w:eastAsia="仿宋_GB2312" w:cs="仿宋_GB2312"/>
          <w:b/>
          <w:bCs/>
          <w:color w:val="000000" w:themeColor="text1"/>
          <w:spacing w:val="0"/>
          <w:kern w:val="2"/>
          <w:sz w:val="32"/>
          <w:szCs w:val="32"/>
          <w:highlight w:val="none"/>
          <w14:textFill>
            <w14:solidFill>
              <w14:schemeClr w14:val="tx1"/>
            </w14:solidFill>
          </w14:textFill>
        </w:rPr>
        <w:t>年财政工作的指导思想</w:t>
      </w:r>
      <w:r>
        <w:rPr>
          <w:rFonts w:hint="eastAsia" w:ascii="仿宋_GB2312" w:hAnsi="仿宋_GB2312" w:eastAsia="仿宋_GB2312" w:cs="仿宋_GB2312"/>
          <w:b/>
          <w:bCs/>
          <w:color w:val="000000" w:themeColor="text1"/>
          <w:spacing w:val="0"/>
          <w:kern w:val="2"/>
          <w:sz w:val="32"/>
          <w:szCs w:val="32"/>
          <w:highlight w:val="none"/>
          <w:u w:val="none"/>
          <w14:textFill>
            <w14:solidFill>
              <w14:schemeClr w14:val="tx1"/>
            </w14:solidFill>
          </w14:textFill>
        </w:rPr>
        <w:t>：</w:t>
      </w:r>
      <w:r>
        <w:rPr>
          <w:rFonts w:hint="eastAsia" w:ascii="仿宋_GB2312" w:hAnsi="仿宋_GB2312" w:eastAsia="仿宋_GB2312" w:cs="仿宋_GB2312"/>
          <w:color w:val="000000" w:themeColor="text1"/>
          <w:spacing w:val="0"/>
          <w:kern w:val="2"/>
          <w:sz w:val="32"/>
          <w:szCs w:val="32"/>
          <w:highlight w:val="none"/>
          <w:u w:val="none"/>
          <w14:textFill>
            <w14:solidFill>
              <w14:schemeClr w14:val="tx1"/>
            </w14:solidFill>
          </w14:textFill>
        </w:rPr>
        <w:t>坚持以习近平新时代中国特色社会主义思想为指导，完整准确全面贯彻新发展理念，积极服务融入新发展格局和全国统一大市场，坚持稳中求进工作总基调，更好统筹发展和安全，落实更加积极的财政政策，做优增量、盘活存量，着力扩内需、优结构、增动能、惠民生，着力稳就业、稳企业、稳市场、稳预期，着力推改革、强管理、防风险、增效益，促进经济实现质的有效提升和量的合理增长，保持社会和谐稳定，为加快建设现代化强</w:t>
      </w:r>
      <w:r>
        <w:rPr>
          <w:rFonts w:hint="eastAsia" w:ascii="仿宋_GB2312" w:hAnsi="仿宋_GB2312" w:eastAsia="仿宋_GB2312" w:cs="仿宋_GB2312"/>
          <w:color w:val="000000" w:themeColor="text1"/>
          <w:spacing w:val="0"/>
          <w:kern w:val="2"/>
          <w:sz w:val="32"/>
          <w:szCs w:val="32"/>
          <w:highlight w:val="none"/>
          <w:u w:val="none"/>
          <w:lang w:eastAsia="zh-CN"/>
          <w14:textFill>
            <w14:solidFill>
              <w14:schemeClr w14:val="tx1"/>
            </w14:solidFill>
          </w14:textFill>
        </w:rPr>
        <w:t>区</w:t>
      </w:r>
      <w:r>
        <w:rPr>
          <w:rFonts w:hint="eastAsia" w:ascii="仿宋_GB2312" w:hAnsi="仿宋_GB2312" w:eastAsia="仿宋_GB2312" w:cs="仿宋_GB2312"/>
          <w:color w:val="000000" w:themeColor="text1"/>
          <w:spacing w:val="0"/>
          <w:kern w:val="2"/>
          <w:sz w:val="32"/>
          <w:szCs w:val="32"/>
          <w:highlight w:val="none"/>
          <w:u w:val="none"/>
          <w14:textFill>
            <w14:solidFill>
              <w14:schemeClr w14:val="tx1"/>
            </w14:solidFill>
          </w14:textFill>
        </w:rPr>
        <w:t>提供财政支撑。</w:t>
      </w:r>
    </w:p>
    <w:p w14:paraId="367B436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仿宋" w:hAnsi="仿宋"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根据上述指导思想，综合考虑我区主要经济预期指标和财政收支增减因素，202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年全区财政收支预算拟安排如下：</w:t>
      </w:r>
    </w:p>
    <w:p w14:paraId="4C4EB1F7">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（一）一般公共预算拟安排情况</w:t>
      </w:r>
    </w:p>
    <w:p w14:paraId="48C4335D">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b w:val="0"/>
          <w:bCs w:val="0"/>
          <w:color w:val="000000" w:themeColor="text1"/>
          <w:spacing w:val="0"/>
          <w:kern w:val="10"/>
          <w:sz w:val="32"/>
          <w:szCs w:val="32"/>
          <w:highlight w:val="none"/>
          <w:u w:val="single"/>
          <w14:textFill>
            <w14:solidFill>
              <w14:schemeClr w14:val="tx1"/>
            </w14:solidFill>
          </w14:textFill>
        </w:rPr>
      </w:pPr>
      <w:r>
        <w:rPr>
          <w:rFonts w:hint="eastAsia" w:ascii="仿宋_GB2312" w:hAnsi="仿宋_GB2312" w:eastAsia="仿宋_GB2312" w:cs="仿宋_GB2312"/>
          <w:b w:val="0"/>
          <w:bCs w:val="0"/>
          <w:color w:val="000000" w:themeColor="text1"/>
          <w:spacing w:val="0"/>
          <w:kern w:val="10"/>
          <w:sz w:val="32"/>
          <w:szCs w:val="32"/>
          <w:highlight w:val="none"/>
          <w14:textFill>
            <w14:solidFill>
              <w14:schemeClr w14:val="tx1"/>
            </w14:solidFill>
          </w14:textFill>
        </w:rPr>
        <w:t>1</w:t>
      </w:r>
      <w:r>
        <w:rPr>
          <w:rFonts w:hint="eastAsia" w:ascii="仿宋_GB2312" w:hAnsi="仿宋_GB2312" w:eastAsia="仿宋_GB2312" w:cs="仿宋_GB2312"/>
          <w:b w:val="0"/>
          <w:bCs w:val="0"/>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pacing w:val="0"/>
          <w:kern w:val="10"/>
          <w:sz w:val="32"/>
          <w:szCs w:val="32"/>
          <w:highlight w:val="none"/>
          <w14:textFill>
            <w14:solidFill>
              <w14:schemeClr w14:val="tx1"/>
            </w14:solidFill>
          </w14:textFill>
        </w:rPr>
        <w:t>一般公共预算收入拟安排情况</w:t>
      </w:r>
    </w:p>
    <w:p w14:paraId="05642326">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年全区一般公共预算收入拟安排</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122610</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万元，较上年完成数增</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长3</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%。其中：税收收入</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拟安排75610</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万元，非税收入</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拟安排47000</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w:t>
      </w:r>
    </w:p>
    <w:p w14:paraId="0BC04078">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b w:val="0"/>
          <w:bCs w:val="0"/>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spacing w:val="0"/>
          <w:kern w:val="10"/>
          <w:sz w:val="32"/>
          <w:szCs w:val="32"/>
          <w:highlight w:val="none"/>
          <w14:textFill>
            <w14:solidFill>
              <w14:schemeClr w14:val="tx1"/>
            </w14:solidFill>
          </w14:textFill>
        </w:rPr>
        <w:t>2</w:t>
      </w:r>
      <w:r>
        <w:rPr>
          <w:rFonts w:hint="eastAsia" w:ascii="仿宋_GB2312" w:hAnsi="仿宋_GB2312" w:eastAsia="仿宋_GB2312" w:cs="仿宋_GB2312"/>
          <w:b w:val="0"/>
          <w:bCs w:val="0"/>
          <w:color w:val="000000" w:themeColor="text1"/>
          <w:spacing w:val="0"/>
          <w:kern w:val="10"/>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pacing w:val="0"/>
          <w:kern w:val="10"/>
          <w:sz w:val="32"/>
          <w:szCs w:val="32"/>
          <w:highlight w:val="none"/>
          <w14:textFill>
            <w14:solidFill>
              <w14:schemeClr w14:val="tx1"/>
            </w14:solidFill>
          </w14:textFill>
        </w:rPr>
        <w:t>一般公共预算支出拟安排情况</w:t>
      </w:r>
    </w:p>
    <w:p w14:paraId="7142D2C8">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年全区一般公共预算支出拟安排</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223333</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万元，较上年预算数</w:t>
      </w:r>
      <w:r>
        <w:rPr>
          <w:rFonts w:hint="eastAsia" w:ascii="仿宋_GB2312" w:hAnsi="仿宋_GB2312" w:eastAsia="仿宋_GB2312" w:cs="仿宋_GB2312"/>
          <w:color w:val="000000" w:themeColor="text1"/>
          <w:spacing w:val="0"/>
          <w:kern w:val="10"/>
          <w:sz w:val="32"/>
          <w:szCs w:val="32"/>
          <w:highlight w:val="none"/>
          <w:lang w:eastAsia="zh-CN"/>
          <w14:textFill>
            <w14:solidFill>
              <w14:schemeClr w14:val="tx1"/>
            </w14:solidFill>
          </w14:textFill>
        </w:rPr>
        <w:t>下降</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4.8</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w:t>
      </w:r>
    </w:p>
    <w:p w14:paraId="007A4498">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（二）政府性基金预算拟安排情况</w:t>
      </w:r>
    </w:p>
    <w:p w14:paraId="0E1902BF">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bCs/>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年全区政府性基金预算收入拟安排</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18</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0000万元，</w:t>
      </w:r>
      <w:r>
        <w:rPr>
          <w:rFonts w:hint="eastAsia" w:ascii="仿宋_GB2312" w:hAnsi="仿宋_GB2312" w:eastAsia="仿宋_GB2312" w:cs="仿宋_GB2312"/>
          <w:bCs/>
          <w:color w:val="000000" w:themeColor="text1"/>
          <w:spacing w:val="0"/>
          <w:kern w:val="10"/>
          <w:sz w:val="32"/>
          <w:szCs w:val="32"/>
          <w:highlight w:val="none"/>
          <w:lang w:eastAsia="zh-CN"/>
          <w14:textFill>
            <w14:solidFill>
              <w14:schemeClr w14:val="tx1"/>
            </w14:solidFill>
          </w14:textFill>
        </w:rPr>
        <w:t>与上年预算数持平</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年政府性基金预算支出拟安排</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174375</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万元，较上年预算数</w:t>
      </w:r>
      <w:r>
        <w:rPr>
          <w:rFonts w:hint="eastAsia" w:ascii="仿宋_GB2312" w:hAnsi="仿宋_GB2312" w:eastAsia="仿宋_GB2312" w:cs="仿宋_GB2312"/>
          <w:bCs/>
          <w:color w:val="000000" w:themeColor="text1"/>
          <w:spacing w:val="0"/>
          <w:kern w:val="10"/>
          <w:sz w:val="32"/>
          <w:szCs w:val="32"/>
          <w:highlight w:val="none"/>
          <w:lang w:val="en-US" w:eastAsia="zh-CN"/>
          <w14:textFill>
            <w14:solidFill>
              <w14:schemeClr w14:val="tx1"/>
            </w14:solidFill>
          </w14:textFill>
        </w:rPr>
        <w:t>下降11.3</w:t>
      </w:r>
      <w:r>
        <w:rPr>
          <w:rFonts w:hint="eastAsia" w:ascii="仿宋_GB2312" w:hAnsi="仿宋_GB2312" w:eastAsia="仿宋_GB2312" w:cs="仿宋_GB2312"/>
          <w:bCs/>
          <w:color w:val="000000" w:themeColor="text1"/>
          <w:spacing w:val="0"/>
          <w:kern w:val="10"/>
          <w:sz w:val="32"/>
          <w:szCs w:val="32"/>
          <w:highlight w:val="none"/>
          <w14:textFill>
            <w14:solidFill>
              <w14:schemeClr w14:val="tx1"/>
            </w14:solidFill>
          </w14:textFill>
        </w:rPr>
        <w:t>%。</w:t>
      </w:r>
    </w:p>
    <w:p w14:paraId="3A232E6A">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（三）社会保险基金预算拟安排情况</w:t>
      </w:r>
    </w:p>
    <w:p w14:paraId="0D8E307F">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年城乡居民养老保险预算收入拟安排</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13110</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万元，社保基金预算支出拟安排</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10026</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万元，当年社保基金预算结余</w:t>
      </w:r>
      <w:r>
        <w:rPr>
          <w:rFonts w:hint="eastAsia" w:ascii="仿宋_GB2312" w:hAnsi="仿宋_GB2312" w:eastAsia="仿宋_GB2312" w:cs="仿宋_GB2312"/>
          <w:color w:val="000000" w:themeColor="text1"/>
          <w:spacing w:val="0"/>
          <w:kern w:val="10"/>
          <w:sz w:val="32"/>
          <w:szCs w:val="32"/>
          <w:highlight w:val="none"/>
          <w:lang w:val="en-US" w:eastAsia="zh-CN"/>
          <w14:textFill>
            <w14:solidFill>
              <w14:schemeClr w14:val="tx1"/>
            </w14:solidFill>
          </w14:textFill>
        </w:rPr>
        <w:t>3084</w:t>
      </w:r>
      <w:r>
        <w:rPr>
          <w:rFonts w:hint="eastAsia" w:ascii="仿宋_GB2312" w:hAnsi="仿宋_GB2312" w:eastAsia="仿宋_GB2312" w:cs="仿宋_GB2312"/>
          <w:color w:val="000000" w:themeColor="text1"/>
          <w:spacing w:val="0"/>
          <w:kern w:val="10"/>
          <w:sz w:val="32"/>
          <w:szCs w:val="32"/>
          <w:highlight w:val="none"/>
          <w14:textFill>
            <w14:solidFill>
              <w14:schemeClr w14:val="tx1"/>
            </w14:solidFill>
          </w14:textFill>
        </w:rPr>
        <w:t>万元。</w:t>
      </w:r>
    </w:p>
    <w:p w14:paraId="010254D4">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hint="eastAsia" w:ascii="楷体_GB2312" w:hAnsi="仿宋_GB2312" w:eastAsia="楷体_GB2312" w:cs="仿宋_GB2312"/>
          <w:b w:val="0"/>
          <w:bCs w:val="0"/>
          <w:color w:val="auto"/>
          <w:spacing w:val="0"/>
          <w:kern w:val="2"/>
          <w:sz w:val="32"/>
          <w:szCs w:val="32"/>
          <w:highlight w:val="none"/>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rPr>
        <w:t>（四）预算草案批准前已支出情况</w:t>
      </w:r>
    </w:p>
    <w:p w14:paraId="33FAAC92">
      <w:pPr>
        <w:keepNext w:val="0"/>
        <w:keepLines w:val="0"/>
        <w:pageBreakBefore w:val="0"/>
        <w:widowControl w:val="0"/>
        <w:kinsoku/>
        <w:wordWrap/>
        <w:overflowPunct/>
        <w:autoSpaceDE/>
        <w:autoSpaceDN/>
        <w:bidi w:val="0"/>
        <w:adjustRightInd/>
        <w:snapToGrid/>
        <w:spacing w:line="600" w:lineRule="exact"/>
        <w:ind w:left="0" w:leftChars="0" w:right="0" w:rightChars="0" w:firstLine="640" w:firstLineChars="200"/>
        <w:jc w:val="both"/>
        <w:textAlignment w:val="auto"/>
        <w:rPr>
          <w:rFonts w:ascii="仿宋_GB2312" w:hAnsi="仿宋_GB2312" w:eastAsia="仿宋_GB2312" w:cs="仿宋_GB2312"/>
          <w:color w:val="000000" w:themeColor="text1"/>
          <w:spacing w:val="0"/>
          <w:kern w:val="10"/>
          <w:sz w:val="32"/>
          <w:szCs w:val="32"/>
          <w:highlight w:val="none"/>
          <w14:textFill>
            <w14:solidFill>
              <w14:schemeClr w14:val="tx1"/>
            </w14:solidFill>
          </w14:textFill>
        </w:rPr>
      </w:pPr>
      <w:r>
        <w:rPr>
          <w:rFonts w:hint="eastAsia" w:ascii="仿宋_GB2312" w:hAnsi="仿宋_GB2312" w:eastAsia="仿宋_GB2312" w:cs="仿宋_GB2312"/>
          <w:color w:val="auto"/>
          <w:spacing w:val="0"/>
          <w:kern w:val="10"/>
          <w:sz w:val="32"/>
          <w:szCs w:val="32"/>
          <w:highlight w:val="none"/>
        </w:rPr>
        <w:t>按照预算法要求，今年已支出</w:t>
      </w:r>
      <w:r>
        <w:rPr>
          <w:rFonts w:hint="eastAsia" w:ascii="仿宋_GB2312" w:hAnsi="仿宋_GB2312" w:eastAsia="仿宋_GB2312" w:cs="仿宋_GB2312"/>
          <w:color w:val="auto"/>
          <w:spacing w:val="0"/>
          <w:kern w:val="10"/>
          <w:sz w:val="32"/>
          <w:szCs w:val="32"/>
          <w:highlight w:val="none"/>
          <w:lang w:val="en-US" w:eastAsia="zh-CN"/>
        </w:rPr>
        <w:t>30488</w:t>
      </w:r>
      <w:r>
        <w:rPr>
          <w:rFonts w:hint="eastAsia" w:ascii="仿宋_GB2312" w:hAnsi="仿宋_GB2312" w:eastAsia="仿宋_GB2312" w:cs="仿宋_GB2312"/>
          <w:color w:val="auto"/>
          <w:spacing w:val="0"/>
          <w:kern w:val="10"/>
          <w:sz w:val="32"/>
          <w:szCs w:val="32"/>
          <w:highlight w:val="none"/>
        </w:rPr>
        <w:t>万元，区级资金主要用于“三保”支出和其他应急性、重点领域项目支出</w:t>
      </w:r>
      <w:r>
        <w:rPr>
          <w:rFonts w:hint="eastAsia" w:ascii="仿宋_GB2312" w:hAnsi="仿宋_GB2312" w:eastAsia="仿宋_GB2312" w:cs="仿宋_GB2312"/>
          <w:color w:val="auto"/>
          <w:spacing w:val="0"/>
          <w:kern w:val="10"/>
          <w:sz w:val="32"/>
          <w:szCs w:val="32"/>
          <w:highlight w:val="none"/>
          <w:lang w:val="en-US" w:eastAsia="zh-CN"/>
        </w:rPr>
        <w:t>、债券项目支出</w:t>
      </w:r>
      <w:r>
        <w:rPr>
          <w:rFonts w:hint="eastAsia" w:ascii="仿宋_GB2312" w:hAnsi="仿宋_GB2312" w:eastAsia="仿宋_GB2312" w:cs="仿宋_GB2312"/>
          <w:color w:val="auto"/>
          <w:spacing w:val="0"/>
          <w:kern w:val="10"/>
          <w:sz w:val="32"/>
          <w:szCs w:val="32"/>
          <w:highlight w:val="none"/>
        </w:rPr>
        <w:t>等。</w:t>
      </w:r>
    </w:p>
    <w:p w14:paraId="4F37C20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ascii="黑体" w:hAnsi="黑体" w:eastAsia="黑体" w:cs="黑体"/>
          <w:color w:val="000000" w:themeColor="text1"/>
          <w:spacing w:val="0"/>
          <w:kern w:val="10"/>
          <w:sz w:val="32"/>
          <w:szCs w:val="32"/>
          <w:highlight w:val="none"/>
          <w14:textFill>
            <w14:solidFill>
              <w14:schemeClr w14:val="tx1"/>
            </w14:solidFill>
          </w14:textFill>
        </w:rPr>
      </w:pPr>
      <w:r>
        <w:rPr>
          <w:rFonts w:hint="eastAsia" w:ascii="黑体" w:hAnsi="黑体" w:eastAsia="黑体" w:cs="黑体"/>
          <w:color w:val="000000" w:themeColor="text1"/>
          <w:spacing w:val="0"/>
          <w:kern w:val="10"/>
          <w:sz w:val="32"/>
          <w:szCs w:val="32"/>
          <w:highlight w:val="none"/>
          <w14:textFill>
            <w14:solidFill>
              <w14:schemeClr w14:val="tx1"/>
            </w14:solidFill>
          </w14:textFill>
        </w:rPr>
        <w:t>四、202</w:t>
      </w:r>
      <w:r>
        <w:rPr>
          <w:rFonts w:hint="eastAsia" w:ascii="黑体" w:hAnsi="黑体" w:eastAsia="黑体" w:cs="黑体"/>
          <w:color w:val="000000" w:themeColor="text1"/>
          <w:spacing w:val="0"/>
          <w:kern w:val="10"/>
          <w:sz w:val="32"/>
          <w:szCs w:val="32"/>
          <w:highlight w:val="none"/>
          <w:lang w:val="en-US" w:eastAsia="zh-CN"/>
          <w14:textFill>
            <w14:solidFill>
              <w14:schemeClr w14:val="tx1"/>
            </w14:solidFill>
          </w14:textFill>
        </w:rPr>
        <w:t>6</w:t>
      </w:r>
      <w:r>
        <w:rPr>
          <w:rFonts w:hint="eastAsia" w:ascii="黑体" w:hAnsi="黑体" w:eastAsia="黑体" w:cs="黑体"/>
          <w:color w:val="000000" w:themeColor="text1"/>
          <w:spacing w:val="0"/>
          <w:kern w:val="10"/>
          <w:sz w:val="32"/>
          <w:szCs w:val="32"/>
          <w:highlight w:val="none"/>
          <w14:textFill>
            <w14:solidFill>
              <w14:schemeClr w14:val="tx1"/>
            </w14:solidFill>
          </w14:textFill>
        </w:rPr>
        <w:t>年主要财政工作</w:t>
      </w:r>
    </w:p>
    <w:p w14:paraId="2A7A754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rightChars="0" w:firstLine="640" w:firstLineChars="200"/>
        <w:jc w:val="both"/>
        <w:textAlignment w:val="baseline"/>
        <w:rPr>
          <w:rFonts w:hint="eastAsia" w:ascii="仿宋_GB2312" w:hAnsi="仿宋_GB2312" w:eastAsia="仿宋_GB2312" w:cs="仿宋_GB2312"/>
          <w:b w:val="0"/>
          <w:bCs w:val="0"/>
          <w:i w:val="0"/>
          <w:iCs w:val="0"/>
          <w:caps w:val="0"/>
          <w:color w:val="000000"/>
          <w:spacing w:val="0"/>
          <w:sz w:val="32"/>
          <w:szCs w:val="32"/>
          <w:highlight w:val="none"/>
          <w:shd w:val="clear" w:color="auto" w:fill="FFFFFF"/>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bidi="ar-SA"/>
        </w:rPr>
        <w:t>（一）抓开源节流，提升财政保障能力。</w:t>
      </w:r>
      <w:r>
        <w:rPr>
          <w:rFonts w:hint="eastAsia" w:ascii="仿宋_GB2312" w:hAnsi="仿宋_GB2312" w:eastAsia="仿宋_GB2312" w:cs="仿宋_GB2312"/>
          <w:b/>
          <w:bCs/>
          <w:color w:val="auto"/>
          <w:spacing w:val="0"/>
          <w:kern w:val="2"/>
          <w:sz w:val="32"/>
          <w:szCs w:val="32"/>
          <w:u w:val="none"/>
          <w:lang w:val="en-US" w:eastAsia="zh-CN" w:bidi="ar-SA"/>
        </w:rPr>
        <w:t>一是持续加强预算科学编制和管理。</w:t>
      </w:r>
      <w:r>
        <w:rPr>
          <w:rFonts w:hint="eastAsia" w:ascii="仿宋_GB2312" w:hAnsi="仿宋_GB2312" w:eastAsia="仿宋_GB2312" w:cs="仿宋_GB2312"/>
          <w:b/>
          <w:bCs/>
          <w:color w:val="auto"/>
          <w:spacing w:val="0"/>
          <w:kern w:val="10"/>
          <w:sz w:val="32"/>
          <w:szCs w:val="32"/>
          <w:highlight w:val="none"/>
          <w:lang w:val="en-US" w:eastAsia="zh-CN" w:bidi="ar-SA"/>
        </w:rPr>
        <w:t>严格落实过紧日子要求</w:t>
      </w:r>
      <w:r>
        <w:rPr>
          <w:rFonts w:hint="eastAsia" w:ascii="仿宋_GB2312" w:hAnsi="仿宋_GB2312" w:eastAsia="仿宋_GB2312" w:cs="仿宋_GB2312"/>
          <w:b w:val="0"/>
          <w:bCs w:val="0"/>
          <w:color w:val="auto"/>
          <w:spacing w:val="0"/>
          <w:kern w:val="10"/>
          <w:sz w:val="32"/>
          <w:szCs w:val="32"/>
          <w:highlight w:val="none"/>
          <w:lang w:val="en-US" w:eastAsia="zh-CN" w:bidi="ar-SA"/>
        </w:rPr>
        <w:t>。牢固树立厉行节约、精打细算的预算管理理念，持续压减非急需非刚性支出，从严从紧安排2026年预算支出。</w:t>
      </w:r>
      <w:r>
        <w:rPr>
          <w:rFonts w:hint="eastAsia" w:ascii="仿宋_GB2312" w:hAnsi="仿宋_GB2312" w:eastAsia="仿宋_GB2312" w:cs="仿宋_GB2312"/>
          <w:b/>
          <w:bCs/>
          <w:color w:val="auto"/>
          <w:spacing w:val="0"/>
          <w:kern w:val="10"/>
          <w:sz w:val="32"/>
          <w:szCs w:val="32"/>
          <w:highlight w:val="none"/>
          <w:lang w:val="en-US" w:eastAsia="zh-CN" w:bidi="ar-SA"/>
        </w:rPr>
        <w:t>兜牢兜实“三保”底线。</w:t>
      </w:r>
      <w:r>
        <w:rPr>
          <w:rFonts w:hint="eastAsia" w:ascii="仿宋_GB2312" w:hAnsi="仿宋_GB2312" w:eastAsia="仿宋_GB2312" w:cs="仿宋_GB2312"/>
          <w:b w:val="0"/>
          <w:bCs w:val="0"/>
          <w:color w:val="auto"/>
          <w:spacing w:val="0"/>
          <w:kern w:val="10"/>
          <w:sz w:val="32"/>
          <w:szCs w:val="32"/>
          <w:highlight w:val="none"/>
          <w:lang w:val="en-US" w:eastAsia="zh-CN" w:bidi="ar-SA"/>
        </w:rPr>
        <w:t>坚持尽力而为、量力而行，加强基础性、普惠性、兜底性民生建设，优先足额保障“三保”支出。</w:t>
      </w:r>
      <w:r>
        <w:rPr>
          <w:rFonts w:hint="eastAsia" w:ascii="仿宋_GB2312" w:hAnsi="仿宋_GB2312" w:eastAsia="仿宋_GB2312" w:cs="仿宋_GB2312"/>
          <w:b/>
          <w:bCs/>
          <w:color w:val="auto"/>
          <w:spacing w:val="0"/>
          <w:kern w:val="10"/>
          <w:sz w:val="32"/>
          <w:szCs w:val="32"/>
          <w:highlight w:val="none"/>
          <w:lang w:val="en-US" w:eastAsia="zh-CN" w:bidi="ar-SA"/>
        </w:rPr>
        <w:t>防范化解债务风险。</w:t>
      </w:r>
      <w:r>
        <w:rPr>
          <w:rFonts w:hint="eastAsia" w:ascii="仿宋_GB2312" w:hAnsi="仿宋_GB2312" w:eastAsia="仿宋_GB2312" w:cs="仿宋_GB2312"/>
          <w:b w:val="0"/>
          <w:bCs w:val="0"/>
          <w:color w:val="auto"/>
          <w:spacing w:val="0"/>
          <w:kern w:val="10"/>
          <w:sz w:val="32"/>
          <w:szCs w:val="32"/>
          <w:highlight w:val="none"/>
          <w:lang w:val="en-US" w:eastAsia="zh-CN" w:bidi="ar-SA"/>
        </w:rPr>
        <w:t>坚持在发展中化债、在化债中发展，严格落实化债方案，政府债务还本付息支出根据到期情况据实测算、足额保障。</w:t>
      </w:r>
      <w:r>
        <w:rPr>
          <w:rFonts w:hint="eastAsia" w:ascii="仿宋_GB2312" w:hAnsi="仿宋_GB2312" w:eastAsia="仿宋_GB2312" w:cs="仿宋_GB2312"/>
          <w:b/>
          <w:bCs/>
          <w:color w:val="auto"/>
          <w:spacing w:val="0"/>
          <w:kern w:val="10"/>
          <w:sz w:val="32"/>
          <w:szCs w:val="32"/>
          <w:highlight w:val="none"/>
          <w:lang w:val="en-US" w:eastAsia="zh-CN" w:bidi="ar-SA"/>
        </w:rPr>
        <w:t>全面深化零基预算改革。</w:t>
      </w:r>
      <w:r>
        <w:rPr>
          <w:rFonts w:hint="eastAsia" w:ascii="仿宋_GB2312" w:hAnsi="仿宋_GB2312" w:eastAsia="仿宋_GB2312" w:cs="仿宋_GB2312"/>
          <w:b w:val="0"/>
          <w:bCs w:val="0"/>
          <w:spacing w:val="3"/>
          <w:sz w:val="32"/>
          <w:szCs w:val="32"/>
          <w:lang w:eastAsia="zh-CN"/>
        </w:rPr>
        <w:t>突出“零基”导向，以上级政策文件和区委、区政府重点工作部署为导向，</w:t>
      </w:r>
      <w:r>
        <w:rPr>
          <w:rFonts w:hint="eastAsia" w:ascii="仿宋_GB2312" w:hAnsi="仿宋_GB2312" w:eastAsia="仿宋_GB2312" w:cs="仿宋_GB2312"/>
          <w:b w:val="0"/>
          <w:bCs w:val="0"/>
          <w:spacing w:val="3"/>
          <w:sz w:val="32"/>
          <w:szCs w:val="32"/>
          <w:lang w:val="en-US" w:eastAsia="zh-CN"/>
        </w:rPr>
        <w:t>构建应保必保、该省尽省、有保有压、讲求绩效的预算安排机制，</w:t>
      </w:r>
      <w:r>
        <w:rPr>
          <w:rFonts w:hint="eastAsia" w:ascii="仿宋_GB2312" w:hAnsi="仿宋_GB2312" w:eastAsia="仿宋_GB2312" w:cs="仿宋_GB2312"/>
          <w:b w:val="0"/>
          <w:bCs w:val="0"/>
          <w:spacing w:val="3"/>
          <w:sz w:val="32"/>
          <w:szCs w:val="32"/>
          <w:lang w:eastAsia="zh-CN"/>
        </w:rPr>
        <w:t>提升预算编制科学性和准确性。</w:t>
      </w:r>
      <w:r>
        <w:rPr>
          <w:rFonts w:hint="eastAsia" w:ascii="仿宋_GB2312" w:hAnsi="仿宋_GB2312" w:eastAsia="仿宋_GB2312" w:cs="仿宋_GB2312"/>
          <w:b/>
          <w:bCs/>
          <w:color w:val="auto"/>
          <w:spacing w:val="0"/>
          <w:kern w:val="2"/>
          <w:sz w:val="32"/>
          <w:szCs w:val="32"/>
          <w:u w:val="none"/>
          <w:lang w:val="en-US" w:eastAsia="zh-CN" w:bidi="ar-SA"/>
        </w:rPr>
        <w:t>二是持续强化收入组织。</w:t>
      </w:r>
      <w:r>
        <w:rPr>
          <w:rFonts w:hint="eastAsia" w:ascii="仿宋_GB2312" w:hAnsi="仿宋_GB2312" w:eastAsia="仿宋_GB2312" w:cs="仿宋_GB2312"/>
          <w:b/>
          <w:bCs/>
          <w:sz w:val="32"/>
          <w:szCs w:val="32"/>
          <w:lang w:val="en-US" w:eastAsia="zh-CN"/>
        </w:rPr>
        <w:t>常规例征抓税务</w:t>
      </w:r>
      <w:r>
        <w:rPr>
          <w:rFonts w:hint="eastAsia" w:ascii="仿宋_GB2312" w:hAnsi="仿宋_GB2312" w:eastAsia="仿宋_GB2312" w:cs="仿宋_GB2312"/>
          <w:b w:val="0"/>
          <w:bCs w:val="0"/>
          <w:sz w:val="32"/>
          <w:szCs w:val="32"/>
          <w:lang w:val="en-US" w:eastAsia="zh-CN"/>
        </w:rPr>
        <w:t>。推动“税务+乡镇”的模式改革落实见效，充分调动广大基层一线税管员的内生动力，在日常征管上下足功夫，确保纳税单位与自然人足额纳税。</w:t>
      </w:r>
      <w:r>
        <w:rPr>
          <w:rFonts w:hint="eastAsia" w:ascii="仿宋_GB2312" w:hAnsi="仿宋_GB2312" w:eastAsia="仿宋_GB2312" w:cs="仿宋_GB2312"/>
          <w:b/>
          <w:bCs/>
          <w:sz w:val="32"/>
          <w:szCs w:val="32"/>
          <w:lang w:val="en-US" w:eastAsia="zh-CN"/>
        </w:rPr>
        <w:t>综合治税抓专班。</w:t>
      </w:r>
      <w:r>
        <w:rPr>
          <w:rFonts w:hint="eastAsia" w:ascii="仿宋_GB2312" w:hAnsi="仿宋_GB2312" w:eastAsia="仿宋_GB2312" w:cs="仿宋_GB2312"/>
          <w:b w:val="0"/>
          <w:bCs w:val="0"/>
          <w:sz w:val="32"/>
          <w:szCs w:val="32"/>
          <w:lang w:val="en-US" w:eastAsia="zh-CN"/>
        </w:rPr>
        <w:t>在总结2025年“专班治税”工作基础上，积极实施“税务+局委”模式。区住建局、区交通运输局、区自然资源局、区水利局、龙安环保分局、区环卫事务中心等单位先行先试。</w:t>
      </w:r>
      <w:r>
        <w:rPr>
          <w:rFonts w:hint="eastAsia" w:ascii="仿宋_GB2312" w:hAnsi="仿宋_GB2312" w:eastAsia="仿宋_GB2312" w:cs="仿宋_GB2312"/>
          <w:b/>
          <w:bCs/>
          <w:sz w:val="32"/>
          <w:szCs w:val="32"/>
          <w:lang w:val="en-US" w:eastAsia="zh-CN"/>
        </w:rPr>
        <w:t>重点税源抓风险应对。</w:t>
      </w:r>
      <w:r>
        <w:rPr>
          <w:rFonts w:hint="eastAsia" w:ascii="仿宋_GB2312" w:hAnsi="仿宋_GB2312" w:eastAsia="仿宋_GB2312" w:cs="仿宋_GB2312"/>
          <w:b w:val="0"/>
          <w:bCs w:val="0"/>
          <w:sz w:val="32"/>
          <w:szCs w:val="32"/>
          <w:lang w:val="en-US" w:eastAsia="zh-CN"/>
        </w:rPr>
        <w:t>主要依靠税务部门风险应对中心，全力依法治税，确保成效。重点税源依法依规，既要保证企业正常运行，又要使税源不流失，综合施策逐一解决到位。</w:t>
      </w:r>
      <w:r>
        <w:rPr>
          <w:rFonts w:hint="eastAsia" w:ascii="仿宋_GB2312" w:hAnsi="仿宋_GB2312" w:eastAsia="仿宋_GB2312" w:cs="仿宋_GB2312"/>
          <w:b/>
          <w:bCs/>
          <w:color w:val="auto"/>
          <w:spacing w:val="0"/>
          <w:kern w:val="2"/>
          <w:sz w:val="32"/>
          <w:szCs w:val="32"/>
          <w:highlight w:val="none"/>
          <w:u w:val="none"/>
          <w:lang w:val="en-US" w:eastAsia="zh-CN" w:bidi="ar-SA"/>
        </w:rPr>
        <w:t>三是强化资源资产统筹。</w:t>
      </w:r>
      <w:r>
        <w:rPr>
          <w:rFonts w:hint="eastAsia" w:ascii="仿宋_GB2312" w:hAnsi="仿宋_GB2312" w:eastAsia="仿宋_GB2312" w:cs="仿宋_GB2312"/>
          <w:b w:val="0"/>
          <w:bCs w:val="0"/>
          <w:i w:val="0"/>
          <w:iCs w:val="0"/>
          <w:caps w:val="0"/>
          <w:color w:val="000000"/>
          <w:spacing w:val="0"/>
          <w:sz w:val="32"/>
          <w:szCs w:val="32"/>
          <w:highlight w:val="none"/>
          <w:shd w:val="clear" w:color="auto" w:fill="FFFFFF"/>
          <w:lang w:val="en-US" w:eastAsia="zh-CN"/>
        </w:rPr>
        <w:t>做好行政事业单位国有资产日常监督管理工作，以低效资产清查盘活为契机，对全区行政事业单位开展全方位的真实价值核实；加大对以前处置问题资产跟进沟通协调力度，千方百措推动问题资产实质性处理取得进展；积极和区纪委、教育部门结合，确保涉案资产和闲置校点资产妥善解决；配合区直业务主管部门做好国有资源资产处置。</w:t>
      </w:r>
    </w:p>
    <w:p w14:paraId="1B69CC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auto"/>
          <w:spacing w:val="0"/>
          <w:kern w:val="2"/>
          <w:sz w:val="32"/>
          <w:szCs w:val="32"/>
          <w:lang w:val="en-US" w:eastAsia="zh-CN" w:bidi="ar-SA"/>
        </w:rPr>
      </w:pPr>
      <w:r>
        <w:rPr>
          <w:rFonts w:hint="eastAsia" w:ascii="楷体_GB2312" w:hAnsi="楷体_GB2312" w:eastAsia="楷体_GB2312" w:cs="楷体_GB2312"/>
          <w:b w:val="0"/>
          <w:bCs w:val="0"/>
          <w:color w:val="auto"/>
          <w:spacing w:val="0"/>
          <w:kern w:val="2"/>
          <w:sz w:val="32"/>
          <w:szCs w:val="32"/>
          <w:u w:val="none"/>
          <w:lang w:val="en-US" w:eastAsia="zh-CN" w:bidi="ar-SA"/>
        </w:rPr>
        <w:t>（二）抓政策赋能，巩固经济回升态势。</w:t>
      </w:r>
      <w:r>
        <w:rPr>
          <w:rFonts w:hint="eastAsia" w:ascii="仿宋_GB2312" w:hAnsi="仿宋_GB2312" w:eastAsia="仿宋_GB2312" w:cs="仿宋_GB2312"/>
          <w:b/>
          <w:bCs/>
          <w:color w:val="auto"/>
          <w:spacing w:val="0"/>
          <w:kern w:val="2"/>
          <w:sz w:val="32"/>
          <w:szCs w:val="32"/>
          <w:lang w:val="en-US" w:eastAsia="zh-CN" w:bidi="ar-SA"/>
        </w:rPr>
        <w:t>一是大力提振消费。</w:t>
      </w:r>
      <w:r>
        <w:rPr>
          <w:rFonts w:hint="eastAsia" w:ascii="仿宋_GB2312" w:hAnsi="仿宋_GB2312" w:eastAsia="仿宋_GB2312" w:cs="仿宋_GB2312"/>
          <w:color w:val="auto"/>
          <w:spacing w:val="0"/>
          <w:kern w:val="2"/>
          <w:sz w:val="32"/>
          <w:szCs w:val="32"/>
          <w:lang w:val="en-US" w:eastAsia="zh-CN" w:bidi="ar-SA"/>
        </w:rPr>
        <w:t>加快补助资金发放，加力扩围推进大规模设备更新和消费品以旧换新，释放消费潜能。落实中低收入群体增收减负政策，有效提升消费意愿和层级。</w:t>
      </w:r>
      <w:r>
        <w:rPr>
          <w:rFonts w:hint="eastAsia" w:ascii="仿宋_GB2312" w:hAnsi="仿宋_GB2312" w:eastAsia="仿宋_GB2312" w:cs="仿宋_GB2312"/>
          <w:b/>
          <w:bCs/>
          <w:color w:val="auto"/>
          <w:spacing w:val="0"/>
          <w:kern w:val="2"/>
          <w:sz w:val="32"/>
          <w:szCs w:val="32"/>
          <w:lang w:val="en-US" w:eastAsia="zh-CN" w:bidi="ar-SA"/>
        </w:rPr>
        <w:t>二是扩大有效投资。</w:t>
      </w:r>
      <w:r>
        <w:rPr>
          <w:rFonts w:hint="eastAsia" w:ascii="仿宋_GB2312" w:hAnsi="仿宋_GB2312" w:eastAsia="仿宋_GB2312" w:cs="仿宋_GB2312"/>
          <w:color w:val="auto"/>
          <w:spacing w:val="0"/>
          <w:kern w:val="2"/>
          <w:sz w:val="32"/>
          <w:szCs w:val="32"/>
          <w:lang w:val="en-US" w:eastAsia="zh-CN" w:bidi="ar-SA"/>
        </w:rPr>
        <w:t>统筹各类资金，重点支持科技创新、新型基础设施、基本民生等薄弱领域补短板。严格按照实施进度和合同约定拨付资金，尽早形成实物工作量。</w:t>
      </w:r>
      <w:r>
        <w:rPr>
          <w:rFonts w:hint="eastAsia" w:ascii="仿宋_GB2312" w:hAnsi="仿宋_GB2312" w:eastAsia="仿宋_GB2312" w:cs="仿宋_GB2312"/>
          <w:b/>
          <w:bCs/>
          <w:color w:val="auto"/>
          <w:spacing w:val="0"/>
          <w:kern w:val="2"/>
          <w:sz w:val="32"/>
          <w:szCs w:val="32"/>
          <w:lang w:val="en-US" w:eastAsia="zh-CN" w:bidi="ar-SA"/>
        </w:rPr>
        <w:t>三是培育壮大市场主体。</w:t>
      </w:r>
      <w:r>
        <w:rPr>
          <w:rFonts w:hint="eastAsia" w:ascii="仿宋_GB2312" w:hAnsi="仿宋_GB2312" w:eastAsia="仿宋_GB2312" w:cs="仿宋_GB2312"/>
          <w:color w:val="auto"/>
          <w:spacing w:val="0"/>
          <w:kern w:val="2"/>
          <w:sz w:val="32"/>
          <w:szCs w:val="32"/>
          <w:lang w:val="en-US" w:eastAsia="zh-CN" w:bidi="ar-SA"/>
        </w:rPr>
        <w:t>深入开展惠企政策直达快享专项行动，帮助企业用好财政补助、税费优惠等政策。健全防范化解拖欠企业账款和涉企收费监管长效机制，尽最大能力加快偿还拖欠企业账款。</w:t>
      </w:r>
    </w:p>
    <w:p w14:paraId="65133C97">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b w:val="0"/>
          <w:bCs w:val="0"/>
          <w:color w:val="000000" w:themeColor="text1"/>
          <w:spacing w:val="0"/>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b w:val="0"/>
          <w:bCs w:val="0"/>
          <w:color w:val="auto"/>
          <w:spacing w:val="0"/>
          <w:kern w:val="2"/>
          <w:sz w:val="32"/>
          <w:szCs w:val="32"/>
          <w:u w:val="none"/>
          <w:lang w:val="en-US" w:eastAsia="zh-CN" w:bidi="ar-SA"/>
        </w:rPr>
        <w:t>（三）抓资金投入，增进民生福祉提升</w:t>
      </w:r>
      <w:r>
        <w:rPr>
          <w:rFonts w:hint="eastAsia" w:ascii="楷体_GB2312" w:hAnsi="楷体_GB2312" w:eastAsia="楷体_GB2312" w:cs="楷体_GB2312"/>
          <w:b w:val="0"/>
          <w:bCs w:val="0"/>
          <w:color w:val="auto"/>
          <w:spacing w:val="0"/>
          <w:kern w:val="2"/>
          <w:sz w:val="32"/>
          <w:szCs w:val="32"/>
          <w:lang w:val="en-US" w:eastAsia="zh-CN" w:bidi="ar-SA"/>
        </w:rPr>
        <w:t>。</w:t>
      </w:r>
      <w:r>
        <w:rPr>
          <w:rFonts w:hint="eastAsia" w:ascii="仿宋_GB2312" w:hAnsi="仿宋_GB2312" w:eastAsia="仿宋_GB2312" w:cs="仿宋_GB2312"/>
          <w:b/>
          <w:bCs/>
          <w:color w:val="auto"/>
          <w:spacing w:val="0"/>
          <w:kern w:val="2"/>
          <w:sz w:val="32"/>
          <w:szCs w:val="32"/>
          <w:lang w:val="en-US" w:eastAsia="zh-CN" w:bidi="ar-SA"/>
        </w:rPr>
        <w:t>一是稳就业促就业。</w:t>
      </w:r>
      <w:r>
        <w:rPr>
          <w:rFonts w:hint="eastAsia" w:ascii="仿宋_GB2312" w:hAnsi="仿宋_GB2312" w:eastAsia="仿宋_GB2312" w:cs="仿宋_GB2312"/>
          <w:color w:val="auto"/>
          <w:spacing w:val="0"/>
          <w:kern w:val="2"/>
          <w:sz w:val="32"/>
          <w:szCs w:val="32"/>
          <w:lang w:val="en-US" w:eastAsia="zh-CN" w:bidi="ar-SA"/>
        </w:rPr>
        <w:t>推进“人人持证、技能河南”建设，推动规范发展新就业形态，加强重点群体和困难群体就业帮扶</w:t>
      </w:r>
      <w:r>
        <w:rPr>
          <w:rFonts w:hint="eastAsia" w:ascii="仿宋_GB2312" w:hAnsi="仿宋_GB2312" w:eastAsia="仿宋_GB2312" w:cs="仿宋_GB2312"/>
          <w:color w:val="auto"/>
          <w:spacing w:val="0"/>
          <w:kern w:val="2"/>
          <w:sz w:val="32"/>
          <w:szCs w:val="32"/>
          <w:highlight w:val="none"/>
          <w:lang w:val="en-US" w:eastAsia="zh-CN" w:bidi="ar-SA"/>
        </w:rPr>
        <w:t>。</w:t>
      </w:r>
      <w:r>
        <w:rPr>
          <w:rFonts w:hint="eastAsia" w:ascii="仿宋_GB2312" w:hAnsi="仿宋_GB2312" w:eastAsia="仿宋_GB2312" w:cs="仿宋_GB2312"/>
          <w:b/>
          <w:bCs/>
          <w:color w:val="auto"/>
          <w:spacing w:val="0"/>
          <w:kern w:val="2"/>
          <w:sz w:val="32"/>
          <w:szCs w:val="32"/>
          <w:highlight w:val="none"/>
          <w:lang w:val="en-US" w:eastAsia="zh-CN" w:bidi="ar-SA"/>
        </w:rPr>
        <w:t>二是打造高质量教育体系。</w:t>
      </w:r>
      <w:r>
        <w:rPr>
          <w:rFonts w:hint="eastAsia" w:ascii="仿宋_GB2312" w:hAnsi="仿宋_GB2312" w:eastAsia="仿宋_GB2312" w:cs="仿宋_GB2312"/>
          <w:color w:val="auto"/>
          <w:spacing w:val="0"/>
          <w:kern w:val="2"/>
          <w:sz w:val="32"/>
          <w:szCs w:val="32"/>
          <w:highlight w:val="none"/>
          <w:lang w:val="en-US" w:eastAsia="zh-CN" w:bidi="ar-SA"/>
        </w:rPr>
        <w:t>优先保障财政教育投入，优化教育资源布局，改善提升办学质量。落实免保教费、助学金提标扩面等相关惠民政策，切实减轻群众教育负担，做好让人民满意的民生实事。</w:t>
      </w:r>
      <w:r>
        <w:rPr>
          <w:rFonts w:hint="eastAsia" w:ascii="仿宋_GB2312" w:hAnsi="仿宋_GB2312" w:eastAsia="仿宋_GB2312" w:cs="仿宋_GB2312"/>
          <w:b/>
          <w:bCs/>
          <w:color w:val="auto"/>
          <w:spacing w:val="0"/>
          <w:kern w:val="2"/>
          <w:sz w:val="32"/>
          <w:szCs w:val="32"/>
          <w:highlight w:val="none"/>
          <w:lang w:val="en-US" w:eastAsia="zh-CN" w:bidi="ar-SA"/>
        </w:rPr>
        <w:t>三是提升医疗卫生保障能力。</w:t>
      </w:r>
      <w:r>
        <w:rPr>
          <w:rFonts w:hint="eastAsia" w:ascii="仿宋_GB2312" w:hAnsi="仿宋_GB2312" w:eastAsia="仿宋_GB2312" w:cs="仿宋_GB2312"/>
          <w:color w:val="auto"/>
          <w:spacing w:val="0"/>
          <w:kern w:val="2"/>
          <w:sz w:val="32"/>
          <w:szCs w:val="32"/>
          <w:highlight w:val="none"/>
          <w:lang w:val="en-US" w:eastAsia="zh-CN" w:bidi="ar-SA"/>
        </w:rPr>
        <w:t>继续落实城乡居民基本医疗保</w:t>
      </w:r>
      <w:r>
        <w:rPr>
          <w:rFonts w:hint="eastAsia" w:ascii="仿宋_GB2312" w:hAnsi="仿宋_GB2312" w:eastAsia="仿宋_GB2312" w:cs="仿宋_GB2312"/>
          <w:color w:val="auto"/>
          <w:spacing w:val="0"/>
          <w:kern w:val="2"/>
          <w:sz w:val="32"/>
          <w:szCs w:val="32"/>
          <w:lang w:val="en-US" w:eastAsia="zh-CN" w:bidi="ar-SA"/>
        </w:rPr>
        <w:t>险财政补助标准和基本公共卫生服务经费人均财政补助标准，支持提高医疗服务保障水平。</w:t>
      </w:r>
      <w:r>
        <w:rPr>
          <w:rFonts w:hint="eastAsia" w:ascii="仿宋_GB2312" w:hAnsi="仿宋_GB2312" w:eastAsia="仿宋_GB2312" w:cs="仿宋_GB2312"/>
          <w:b/>
          <w:bCs/>
          <w:color w:val="auto"/>
          <w:spacing w:val="0"/>
          <w:kern w:val="2"/>
          <w:sz w:val="32"/>
          <w:szCs w:val="32"/>
          <w:lang w:val="en-US" w:eastAsia="zh-CN" w:bidi="ar-SA"/>
        </w:rPr>
        <w:t>四是拓展多层次社会保障体系。</w:t>
      </w:r>
      <w:r>
        <w:rPr>
          <w:rFonts w:hint="eastAsia" w:ascii="仿宋_GB2312" w:hAnsi="仿宋_GB2312" w:eastAsia="仿宋_GB2312" w:cs="仿宋_GB2312"/>
          <w:color w:val="auto"/>
          <w:spacing w:val="0"/>
          <w:kern w:val="2"/>
          <w:sz w:val="32"/>
          <w:szCs w:val="32"/>
          <w:lang w:val="en-US" w:eastAsia="zh-CN" w:bidi="ar-SA"/>
        </w:rPr>
        <w:t>继续落实退休人员基本养老金和城乡居民基础养老金政策，建立完善基本养老服务经费保障机制。做好困难人员社会救助保障，严格执行孤儿基本生活最低养育、残疾人“两项补贴”标准等。</w:t>
      </w:r>
      <w:r>
        <w:rPr>
          <w:rFonts w:hint="eastAsia" w:ascii="仿宋_GB2312" w:hAnsi="仿宋_GB2312" w:eastAsia="仿宋_GB2312" w:cs="仿宋_GB2312"/>
          <w:b/>
          <w:bCs/>
          <w:color w:val="auto"/>
          <w:spacing w:val="0"/>
          <w:kern w:val="2"/>
          <w:sz w:val="32"/>
          <w:szCs w:val="32"/>
          <w:lang w:val="en-US" w:eastAsia="zh-CN" w:bidi="ar-SA"/>
        </w:rPr>
        <w:t>五是促进乡村全面振兴。</w:t>
      </w:r>
      <w:r>
        <w:rPr>
          <w:rFonts w:hint="eastAsia" w:ascii="仿宋_GB2312" w:hAnsi="仿宋_GB2312" w:eastAsia="仿宋_GB2312" w:cs="仿宋_GB2312"/>
          <w:color w:val="auto"/>
          <w:spacing w:val="0"/>
          <w:kern w:val="2"/>
          <w:sz w:val="32"/>
          <w:szCs w:val="32"/>
          <w:lang w:val="en-US" w:eastAsia="zh-CN" w:bidi="ar-SA"/>
        </w:rPr>
        <w:t>落实好各项农业补贴政策，加大奖补力度，激发粮食生产积极性和增产潜力。支持深化农村人居环境整治提升，持续推进农村公益事业发展。加强与农业农村等部门的沟通，及时把资金对接到项目，做好库款额度规划，切实加快支出进度。</w:t>
      </w:r>
      <w:r>
        <w:rPr>
          <w:rFonts w:hint="eastAsia" w:ascii="仿宋_GB2312" w:hAnsi="仿宋_GB2312" w:eastAsia="仿宋_GB2312" w:cs="仿宋_GB2312"/>
          <w:b/>
          <w:bCs/>
          <w:color w:val="auto"/>
          <w:spacing w:val="0"/>
          <w:kern w:val="2"/>
          <w:sz w:val="32"/>
          <w:szCs w:val="32"/>
          <w:lang w:val="en-US" w:eastAsia="zh-CN" w:bidi="ar-SA"/>
        </w:rPr>
        <w:t>六是推动公共文化服务体系建设。</w:t>
      </w:r>
      <w:r>
        <w:rPr>
          <w:rFonts w:hint="eastAsia" w:ascii="仿宋_GB2312" w:hAnsi="仿宋_GB2312" w:eastAsia="仿宋_GB2312" w:cs="仿宋_GB2312"/>
          <w:color w:val="auto"/>
          <w:spacing w:val="0"/>
          <w:kern w:val="2"/>
          <w:sz w:val="32"/>
          <w:szCs w:val="32"/>
          <w:lang w:val="en-US" w:eastAsia="zh-CN" w:bidi="ar-SA"/>
        </w:rPr>
        <w:t>创新实施文化惠民工程，加强文化遗产保护传承。</w:t>
      </w:r>
      <w:r>
        <w:rPr>
          <w:rFonts w:hint="eastAsia" w:ascii="仿宋_GB2312" w:hAnsi="仿宋_GB2312" w:eastAsia="仿宋_GB2312" w:cs="仿宋_GB2312"/>
          <w:b/>
          <w:bCs/>
          <w:color w:val="auto"/>
          <w:spacing w:val="0"/>
          <w:kern w:val="2"/>
          <w:sz w:val="32"/>
          <w:szCs w:val="32"/>
          <w:lang w:val="en-US" w:eastAsia="zh-CN" w:bidi="ar-SA"/>
        </w:rPr>
        <w:t>七是加强生态龙安建设。</w:t>
      </w:r>
      <w:r>
        <w:rPr>
          <w:rFonts w:hint="eastAsia" w:ascii="仿宋_GB2312" w:hAnsi="仿宋_GB2312" w:eastAsia="仿宋_GB2312" w:cs="仿宋_GB2312"/>
          <w:color w:val="auto"/>
          <w:spacing w:val="0"/>
          <w:kern w:val="2"/>
          <w:sz w:val="32"/>
          <w:szCs w:val="32"/>
          <w:lang w:val="en-US" w:eastAsia="zh-CN" w:bidi="ar-SA"/>
        </w:rPr>
        <w:t>支持打好蓝天、碧水、净土保卫战，持续改善生态环境质量。支持新能源汽车推广应用及充电设施建设，加快公共服务等领域电动化替代。</w:t>
      </w:r>
    </w:p>
    <w:p w14:paraId="4FD6BA55">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autoSpaceDE/>
        <w:autoSpaceDN/>
        <w:bidi w:val="0"/>
        <w:adjustRightInd/>
        <w:snapToGrid/>
        <w:spacing w:line="600" w:lineRule="exact"/>
        <w:ind w:left="0" w:leftChars="0" w:right="0" w:rightChars="0" w:firstLine="640" w:firstLineChars="200"/>
        <w:jc w:val="both"/>
        <w:textAlignment w:val="auto"/>
        <w:rPr>
          <w:rFonts w:hint="default" w:ascii="仿宋_GB2312" w:hAnsi="仿宋_GB2312" w:eastAsia="仿宋_GB2312" w:cs="仿宋_GB2312"/>
          <w:b w:val="0"/>
          <w:bCs w:val="0"/>
          <w:color w:val="auto"/>
          <w:spacing w:val="0"/>
          <w:kern w:val="2"/>
          <w:sz w:val="32"/>
          <w:szCs w:val="32"/>
          <w:highlight w:val="none"/>
          <w:lang w:val="en-US" w:eastAsia="zh-CN" w:bidi="ar-SA"/>
        </w:rPr>
      </w:pPr>
      <w:r>
        <w:rPr>
          <w:rFonts w:hint="eastAsia" w:ascii="楷体_GB2312" w:hAnsi="楷体_GB2312" w:eastAsia="楷体_GB2312" w:cs="楷体_GB2312"/>
          <w:b w:val="0"/>
          <w:bCs w:val="0"/>
          <w:color w:val="auto"/>
          <w:spacing w:val="0"/>
          <w:kern w:val="2"/>
          <w:sz w:val="32"/>
          <w:szCs w:val="32"/>
          <w:u w:val="none"/>
          <w:lang w:val="en-US" w:eastAsia="zh-CN" w:bidi="ar-SA"/>
        </w:rPr>
        <w:t>（四）抓债务防控，保障财政运行安全。</w:t>
      </w:r>
      <w:r>
        <w:rPr>
          <w:rFonts w:hint="eastAsia" w:ascii="仿宋_GB2312" w:hAnsi="仿宋_GB2312" w:eastAsia="仿宋_GB2312" w:cs="仿宋_GB2312"/>
          <w:b/>
          <w:bCs/>
          <w:color w:val="auto"/>
          <w:spacing w:val="0"/>
          <w:kern w:val="2"/>
          <w:sz w:val="32"/>
          <w:szCs w:val="32"/>
          <w:highlight w:val="none"/>
          <w:lang w:val="en-US" w:eastAsia="zh-CN" w:bidi="ar-SA"/>
        </w:rPr>
        <w:t>积极防范政府债务风险。</w:t>
      </w:r>
      <w:r>
        <w:rPr>
          <w:rFonts w:hint="eastAsia" w:ascii="仿宋_GB2312" w:hAnsi="仿宋_GB2312" w:eastAsia="仿宋_GB2312" w:cs="仿宋_GB2312"/>
          <w:color w:val="auto"/>
          <w:spacing w:val="0"/>
          <w:kern w:val="2"/>
          <w:sz w:val="32"/>
          <w:szCs w:val="32"/>
          <w:highlight w:val="none"/>
          <w:lang w:val="en-US" w:eastAsia="zh-CN" w:bidi="ar-SA"/>
        </w:rPr>
        <w:t>严格落实化债方案，确保完成各项化债任务。加强债务风险动态监测，把债务风险不升档作为重要任务，抓实抓好。</w:t>
      </w:r>
      <w:r>
        <w:rPr>
          <w:rFonts w:hint="eastAsia" w:ascii="仿宋_GB2312" w:hAnsi="仿宋_GB2312" w:eastAsia="仿宋_GB2312" w:cs="仿宋_GB2312"/>
          <w:b w:val="0"/>
          <w:bCs w:val="0"/>
          <w:color w:val="auto"/>
          <w:spacing w:val="0"/>
          <w:kern w:val="2"/>
          <w:sz w:val="32"/>
          <w:szCs w:val="32"/>
          <w:highlight w:val="none"/>
          <w:lang w:val="en-US" w:eastAsia="zh-CN" w:bidi="ar-SA"/>
        </w:rPr>
        <w:t>持续加强全口径债务监测，守住不新增隐性债务底线。</w:t>
      </w:r>
      <w:r>
        <w:rPr>
          <w:rFonts w:hint="eastAsia" w:ascii="仿宋_GB2312" w:hAnsi="仿宋_GB2312" w:eastAsia="仿宋_GB2312" w:cs="仿宋_GB2312"/>
          <w:b/>
          <w:bCs/>
          <w:color w:val="auto"/>
          <w:spacing w:val="0"/>
          <w:kern w:val="2"/>
          <w:sz w:val="32"/>
          <w:szCs w:val="32"/>
          <w:highlight w:val="none"/>
          <w:lang w:val="en-US" w:eastAsia="zh-CN" w:bidi="ar-SA"/>
        </w:rPr>
        <w:t>严防区属国有企业债务风险。</w:t>
      </w:r>
      <w:r>
        <w:rPr>
          <w:rFonts w:hint="eastAsia" w:ascii="仿宋_GB2312" w:hAnsi="仿宋_GB2312" w:eastAsia="仿宋_GB2312" w:cs="仿宋_GB2312"/>
          <w:b w:val="0"/>
          <w:bCs w:val="0"/>
          <w:color w:val="auto"/>
          <w:spacing w:val="0"/>
          <w:kern w:val="2"/>
          <w:sz w:val="32"/>
          <w:szCs w:val="32"/>
          <w:highlight w:val="none"/>
          <w:lang w:val="en-US" w:eastAsia="zh-CN" w:bidi="ar-SA"/>
        </w:rPr>
        <w:t>建立债务风险监测预警机制，及时兑付国有企业到期债务，重点防控债券违约。全面推动国有企业深化改革，通过企业转型，由以前的重投入、重建设转变为重经营、重产业，有效增强抗风险能力。</w:t>
      </w:r>
    </w:p>
    <w:p w14:paraId="57217CA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b w:val="0"/>
          <w:bCs w:val="0"/>
          <w:color w:val="auto"/>
          <w:spacing w:val="0"/>
          <w:kern w:val="2"/>
          <w:sz w:val="32"/>
          <w:szCs w:val="32"/>
          <w:lang w:val="en-US" w:eastAsia="zh-CN" w:bidi="ar-SA"/>
        </w:rPr>
      </w:pPr>
      <w:r>
        <w:rPr>
          <w:rFonts w:hint="eastAsia" w:ascii="楷体_GB2312" w:hAnsi="楷体_GB2312" w:eastAsia="楷体_GB2312" w:cs="楷体_GB2312"/>
          <w:b w:val="0"/>
          <w:bCs w:val="0"/>
          <w:color w:val="auto"/>
          <w:spacing w:val="0"/>
          <w:kern w:val="2"/>
          <w:sz w:val="32"/>
          <w:szCs w:val="32"/>
          <w:u w:val="none"/>
          <w:lang w:val="en-US" w:eastAsia="zh-CN" w:bidi="ar-SA"/>
        </w:rPr>
        <w:t>（五）抓财经纪律，提升财会监督震慑。</w:t>
      </w:r>
      <w:r>
        <w:rPr>
          <w:rFonts w:hint="eastAsia" w:ascii="仿宋_GB2312" w:hAnsi="仿宋_GB2312" w:eastAsia="仿宋_GB2312" w:cs="仿宋_GB2312"/>
          <w:b/>
          <w:bCs/>
          <w:i w:val="0"/>
          <w:iCs w:val="0"/>
          <w:caps w:val="0"/>
          <w:color w:val="auto"/>
          <w:spacing w:val="0"/>
          <w:kern w:val="0"/>
          <w:sz w:val="32"/>
          <w:szCs w:val="32"/>
          <w:shd w:val="clear" w:color="auto" w:fill="FFFFFF"/>
          <w:vertAlign w:val="baseline"/>
          <w:lang w:val="en-US" w:eastAsia="zh-CN" w:bidi="ar"/>
        </w:rPr>
        <w:t>一是创新财会监督方式。</w:t>
      </w:r>
      <w:r>
        <w:rPr>
          <w:rFonts w:hint="eastAsia" w:ascii="仿宋" w:hAnsi="仿宋" w:eastAsia="仿宋" w:cs="仿宋"/>
          <w:sz w:val="32"/>
          <w:szCs w:val="32"/>
          <w:lang w:val="en-US" w:eastAsia="zh-CN"/>
        </w:rPr>
        <w:t>围绕中央和地方重大政策落实，突出监督重点，提升全区会计信息质量检查工作质量。</w:t>
      </w:r>
      <w:r>
        <w:rPr>
          <w:rFonts w:hint="eastAsia" w:ascii="仿宋_GB2312" w:hAnsi="仿宋_GB2312" w:eastAsia="仿宋_GB2312" w:cs="仿宋_GB2312"/>
          <w:b/>
          <w:bCs/>
          <w:i w:val="0"/>
          <w:iCs w:val="0"/>
          <w:caps w:val="0"/>
          <w:color w:val="auto"/>
          <w:spacing w:val="0"/>
          <w:kern w:val="0"/>
          <w:sz w:val="32"/>
          <w:szCs w:val="32"/>
          <w:shd w:val="clear" w:color="auto" w:fill="FFFFFF"/>
          <w:vertAlign w:val="baseline"/>
          <w:lang w:val="en-US" w:eastAsia="zh-CN" w:bidi="ar"/>
        </w:rPr>
        <w:t>二是严肃查处违反财经纪律问题。</w:t>
      </w:r>
      <w:r>
        <w:rPr>
          <w:rFonts w:hint="eastAsia" w:ascii="仿宋_GB2312" w:hAnsi="仿宋_GB2312" w:eastAsia="仿宋_GB2312" w:cs="仿宋_GB2312"/>
          <w:b w:val="0"/>
          <w:bCs w:val="0"/>
          <w:i w:val="0"/>
          <w:iCs w:val="0"/>
          <w:caps w:val="0"/>
          <w:color w:val="auto"/>
          <w:spacing w:val="0"/>
          <w:kern w:val="0"/>
          <w:sz w:val="32"/>
          <w:szCs w:val="32"/>
          <w:shd w:val="clear" w:color="auto" w:fill="FFFFFF"/>
          <w:vertAlign w:val="baseline"/>
          <w:lang w:val="en-US" w:eastAsia="zh-CN" w:bidi="ar"/>
        </w:rPr>
        <w:t>开展财会监督专项行动，</w:t>
      </w:r>
      <w:r>
        <w:rPr>
          <w:rFonts w:hint="eastAsia" w:ascii="仿宋_GB2312" w:hAnsi="仿宋_GB2312" w:eastAsia="仿宋_GB2312" w:cs="仿宋_GB2312"/>
          <w:b w:val="0"/>
          <w:i w:val="0"/>
          <w:caps w:val="0"/>
          <w:color w:val="auto"/>
          <w:spacing w:val="0"/>
          <w:kern w:val="0"/>
          <w:sz w:val="32"/>
          <w:szCs w:val="32"/>
          <w:shd w:val="clear" w:color="auto" w:fill="FFFFFF"/>
          <w:lang w:val="en-US" w:eastAsia="zh-CN" w:bidi="ar"/>
        </w:rPr>
        <w:t>加大问题整改和典型问题通报力度。</w:t>
      </w:r>
      <w:r>
        <w:rPr>
          <w:rFonts w:hint="eastAsia" w:ascii="仿宋_GB2312" w:hAnsi="仿宋_GB2312" w:eastAsia="仿宋_GB2312" w:cs="仿宋_GB2312"/>
          <w:b w:val="0"/>
          <w:bCs w:val="0"/>
          <w:color w:val="auto"/>
          <w:spacing w:val="0"/>
          <w:kern w:val="2"/>
          <w:sz w:val="32"/>
          <w:szCs w:val="32"/>
          <w:lang w:val="en-US" w:eastAsia="zh-CN" w:bidi="ar-SA"/>
        </w:rPr>
        <w:t>开展行政事业单位财会基础工作规范活动，优化政府采购领域营商环境。</w:t>
      </w:r>
      <w:r>
        <w:rPr>
          <w:rFonts w:hint="eastAsia" w:ascii="仿宋_GB2312" w:hAnsi="仿宋_GB2312" w:eastAsia="仿宋_GB2312" w:cs="仿宋_GB2312"/>
          <w:b/>
          <w:bCs/>
          <w:color w:val="auto"/>
          <w:spacing w:val="0"/>
          <w:kern w:val="2"/>
          <w:sz w:val="32"/>
          <w:szCs w:val="32"/>
          <w:lang w:val="en-US" w:eastAsia="zh-CN" w:bidi="ar-SA"/>
        </w:rPr>
        <w:t>三是</w:t>
      </w:r>
      <w:r>
        <w:rPr>
          <w:rFonts w:hint="eastAsia" w:ascii="仿宋" w:hAnsi="仿宋" w:eastAsia="仿宋" w:cs="仿宋"/>
          <w:b/>
          <w:bCs/>
          <w:sz w:val="32"/>
          <w:szCs w:val="32"/>
          <w:lang w:val="en-US" w:eastAsia="zh-CN"/>
        </w:rPr>
        <w:t>监督“一卡通”管理工作。</w:t>
      </w:r>
      <w:r>
        <w:rPr>
          <w:rFonts w:hint="eastAsia" w:ascii="仿宋" w:hAnsi="仿宋" w:eastAsia="仿宋" w:cs="仿宋"/>
          <w:b w:val="0"/>
          <w:bCs/>
          <w:sz w:val="32"/>
          <w:szCs w:val="32"/>
          <w:lang w:val="en-US" w:eastAsia="zh-CN"/>
        </w:rPr>
        <w:t>监督指导“一卡通”发放工作，发现问题及时解决，确保惠民补贴准确、及时发放到补贴对象手中。</w:t>
      </w:r>
    </w:p>
    <w:p w14:paraId="00560C0A">
      <w:pPr>
        <w:pStyle w:val="6"/>
        <w:keepNext w:val="0"/>
        <w:keepLines w:val="0"/>
        <w:pageBreakBefore w:val="0"/>
        <w:numPr>
          <w:ilvl w:val="0"/>
          <w:numId w:val="0"/>
        </w:numPr>
        <w:pBdr>
          <w:top w:val="none" w:color="auto" w:sz="0" w:space="0"/>
          <w:left w:val="none" w:color="auto" w:sz="0" w:space="0"/>
          <w:bottom w:val="none" w:color="auto" w:sz="0" w:space="0"/>
          <w:right w:val="none" w:color="auto" w:sz="0" w:space="0"/>
        </w:pBdr>
        <w:kinsoku/>
        <w:wordWrap/>
        <w:overflowPunct/>
        <w:autoSpaceDE/>
        <w:autoSpaceDN/>
        <w:bidi w:val="0"/>
        <w:adjustRightInd/>
        <w:snapToGrid/>
        <w:spacing w:after="0" w:line="560" w:lineRule="exact"/>
        <w:ind w:left="0" w:leftChars="0" w:right="0" w:rightChars="0" w:firstLine="640" w:firstLineChars="200"/>
        <w:jc w:val="both"/>
        <w:textAlignment w:val="auto"/>
        <w:rPr>
          <w:rFonts w:hint="eastAsia" w:ascii="仿宋_GB2312" w:hAnsi="仿宋_GB2312" w:eastAsia="仿宋_GB2312" w:cs="仿宋_GB2312"/>
          <w:b w:val="0"/>
          <w:bCs w:val="0"/>
          <w:i w:val="0"/>
          <w:iCs w:val="0"/>
          <w:caps w:val="0"/>
          <w:color w:val="000000"/>
          <w:spacing w:val="0"/>
          <w:sz w:val="32"/>
          <w:szCs w:val="32"/>
          <w:highlight w:val="none"/>
          <w:shd w:val="clear" w:color="auto" w:fill="FFFFFF"/>
          <w:lang w:val="en-US" w:eastAsia="zh-CN"/>
        </w:rPr>
      </w:pPr>
      <w:r>
        <w:rPr>
          <w:rFonts w:hint="eastAsia" w:ascii="楷体_GB2312" w:hAnsi="仿宋_GB2312" w:eastAsia="楷体_GB2312" w:cs="仿宋_GB2312"/>
          <w:b w:val="0"/>
          <w:bCs w:val="0"/>
          <w:color w:val="auto"/>
          <w:spacing w:val="0"/>
          <w:kern w:val="2"/>
          <w:sz w:val="32"/>
          <w:szCs w:val="32"/>
          <w:highlight w:val="none"/>
          <w:lang w:val="en-US" w:eastAsia="zh-CN" w:bidi="ar-SA"/>
        </w:rPr>
        <w:t>（六）抓国资国企，支持企业做强做优。</w:t>
      </w:r>
      <w:r>
        <w:rPr>
          <w:rFonts w:hint="eastAsia" w:ascii="仿宋_GB2312" w:hAnsi="仿宋_GB2312" w:eastAsia="仿宋_GB2312" w:cs="仿宋_GB2312"/>
          <w:b w:val="0"/>
          <w:bCs w:val="0"/>
          <w:i w:val="0"/>
          <w:iCs w:val="0"/>
          <w:caps w:val="0"/>
          <w:color w:val="000000"/>
          <w:spacing w:val="0"/>
          <w:sz w:val="32"/>
          <w:szCs w:val="32"/>
          <w:highlight w:val="none"/>
          <w:shd w:val="clear" w:color="auto" w:fill="FFFFFF"/>
          <w:lang w:val="en-US" w:eastAsia="zh-CN"/>
        </w:rPr>
        <w:t>持续做好区属国有企业日常监管工作。加强内控制度建设，严格执行区属国有企业“六个文件”制度规定，坚决落实“三重一大”报批备案制度。规范企业年度经营业绩考核及责任目标签订，强化考核结果运用。推动区属国有企业深化改革，完善现代企业制度，健全法人治理结构，严格企业决策程序，健全多方位监管机制，确保不发生重大金融违约风险。</w:t>
      </w:r>
    </w:p>
    <w:p w14:paraId="3A84A6D4">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lightGray"/>
        </w:rPr>
      </w:pPr>
      <w:r>
        <w:rPr>
          <w:rFonts w:hint="eastAsia" w:ascii="仿宋_GB2312" w:hAnsi="仿宋_GB2312" w:eastAsia="仿宋_GB2312" w:cs="仿宋_GB2312"/>
          <w:color w:val="auto"/>
          <w:spacing w:val="0"/>
          <w:kern w:val="2"/>
          <w:sz w:val="32"/>
          <w:szCs w:val="32"/>
          <w:lang w:val="en-US" w:eastAsia="zh-CN" w:bidi="ar-SA"/>
        </w:rPr>
        <w:t>各位代表，做好今年的财政工作任务艰巨、责任重大。我们将坚持以习近平新时代中国特色社会主义思想为指导，深入贯彻党的二十大和二十届历次全会精神，在区委、区政府的坚强领导下，自觉接受区人大依法监督和区政协民主监督，坚定信心、锐意进取，坚决贯彻落实本次会议决议，以昂扬拼搏之姿、百折不挠之志、笃行实干之举扎实做好各项财政工作，为加快龙安区高质量发展贡献坚实财政力量！</w:t>
      </w:r>
      <w:bookmarkStart w:id="0" w:name="_GoBack"/>
      <w:bookmarkEnd w:id="0"/>
    </w:p>
    <w:sectPr>
      <w:headerReference r:id="rId3" w:type="default"/>
      <w:footerReference r:id="rId4" w:type="default"/>
      <w:pgSz w:w="11906" w:h="16838"/>
      <w:pgMar w:top="2098" w:right="1474" w:bottom="1984" w:left="1587" w:header="851" w:footer="1417" w:gutter="0"/>
      <w:pgBorders>
        <w:top w:val="none" w:sz="0" w:space="0"/>
        <w:left w:val="none" w:sz="0" w:space="0"/>
        <w:bottom w:val="none" w:sz="0" w:space="0"/>
        <w:right w:val="none" w:sz="0" w:space="0"/>
      </w:pgBorders>
      <w:pgNumType w:fmt="decimal"/>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C64C86-9E04-4E3A-8E53-6A4C136DED1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AA1E1CE2-1D3D-49E4-9473-136FD7FCE88C}"/>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embedRegular r:id="rId3" w:fontKey="{DFA9FB22-BE46-4A32-AFC3-CF4C7C5C4376}"/>
  </w:font>
  <w:font w:name="方正小标宋简体">
    <w:panose1 w:val="03000509000000000000"/>
    <w:charset w:val="86"/>
    <w:family w:val="auto"/>
    <w:pitch w:val="default"/>
    <w:sig w:usb0="00000001" w:usb1="080E0000" w:usb2="00000000" w:usb3="00000000" w:csb0="00040000" w:csb1="00000000"/>
    <w:embedRegular r:id="rId4" w:fontKey="{595BDA3D-9290-417A-945D-9FF14EA16B26}"/>
  </w:font>
  <w:font w:name="仿宋_GB2312">
    <w:panose1 w:val="02010609030101010101"/>
    <w:charset w:val="86"/>
    <w:family w:val="modern"/>
    <w:pitch w:val="default"/>
    <w:sig w:usb0="00000001" w:usb1="080E0000" w:usb2="00000000" w:usb3="00000000" w:csb0="00040000" w:csb1="00000000"/>
    <w:embedRegular r:id="rId5" w:fontKey="{B378D2C8-6A57-4A40-87EF-2B7F0FC25C4A}"/>
  </w:font>
  <w:font w:name="楷体">
    <w:panose1 w:val="02010609060101010101"/>
    <w:charset w:val="86"/>
    <w:family w:val="modern"/>
    <w:pitch w:val="default"/>
    <w:sig w:usb0="800002BF" w:usb1="38CF7CFA" w:usb2="00000016" w:usb3="00000000" w:csb0="00040001" w:csb1="00000000"/>
    <w:embedRegular r:id="rId6" w:fontKey="{064A304E-6D1D-4F4D-BE90-8831B7C30F84}"/>
  </w:font>
  <w:font w:name="仿宋">
    <w:panose1 w:val="02010609060101010101"/>
    <w:charset w:val="86"/>
    <w:family w:val="modern"/>
    <w:pitch w:val="default"/>
    <w:sig w:usb0="800002BF" w:usb1="38CF7CFA" w:usb2="00000016" w:usb3="00000000" w:csb0="00040001" w:csb1="00000000"/>
    <w:embedRegular r:id="rId7" w:fontKey="{520711AD-4687-4C38-9195-75821F1F3F46}"/>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 w:name="WPSEMBED2">
    <w:panose1 w:val="03000509000000000000"/>
    <w:charset w:val="86"/>
    <w:family w:val="auto"/>
    <w:pitch w:val="default"/>
    <w:sig w:usb0="00000001" w:usb1="080E0000" w:usb2="00000000" w:usb3="00000000" w:csb0="00040000" w:csb1="00000000"/>
  </w:font>
  <w:font w:name="WPSEMBED3">
    <w:panose1 w:val="02010609030101010101"/>
    <w:charset w:val="86"/>
    <w:family w:val="auto"/>
    <w:pitch w:val="default"/>
    <w:sig w:usb0="00000001" w:usb1="080E0000" w:usb2="00000000" w:usb3="00000000" w:csb0="00040000" w:csb1="00000000"/>
  </w:font>
  <w:font w:name="WPSEMBED4">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51A55">
    <w:pPr>
      <w:pStyle w:val="8"/>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0050F">
                          <w:pPr>
                            <w:pStyle w:val="8"/>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D40050F">
                    <w:pPr>
                      <w:pStyle w:val="8"/>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CED7A">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B61A44"/>
    <w:rsid w:val="00005FDE"/>
    <w:rsid w:val="004D586E"/>
    <w:rsid w:val="005067C1"/>
    <w:rsid w:val="00DE7B1F"/>
    <w:rsid w:val="01CF4A41"/>
    <w:rsid w:val="01E42F25"/>
    <w:rsid w:val="020548F6"/>
    <w:rsid w:val="023305FB"/>
    <w:rsid w:val="02713CF4"/>
    <w:rsid w:val="02B30847"/>
    <w:rsid w:val="02B765B2"/>
    <w:rsid w:val="04001E75"/>
    <w:rsid w:val="044C4332"/>
    <w:rsid w:val="04850DE9"/>
    <w:rsid w:val="05085485"/>
    <w:rsid w:val="05094D59"/>
    <w:rsid w:val="05E84BDB"/>
    <w:rsid w:val="066B5CCB"/>
    <w:rsid w:val="0717005F"/>
    <w:rsid w:val="07A44BDB"/>
    <w:rsid w:val="07F13FAE"/>
    <w:rsid w:val="084925EC"/>
    <w:rsid w:val="08965341"/>
    <w:rsid w:val="09B20670"/>
    <w:rsid w:val="09D73678"/>
    <w:rsid w:val="09EF276F"/>
    <w:rsid w:val="0A11386C"/>
    <w:rsid w:val="0A34312F"/>
    <w:rsid w:val="0AA1093E"/>
    <w:rsid w:val="0AD11E75"/>
    <w:rsid w:val="0B1B1342"/>
    <w:rsid w:val="0B1F0E32"/>
    <w:rsid w:val="0B4D32E9"/>
    <w:rsid w:val="0C104C1F"/>
    <w:rsid w:val="0C9A12AE"/>
    <w:rsid w:val="0CBB2DDD"/>
    <w:rsid w:val="0D1150F2"/>
    <w:rsid w:val="0D5C7E05"/>
    <w:rsid w:val="0D5D665A"/>
    <w:rsid w:val="0DC7709D"/>
    <w:rsid w:val="0E0F7468"/>
    <w:rsid w:val="0E38198E"/>
    <w:rsid w:val="0E7C73C4"/>
    <w:rsid w:val="0E8324AA"/>
    <w:rsid w:val="0E9361B6"/>
    <w:rsid w:val="0EB775D4"/>
    <w:rsid w:val="0EB94FDD"/>
    <w:rsid w:val="0ED67855"/>
    <w:rsid w:val="0FB73911"/>
    <w:rsid w:val="10E130BF"/>
    <w:rsid w:val="110805BA"/>
    <w:rsid w:val="11782A97"/>
    <w:rsid w:val="119D0D03"/>
    <w:rsid w:val="11BF3065"/>
    <w:rsid w:val="120C39D2"/>
    <w:rsid w:val="124440AD"/>
    <w:rsid w:val="12906AB9"/>
    <w:rsid w:val="12B97DBE"/>
    <w:rsid w:val="12DC585B"/>
    <w:rsid w:val="140E5EE8"/>
    <w:rsid w:val="14AB3737"/>
    <w:rsid w:val="14AB7E8B"/>
    <w:rsid w:val="14B61A44"/>
    <w:rsid w:val="14DF5D99"/>
    <w:rsid w:val="150C4294"/>
    <w:rsid w:val="15701B34"/>
    <w:rsid w:val="15E47537"/>
    <w:rsid w:val="16881F81"/>
    <w:rsid w:val="174A7237"/>
    <w:rsid w:val="179270E5"/>
    <w:rsid w:val="17AA4282"/>
    <w:rsid w:val="17AD5D7D"/>
    <w:rsid w:val="18573B7A"/>
    <w:rsid w:val="187D188E"/>
    <w:rsid w:val="18F002B2"/>
    <w:rsid w:val="18F303D8"/>
    <w:rsid w:val="19373A9D"/>
    <w:rsid w:val="194B373A"/>
    <w:rsid w:val="19C9355B"/>
    <w:rsid w:val="1A16068B"/>
    <w:rsid w:val="1A505D13"/>
    <w:rsid w:val="1A5A1E87"/>
    <w:rsid w:val="1A5C26A6"/>
    <w:rsid w:val="1A66082C"/>
    <w:rsid w:val="1A9A08E4"/>
    <w:rsid w:val="1ADC5692"/>
    <w:rsid w:val="1B1955FA"/>
    <w:rsid w:val="1B3F2E2B"/>
    <w:rsid w:val="1B661B3D"/>
    <w:rsid w:val="1B95249A"/>
    <w:rsid w:val="1BCF10E2"/>
    <w:rsid w:val="1BFA0ECD"/>
    <w:rsid w:val="1C1B6E8A"/>
    <w:rsid w:val="1C2B779D"/>
    <w:rsid w:val="1C5040A0"/>
    <w:rsid w:val="1C97240B"/>
    <w:rsid w:val="1E024ED4"/>
    <w:rsid w:val="1E2554B1"/>
    <w:rsid w:val="1E35391A"/>
    <w:rsid w:val="1F046865"/>
    <w:rsid w:val="1F5243F0"/>
    <w:rsid w:val="1F845B16"/>
    <w:rsid w:val="1FB30CC0"/>
    <w:rsid w:val="1FEA4B96"/>
    <w:rsid w:val="1FEF03E7"/>
    <w:rsid w:val="1FFB7C68"/>
    <w:rsid w:val="200D4F01"/>
    <w:rsid w:val="201B07E2"/>
    <w:rsid w:val="204607B7"/>
    <w:rsid w:val="20766648"/>
    <w:rsid w:val="209634ED"/>
    <w:rsid w:val="217032BE"/>
    <w:rsid w:val="21BA145D"/>
    <w:rsid w:val="21D3730A"/>
    <w:rsid w:val="21EF4B5E"/>
    <w:rsid w:val="21F91F85"/>
    <w:rsid w:val="2248621C"/>
    <w:rsid w:val="224F271A"/>
    <w:rsid w:val="22AA7723"/>
    <w:rsid w:val="22AC06A2"/>
    <w:rsid w:val="22AC5597"/>
    <w:rsid w:val="22EA4EC3"/>
    <w:rsid w:val="2466767A"/>
    <w:rsid w:val="248144B4"/>
    <w:rsid w:val="24925724"/>
    <w:rsid w:val="250A48EF"/>
    <w:rsid w:val="25B962BB"/>
    <w:rsid w:val="268B3031"/>
    <w:rsid w:val="2765535C"/>
    <w:rsid w:val="27BB5454"/>
    <w:rsid w:val="280905AA"/>
    <w:rsid w:val="28A03C0C"/>
    <w:rsid w:val="28A95254"/>
    <w:rsid w:val="28C93BE3"/>
    <w:rsid w:val="28CF4E13"/>
    <w:rsid w:val="29001E4B"/>
    <w:rsid w:val="290F2E7F"/>
    <w:rsid w:val="293D6BFB"/>
    <w:rsid w:val="29543F45"/>
    <w:rsid w:val="2A2B6CF6"/>
    <w:rsid w:val="2A356755"/>
    <w:rsid w:val="2A6F6324"/>
    <w:rsid w:val="2A7523C5"/>
    <w:rsid w:val="2A7F4FF2"/>
    <w:rsid w:val="2AD61F2B"/>
    <w:rsid w:val="2AEC2390"/>
    <w:rsid w:val="2AFC1D0D"/>
    <w:rsid w:val="2B146082"/>
    <w:rsid w:val="2B4D6F1D"/>
    <w:rsid w:val="2BCD5A3D"/>
    <w:rsid w:val="2C016606"/>
    <w:rsid w:val="2C2631EB"/>
    <w:rsid w:val="2C2E41EA"/>
    <w:rsid w:val="2C536CDF"/>
    <w:rsid w:val="2C806F50"/>
    <w:rsid w:val="2CEE645F"/>
    <w:rsid w:val="2CF1344E"/>
    <w:rsid w:val="2D6E013E"/>
    <w:rsid w:val="2D8A0EC0"/>
    <w:rsid w:val="2D962D7E"/>
    <w:rsid w:val="2D990AC0"/>
    <w:rsid w:val="2DAA20E1"/>
    <w:rsid w:val="2E1546B9"/>
    <w:rsid w:val="2E5A0250"/>
    <w:rsid w:val="2E852ACB"/>
    <w:rsid w:val="2E867DA4"/>
    <w:rsid w:val="2FF4781B"/>
    <w:rsid w:val="307A0735"/>
    <w:rsid w:val="309D1130"/>
    <w:rsid w:val="30A9768F"/>
    <w:rsid w:val="30D43DC9"/>
    <w:rsid w:val="3111143A"/>
    <w:rsid w:val="311E6426"/>
    <w:rsid w:val="31E8264B"/>
    <w:rsid w:val="320945FE"/>
    <w:rsid w:val="33154745"/>
    <w:rsid w:val="33174961"/>
    <w:rsid w:val="33274478"/>
    <w:rsid w:val="338C4253"/>
    <w:rsid w:val="338D4C23"/>
    <w:rsid w:val="33B51A84"/>
    <w:rsid w:val="33D571B6"/>
    <w:rsid w:val="33E3647C"/>
    <w:rsid w:val="342E6038"/>
    <w:rsid w:val="3433752C"/>
    <w:rsid w:val="34A077F7"/>
    <w:rsid w:val="352B46F4"/>
    <w:rsid w:val="360D3DFA"/>
    <w:rsid w:val="371C3A7D"/>
    <w:rsid w:val="37DD2DE5"/>
    <w:rsid w:val="37EF1A09"/>
    <w:rsid w:val="385775AE"/>
    <w:rsid w:val="390F3DDD"/>
    <w:rsid w:val="393A42AC"/>
    <w:rsid w:val="39C55647"/>
    <w:rsid w:val="3A295981"/>
    <w:rsid w:val="3A975602"/>
    <w:rsid w:val="3B3D0CDD"/>
    <w:rsid w:val="3B4E14F1"/>
    <w:rsid w:val="3B4E3763"/>
    <w:rsid w:val="3C093B01"/>
    <w:rsid w:val="3C5A58BF"/>
    <w:rsid w:val="3C663A57"/>
    <w:rsid w:val="3C700C3E"/>
    <w:rsid w:val="3D3D3216"/>
    <w:rsid w:val="3DFF1E6A"/>
    <w:rsid w:val="3E2C372C"/>
    <w:rsid w:val="3E687EBE"/>
    <w:rsid w:val="3E796B27"/>
    <w:rsid w:val="3FD16B01"/>
    <w:rsid w:val="40185875"/>
    <w:rsid w:val="402406BD"/>
    <w:rsid w:val="40DC3B92"/>
    <w:rsid w:val="40F6516F"/>
    <w:rsid w:val="41221738"/>
    <w:rsid w:val="41532E7B"/>
    <w:rsid w:val="41801E32"/>
    <w:rsid w:val="41D47E04"/>
    <w:rsid w:val="41D9605E"/>
    <w:rsid w:val="427F7E2D"/>
    <w:rsid w:val="43AB0FE2"/>
    <w:rsid w:val="44623562"/>
    <w:rsid w:val="45083E1C"/>
    <w:rsid w:val="4519103D"/>
    <w:rsid w:val="45423923"/>
    <w:rsid w:val="459667D6"/>
    <w:rsid w:val="45F35A54"/>
    <w:rsid w:val="465A2FF8"/>
    <w:rsid w:val="4665733A"/>
    <w:rsid w:val="4689127A"/>
    <w:rsid w:val="477B2A8F"/>
    <w:rsid w:val="479E1BDA"/>
    <w:rsid w:val="47A859DE"/>
    <w:rsid w:val="47FA25CC"/>
    <w:rsid w:val="47FA5D4E"/>
    <w:rsid w:val="487D4E0F"/>
    <w:rsid w:val="48FF3A76"/>
    <w:rsid w:val="492C7882"/>
    <w:rsid w:val="4A4D0811"/>
    <w:rsid w:val="4A7D10F6"/>
    <w:rsid w:val="4A9B5A20"/>
    <w:rsid w:val="4ABB5B55"/>
    <w:rsid w:val="4AF8077D"/>
    <w:rsid w:val="4B1025F4"/>
    <w:rsid w:val="4B2549BE"/>
    <w:rsid w:val="4B553E21"/>
    <w:rsid w:val="4BC43EF6"/>
    <w:rsid w:val="4BE83B46"/>
    <w:rsid w:val="4C63256E"/>
    <w:rsid w:val="4C6C1422"/>
    <w:rsid w:val="4DA90454"/>
    <w:rsid w:val="4E3C6856"/>
    <w:rsid w:val="4E676345"/>
    <w:rsid w:val="4E8A2033"/>
    <w:rsid w:val="4EA90B90"/>
    <w:rsid w:val="4EEF00E8"/>
    <w:rsid w:val="4F2002A2"/>
    <w:rsid w:val="4F251C07"/>
    <w:rsid w:val="4FC41575"/>
    <w:rsid w:val="506643DA"/>
    <w:rsid w:val="50C85183"/>
    <w:rsid w:val="50E579F5"/>
    <w:rsid w:val="51404C2B"/>
    <w:rsid w:val="5147093D"/>
    <w:rsid w:val="51600054"/>
    <w:rsid w:val="51AE428B"/>
    <w:rsid w:val="51E46EE6"/>
    <w:rsid w:val="54C72DEC"/>
    <w:rsid w:val="54FC70BB"/>
    <w:rsid w:val="554B6E8B"/>
    <w:rsid w:val="568858F0"/>
    <w:rsid w:val="58856723"/>
    <w:rsid w:val="58AB7F08"/>
    <w:rsid w:val="58EE4DF0"/>
    <w:rsid w:val="59BD5424"/>
    <w:rsid w:val="59C30CC6"/>
    <w:rsid w:val="5A782E86"/>
    <w:rsid w:val="5AAE5068"/>
    <w:rsid w:val="5B0867BA"/>
    <w:rsid w:val="5B0A0E97"/>
    <w:rsid w:val="5B351579"/>
    <w:rsid w:val="5B5A4B3C"/>
    <w:rsid w:val="5B711CE7"/>
    <w:rsid w:val="5BDB0A35"/>
    <w:rsid w:val="5BE54D4D"/>
    <w:rsid w:val="5C73646F"/>
    <w:rsid w:val="5CB00EB7"/>
    <w:rsid w:val="5CF33FF3"/>
    <w:rsid w:val="5D7D7A37"/>
    <w:rsid w:val="5E0C11F8"/>
    <w:rsid w:val="5E8048B9"/>
    <w:rsid w:val="5EA31BFF"/>
    <w:rsid w:val="5EC1647C"/>
    <w:rsid w:val="5F28068D"/>
    <w:rsid w:val="5F64242D"/>
    <w:rsid w:val="5FB774B1"/>
    <w:rsid w:val="5FD4310E"/>
    <w:rsid w:val="5FE74F09"/>
    <w:rsid w:val="605E49F9"/>
    <w:rsid w:val="609F5D58"/>
    <w:rsid w:val="61646F94"/>
    <w:rsid w:val="61665FE8"/>
    <w:rsid w:val="61B536AC"/>
    <w:rsid w:val="62C90A4C"/>
    <w:rsid w:val="630930CF"/>
    <w:rsid w:val="635B2875"/>
    <w:rsid w:val="638F553A"/>
    <w:rsid w:val="63D75258"/>
    <w:rsid w:val="63D84D8B"/>
    <w:rsid w:val="644665A5"/>
    <w:rsid w:val="651D10B4"/>
    <w:rsid w:val="65911C44"/>
    <w:rsid w:val="65A83BCB"/>
    <w:rsid w:val="66532317"/>
    <w:rsid w:val="66575889"/>
    <w:rsid w:val="66650F64"/>
    <w:rsid w:val="66827ADB"/>
    <w:rsid w:val="66AC6B93"/>
    <w:rsid w:val="66BB15DA"/>
    <w:rsid w:val="66BD7C37"/>
    <w:rsid w:val="67683ED3"/>
    <w:rsid w:val="684B418A"/>
    <w:rsid w:val="699D45E8"/>
    <w:rsid w:val="69E04AA3"/>
    <w:rsid w:val="6A4C659D"/>
    <w:rsid w:val="6A602B4B"/>
    <w:rsid w:val="6AB97AD1"/>
    <w:rsid w:val="6AC124E1"/>
    <w:rsid w:val="6B2C02A3"/>
    <w:rsid w:val="6B7E6624"/>
    <w:rsid w:val="6BAB0345"/>
    <w:rsid w:val="6C156F89"/>
    <w:rsid w:val="6C923F4D"/>
    <w:rsid w:val="6CAA08FF"/>
    <w:rsid w:val="6D7D3C64"/>
    <w:rsid w:val="6D822F9B"/>
    <w:rsid w:val="6D97577B"/>
    <w:rsid w:val="6DAE1443"/>
    <w:rsid w:val="6E1D50AE"/>
    <w:rsid w:val="6E480A9F"/>
    <w:rsid w:val="6E6051DE"/>
    <w:rsid w:val="6E852996"/>
    <w:rsid w:val="6F3A2182"/>
    <w:rsid w:val="6F745D74"/>
    <w:rsid w:val="6F8F0E00"/>
    <w:rsid w:val="6FF179AF"/>
    <w:rsid w:val="70616B05"/>
    <w:rsid w:val="70682D45"/>
    <w:rsid w:val="70D016D0"/>
    <w:rsid w:val="70EB475C"/>
    <w:rsid w:val="717E735A"/>
    <w:rsid w:val="71C72AD3"/>
    <w:rsid w:val="723C264B"/>
    <w:rsid w:val="72D9285A"/>
    <w:rsid w:val="738F7621"/>
    <w:rsid w:val="73D019E7"/>
    <w:rsid w:val="73FB6A64"/>
    <w:rsid w:val="741152A6"/>
    <w:rsid w:val="7442796E"/>
    <w:rsid w:val="747A0516"/>
    <w:rsid w:val="74890297"/>
    <w:rsid w:val="74AE7F7A"/>
    <w:rsid w:val="74C2787E"/>
    <w:rsid w:val="756021F7"/>
    <w:rsid w:val="76134352"/>
    <w:rsid w:val="77275DC2"/>
    <w:rsid w:val="77365ADD"/>
    <w:rsid w:val="77936D8F"/>
    <w:rsid w:val="77F4039A"/>
    <w:rsid w:val="78237100"/>
    <w:rsid w:val="786F17CF"/>
    <w:rsid w:val="78874238"/>
    <w:rsid w:val="78895088"/>
    <w:rsid w:val="789D1ACE"/>
    <w:rsid w:val="78B70967"/>
    <w:rsid w:val="79F16212"/>
    <w:rsid w:val="7A8F43F6"/>
    <w:rsid w:val="7ADC6EC3"/>
    <w:rsid w:val="7B072192"/>
    <w:rsid w:val="7B452CBB"/>
    <w:rsid w:val="7B5F3D7C"/>
    <w:rsid w:val="7B7C6D98"/>
    <w:rsid w:val="7B9466A0"/>
    <w:rsid w:val="7C2B3C5E"/>
    <w:rsid w:val="7C597C24"/>
    <w:rsid w:val="7C5B09E8"/>
    <w:rsid w:val="7C6A40B1"/>
    <w:rsid w:val="7C885555"/>
    <w:rsid w:val="7C8C559B"/>
    <w:rsid w:val="7C956830"/>
    <w:rsid w:val="7C965F62"/>
    <w:rsid w:val="7DAA32A9"/>
    <w:rsid w:val="7DBA173E"/>
    <w:rsid w:val="7DD34D09"/>
    <w:rsid w:val="7F2362C4"/>
    <w:rsid w:val="7FE63342"/>
    <w:rsid w:val="7FEA09D3"/>
    <w:rsid w:val="7FF407CB"/>
    <w:rsid w:val="7FF76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
    <w:pPr>
      <w:keepNext w:val="0"/>
      <w:keepLines w:val="0"/>
      <w:spacing w:beforeLines="0" w:beforeAutospacing="0" w:afterLines="0" w:afterAutospacing="0" w:line="580" w:lineRule="exact"/>
      <w:ind w:firstLine="880" w:firstLineChars="200"/>
      <w:outlineLvl w:val="0"/>
    </w:pPr>
    <w:rPr>
      <w:rFonts w:ascii="Calibri" w:hAnsi="Calibri" w:eastAsia="黑体"/>
      <w:kern w:val="44"/>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widowControl w:val="0"/>
      <w:jc w:val="center"/>
    </w:pPr>
    <w:rPr>
      <w:rFonts w:ascii="华文中宋" w:hAnsi="Times New Roman" w:eastAsia="华文中宋" w:cs="Times New Roman"/>
      <w:b/>
      <w:bCs/>
      <w:kern w:val="2"/>
      <w:sz w:val="44"/>
      <w:szCs w:val="36"/>
      <w:lang w:val="en-US" w:eastAsia="zh-CN" w:bidi="ar-SA"/>
    </w:rPr>
  </w:style>
  <w:style w:type="paragraph" w:styleId="3">
    <w:name w:val="Body Text 2"/>
    <w:basedOn w:val="1"/>
    <w:qFormat/>
    <w:uiPriority w:val="0"/>
    <w:pPr>
      <w:adjustRightInd w:val="0"/>
      <w:snapToGrid w:val="0"/>
      <w:spacing w:line="480" w:lineRule="atLeast"/>
    </w:pPr>
    <w:rPr>
      <w:rFonts w:ascii="宋体" w:hAnsi="宋体" w:eastAsia="宋体" w:cs="Times New Roman"/>
      <w:sz w:val="28"/>
    </w:rPr>
  </w:style>
  <w:style w:type="paragraph" w:styleId="5">
    <w:name w:val="Normal Indent"/>
    <w:basedOn w:val="1"/>
    <w:unhideWhenUsed/>
    <w:qFormat/>
    <w:uiPriority w:val="99"/>
    <w:pPr>
      <w:ind w:firstLine="420" w:firstLineChars="200"/>
    </w:pPr>
  </w:style>
  <w:style w:type="paragraph" w:styleId="6">
    <w:name w:val="Body Text Indent"/>
    <w:basedOn w:val="1"/>
    <w:qFormat/>
    <w:uiPriority w:val="0"/>
    <w:pPr>
      <w:spacing w:after="120"/>
      <w:ind w:left="420" w:leftChars="200"/>
    </w:pPr>
    <w:rPr>
      <w:rFonts w:ascii="Times New Roman" w:hAnsi="Times New Roman" w:eastAsia="宋体"/>
    </w:rPr>
  </w:style>
  <w:style w:type="paragraph" w:styleId="7">
    <w:name w:val="Plain Text"/>
    <w:basedOn w:val="1"/>
    <w:qFormat/>
    <w:uiPriority w:val="0"/>
    <w:rPr>
      <w:rFonts w:ascii="宋体" w:hAnsi="Courier New" w:eastAsia="宋体" w:cs="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w:basedOn w:val="2"/>
    <w:next w:val="12"/>
    <w:qFormat/>
    <w:uiPriority w:val="0"/>
    <w:pPr>
      <w:widowControl w:val="0"/>
      <w:ind w:firstLine="420" w:firstLineChars="100"/>
      <w:jc w:val="center"/>
    </w:pPr>
    <w:rPr>
      <w:rFonts w:ascii="华文中宋" w:hAnsi="Times New Roman" w:eastAsia="华文中宋" w:cs="Times New Roman"/>
      <w:kern w:val="2"/>
      <w:sz w:val="44"/>
      <w:szCs w:val="36"/>
      <w:lang w:val="en-US" w:eastAsia="zh-CN" w:bidi="ar-SA"/>
    </w:rPr>
  </w:style>
  <w:style w:type="paragraph" w:styleId="12">
    <w:name w:val="Body Text First Indent 2"/>
    <w:basedOn w:val="6"/>
    <w:next w:val="1"/>
    <w:qFormat/>
    <w:uiPriority w:val="0"/>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semiHidden/>
    <w:unhideWhenUsed/>
    <w:qFormat/>
    <w:uiPriority w:val="0"/>
    <w:rPr>
      <w:rFonts w:ascii="宋体" w:hAnsi="宋体" w:eastAsia="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11544</Words>
  <Characters>12929</Characters>
  <Lines>0</Lines>
  <Paragraphs>0</Paragraphs>
  <TotalTime>6</TotalTime>
  <ScaleCrop>false</ScaleCrop>
  <LinksUpToDate>false</LinksUpToDate>
  <CharactersWithSpaces>12941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2026-01-22T01:15:00Z</dcterms:created>
  <dc:creator>常思远</dc:creator>
  <cp:lastModifiedBy>月牙呀</cp:lastModifiedBy>
  <cp:lastPrinted>2026-02-26T08:21:00Z</cp:lastPrinted>
  <dcterms:modified xsi:type="dcterms:W3CDTF">2026-03-19T02:17:21Z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2E638A1F7C0C46E88B7C6B5065DB0B91_13</vt:lpwstr>
  </property>
  <property fmtid="{D5CDD505-2E9C-101B-9397-08002B2CF9AE}" pid="4" name="KSOTemplateDocerSaveRecord">
    <vt:lpwstr>eyJoZGlkIjoiN2YyZjQ1NGY3ODFkOGI5MGQxYWFiN2NiMmY1NjkyNWMiLCJ1c2VySWQiOiIyNjE5OTYyNzkifQ==</vt:lpwstr>
  </property>
</Properties>
</file>