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801E5">
      <w:pPr>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林州市</w:t>
      </w:r>
      <w:r>
        <w:rPr>
          <w:rFonts w:hint="eastAsia" w:ascii="方正小标宋简体" w:hAnsi="方正小标宋简体" w:eastAsia="方正小标宋简体" w:cs="方正小标宋简体"/>
          <w:b w:val="0"/>
          <w:bCs w:val="0"/>
          <w:color w:val="auto"/>
          <w:sz w:val="44"/>
          <w:szCs w:val="44"/>
          <w:lang w:eastAsia="zh-CN"/>
        </w:rPr>
        <w:t>非正常死亡和无人认领</w:t>
      </w:r>
      <w:r>
        <w:rPr>
          <w:rFonts w:hint="eastAsia" w:ascii="方正小标宋简体" w:hAnsi="方正小标宋简体" w:eastAsia="方正小标宋简体" w:cs="方正小标宋简体"/>
          <w:b w:val="0"/>
          <w:bCs w:val="0"/>
          <w:color w:val="auto"/>
          <w:sz w:val="44"/>
          <w:szCs w:val="44"/>
        </w:rPr>
        <w:t>尸体</w:t>
      </w:r>
    </w:p>
    <w:p w14:paraId="22FB5D2F">
      <w:pPr>
        <w:jc w:val="center"/>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rPr>
        <w:t>处理办</w:t>
      </w:r>
      <w:r>
        <w:rPr>
          <w:rFonts w:hint="eastAsia" w:ascii="方正小标宋简体" w:hAnsi="方正小标宋简体" w:eastAsia="方正小标宋简体" w:cs="方正小标宋简体"/>
          <w:b w:val="0"/>
          <w:bCs w:val="0"/>
          <w:color w:val="auto"/>
          <w:sz w:val="44"/>
          <w:szCs w:val="44"/>
          <w:lang w:eastAsia="zh-CN"/>
        </w:rPr>
        <w:t>法（征求意见稿）</w:t>
      </w:r>
    </w:p>
    <w:p w14:paraId="40F6804B">
      <w:pPr>
        <w:jc w:val="center"/>
        <w:rPr>
          <w:rFonts w:hint="eastAsia" w:ascii="方正小标宋简体" w:hAnsi="方正小标宋简体" w:eastAsia="方正小标宋简体" w:cs="方正小标宋简体"/>
          <w:b w:val="0"/>
          <w:bCs w:val="0"/>
          <w:color w:val="auto"/>
          <w:sz w:val="44"/>
          <w:szCs w:val="44"/>
        </w:rPr>
      </w:pPr>
      <w:bookmarkStart w:id="0" w:name="_GoBack"/>
      <w:bookmarkEnd w:id="0"/>
    </w:p>
    <w:p w14:paraId="3A1D138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righ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第一条 </w:t>
      </w:r>
      <w:r>
        <w:rPr>
          <w:rFonts w:hint="eastAsia" w:ascii="仿宋_GB2312" w:hAnsi="仿宋_GB2312" w:eastAsia="仿宋_GB2312" w:cs="仿宋_GB2312"/>
          <w:b w:val="0"/>
          <w:bCs w:val="0"/>
          <w:color w:val="auto"/>
          <w:sz w:val="32"/>
          <w:szCs w:val="32"/>
        </w:rPr>
        <w:t>为做好我</w:t>
      </w:r>
      <w:r>
        <w:rPr>
          <w:rFonts w:hint="eastAsia" w:ascii="仿宋_GB2312" w:hAnsi="仿宋_GB2312" w:eastAsia="仿宋_GB2312" w:cs="仿宋_GB2312"/>
          <w:color w:val="auto"/>
          <w:sz w:val="32"/>
          <w:szCs w:val="32"/>
        </w:rPr>
        <w:t>市</w:t>
      </w:r>
      <w:r>
        <w:rPr>
          <w:rFonts w:hint="eastAsia" w:ascii="仿宋_GB2312" w:hAnsi="仿宋_GB2312" w:eastAsia="仿宋_GB2312" w:cs="仿宋_GB2312"/>
          <w:color w:val="auto"/>
          <w:sz w:val="32"/>
          <w:szCs w:val="32"/>
          <w:lang w:eastAsia="zh-CN"/>
        </w:rPr>
        <w:t>非正常死亡和无人认领尸体</w:t>
      </w:r>
      <w:r>
        <w:rPr>
          <w:rFonts w:hint="eastAsia" w:ascii="仿宋_GB2312" w:hAnsi="仿宋_GB2312" w:eastAsia="仿宋_GB2312" w:cs="仿宋_GB2312"/>
          <w:color w:val="auto"/>
          <w:sz w:val="32"/>
          <w:szCs w:val="32"/>
        </w:rPr>
        <w:t>的处理工作，进一步明确民政、公安、卫生、财政、民族宗教等部门工作职责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根据国务院《殡葬管理条例》、河南省《殡葬管理</w:t>
      </w:r>
      <w:r>
        <w:rPr>
          <w:rFonts w:hint="eastAsia" w:ascii="仿宋_GB2312" w:hAnsi="仿宋_GB2312" w:eastAsia="仿宋_GB2312" w:cs="仿宋_GB2312"/>
          <w:color w:val="auto"/>
          <w:sz w:val="32"/>
          <w:szCs w:val="32"/>
          <w:lang w:eastAsia="zh-CN"/>
        </w:rPr>
        <w:t>办法</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《河南省公安机关处置非正常死亡和未知名尸体工作规范（试行）》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《安阳市人民政府办公室关于转发民政局等部门安阳市无人认领尸体处理办法的通知》（安政办</w:t>
      </w:r>
      <w:r>
        <w:rPr>
          <w:rFonts w:hint="eastAsia" w:ascii="仿宋_GB2312" w:hAnsi="仿宋_GB2312" w:eastAsia="仿宋_GB2312" w:cs="仿宋_GB2312"/>
          <w:color w:val="auto"/>
          <w:kern w:val="2"/>
          <w:sz w:val="32"/>
          <w:szCs w:val="32"/>
          <w:lang w:val="en-US" w:eastAsia="zh-CN" w:bidi="ar-SA"/>
        </w:rPr>
        <w:t>〔2006〕</w:t>
      </w:r>
      <w:r>
        <w:rPr>
          <w:rFonts w:hint="eastAsia" w:ascii="仿宋_GB2312" w:hAnsi="仿宋_GB2312" w:eastAsia="仿宋_GB2312" w:cs="仿宋_GB2312"/>
          <w:color w:val="auto"/>
          <w:sz w:val="32"/>
          <w:szCs w:val="32"/>
        </w:rPr>
        <w:t>95号）</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关于进一步加强安阳市&lt;居民死亡医学证明（推断）书&gt;管理工作的通知》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2"/>
          <w:lang w:val="en-US" w:eastAsia="zh-CN" w:bidi="ar-SA"/>
        </w:rPr>
        <w:t>安卫医〔2025〕15号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精神，结合我市实际，</w:t>
      </w:r>
      <w:r>
        <w:rPr>
          <w:rFonts w:hint="eastAsia" w:ascii="仿宋_GB2312" w:hAnsi="仿宋_GB2312" w:eastAsia="仿宋_GB2312" w:cs="仿宋_GB2312"/>
          <w:color w:val="auto"/>
          <w:sz w:val="32"/>
          <w:szCs w:val="32"/>
          <w:lang w:eastAsia="zh-CN"/>
        </w:rPr>
        <w:t>制定</w:t>
      </w:r>
      <w:r>
        <w:rPr>
          <w:rFonts w:hint="eastAsia" w:ascii="仿宋_GB2312" w:hAnsi="仿宋_GB2312" w:eastAsia="仿宋_GB2312" w:cs="仿宋_GB2312"/>
          <w:color w:val="auto"/>
          <w:sz w:val="32"/>
          <w:szCs w:val="32"/>
        </w:rPr>
        <w:t>本办法。</w:t>
      </w:r>
    </w:p>
    <w:p w14:paraId="2647447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righ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第二条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办法</w:t>
      </w:r>
      <w:r>
        <w:rPr>
          <w:rFonts w:hint="eastAsia" w:ascii="仿宋_GB2312" w:hAnsi="仿宋_GB2312" w:eastAsia="仿宋_GB2312" w:cs="仿宋_GB2312"/>
          <w:color w:val="auto"/>
          <w:sz w:val="32"/>
          <w:szCs w:val="32"/>
        </w:rPr>
        <w:t>所</w:t>
      </w:r>
      <w:r>
        <w:rPr>
          <w:rFonts w:hint="eastAsia" w:ascii="仿宋_GB2312" w:hAnsi="仿宋_GB2312" w:eastAsia="仿宋_GB2312" w:cs="仿宋_GB2312"/>
          <w:color w:val="auto"/>
          <w:sz w:val="32"/>
          <w:szCs w:val="32"/>
          <w:lang w:eastAsia="zh-CN"/>
        </w:rPr>
        <w:t>指</w:t>
      </w:r>
      <w:r>
        <w:rPr>
          <w:rFonts w:hint="eastAsia" w:ascii="仿宋_GB2312" w:hAnsi="仿宋_GB2312" w:eastAsia="仿宋_GB2312" w:cs="仿宋_GB2312"/>
          <w:color w:val="auto"/>
          <w:sz w:val="32"/>
          <w:szCs w:val="32"/>
        </w:rPr>
        <w:t>非正常死亡是指</w:t>
      </w:r>
      <w:r>
        <w:rPr>
          <w:rFonts w:hint="eastAsia" w:ascii="仿宋_GB2312" w:hAnsi="仿宋_GB2312" w:eastAsia="仿宋_GB2312" w:cs="仿宋_GB2312"/>
          <w:color w:val="auto"/>
          <w:sz w:val="32"/>
          <w:szCs w:val="32"/>
          <w:lang w:eastAsia="zh-CN"/>
        </w:rPr>
        <w:t>自然人因生理健康原因自然死亡以外，需公安机关查明案（事）件性质或死亡原因的死亡</w:t>
      </w:r>
      <w:r>
        <w:rPr>
          <w:rFonts w:hint="eastAsia" w:ascii="仿宋_GB2312" w:hAnsi="仿宋_GB2312" w:eastAsia="仿宋_GB2312" w:cs="仿宋_GB2312"/>
          <w:color w:val="auto"/>
          <w:sz w:val="32"/>
          <w:szCs w:val="32"/>
        </w:rPr>
        <w:t xml:space="preserve">。 </w:t>
      </w:r>
    </w:p>
    <w:p w14:paraId="4A582442">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无人认领尸体是指在本市辖区内出现的以下两种情况，在公</w:t>
      </w:r>
      <w:r>
        <w:rPr>
          <w:rFonts w:hint="eastAsia" w:ascii="仿宋_GB2312" w:hAnsi="仿宋_GB2312" w:eastAsia="仿宋_GB2312" w:cs="仿宋_GB2312"/>
          <w:color w:val="auto"/>
          <w:sz w:val="32"/>
          <w:szCs w:val="32"/>
          <w:lang w:eastAsia="zh-CN"/>
        </w:rPr>
        <w:t>告</w:t>
      </w:r>
      <w:r>
        <w:rPr>
          <w:rFonts w:hint="eastAsia" w:ascii="仿宋_GB2312" w:hAnsi="仿宋_GB2312" w:eastAsia="仿宋_GB2312" w:cs="仿宋_GB2312"/>
          <w:color w:val="auto"/>
          <w:sz w:val="32"/>
          <w:szCs w:val="32"/>
        </w:rPr>
        <w:t>期届满</w:t>
      </w:r>
      <w:r>
        <w:rPr>
          <w:rFonts w:hint="eastAsia" w:ascii="仿宋_GB2312" w:hAnsi="仿宋_GB2312" w:eastAsia="仿宋_GB2312" w:cs="仿宋_GB2312"/>
          <w:color w:val="auto"/>
          <w:sz w:val="32"/>
          <w:szCs w:val="32"/>
          <w:lang w:eastAsia="zh-CN"/>
        </w:rPr>
        <w:t>仍</w:t>
      </w:r>
      <w:r>
        <w:rPr>
          <w:rFonts w:hint="eastAsia" w:ascii="仿宋_GB2312" w:hAnsi="仿宋_GB2312" w:eastAsia="仿宋_GB2312" w:cs="仿宋_GB2312"/>
          <w:color w:val="auto"/>
          <w:sz w:val="32"/>
          <w:szCs w:val="32"/>
        </w:rPr>
        <w:t>无家属、单位为其办理殡殓手续的。</w:t>
      </w:r>
    </w:p>
    <w:p w14:paraId="7BE3277C">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姓名不详、身份不明的尸体</w:t>
      </w:r>
      <w:r>
        <w:rPr>
          <w:rFonts w:hint="eastAsia" w:ascii="仿宋_GB2312" w:hAnsi="仿宋_GB2312" w:eastAsia="仿宋_GB2312" w:cs="仿宋_GB2312"/>
          <w:color w:val="auto"/>
          <w:sz w:val="32"/>
          <w:szCs w:val="32"/>
          <w:lang w:eastAsia="zh-CN"/>
        </w:rPr>
        <w:t>；</w:t>
      </w:r>
    </w:p>
    <w:p w14:paraId="6FBEC2BA">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姓名、身份清楚，但家属、单位在</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天届满</w:t>
      </w:r>
      <w:r>
        <w:rPr>
          <w:rFonts w:hint="eastAsia" w:ascii="仿宋_GB2312" w:hAnsi="仿宋_GB2312" w:eastAsia="仿宋_GB2312" w:cs="仿宋_GB2312"/>
          <w:color w:val="auto"/>
          <w:sz w:val="32"/>
          <w:szCs w:val="32"/>
          <w:lang w:eastAsia="zh-CN"/>
        </w:rPr>
        <w:t>拒</w:t>
      </w:r>
      <w:r>
        <w:rPr>
          <w:rFonts w:hint="eastAsia" w:ascii="仿宋_GB2312" w:hAnsi="仿宋_GB2312" w:eastAsia="仿宋_GB2312" w:cs="仿宋_GB2312"/>
          <w:color w:val="auto"/>
          <w:sz w:val="32"/>
          <w:szCs w:val="32"/>
        </w:rPr>
        <w:t>不到殡仪馆办理殡殓手续的尸体</w:t>
      </w:r>
      <w:r>
        <w:rPr>
          <w:rFonts w:hint="eastAsia" w:ascii="仿宋_GB2312" w:hAnsi="仿宋_GB2312" w:eastAsia="仿宋_GB2312" w:cs="仿宋_GB2312"/>
          <w:color w:val="auto"/>
          <w:sz w:val="32"/>
          <w:szCs w:val="32"/>
          <w:lang w:eastAsia="zh-CN"/>
        </w:rPr>
        <w:t>。</w:t>
      </w:r>
    </w:p>
    <w:p w14:paraId="7D9D3E6B">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第三条</w:t>
      </w:r>
      <w:r>
        <w:rPr>
          <w:rFonts w:hint="eastAsia" w:ascii="仿宋_GB2312" w:hAnsi="仿宋_GB2312" w:eastAsia="仿宋_GB2312" w:cs="仿宋_GB2312"/>
          <w:color w:val="auto"/>
          <w:sz w:val="32"/>
          <w:szCs w:val="32"/>
          <w:lang w:val="en-US" w:eastAsia="zh-CN"/>
        </w:rPr>
        <w:t xml:space="preserve"> 经</w:t>
      </w:r>
      <w:r>
        <w:rPr>
          <w:rFonts w:hint="eastAsia" w:ascii="仿宋_GB2312" w:hAnsi="仿宋_GB2312" w:eastAsia="仿宋_GB2312" w:cs="仿宋_GB2312"/>
          <w:color w:val="auto"/>
          <w:sz w:val="32"/>
          <w:szCs w:val="32"/>
          <w:lang w:eastAsia="zh-CN"/>
        </w:rPr>
        <w:t>医疗卫生机构救治或来院途中死亡的尸体，</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殡仪馆凭</w:t>
      </w:r>
      <w:r>
        <w:rPr>
          <w:rFonts w:hint="eastAsia" w:ascii="仿宋_GB2312" w:hAnsi="仿宋_GB2312" w:eastAsia="仿宋_GB2312" w:cs="仿宋_GB2312"/>
          <w:color w:val="auto"/>
          <w:sz w:val="32"/>
          <w:szCs w:val="32"/>
          <w:lang w:eastAsia="zh-CN"/>
        </w:rPr>
        <w:t>医疗卫生机构出具的</w:t>
      </w:r>
      <w:r>
        <w:rPr>
          <w:rFonts w:hint="eastAsia" w:ascii="仿宋_GB2312" w:hAnsi="仿宋_GB2312" w:eastAsia="仿宋_GB2312" w:cs="仿宋_GB2312"/>
          <w:color w:val="auto"/>
          <w:sz w:val="32"/>
          <w:szCs w:val="32"/>
          <w:lang w:val="en-US" w:eastAsia="zh-CN"/>
        </w:rPr>
        <w:t>《居民死亡医学证明（推断）书》接</w:t>
      </w:r>
      <w:r>
        <w:rPr>
          <w:rFonts w:hint="eastAsia" w:ascii="仿宋_GB2312" w:hAnsi="仿宋_GB2312" w:eastAsia="仿宋_GB2312" w:cs="仿宋_GB2312"/>
          <w:color w:val="auto"/>
          <w:sz w:val="32"/>
          <w:szCs w:val="32"/>
        </w:rPr>
        <w:t>运尸体</w:t>
      </w:r>
      <w:r>
        <w:rPr>
          <w:rFonts w:hint="eastAsia" w:ascii="仿宋_GB2312" w:hAnsi="仿宋_GB2312" w:eastAsia="仿宋_GB2312" w:cs="仿宋_GB2312"/>
          <w:color w:val="auto"/>
          <w:sz w:val="32"/>
          <w:szCs w:val="32"/>
          <w:lang w:eastAsia="zh-CN"/>
        </w:rPr>
        <w:t>；公安部门接到在医疗卫生机构以外未经救治的非正常死亡和无人认领尸体警情后，应及时联系殡仪馆，殡仪馆工作人员和公安民警现场填写尸体接运清单并签字确认后接运尸体</w:t>
      </w:r>
      <w:r>
        <w:rPr>
          <w:rFonts w:hint="eastAsia" w:ascii="仿宋_GB2312" w:hAnsi="仿宋_GB2312" w:eastAsia="仿宋_GB2312" w:cs="仿宋_GB2312"/>
          <w:color w:val="auto"/>
          <w:sz w:val="32"/>
          <w:szCs w:val="32"/>
        </w:rPr>
        <w:t>。</w:t>
      </w:r>
    </w:p>
    <w:p w14:paraId="56A354B4">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搬运尸体人员应当佩戴乳胶手套，使用一次性专用装尸袋将尸体密封，做好安全防护措施，搬运过程中应轻举轻放，避免尸体损毁、碰擦。</w:t>
      </w:r>
    </w:p>
    <w:p w14:paraId="61D26823">
      <w:pPr>
        <w:keepNext w:val="0"/>
        <w:keepLines w:val="0"/>
        <w:pageBreakBefore w:val="0"/>
        <w:numPr>
          <w:ilvl w:val="0"/>
          <w:numId w:val="1"/>
        </w:numPr>
        <w:kinsoku/>
        <w:wordWrap/>
        <w:overflowPunct/>
        <w:topLinePunct w:val="0"/>
        <w:autoSpaceDE/>
        <w:autoSpaceDN/>
        <w:bidi w:val="0"/>
        <w:adjustRightInd/>
        <w:snapToGrid/>
        <w:ind w:leftChars="200" w:firstLine="320" w:firstLineChars="1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《居民死亡医学证明（推断）书》</w:t>
      </w:r>
      <w:r>
        <w:rPr>
          <w:rFonts w:hint="eastAsia" w:ascii="仿宋_GB2312" w:hAnsi="仿宋_GB2312" w:eastAsia="仿宋_GB2312" w:cs="仿宋_GB2312"/>
          <w:color w:val="auto"/>
          <w:sz w:val="32"/>
          <w:szCs w:val="32"/>
        </w:rPr>
        <w:t>应按照规定</w:t>
      </w:r>
    </w:p>
    <w:p w14:paraId="708E6022">
      <w:pPr>
        <w:keepNext w:val="0"/>
        <w:keepLines w:val="0"/>
        <w:pageBreakBefore w:val="0"/>
        <w:numPr>
          <w:ilvl w:val="0"/>
          <w:numId w:val="0"/>
        </w:numPr>
        <w:kinsoku/>
        <w:wordWrap/>
        <w:overflowPunct/>
        <w:topLinePunct w:val="0"/>
        <w:autoSpaceDE/>
        <w:autoSpaceDN/>
        <w:bidi w:val="0"/>
        <w:adjustRightInd/>
        <w:snapToGrid/>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填写，对死者姓名、身份以及是否属于非正常死亡等情况应填写清楚，如属姓名不详、身份不明或虽姓名、身份清楚，但家属放弃现场认领的，应予</w:t>
      </w:r>
      <w:r>
        <w:rPr>
          <w:rFonts w:hint="eastAsia" w:ascii="仿宋_GB2312" w:hAnsi="仿宋_GB2312" w:eastAsia="仿宋_GB2312" w:cs="仿宋_GB2312"/>
          <w:color w:val="auto"/>
          <w:sz w:val="32"/>
          <w:szCs w:val="32"/>
          <w:lang w:eastAsia="zh-CN"/>
        </w:rPr>
        <w:t>注</w:t>
      </w:r>
      <w:r>
        <w:rPr>
          <w:rFonts w:hint="eastAsia" w:ascii="仿宋_GB2312" w:hAnsi="仿宋_GB2312" w:eastAsia="仿宋_GB2312" w:cs="仿宋_GB2312"/>
          <w:color w:val="auto"/>
          <w:sz w:val="32"/>
          <w:szCs w:val="32"/>
        </w:rPr>
        <w:t>明。</w:t>
      </w:r>
    </w:p>
    <w:p w14:paraId="33FBA8F1">
      <w:pPr>
        <w:numPr>
          <w:ilvl w:val="0"/>
          <w:numId w:val="2"/>
        </w:numPr>
        <w:ind w:left="0" w:leftChars="0" w:firstLine="444" w:firstLineChars="139"/>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在医院正常死亡的尸体，由医院开具</w:t>
      </w:r>
      <w:r>
        <w:rPr>
          <w:rFonts w:hint="eastAsia" w:ascii="仿宋_GB2312" w:hAnsi="仿宋_GB2312" w:eastAsia="仿宋_GB2312" w:cs="仿宋_GB2312"/>
          <w:color w:val="auto"/>
          <w:sz w:val="32"/>
          <w:szCs w:val="32"/>
          <w:lang w:val="en-US" w:eastAsia="zh-CN"/>
        </w:rPr>
        <w:t>《居民死亡医学证明（推断）书》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在医院非正常死亡或卫生部门不能明确是否属于正常死亡的</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姓名不详、身份不明的</w:t>
      </w:r>
      <w:r>
        <w:rPr>
          <w:rFonts w:hint="eastAsia" w:ascii="仿宋_GB2312" w:hAnsi="仿宋_GB2312" w:eastAsia="仿宋_GB2312" w:cs="仿宋_GB2312"/>
          <w:color w:val="auto"/>
          <w:sz w:val="32"/>
          <w:szCs w:val="32"/>
          <w:lang w:eastAsia="zh-CN"/>
        </w:rPr>
        <w:t>尸体</w:t>
      </w:r>
      <w:r>
        <w:rPr>
          <w:rFonts w:hint="eastAsia" w:ascii="仿宋_GB2312" w:hAnsi="仿宋_GB2312" w:eastAsia="仿宋_GB2312" w:cs="仿宋_GB2312"/>
          <w:color w:val="auto"/>
          <w:sz w:val="32"/>
          <w:szCs w:val="32"/>
        </w:rPr>
        <w:t>，医院</w:t>
      </w:r>
      <w:r>
        <w:rPr>
          <w:rFonts w:hint="eastAsia" w:ascii="仿宋_GB2312" w:hAnsi="仿宋_GB2312" w:eastAsia="仿宋_GB2312" w:cs="仿宋_GB2312"/>
          <w:color w:val="auto"/>
          <w:sz w:val="32"/>
          <w:szCs w:val="32"/>
          <w:lang w:eastAsia="zh-CN"/>
        </w:rPr>
        <w:t>除</w:t>
      </w:r>
      <w:r>
        <w:rPr>
          <w:rFonts w:hint="eastAsia" w:ascii="仿宋_GB2312" w:hAnsi="仿宋_GB2312" w:eastAsia="仿宋_GB2312" w:cs="仿宋_GB2312"/>
          <w:color w:val="auto"/>
          <w:sz w:val="32"/>
          <w:szCs w:val="32"/>
        </w:rPr>
        <w:t>开具</w:t>
      </w:r>
      <w:r>
        <w:rPr>
          <w:rFonts w:hint="eastAsia" w:ascii="仿宋_GB2312" w:hAnsi="仿宋_GB2312" w:eastAsia="仿宋_GB2312" w:cs="仿宋_GB2312"/>
          <w:color w:val="auto"/>
          <w:sz w:val="32"/>
          <w:szCs w:val="32"/>
          <w:lang w:val="en-US" w:eastAsia="zh-CN"/>
        </w:rPr>
        <w:t>《居民死亡医学证明（推断）书》</w:t>
      </w:r>
      <w:r>
        <w:rPr>
          <w:rFonts w:hint="eastAsia" w:ascii="仿宋_GB2312" w:hAnsi="仿宋_GB2312" w:eastAsia="仿宋_GB2312" w:cs="仿宋_GB2312"/>
          <w:color w:val="auto"/>
          <w:sz w:val="32"/>
          <w:szCs w:val="32"/>
        </w:rPr>
        <w:t>外，还应通知所在地公安机关进行拍照、登记、备案</w:t>
      </w:r>
      <w:r>
        <w:rPr>
          <w:rFonts w:hint="eastAsia" w:ascii="仿宋_GB2312" w:hAnsi="仿宋_GB2312" w:eastAsia="仿宋_GB2312" w:cs="仿宋_GB2312"/>
          <w:color w:val="auto"/>
          <w:sz w:val="32"/>
          <w:szCs w:val="32"/>
          <w:lang w:eastAsia="zh-CN"/>
        </w:rPr>
        <w:t>。</w:t>
      </w:r>
    </w:p>
    <w:p w14:paraId="0B907042">
      <w:pPr>
        <w:keepNext w:val="0"/>
        <w:keepLines w:val="0"/>
        <w:pageBreakBefore w:val="0"/>
        <w:numPr>
          <w:ilvl w:val="0"/>
          <w:numId w:val="3"/>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因案情需要保留的尸体</w:t>
      </w:r>
      <w:r>
        <w:rPr>
          <w:rFonts w:hint="eastAsia" w:ascii="仿宋_GB2312" w:hAnsi="仿宋_GB2312" w:eastAsia="仿宋_GB2312" w:cs="仿宋_GB2312"/>
          <w:color w:val="auto"/>
          <w:sz w:val="32"/>
          <w:szCs w:val="32"/>
          <w:lang w:eastAsia="zh-CN"/>
        </w:rPr>
        <w:t>超过</w:t>
      </w:r>
      <w:r>
        <w:rPr>
          <w:rFonts w:hint="eastAsia" w:ascii="仿宋_GB2312" w:hAnsi="仿宋_GB2312" w:eastAsia="仿宋_GB2312" w:cs="仿宋_GB2312"/>
          <w:color w:val="auto"/>
          <w:sz w:val="32"/>
          <w:szCs w:val="32"/>
          <w:lang w:val="en-US" w:eastAsia="zh-CN"/>
        </w:rPr>
        <w:t>3天的</w:t>
      </w:r>
      <w:r>
        <w:rPr>
          <w:rFonts w:hint="eastAsia" w:ascii="仿宋_GB2312" w:hAnsi="仿宋_GB2312" w:eastAsia="仿宋_GB2312" w:cs="仿宋_GB2312"/>
          <w:color w:val="auto"/>
          <w:sz w:val="32"/>
          <w:szCs w:val="32"/>
        </w:rPr>
        <w:t>，公安部门应</w:t>
      </w:r>
      <w:r>
        <w:rPr>
          <w:rFonts w:hint="eastAsia" w:ascii="仿宋_GB2312" w:hAnsi="仿宋_GB2312" w:eastAsia="仿宋_GB2312" w:cs="仿宋_GB2312"/>
          <w:color w:val="auto"/>
          <w:sz w:val="32"/>
          <w:szCs w:val="32"/>
          <w:lang w:eastAsia="zh-CN"/>
        </w:rPr>
        <w:t>在存放</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天届满</w:t>
      </w:r>
      <w:r>
        <w:rPr>
          <w:rFonts w:hint="eastAsia" w:ascii="仿宋_GB2312" w:hAnsi="仿宋_GB2312" w:eastAsia="仿宋_GB2312" w:cs="仿宋_GB2312"/>
          <w:color w:val="auto"/>
          <w:sz w:val="32"/>
          <w:szCs w:val="32"/>
          <w:lang w:eastAsia="zh-CN"/>
        </w:rPr>
        <w:t>前向殡仪馆</w:t>
      </w:r>
      <w:r>
        <w:rPr>
          <w:rFonts w:hint="eastAsia" w:ascii="仿宋_GB2312" w:hAnsi="仿宋_GB2312" w:eastAsia="仿宋_GB2312" w:cs="仿宋_GB2312"/>
          <w:color w:val="auto"/>
          <w:sz w:val="32"/>
          <w:szCs w:val="32"/>
        </w:rPr>
        <w:t>办理延期手续</w:t>
      </w:r>
      <w:r>
        <w:rPr>
          <w:rFonts w:hint="eastAsia" w:ascii="仿宋_GB2312" w:hAnsi="仿宋_GB2312" w:eastAsia="仿宋_GB2312" w:cs="仿宋_GB2312"/>
          <w:color w:val="auto"/>
          <w:sz w:val="32"/>
          <w:szCs w:val="32"/>
          <w:lang w:eastAsia="zh-CN"/>
        </w:rPr>
        <w:t>。</w:t>
      </w:r>
    </w:p>
    <w:p w14:paraId="7598EA80">
      <w:pPr>
        <w:keepNext w:val="0"/>
        <w:keepLines w:val="0"/>
        <w:pageBreakBefore w:val="0"/>
        <w:numPr>
          <w:ilvl w:val="0"/>
          <w:numId w:val="3"/>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姓名不详、身份不明的尸体公安部门应当调查核实</w:t>
      </w:r>
      <w:r>
        <w:rPr>
          <w:rFonts w:hint="eastAsia" w:ascii="仿宋_GB2312" w:hAnsi="仿宋_GB2312" w:eastAsia="仿宋_GB2312" w:cs="仿宋_GB2312"/>
          <w:color w:val="auto"/>
          <w:sz w:val="32"/>
          <w:szCs w:val="32"/>
          <w:lang w:eastAsia="zh-CN"/>
        </w:rPr>
        <w:t>，查明身份的及时</w:t>
      </w:r>
      <w:r>
        <w:rPr>
          <w:rFonts w:hint="eastAsia" w:ascii="仿宋_GB2312" w:hAnsi="仿宋_GB2312" w:eastAsia="仿宋_GB2312" w:cs="仿宋_GB2312"/>
          <w:color w:val="auto"/>
          <w:sz w:val="32"/>
          <w:szCs w:val="32"/>
        </w:rPr>
        <w:t>通知家属</w:t>
      </w:r>
      <w:r>
        <w:rPr>
          <w:rFonts w:hint="eastAsia" w:ascii="仿宋_GB2312" w:hAnsi="仿宋_GB2312" w:eastAsia="仿宋_GB2312" w:cs="仿宋_GB2312"/>
          <w:color w:val="auto"/>
          <w:sz w:val="32"/>
          <w:szCs w:val="32"/>
          <w:lang w:eastAsia="zh-CN"/>
        </w:rPr>
        <w:t>或单位，家属或单位持公安部门介绍信到殡仪馆办理认领和尸体处理手续；无法查明身份的，由公安部门进行公告，自公告之日起</w:t>
      </w:r>
      <w:r>
        <w:rPr>
          <w:rFonts w:hint="eastAsia" w:ascii="仿宋_GB2312" w:hAnsi="仿宋_GB2312" w:eastAsia="仿宋_GB2312" w:cs="仿宋_GB2312"/>
          <w:color w:val="auto"/>
          <w:sz w:val="32"/>
          <w:szCs w:val="32"/>
          <w:lang w:val="en-US" w:eastAsia="zh-CN"/>
        </w:rPr>
        <w:t>60天内无人认领的，公安部门应及时书面通知殡仪馆对尸体进行处理；</w:t>
      </w:r>
      <w:r>
        <w:rPr>
          <w:rFonts w:hint="eastAsia" w:ascii="仿宋_GB2312" w:hAnsi="仿宋_GB2312" w:eastAsia="仿宋_GB2312" w:cs="仿宋_GB2312"/>
          <w:color w:val="auto"/>
          <w:sz w:val="32"/>
          <w:szCs w:val="32"/>
        </w:rPr>
        <w:t>姓名、身份清楚，但家属、单位</w:t>
      </w:r>
      <w:r>
        <w:rPr>
          <w:rFonts w:hint="eastAsia" w:ascii="仿宋_GB2312" w:hAnsi="仿宋_GB2312" w:eastAsia="仿宋_GB2312" w:cs="仿宋_GB2312"/>
          <w:color w:val="auto"/>
          <w:sz w:val="32"/>
          <w:szCs w:val="32"/>
          <w:lang w:eastAsia="zh-CN"/>
        </w:rPr>
        <w:t>放弃认领处理的，殡仪馆凭公安部门书面通知按相关规定处理尸体</w:t>
      </w:r>
      <w:r>
        <w:rPr>
          <w:rFonts w:hint="eastAsia" w:ascii="仿宋_GB2312" w:hAnsi="仿宋_GB2312" w:eastAsia="仿宋_GB2312" w:cs="仿宋_GB2312"/>
          <w:color w:val="auto"/>
          <w:sz w:val="32"/>
          <w:szCs w:val="32"/>
          <w:lang w:val="en-US" w:eastAsia="zh-CN"/>
        </w:rPr>
        <w:t>。</w:t>
      </w:r>
    </w:p>
    <w:p w14:paraId="7729D6D1">
      <w:pPr>
        <w:keepNext w:val="0"/>
        <w:keepLines w:val="0"/>
        <w:pageBreakBefore w:val="0"/>
        <w:numPr>
          <w:ilvl w:val="0"/>
          <w:numId w:val="3"/>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非正常死亡的尸体，家属或单位凭公安部门开具的介绍信</w:t>
      </w:r>
      <w:r>
        <w:rPr>
          <w:rFonts w:hint="eastAsia" w:ascii="仿宋_GB2312" w:hAnsi="仿宋_GB2312" w:eastAsia="仿宋_GB2312" w:cs="仿宋_GB2312"/>
          <w:color w:val="auto"/>
          <w:sz w:val="32"/>
          <w:szCs w:val="32"/>
          <w:lang w:eastAsia="zh-CN"/>
        </w:rPr>
        <w:t>（函）</w:t>
      </w:r>
      <w:r>
        <w:rPr>
          <w:rFonts w:hint="eastAsia" w:ascii="仿宋_GB2312" w:hAnsi="仿宋_GB2312" w:eastAsia="仿宋_GB2312" w:cs="仿宋_GB2312"/>
          <w:color w:val="auto"/>
          <w:sz w:val="32"/>
          <w:szCs w:val="32"/>
        </w:rPr>
        <w:t>到殡仪馆办理</w:t>
      </w:r>
      <w:r>
        <w:rPr>
          <w:rFonts w:hint="eastAsia" w:ascii="仿宋_GB2312" w:hAnsi="仿宋_GB2312" w:eastAsia="仿宋_GB2312" w:cs="仿宋_GB2312"/>
          <w:color w:val="auto"/>
          <w:sz w:val="32"/>
          <w:szCs w:val="32"/>
          <w:lang w:eastAsia="zh-CN"/>
        </w:rPr>
        <w:t>遗体辨认和尸体处理</w:t>
      </w:r>
      <w:r>
        <w:rPr>
          <w:rFonts w:hint="eastAsia" w:ascii="仿宋_GB2312" w:hAnsi="仿宋_GB2312" w:eastAsia="仿宋_GB2312" w:cs="仿宋_GB2312"/>
          <w:color w:val="auto"/>
          <w:sz w:val="32"/>
          <w:szCs w:val="32"/>
        </w:rPr>
        <w:t>手续。</w:t>
      </w:r>
    </w:p>
    <w:p w14:paraId="37A53FD6">
      <w:pPr>
        <w:keepNext w:val="0"/>
        <w:keepLines w:val="0"/>
        <w:pageBreakBefore w:val="0"/>
        <w:numPr>
          <w:ilvl w:val="0"/>
          <w:numId w:val="3"/>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有以下情况之一的，殡仪馆可按照规定将尸体</w:t>
      </w:r>
    </w:p>
    <w:p w14:paraId="60D87FAF">
      <w:pPr>
        <w:keepNext w:val="0"/>
        <w:keepLines w:val="0"/>
        <w:pageBreakBefore w:val="0"/>
        <w:numPr>
          <w:ilvl w:val="0"/>
          <w:numId w:val="0"/>
        </w:numPr>
        <w:kinsoku/>
        <w:wordWrap/>
        <w:overflowPunct/>
        <w:topLinePunct w:val="0"/>
        <w:autoSpaceDE/>
        <w:autoSpaceDN/>
        <w:bidi w:val="0"/>
        <w:adjustRightInd/>
        <w:snapToGrid/>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处理。</w:t>
      </w:r>
    </w:p>
    <w:p w14:paraId="57F1D0B5">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家属书面表示放弃认领并经公安部门认定的</w:t>
      </w:r>
      <w:r>
        <w:rPr>
          <w:rFonts w:hint="eastAsia" w:ascii="仿宋_GB2312" w:hAnsi="仿宋_GB2312" w:eastAsia="仿宋_GB2312" w:cs="仿宋_GB2312"/>
          <w:color w:val="auto"/>
          <w:sz w:val="32"/>
          <w:szCs w:val="32"/>
          <w:lang w:eastAsia="zh-CN"/>
        </w:rPr>
        <w:t>；</w:t>
      </w:r>
    </w:p>
    <w:p w14:paraId="4BED402E">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公安部门签署意见确认为无人认领</w:t>
      </w:r>
      <w:r>
        <w:rPr>
          <w:rFonts w:hint="eastAsia" w:ascii="仿宋_GB2312" w:hAnsi="仿宋_GB2312" w:eastAsia="仿宋_GB2312" w:cs="仿宋_GB2312"/>
          <w:color w:val="auto"/>
          <w:sz w:val="32"/>
          <w:szCs w:val="32"/>
          <w:lang w:eastAsia="zh-CN"/>
        </w:rPr>
        <w:t>的；</w:t>
      </w:r>
    </w:p>
    <w:p w14:paraId="45316233">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有关法律法规规定应立即火化的</w:t>
      </w:r>
      <w:r>
        <w:rPr>
          <w:rFonts w:hint="eastAsia" w:ascii="仿宋_GB2312" w:hAnsi="仿宋_GB2312" w:eastAsia="仿宋_GB2312" w:cs="仿宋_GB2312"/>
          <w:color w:val="auto"/>
          <w:sz w:val="32"/>
          <w:szCs w:val="32"/>
          <w:lang w:eastAsia="zh-CN"/>
        </w:rPr>
        <w:t>。</w:t>
      </w:r>
    </w:p>
    <w:p w14:paraId="6E1EB9F7">
      <w:pPr>
        <w:keepNext w:val="0"/>
        <w:keepLines w:val="0"/>
        <w:pageBreakBefore w:val="0"/>
        <w:numPr>
          <w:ilvl w:val="0"/>
          <w:numId w:val="0"/>
        </w:numPr>
        <w:kinsoku/>
        <w:wordWrap/>
        <w:overflowPunct/>
        <w:topLinePunct w:val="0"/>
        <w:autoSpaceDE/>
        <w:autoSpaceDN/>
        <w:bidi w:val="0"/>
        <w:adjustRightInd/>
        <w:snapToGrid/>
        <w:ind w:leftChars="200" w:firstLine="320" w:firstLineChars="1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第十条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无人认领尸体火化</w:t>
      </w:r>
      <w:r>
        <w:rPr>
          <w:rFonts w:hint="eastAsia" w:ascii="仿宋_GB2312" w:hAnsi="仿宋_GB2312" w:eastAsia="仿宋_GB2312" w:cs="仿宋_GB2312"/>
          <w:color w:val="auto"/>
          <w:sz w:val="32"/>
          <w:szCs w:val="32"/>
          <w:lang w:eastAsia="zh-CN"/>
        </w:rPr>
        <w:t>之日起</w:t>
      </w:r>
      <w:r>
        <w:rPr>
          <w:rFonts w:hint="eastAsia" w:ascii="仿宋_GB2312" w:hAnsi="仿宋_GB2312" w:eastAsia="仿宋_GB2312" w:cs="仿宋_GB2312"/>
          <w:color w:val="auto"/>
          <w:sz w:val="32"/>
          <w:szCs w:val="32"/>
        </w:rPr>
        <w:t>，骨灰保留6个月，</w:t>
      </w:r>
    </w:p>
    <w:p w14:paraId="284552D0">
      <w:pPr>
        <w:keepNext w:val="0"/>
        <w:keepLines w:val="0"/>
        <w:pageBreakBefore w:val="0"/>
        <w:numPr>
          <w:ilvl w:val="0"/>
          <w:numId w:val="0"/>
        </w:numPr>
        <w:kinsoku/>
        <w:wordWrap/>
        <w:overflowPunct/>
        <w:topLinePunct w:val="0"/>
        <w:autoSpaceDE/>
        <w:autoSpaceDN/>
        <w:bidi w:val="0"/>
        <w:adjustRightInd/>
        <w:snapToGrid/>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在骨灰</w:t>
      </w:r>
      <w:r>
        <w:rPr>
          <w:rFonts w:hint="eastAsia" w:ascii="仿宋_GB2312" w:hAnsi="仿宋_GB2312" w:eastAsia="仿宋_GB2312" w:cs="仿宋_GB2312"/>
          <w:color w:val="auto"/>
          <w:sz w:val="32"/>
          <w:szCs w:val="32"/>
          <w:lang w:eastAsia="zh-CN"/>
        </w:rPr>
        <w:t>保留</w:t>
      </w:r>
      <w:r>
        <w:rPr>
          <w:rFonts w:hint="eastAsia" w:ascii="仿宋_GB2312" w:hAnsi="仿宋_GB2312" w:eastAsia="仿宋_GB2312" w:cs="仿宋_GB2312"/>
          <w:color w:val="auto"/>
          <w:sz w:val="32"/>
          <w:szCs w:val="32"/>
        </w:rPr>
        <w:t>期间如有家属、单位认领的，</w:t>
      </w:r>
      <w:r>
        <w:rPr>
          <w:rFonts w:hint="eastAsia" w:ascii="仿宋_GB2312" w:hAnsi="仿宋_GB2312" w:eastAsia="仿宋_GB2312" w:cs="仿宋_GB2312"/>
          <w:color w:val="auto"/>
          <w:sz w:val="32"/>
          <w:szCs w:val="32"/>
          <w:lang w:eastAsia="zh-CN"/>
        </w:rPr>
        <w:t>殡殓</w:t>
      </w:r>
      <w:r>
        <w:rPr>
          <w:rFonts w:hint="eastAsia" w:ascii="仿宋_GB2312" w:hAnsi="仿宋_GB2312" w:eastAsia="仿宋_GB2312" w:cs="仿宋_GB2312"/>
          <w:color w:val="auto"/>
          <w:sz w:val="32"/>
          <w:szCs w:val="32"/>
        </w:rPr>
        <w:t>处理费由认领者负责。骨灰保留期满</w:t>
      </w:r>
      <w:r>
        <w:rPr>
          <w:rFonts w:hint="eastAsia" w:ascii="仿宋_GB2312" w:hAnsi="仿宋_GB2312" w:eastAsia="仿宋_GB2312" w:cs="仿宋_GB2312"/>
          <w:color w:val="auto"/>
          <w:sz w:val="32"/>
          <w:szCs w:val="32"/>
          <w:lang w:eastAsia="zh-CN"/>
        </w:rPr>
        <w:t>仍</w:t>
      </w:r>
      <w:r>
        <w:rPr>
          <w:rFonts w:hint="eastAsia" w:ascii="仿宋_GB2312" w:hAnsi="仿宋_GB2312" w:eastAsia="仿宋_GB2312" w:cs="仿宋_GB2312"/>
          <w:color w:val="auto"/>
          <w:sz w:val="32"/>
          <w:szCs w:val="32"/>
        </w:rPr>
        <w:t>无人认领的，骨灰由殡仪馆负责处理</w:t>
      </w:r>
      <w:r>
        <w:rPr>
          <w:rFonts w:hint="eastAsia" w:ascii="仿宋_GB2312" w:hAnsi="仿宋_GB2312" w:eastAsia="仿宋_GB2312" w:cs="仿宋_GB2312"/>
          <w:color w:val="auto"/>
          <w:sz w:val="32"/>
          <w:szCs w:val="32"/>
          <w:lang w:eastAsia="zh-CN"/>
        </w:rPr>
        <w:t>。</w:t>
      </w:r>
    </w:p>
    <w:p w14:paraId="5298BC2D">
      <w:pPr>
        <w:keepNext w:val="0"/>
        <w:keepLines w:val="0"/>
        <w:pageBreakBefore w:val="0"/>
        <w:numPr>
          <w:ilvl w:val="0"/>
          <w:numId w:val="4"/>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eastAsia="zh-CN"/>
        </w:rPr>
        <w:t>有</w:t>
      </w:r>
      <w:r>
        <w:rPr>
          <w:rFonts w:hint="eastAsia" w:ascii="仿宋_GB2312" w:hAnsi="仿宋_GB2312" w:eastAsia="仿宋_GB2312" w:cs="仿宋_GB2312"/>
          <w:color w:val="auto"/>
          <w:sz w:val="32"/>
          <w:szCs w:val="32"/>
        </w:rPr>
        <w:t>土葬习俗的回、维吾尔、哈萨克、东乡、柯乐克孜、撒拉、塔吉克、乌兹别克、保安、塔塔乐等10个少数民族的</w:t>
      </w:r>
      <w:r>
        <w:rPr>
          <w:rFonts w:hint="eastAsia" w:ascii="仿宋_GB2312" w:hAnsi="仿宋_GB2312" w:eastAsia="仿宋_GB2312" w:cs="仿宋_GB2312"/>
          <w:color w:val="auto"/>
          <w:sz w:val="32"/>
          <w:szCs w:val="32"/>
          <w:lang w:eastAsia="zh-CN"/>
        </w:rPr>
        <w:t>非正常死亡和</w:t>
      </w:r>
      <w:r>
        <w:rPr>
          <w:rFonts w:hint="eastAsia" w:ascii="仿宋_GB2312" w:hAnsi="仿宋_GB2312" w:eastAsia="仿宋_GB2312" w:cs="仿宋_GB2312"/>
          <w:color w:val="auto"/>
          <w:sz w:val="32"/>
          <w:szCs w:val="32"/>
        </w:rPr>
        <w:t>无人认领尸体，由民政部门会同民族宗教部门按有关民族政策处理</w:t>
      </w:r>
      <w:r>
        <w:rPr>
          <w:rFonts w:hint="eastAsia" w:ascii="仿宋_GB2312" w:hAnsi="仿宋_GB2312" w:eastAsia="仿宋_GB2312" w:cs="仿宋_GB2312"/>
          <w:color w:val="auto"/>
          <w:sz w:val="32"/>
          <w:szCs w:val="32"/>
          <w:lang w:eastAsia="zh-CN"/>
        </w:rPr>
        <w:t>。</w:t>
      </w:r>
    </w:p>
    <w:p w14:paraId="5D6D4633">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条 外国人及港、澳、台胞的尸体按国家有关规定处理。</w:t>
      </w:r>
    </w:p>
    <w:p w14:paraId="4E64FBF5">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第十</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条 在本市辖区内发现的</w:t>
      </w:r>
      <w:r>
        <w:rPr>
          <w:rFonts w:hint="eastAsia" w:ascii="仿宋_GB2312" w:hAnsi="仿宋_GB2312" w:eastAsia="仿宋_GB2312" w:cs="仿宋_GB2312"/>
          <w:color w:val="auto"/>
          <w:sz w:val="32"/>
          <w:szCs w:val="32"/>
          <w:lang w:eastAsia="zh-CN"/>
        </w:rPr>
        <w:t>非正常死亡和无人认领尸体</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经</w:t>
      </w:r>
      <w:r>
        <w:rPr>
          <w:rFonts w:hint="eastAsia" w:ascii="仿宋_GB2312" w:hAnsi="仿宋_GB2312" w:eastAsia="仿宋_GB2312" w:cs="仿宋_GB2312"/>
          <w:color w:val="auto"/>
          <w:sz w:val="32"/>
          <w:szCs w:val="32"/>
        </w:rPr>
        <w:t>公安机关</w:t>
      </w:r>
      <w:r>
        <w:rPr>
          <w:rFonts w:hint="eastAsia" w:ascii="仿宋_GB2312" w:hAnsi="仿宋_GB2312" w:eastAsia="仿宋_GB2312" w:cs="仿宋_GB2312"/>
          <w:color w:val="auto"/>
          <w:sz w:val="32"/>
          <w:szCs w:val="32"/>
          <w:lang w:eastAsia="zh-CN"/>
        </w:rPr>
        <w:t>检验并出具尸体处理意见书</w:t>
      </w:r>
      <w:r>
        <w:rPr>
          <w:rFonts w:hint="eastAsia" w:ascii="仿宋_GB2312" w:hAnsi="仿宋_GB2312" w:eastAsia="仿宋_GB2312" w:cs="仿宋_GB2312"/>
          <w:color w:val="auto"/>
          <w:sz w:val="32"/>
          <w:szCs w:val="32"/>
        </w:rPr>
        <w:t>后，</w:t>
      </w:r>
      <w:r>
        <w:rPr>
          <w:rFonts w:hint="eastAsia" w:ascii="仿宋_GB2312" w:hAnsi="仿宋_GB2312" w:eastAsia="仿宋_GB2312" w:cs="仿宋_GB2312"/>
          <w:color w:val="auto"/>
          <w:sz w:val="32"/>
          <w:szCs w:val="32"/>
          <w:lang w:eastAsia="zh-CN"/>
        </w:rPr>
        <w:t>殡仪馆火化尸体，尸体存放及相关费用予以免除；如家属在接到公安机关尸体处理意见书</w:t>
      </w:r>
      <w:r>
        <w:rPr>
          <w:rFonts w:hint="eastAsia" w:ascii="仿宋_GB2312" w:hAnsi="仿宋_GB2312" w:eastAsia="仿宋_GB2312" w:cs="仿宋_GB2312"/>
          <w:color w:val="auto"/>
          <w:sz w:val="32"/>
          <w:szCs w:val="32"/>
          <w:lang w:val="en-US" w:eastAsia="zh-CN"/>
        </w:rPr>
        <w:t>3日内未到殡仪馆办理火化手续的，后续费用自行承担。</w:t>
      </w:r>
    </w:p>
    <w:p w14:paraId="02CF1EEB">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第十</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条 民政、公安、卫生、财政、民族宗教部门的工作人员，有下列行为之一的，由其所在单位或者上一级行政主管部门给予行政处分</w:t>
      </w:r>
      <w:r>
        <w:rPr>
          <w:rFonts w:hint="eastAsia" w:ascii="仿宋_GB2312" w:hAnsi="仿宋_GB2312" w:eastAsia="仿宋_GB2312" w:cs="仿宋_GB2312"/>
          <w:color w:val="auto"/>
          <w:sz w:val="32"/>
          <w:szCs w:val="32"/>
          <w:lang w:eastAsia="zh-CN"/>
        </w:rPr>
        <w:t>。</w:t>
      </w:r>
    </w:p>
    <w:p w14:paraId="29574705">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应当由本单位处理而推诿不作处理的</w:t>
      </w:r>
      <w:r>
        <w:rPr>
          <w:rFonts w:hint="eastAsia" w:ascii="仿宋_GB2312" w:hAnsi="仿宋_GB2312" w:eastAsia="仿宋_GB2312" w:cs="仿宋_GB2312"/>
          <w:color w:val="auto"/>
          <w:sz w:val="32"/>
          <w:szCs w:val="32"/>
          <w:lang w:eastAsia="zh-CN"/>
        </w:rPr>
        <w:t>；</w:t>
      </w:r>
    </w:p>
    <w:p w14:paraId="0C926DD6">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故意拖延处理，造成不良影响的</w:t>
      </w:r>
      <w:r>
        <w:rPr>
          <w:rFonts w:hint="eastAsia" w:ascii="仿宋_GB2312" w:hAnsi="仿宋_GB2312" w:eastAsia="仿宋_GB2312" w:cs="仿宋_GB2312"/>
          <w:color w:val="auto"/>
          <w:sz w:val="32"/>
          <w:szCs w:val="32"/>
          <w:lang w:eastAsia="zh-CN"/>
        </w:rPr>
        <w:t>；</w:t>
      </w:r>
    </w:p>
    <w:p w14:paraId="0D4819E9">
      <w:pPr>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有其他玩忽职守行为的</w:t>
      </w:r>
      <w:r>
        <w:rPr>
          <w:rFonts w:hint="eastAsia" w:ascii="仿宋_GB2312" w:hAnsi="仿宋_GB2312" w:eastAsia="仿宋_GB2312" w:cs="仿宋_GB2312"/>
          <w:color w:val="auto"/>
          <w:sz w:val="32"/>
          <w:szCs w:val="32"/>
          <w:lang w:eastAsia="zh-CN"/>
        </w:rPr>
        <w:t>。</w:t>
      </w:r>
    </w:p>
    <w:p w14:paraId="09E1DF9B">
      <w:pPr>
        <w:tabs>
          <w:tab w:val="left" w:pos="938"/>
        </w:tabs>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第十</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条 本办法自文件印发之日起施行</w:t>
      </w:r>
      <w:r>
        <w:rPr>
          <w:rFonts w:hint="eastAsia" w:ascii="仿宋_GB2312" w:hAnsi="仿宋_GB2312" w:eastAsia="仿宋_GB2312" w:cs="仿宋_GB2312"/>
          <w:color w:val="auto"/>
          <w:sz w:val="32"/>
          <w:szCs w:val="32"/>
          <w:lang w:eastAsia="zh-CN"/>
        </w:rPr>
        <w:t>，原</w:t>
      </w:r>
      <w:r>
        <w:rPr>
          <w:rFonts w:hint="eastAsia" w:ascii="仿宋_GB2312" w:hAnsi="仿宋_GB2312" w:eastAsia="仿宋_GB2312" w:cs="仿宋_GB2312"/>
          <w:color w:val="auto"/>
          <w:sz w:val="32"/>
          <w:szCs w:val="32"/>
        </w:rPr>
        <w:t>林政办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2006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8</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文件同时废止</w:t>
      </w:r>
      <w:r>
        <w:rPr>
          <w:rFonts w:hint="eastAsia" w:ascii="仿宋_GB2312" w:hAnsi="仿宋_GB2312" w:eastAsia="仿宋_GB2312" w:cs="仿宋_GB2312"/>
          <w:color w:val="auto"/>
          <w:sz w:val="32"/>
          <w:szCs w:val="32"/>
        </w:rPr>
        <w:t>。</w:t>
      </w:r>
    </w:p>
    <w:p w14:paraId="7C75D3E8"/>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D90B16"/>
    <w:multiLevelType w:val="singleLevel"/>
    <w:tmpl w:val="A0D90B16"/>
    <w:lvl w:ilvl="0" w:tentative="0">
      <w:start w:val="11"/>
      <w:numFmt w:val="chineseCounting"/>
      <w:suff w:val="space"/>
      <w:lvlText w:val="第%1条"/>
      <w:lvlJc w:val="left"/>
      <w:rPr>
        <w:rFonts w:hint="eastAsia"/>
      </w:rPr>
    </w:lvl>
  </w:abstractNum>
  <w:abstractNum w:abstractNumId="1">
    <w:nsid w:val="A4837E42"/>
    <w:multiLevelType w:val="singleLevel"/>
    <w:tmpl w:val="A4837E42"/>
    <w:lvl w:ilvl="0" w:tentative="0">
      <w:start w:val="5"/>
      <w:numFmt w:val="chineseCounting"/>
      <w:suff w:val="space"/>
      <w:lvlText w:val="第%1条"/>
      <w:lvlJc w:val="left"/>
      <w:rPr>
        <w:rFonts w:hint="eastAsia"/>
      </w:rPr>
    </w:lvl>
  </w:abstractNum>
  <w:abstractNum w:abstractNumId="2">
    <w:nsid w:val="0ECDBD9D"/>
    <w:multiLevelType w:val="singleLevel"/>
    <w:tmpl w:val="0ECDBD9D"/>
    <w:lvl w:ilvl="0" w:tentative="0">
      <w:start w:val="4"/>
      <w:numFmt w:val="chineseCounting"/>
      <w:suff w:val="space"/>
      <w:lvlText w:val="第%1条"/>
      <w:lvlJc w:val="left"/>
      <w:rPr>
        <w:rFonts w:hint="eastAsia"/>
      </w:rPr>
    </w:lvl>
  </w:abstractNum>
  <w:abstractNum w:abstractNumId="3">
    <w:nsid w:val="3D9554B0"/>
    <w:multiLevelType w:val="singleLevel"/>
    <w:tmpl w:val="3D9554B0"/>
    <w:lvl w:ilvl="0" w:tentative="0">
      <w:start w:val="6"/>
      <w:numFmt w:val="chineseCounting"/>
      <w:suff w:val="space"/>
      <w:lvlText w:val="第%1条"/>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10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2026-04-08T08:14:09Z</dcterms:created>
  <dc:creator>Administrator</dc:creator>
  <cp:lastModifiedBy>惠仔</cp:lastModifiedBy>
  <dcterms:modified xsi:type="dcterms:W3CDTF">2026-04-08T08:14:28Z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eyJoZGlkIjoiOWRiYzhlOTM1M2FhNjE1OTE1YzVlOGZmOWJjY2Q0N2YiLCJ1c2VySWQiOiI1MDA0OTQzMTAifQ==</vt:lpwstr>
  </property>
  <property fmtid="{D5CDD505-2E9C-101B-9397-08002B2CF9AE}" pid="4" name="ICV">
    <vt:lpwstr>B8D19C9E59C24B2096FBC083F29DC83A_12</vt:lpwstr>
  </property>
</Properties>
</file>