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259B68">
      <w:pPr>
        <w:spacing w:after="0" w:line="360" w:lineRule="auto"/>
        <w:jc w:val="center"/>
        <w:rPr>
          <w:rFonts w:ascii="方正小标宋简体" w:eastAsia="方正小标宋简体"/>
          <w:sz w:val="36"/>
          <w:szCs w:val="36"/>
        </w:rPr>
      </w:pPr>
      <w:r>
        <w:rPr>
          <w:rFonts w:hint="eastAsia" w:ascii="方正小标宋简体" w:eastAsia="方正小标宋简体"/>
          <w:sz w:val="36"/>
          <w:szCs w:val="36"/>
        </w:rPr>
        <w:t>《安阳县中心城区环境卫生专项规划（2021-2035年）</w:t>
      </w:r>
    </w:p>
    <w:p w14:paraId="53D63B66">
      <w:pPr>
        <w:spacing w:after="312" w:afterLines="100" w:line="360" w:lineRule="auto"/>
        <w:jc w:val="center"/>
        <w:rPr>
          <w:rFonts w:hint="eastAsia" w:ascii="方正小标宋简体" w:eastAsia="方正小标宋简体"/>
          <w:sz w:val="36"/>
          <w:szCs w:val="36"/>
        </w:rPr>
      </w:pPr>
      <w:r>
        <w:rPr>
          <w:rFonts w:hint="eastAsia" w:ascii="方正小标宋简体" w:eastAsia="方正小标宋简体"/>
          <w:sz w:val="36"/>
          <w:szCs w:val="36"/>
        </w:rPr>
        <w:t>（征求意见稿）》起草说明</w:t>
      </w:r>
    </w:p>
    <w:p w14:paraId="5CB1A30D">
      <w:pPr>
        <w:spacing w:after="0" w:line="360" w:lineRule="auto"/>
        <w:ind w:firstLine="560" w:firstLineChars="200"/>
        <w:rPr>
          <w:rFonts w:hint="eastAsia" w:ascii="仿宋_GB2312" w:eastAsia="仿宋_GB2312"/>
          <w:sz w:val="28"/>
          <w:szCs w:val="28"/>
        </w:rPr>
      </w:pPr>
      <w:r>
        <w:rPr>
          <w:rFonts w:hint="eastAsia" w:ascii="仿宋_GB2312" w:eastAsia="仿宋_GB2312"/>
          <w:sz w:val="28"/>
          <w:szCs w:val="28"/>
        </w:rPr>
        <w:t>为深入贯彻落实习近平生态文明思想，坚守人民至上理念，打造“一刻钟便民生活圈”，统筹推进安阳县生活垃圾减量化、资源化、无害化处理，全面提升城市精细化管理水平，根据《中共中央国务院关于建立国土空间规划体系并监督实施的若干意见》《城市环境卫生设施规划标准》（GB/T 50337-2018）等文件要求，我县组织编制了《安阳县中心城区环境卫生专项规划（2021-2035年）（征求意见稿）》（以下简称《专项规划（征求意见稿）》）。现将起草情况说明如下：</w:t>
      </w:r>
    </w:p>
    <w:p w14:paraId="25C91240">
      <w:pPr>
        <w:spacing w:after="0" w:line="360" w:lineRule="auto"/>
        <w:ind w:firstLine="560" w:firstLineChars="200"/>
        <w:rPr>
          <w:rFonts w:hint="eastAsia" w:ascii="黑体" w:hAnsi="黑体" w:eastAsia="黑体"/>
          <w:sz w:val="28"/>
          <w:szCs w:val="28"/>
        </w:rPr>
      </w:pPr>
      <w:r>
        <w:rPr>
          <w:rFonts w:hint="eastAsia" w:ascii="黑体" w:hAnsi="黑体" w:eastAsia="黑体"/>
          <w:sz w:val="28"/>
          <w:szCs w:val="28"/>
        </w:rPr>
        <w:t>一、起草背景与依据</w:t>
      </w:r>
    </w:p>
    <w:p w14:paraId="2DCDE3A3">
      <w:pPr>
        <w:spacing w:after="0" w:line="360" w:lineRule="auto"/>
        <w:ind w:firstLine="560" w:firstLineChars="200"/>
        <w:rPr>
          <w:rFonts w:hint="eastAsia" w:ascii="仿宋_GB2312" w:eastAsia="仿宋_GB2312"/>
          <w:sz w:val="28"/>
          <w:szCs w:val="28"/>
        </w:rPr>
      </w:pPr>
      <w:r>
        <w:rPr>
          <w:rFonts w:hint="eastAsia" w:ascii="仿宋_GB2312" w:eastAsia="仿宋_GB2312"/>
          <w:sz w:val="28"/>
          <w:szCs w:val="28"/>
        </w:rPr>
        <w:t>（一）起草背景</w:t>
      </w:r>
    </w:p>
    <w:p w14:paraId="4EA2BB81">
      <w:pPr>
        <w:spacing w:after="0" w:line="360" w:lineRule="auto"/>
        <w:ind w:firstLine="560" w:firstLineChars="200"/>
        <w:rPr>
          <w:rFonts w:hint="eastAsia" w:ascii="仿宋_GB2312" w:eastAsia="仿宋_GB2312"/>
          <w:sz w:val="28"/>
          <w:szCs w:val="28"/>
        </w:rPr>
      </w:pPr>
      <w:r>
        <w:rPr>
          <w:rFonts w:hint="eastAsia" w:ascii="仿宋_GB2312" w:eastAsia="仿宋_GB2312"/>
          <w:sz w:val="28"/>
          <w:szCs w:val="28"/>
        </w:rPr>
        <w:t>建立国土空间规划体系并监督实施，实现"多规合一"，是党中央作出的重大决策部署。2019年中央全面深化改革委员会第六次会议审议通过《关于建立国土空间规划体系并监督实施的若干意见》，明确要求相关专项规划要遵循国土空间总体规划，不得违背总体规划强制性内容，其主要内容要纳入详细规划。环境卫生专项规划作为国土空间规划体系的重要组成部分，是指导县域环卫设施建设的法定依据。</w:t>
      </w:r>
    </w:p>
    <w:p w14:paraId="54003527">
      <w:pPr>
        <w:spacing w:after="0" w:line="360" w:lineRule="auto"/>
        <w:ind w:firstLine="560" w:firstLineChars="200"/>
        <w:rPr>
          <w:rFonts w:hint="eastAsia" w:ascii="仿宋_GB2312" w:eastAsia="仿宋_GB2312"/>
          <w:sz w:val="28"/>
          <w:szCs w:val="28"/>
        </w:rPr>
      </w:pPr>
      <w:r>
        <w:rPr>
          <w:rFonts w:hint="eastAsia" w:ascii="仿宋_GB2312" w:eastAsia="仿宋_GB2312"/>
          <w:sz w:val="28"/>
          <w:szCs w:val="28"/>
        </w:rPr>
        <w:t>当前，安阳县中心城区正处于城镇化快速发展期，规划至2035年将达到35万人，日均垃圾产生量将增至385吨。但现状环卫设施存在设施处理能力缺口、分类收集体系不完善、转运站布局不均、智慧化水平较低等问题。2023年中央经济工作会议特别指出要"加强县城垃圾污水处理设施建设"。编制本规划，既是落实国家关于爱国卫生运动、大规模设备更新行动方案等政策要求的具体举措，也是破解安阳县环卫设施供需矛盾、补齐城乡建设短板、建设"洹畔田园魅力宜居城市"的现实需要。</w:t>
      </w:r>
    </w:p>
    <w:p w14:paraId="27040B96">
      <w:pPr>
        <w:spacing w:after="0" w:line="360" w:lineRule="auto"/>
        <w:ind w:firstLine="560" w:firstLineChars="200"/>
        <w:rPr>
          <w:rFonts w:hint="eastAsia" w:ascii="仿宋_GB2312" w:eastAsia="仿宋_GB2312"/>
          <w:sz w:val="28"/>
          <w:szCs w:val="28"/>
        </w:rPr>
      </w:pPr>
      <w:r>
        <w:rPr>
          <w:rFonts w:hint="eastAsia" w:ascii="仿宋_GB2312" w:eastAsia="仿宋_GB2312"/>
          <w:sz w:val="28"/>
          <w:szCs w:val="28"/>
        </w:rPr>
        <w:t>（二）起草依据</w:t>
      </w:r>
    </w:p>
    <w:p w14:paraId="050C7F96">
      <w:pPr>
        <w:spacing w:after="0" w:line="360" w:lineRule="auto"/>
        <w:ind w:firstLine="560" w:firstLineChars="200"/>
        <w:rPr>
          <w:rFonts w:hint="eastAsia" w:ascii="仿宋_GB2312" w:eastAsia="仿宋_GB2312"/>
          <w:sz w:val="28"/>
          <w:szCs w:val="28"/>
        </w:rPr>
      </w:pPr>
      <w:r>
        <w:rPr>
          <w:rFonts w:hint="eastAsia" w:ascii="仿宋_GB2312" w:eastAsia="仿宋_GB2312"/>
          <w:sz w:val="28"/>
          <w:szCs w:val="28"/>
        </w:rPr>
        <w:t>1. 国家层面政策文件：严格依据《中共中央国务院关于建立国土空间规划体系并监督实施的若干意见》（中发〔2019〕18号）、《关于深入开展爱国卫生运动的意见》（国发〔2020〕15号）、《推动大规模设备更新行动方案》等国家层面政策部署，确保规划编制与国家战略导向保持一致。</w:t>
      </w:r>
    </w:p>
    <w:p w14:paraId="20A7725D">
      <w:pPr>
        <w:spacing w:after="0" w:line="360" w:lineRule="auto"/>
        <w:ind w:firstLine="560" w:firstLineChars="200"/>
        <w:rPr>
          <w:rFonts w:hint="eastAsia" w:ascii="仿宋_GB2312" w:eastAsia="仿宋_GB2312"/>
          <w:sz w:val="28"/>
          <w:szCs w:val="28"/>
        </w:rPr>
      </w:pPr>
      <w:r>
        <w:rPr>
          <w:rFonts w:hint="eastAsia" w:ascii="仿宋_GB2312" w:eastAsia="仿宋_GB2312"/>
          <w:sz w:val="28"/>
          <w:szCs w:val="28"/>
        </w:rPr>
        <w:t>2. 法律法规与技术标准：遵循《中华人民共和国城乡规划法》《中华人民共和国固体废物污染环境防治法》《城市环境卫生设施规划标准》（GB/T 50337-2018）、《环境卫生设施设置标准》（GB/T 51445-2021）、《生活垃圾转运站技术规范》（GB 55018-2022）等法律法规和技术规范，确保规划内容合法合规、技术路线科学合理。</w:t>
      </w:r>
    </w:p>
    <w:p w14:paraId="3B47961A">
      <w:pPr>
        <w:spacing w:after="0" w:line="360" w:lineRule="auto"/>
        <w:ind w:firstLine="560" w:firstLineChars="200"/>
        <w:rPr>
          <w:rFonts w:hint="eastAsia" w:ascii="仿宋_GB2312" w:eastAsia="仿宋_GB2312"/>
          <w:sz w:val="28"/>
          <w:szCs w:val="28"/>
        </w:rPr>
      </w:pPr>
      <w:r>
        <w:rPr>
          <w:rFonts w:hint="eastAsia" w:ascii="仿宋_GB2312" w:eastAsia="仿宋_GB2312"/>
          <w:sz w:val="28"/>
          <w:szCs w:val="28"/>
        </w:rPr>
        <w:t>3. 上位规划衔接：紧密衔接《安阳县国土空间总体规划（2021-2035年）》《安阳市环境卫生专项规划（2021-2035年）》，明确安阳县共享市级静脉产业园内焚烧发电厂、餐厨处理设施等服务范围，确保专项规划与总体规划"一张图"全域贯通。</w:t>
      </w:r>
    </w:p>
    <w:p w14:paraId="3D48B65F">
      <w:pPr>
        <w:spacing w:after="0" w:line="360" w:lineRule="auto"/>
        <w:ind w:firstLine="560" w:firstLineChars="200"/>
        <w:rPr>
          <w:rFonts w:hint="eastAsia" w:ascii="仿宋_GB2312" w:eastAsia="仿宋_GB2312"/>
          <w:sz w:val="28"/>
          <w:szCs w:val="28"/>
        </w:rPr>
      </w:pPr>
      <w:r>
        <w:rPr>
          <w:rFonts w:hint="eastAsia" w:ascii="仿宋_GB2312" w:eastAsia="仿宋_GB2312"/>
          <w:sz w:val="28"/>
          <w:szCs w:val="28"/>
        </w:rPr>
        <w:t>4. 县域发展实际需求：基于安阳县中心城区环卫设施现状普查数据，针对垃圾收运体系不完善、公厕布局不均、环卫工人休息场所不足、建筑垃圾资源化利用水平低等突出问题，结合县域经济发展水平和财政承受能力，制定兼具前瞻性和可操作性的规划方案。</w:t>
      </w:r>
    </w:p>
    <w:p w14:paraId="29892897">
      <w:pPr>
        <w:spacing w:after="0" w:line="360" w:lineRule="auto"/>
        <w:ind w:firstLine="560" w:firstLineChars="200"/>
        <w:rPr>
          <w:rFonts w:hint="eastAsia" w:ascii="黑体" w:hAnsi="黑体" w:eastAsia="黑体"/>
          <w:sz w:val="28"/>
          <w:szCs w:val="28"/>
        </w:rPr>
      </w:pPr>
      <w:r>
        <w:rPr>
          <w:rFonts w:hint="eastAsia" w:ascii="黑体" w:hAnsi="黑体" w:eastAsia="黑体"/>
          <w:sz w:val="28"/>
          <w:szCs w:val="28"/>
        </w:rPr>
        <w:t>二、起草过程</w:t>
      </w:r>
    </w:p>
    <w:p w14:paraId="0DE6E6AD">
      <w:pPr>
        <w:spacing w:after="0" w:line="360" w:lineRule="auto"/>
        <w:ind w:firstLine="560" w:firstLineChars="200"/>
        <w:rPr>
          <w:rFonts w:hint="eastAsia" w:ascii="仿宋_GB2312" w:eastAsia="仿宋_GB2312"/>
          <w:sz w:val="28"/>
          <w:szCs w:val="28"/>
        </w:rPr>
      </w:pPr>
      <w:r>
        <w:rPr>
          <w:rFonts w:hint="eastAsia" w:ascii="仿宋_GB2312" w:eastAsia="仿宋_GB2312"/>
          <w:sz w:val="28"/>
          <w:szCs w:val="28"/>
        </w:rPr>
        <w:t>1. 调研摸底阶段（2024年6月-8月）：由县城市管理局牵头，组建规划编制工作专班，系统收集安阳县国土空间规划、国民经济和社会发展统计公报、第三次国土调查数据等基础资料。对中心城区22座公厕、2处垃圾转运站、18个分类示范小区进行实地踏勘，梳理形成《安阳县中心城区环卫设施现状问题清单》，为规划编制奠定基础。</w:t>
      </w:r>
    </w:p>
    <w:p w14:paraId="6E2C28B4">
      <w:pPr>
        <w:spacing w:after="0" w:line="360" w:lineRule="auto"/>
        <w:ind w:firstLine="560" w:firstLineChars="200"/>
        <w:rPr>
          <w:rFonts w:hint="eastAsia" w:ascii="仿宋_GB2312" w:eastAsia="仿宋_GB2312"/>
          <w:sz w:val="28"/>
          <w:szCs w:val="28"/>
        </w:rPr>
      </w:pPr>
      <w:r>
        <w:rPr>
          <w:rFonts w:hint="eastAsia" w:ascii="仿宋_GB2312" w:eastAsia="仿宋_GB2312"/>
          <w:sz w:val="28"/>
          <w:szCs w:val="28"/>
        </w:rPr>
        <w:t>2. 编制起草阶段（2024年9月-12月）：专班委托设计公司开展专项规划编制工作，在充分论证生活垃圾产生量预测（近期133.9吨/日、远期385吨/日）、转运站服务半径（≤3km）、公厕设置密度（近期1.5座/平方千米、远期2.0座/平方千米）等关键技术参数的基础上，形成规划文本初稿。初稿涵盖规划目标、垃圾分类收运体系、各类固废处置、环卫配套设施、智慧环卫建设等内容，构建"源头减量—智慧收运—终端协同处置"的全链条管理体系。</w:t>
      </w:r>
    </w:p>
    <w:p w14:paraId="2F226186">
      <w:pPr>
        <w:spacing w:after="0" w:line="360" w:lineRule="auto"/>
        <w:ind w:firstLine="560" w:firstLineChars="200"/>
        <w:rPr>
          <w:rFonts w:hint="eastAsia" w:ascii="仿宋_GB2312" w:eastAsia="仿宋_GB2312"/>
          <w:sz w:val="28"/>
          <w:szCs w:val="28"/>
        </w:rPr>
      </w:pPr>
      <w:r>
        <w:rPr>
          <w:rFonts w:hint="eastAsia" w:ascii="仿宋_GB2312" w:eastAsia="仿宋_GB2312"/>
          <w:sz w:val="28"/>
          <w:szCs w:val="28"/>
        </w:rPr>
        <w:t>3. 部门会商阶段（2025年1月-12月）：组织召开专家评审会及部门联审会，邀请省、市环卫领域专家及县直相关部门对规划进行论证。重点对14座小型转运站布局、98座二类以上公厕选址、近期投资估算等核心内容进行优化调整，确保设施选址符合环保要求、建设规模满足服务需求、投资估算符合县域财力。</w:t>
      </w:r>
    </w:p>
    <w:p w14:paraId="55042D51">
      <w:pPr>
        <w:spacing w:after="0" w:line="360" w:lineRule="auto"/>
        <w:ind w:firstLine="560" w:firstLineChars="200"/>
        <w:rPr>
          <w:rFonts w:hint="eastAsia" w:ascii="仿宋_GB2312" w:eastAsia="仿宋_GB2312"/>
          <w:sz w:val="28"/>
          <w:szCs w:val="28"/>
        </w:rPr>
      </w:pPr>
      <w:r>
        <w:rPr>
          <w:rFonts w:hint="eastAsia" w:ascii="仿宋_GB2312" w:eastAsia="仿宋_GB2312"/>
          <w:sz w:val="28"/>
          <w:szCs w:val="28"/>
        </w:rPr>
        <w:t>4. 修改完善阶段（2026年1月-3月）：根据专家及部门意见，补充完善与《安阳县国土空间总体规划》的衔接内容，细化近期建设项目表（2021-2025年），明确4座新建转运站、7座公厕提质改造、50辆新能源环卫车购置等具体任务的责任主体和完成时限，形成《专项规划（征求意见稿）》。</w:t>
      </w:r>
    </w:p>
    <w:p w14:paraId="1C4B5BE3">
      <w:pPr>
        <w:spacing w:after="0" w:line="360" w:lineRule="auto"/>
        <w:ind w:firstLine="560" w:firstLineChars="200"/>
        <w:rPr>
          <w:rFonts w:hint="eastAsia" w:ascii="黑体" w:hAnsi="黑体" w:eastAsia="黑体"/>
          <w:sz w:val="28"/>
          <w:szCs w:val="28"/>
        </w:rPr>
      </w:pPr>
      <w:r>
        <w:rPr>
          <w:rFonts w:hint="eastAsia" w:ascii="黑体" w:hAnsi="黑体" w:eastAsia="黑体"/>
          <w:sz w:val="28"/>
          <w:szCs w:val="28"/>
        </w:rPr>
        <w:t>三、《专项规划（征求意见稿）》主要内容说明</w:t>
      </w:r>
    </w:p>
    <w:p w14:paraId="1210D6AE">
      <w:pPr>
        <w:spacing w:after="0" w:line="360" w:lineRule="auto"/>
        <w:ind w:firstLine="560" w:firstLineChars="200"/>
        <w:rPr>
          <w:rFonts w:hint="eastAsia" w:ascii="仿宋_GB2312" w:eastAsia="仿宋_GB2312"/>
          <w:sz w:val="28"/>
          <w:szCs w:val="28"/>
        </w:rPr>
      </w:pPr>
      <w:r>
        <w:rPr>
          <w:rFonts w:hint="eastAsia" w:ascii="仿宋_GB2312" w:eastAsia="仿宋_GB2312"/>
          <w:sz w:val="28"/>
          <w:szCs w:val="28"/>
        </w:rPr>
        <w:t>《专项规划（征求意见稿）》明确了规划期限（2021-2035年，近期至2025年，远期至2035年）、规划范围（安阳县中心城区，面积3828.59公顷）及发展控制指标，构建了"设施体系衔接—分类系统升级—智慧监管赋能"三位一体的环境卫生治理体系。核心内容包括：</w:t>
      </w:r>
    </w:p>
    <w:p w14:paraId="2B088211">
      <w:pPr>
        <w:spacing w:after="0" w:line="360" w:lineRule="auto"/>
        <w:ind w:firstLine="560" w:firstLineChars="200"/>
        <w:rPr>
          <w:rFonts w:hint="eastAsia" w:ascii="仿宋_GB2312" w:eastAsia="仿宋_GB2312"/>
          <w:sz w:val="28"/>
          <w:szCs w:val="28"/>
        </w:rPr>
      </w:pPr>
      <w:r>
        <w:rPr>
          <w:rFonts w:hint="eastAsia" w:ascii="仿宋_GB2312" w:eastAsia="仿宋_GB2312"/>
          <w:sz w:val="28"/>
          <w:szCs w:val="28"/>
        </w:rPr>
        <w:t>（一）规划目标与指标体系</w:t>
      </w:r>
    </w:p>
    <w:p w14:paraId="00728A24">
      <w:pPr>
        <w:spacing w:after="0" w:line="360" w:lineRule="auto"/>
        <w:ind w:firstLine="560" w:firstLineChars="200"/>
        <w:rPr>
          <w:rFonts w:hint="eastAsia" w:ascii="仿宋_GB2312" w:eastAsia="仿宋_GB2312"/>
          <w:sz w:val="28"/>
          <w:szCs w:val="28"/>
        </w:rPr>
      </w:pPr>
      <w:r>
        <w:rPr>
          <w:rFonts w:hint="eastAsia" w:ascii="仿宋_GB2312" w:eastAsia="仿宋_GB2312"/>
          <w:sz w:val="28"/>
          <w:szCs w:val="28"/>
        </w:rPr>
        <w:t>明确"减量化、资源化、无害化"总体目标，提出分阶段控制指标。近期（2025年）：生活垃圾无害化处理率100%、回收利用率40%、分类覆盖率95%、道路机械化清扫率95%、公厕密度1.5座/平方千米。远期（2035年）：生活垃圾回收利用率50%、分类覆盖率100%、道路机械化清扫率100%、公厕密度2.0座/平方千米，建成"分类精准、收运高效、处置循环、管理智慧"的现代化环卫体系。</w:t>
      </w:r>
    </w:p>
    <w:p w14:paraId="452A30E3">
      <w:pPr>
        <w:spacing w:after="0" w:line="360" w:lineRule="auto"/>
        <w:ind w:firstLine="560" w:firstLineChars="200"/>
        <w:rPr>
          <w:rFonts w:hint="eastAsia" w:ascii="仿宋_GB2312" w:eastAsia="仿宋_GB2312"/>
          <w:sz w:val="28"/>
          <w:szCs w:val="28"/>
        </w:rPr>
      </w:pPr>
      <w:r>
        <w:rPr>
          <w:rFonts w:hint="eastAsia" w:ascii="仿宋_GB2312" w:eastAsia="仿宋_GB2312"/>
          <w:sz w:val="28"/>
          <w:szCs w:val="28"/>
        </w:rPr>
        <w:t>（二）生活垃圾收运处置体系</w:t>
      </w:r>
    </w:p>
    <w:p w14:paraId="7EA25BF0">
      <w:pPr>
        <w:spacing w:after="0" w:line="360" w:lineRule="auto"/>
        <w:ind w:firstLine="560" w:firstLineChars="200"/>
        <w:rPr>
          <w:rFonts w:hint="eastAsia" w:ascii="仿宋_GB2312" w:eastAsia="仿宋_GB2312"/>
          <w:sz w:val="28"/>
          <w:szCs w:val="28"/>
        </w:rPr>
      </w:pPr>
      <w:r>
        <w:rPr>
          <w:rFonts w:hint="eastAsia" w:ascii="仿宋_GB2312" w:eastAsia="仿宋_GB2312"/>
          <w:sz w:val="28"/>
          <w:szCs w:val="28"/>
        </w:rPr>
        <w:t>一是分类收集系统。建立"户分类投放—移动压缩点暂存—新能源车直运"模式，推行"四分类"（可回收物、有害垃圾、易腐垃圾、其他垃圾）标准，城镇社区按100米服务半径配置智能回收箱，可回收物分拣率≥95%。二是转运系统。规划14座小型垃圾转运站（Ⅳ类、Ⅴ类），其中现状保留7座、近期新建4座、远期新增3座，服务半径≤3km，配套渗滤液收集和除臭系统，实现与安阳市静脉产业园焚烧发电厂（2250吨/日处理规模）无缝衔接。三是处置设施。依托市级静脉产业园实现生活垃圾全量焚烧发电，规划期末实现"原生垃圾零填埋"；易腐垃圾纳入城发利浦环保科技有限公司统一处理，近期处理能力23.43吨/日，远期77吨/日。</w:t>
      </w:r>
    </w:p>
    <w:p w14:paraId="35AE0BEF">
      <w:pPr>
        <w:spacing w:after="0" w:line="360" w:lineRule="auto"/>
        <w:ind w:firstLine="560" w:firstLineChars="200"/>
        <w:rPr>
          <w:rFonts w:hint="eastAsia" w:ascii="仿宋_GB2312" w:eastAsia="仿宋_GB2312"/>
          <w:sz w:val="28"/>
          <w:szCs w:val="28"/>
        </w:rPr>
      </w:pPr>
      <w:r>
        <w:rPr>
          <w:rFonts w:hint="eastAsia" w:ascii="仿宋_GB2312" w:eastAsia="仿宋_GB2312"/>
          <w:sz w:val="28"/>
          <w:szCs w:val="28"/>
        </w:rPr>
        <w:t>（三）其他固废收运处置</w:t>
      </w:r>
    </w:p>
    <w:p w14:paraId="710CB281">
      <w:pPr>
        <w:spacing w:after="0" w:line="360" w:lineRule="auto"/>
        <w:ind w:firstLine="560" w:firstLineChars="200"/>
        <w:rPr>
          <w:rFonts w:hint="eastAsia" w:ascii="仿宋_GB2312" w:eastAsia="仿宋_GB2312"/>
          <w:sz w:val="28"/>
          <w:szCs w:val="28"/>
        </w:rPr>
      </w:pPr>
      <w:r>
        <w:rPr>
          <w:rFonts w:hint="eastAsia" w:ascii="仿宋_GB2312" w:eastAsia="仿宋_GB2312"/>
          <w:sz w:val="28"/>
          <w:szCs w:val="28"/>
        </w:rPr>
        <w:t>建筑垃圾：推行"源头管控—中转运输—末端处理"体系，规划期末建筑垃圾资源化率≥90%，全部纳入安阳静脉产业园建筑垃圾综合处理厂统一处理，年处理规模39.35万吨。粪便：建立"化粪池预处理+吸粪车密闭运输+静脉产业园联合厌氧处理"模式，近期处理量19.5吨/日，远期52.5吨/日，处理率100%。医疗垃圾：严格执行"日产日清"，由具备资质企业收运至安阳洹祥医疗废弃物处理厂统一处置。大件垃圾：依托韩陵山大件垃圾处理中心及规划建设的北关区大件垃圾处理中心，建立预约收运和定点投放体系，实现拆解破碎后资源化利用。水面垃圾：针对茶店坡沟等水域，规划6座水面垃圾起岸点、4座转运码头，配置机动船4艘，实现"水岸协同"保洁。</w:t>
      </w:r>
    </w:p>
    <w:p w14:paraId="0F28E12C">
      <w:pPr>
        <w:spacing w:after="0" w:line="360" w:lineRule="auto"/>
        <w:ind w:firstLine="560" w:firstLineChars="200"/>
        <w:rPr>
          <w:rFonts w:hint="eastAsia" w:ascii="仿宋_GB2312" w:eastAsia="仿宋_GB2312"/>
          <w:sz w:val="28"/>
          <w:szCs w:val="28"/>
        </w:rPr>
      </w:pPr>
      <w:r>
        <w:rPr>
          <w:rFonts w:hint="eastAsia" w:ascii="仿宋_GB2312" w:eastAsia="仿宋_GB2312"/>
          <w:sz w:val="28"/>
          <w:szCs w:val="28"/>
        </w:rPr>
        <w:t>（四）环卫配套设施规划</w:t>
      </w:r>
    </w:p>
    <w:p w14:paraId="2E531473">
      <w:pPr>
        <w:spacing w:after="0" w:line="360" w:lineRule="auto"/>
        <w:ind w:firstLine="560" w:firstLineChars="200"/>
        <w:rPr>
          <w:rFonts w:hint="eastAsia" w:ascii="仿宋_GB2312" w:eastAsia="仿宋_GB2312"/>
          <w:sz w:val="28"/>
          <w:szCs w:val="28"/>
        </w:rPr>
      </w:pPr>
      <w:r>
        <w:rPr>
          <w:rFonts w:hint="eastAsia" w:ascii="仿宋_GB2312" w:eastAsia="仿宋_GB2312"/>
          <w:sz w:val="28"/>
          <w:szCs w:val="28"/>
        </w:rPr>
        <w:t>公厕：规划98座二类以上公厕（现状保留22座、规划新建76座），其中近期新建7座，商业区、交通枢纽等区域不低于一类标准，全部配套无障碍设施和第三卫生间。环卫工人休息场所：结合公厕、转运站设置28处爱心驿站（现状保留7处、规划新建21处），每处建筑面积20-150</w:t>
      </w:r>
      <w:r>
        <w:rPr>
          <w:rFonts w:hint="eastAsia" w:ascii="微软雅黑" w:hAnsi="微软雅黑" w:eastAsia="微软雅黑" w:cs="微软雅黑"/>
          <w:sz w:val="28"/>
          <w:szCs w:val="28"/>
        </w:rPr>
        <w:t>㎡</w:t>
      </w:r>
      <w:r>
        <w:rPr>
          <w:rFonts w:hint="eastAsia" w:ascii="仿宋_GB2312" w:hAnsi="仿宋_GB2312" w:eastAsia="仿宋_GB2312" w:cs="仿宋_GB2312"/>
          <w:sz w:val="28"/>
          <w:szCs w:val="28"/>
        </w:rPr>
        <w:t>，解决环卫工人沿街露天休息问题。环卫停车场：规划新建</w:t>
      </w:r>
      <w:r>
        <w:rPr>
          <w:rFonts w:hint="eastAsia" w:ascii="仿宋_GB2312" w:eastAsia="仿宋_GB2312"/>
          <w:sz w:val="28"/>
          <w:szCs w:val="28"/>
        </w:rPr>
        <w:t>1处综合性停车维修基地（文明大道与振兴路交叉口东侧），用地面积2.24公顷，配套能源供给设施和过渡性环卫工人宿舍。智慧环卫：搭建县级智慧环卫监管平台，实时监控车辆轨迹、转运站负荷、公厕状态，试点AI识别纠正分类错误率≥90%，2025年前新能源车辆占比≥30%，2035年环卫车电动化率100%。</w:t>
      </w:r>
    </w:p>
    <w:p w14:paraId="444453D9">
      <w:pPr>
        <w:spacing w:after="0" w:line="360" w:lineRule="auto"/>
        <w:ind w:firstLine="560" w:firstLineChars="200"/>
        <w:rPr>
          <w:rFonts w:hint="eastAsia" w:ascii="仿宋_GB2312" w:eastAsia="仿宋_GB2312"/>
          <w:sz w:val="28"/>
          <w:szCs w:val="28"/>
        </w:rPr>
      </w:pPr>
      <w:r>
        <w:rPr>
          <w:rFonts w:hint="eastAsia" w:ascii="仿宋_GB2312" w:eastAsia="仿宋_GB2312"/>
          <w:sz w:val="28"/>
          <w:szCs w:val="28"/>
        </w:rPr>
        <w:t>（五）市场化运营与保障措施</w:t>
      </w:r>
    </w:p>
    <w:p w14:paraId="0C517E08">
      <w:pPr>
        <w:spacing w:after="0" w:line="360" w:lineRule="auto"/>
        <w:ind w:firstLine="560" w:firstLineChars="200"/>
        <w:rPr>
          <w:rFonts w:hint="eastAsia" w:ascii="仿宋_GB2312" w:eastAsia="仿宋_GB2312"/>
          <w:sz w:val="28"/>
          <w:szCs w:val="28"/>
        </w:rPr>
      </w:pPr>
      <w:r>
        <w:rPr>
          <w:rFonts w:hint="eastAsia" w:ascii="仿宋_GB2312" w:eastAsia="仿宋_GB2312"/>
          <w:sz w:val="28"/>
          <w:szCs w:val="28"/>
        </w:rPr>
        <w:t>提出BOT、BT、TOT等多元化投融资模式，鼓励社会资本参与转运站、公厕等设施建设运营。建立"双轨制"管理体制，推行环卫作业市场化准入机制，实现管干分离。制定环境卫生应急处置预案，建立暴雪、暴雨、地震等自然灾害及突发公共卫生事件的四级响应机制，确保垃圾物流畅通。</w:t>
      </w:r>
    </w:p>
    <w:p w14:paraId="2D5CB659">
      <w:pPr>
        <w:spacing w:after="0" w:line="360" w:lineRule="auto"/>
        <w:ind w:firstLine="560" w:firstLineChars="200"/>
        <w:rPr>
          <w:rFonts w:hint="eastAsia" w:ascii="黑体" w:hAnsi="黑体" w:eastAsia="黑体"/>
          <w:sz w:val="28"/>
          <w:szCs w:val="28"/>
        </w:rPr>
      </w:pPr>
      <w:r>
        <w:rPr>
          <w:rFonts w:hint="eastAsia" w:ascii="黑体" w:hAnsi="黑体" w:eastAsia="黑体"/>
          <w:sz w:val="28"/>
          <w:szCs w:val="28"/>
        </w:rPr>
        <w:t>四、规划特色与预期效果</w:t>
      </w:r>
    </w:p>
    <w:p w14:paraId="58CC4C12">
      <w:pPr>
        <w:spacing w:after="0" w:line="360" w:lineRule="auto"/>
        <w:ind w:firstLine="560" w:firstLineChars="200"/>
        <w:rPr>
          <w:rFonts w:hint="eastAsia" w:ascii="仿宋_GB2312" w:eastAsia="仿宋_GB2312"/>
          <w:sz w:val="28"/>
          <w:szCs w:val="28"/>
        </w:rPr>
      </w:pPr>
      <w:r>
        <w:rPr>
          <w:rFonts w:hint="eastAsia" w:ascii="仿宋_GB2312" w:eastAsia="仿宋_GB2312"/>
          <w:sz w:val="28"/>
          <w:szCs w:val="28"/>
        </w:rPr>
        <w:t>（一）规划特色</w:t>
      </w:r>
    </w:p>
    <w:p w14:paraId="308F4347">
      <w:pPr>
        <w:spacing w:after="0" w:line="360" w:lineRule="auto"/>
        <w:ind w:firstLine="560" w:firstLineChars="200"/>
        <w:rPr>
          <w:rFonts w:hint="eastAsia" w:ascii="仿宋_GB2312" w:eastAsia="仿宋_GB2312"/>
          <w:sz w:val="28"/>
          <w:szCs w:val="28"/>
        </w:rPr>
      </w:pPr>
      <w:r>
        <w:rPr>
          <w:rFonts w:hint="eastAsia" w:ascii="仿宋_GB2312" w:eastAsia="仿宋_GB2312"/>
          <w:sz w:val="28"/>
          <w:szCs w:val="28"/>
        </w:rPr>
        <w:t>1. 多规协同，强化衔接。严格落实"多规合一"要求，规划期限、人口规模、用地边界与《安阳县国土空间总体规划（2021-2035年）》完全一致，设施布局与市级静脉产业园、县域综合交通体系充分衔接，确保"一张图"管理。</w:t>
      </w:r>
    </w:p>
    <w:p w14:paraId="0314D47C">
      <w:pPr>
        <w:spacing w:after="0" w:line="360" w:lineRule="auto"/>
        <w:ind w:firstLine="560" w:firstLineChars="200"/>
        <w:rPr>
          <w:rFonts w:hint="eastAsia" w:ascii="仿宋_GB2312" w:eastAsia="仿宋_GB2312"/>
          <w:sz w:val="28"/>
          <w:szCs w:val="28"/>
        </w:rPr>
      </w:pPr>
      <w:r>
        <w:rPr>
          <w:rFonts w:hint="eastAsia" w:ascii="仿宋_GB2312" w:eastAsia="仿宋_GB2312"/>
          <w:sz w:val="28"/>
          <w:szCs w:val="28"/>
        </w:rPr>
        <w:t>2. 城乡统筹，适度超前。坚持"区域统筹、合理布局、一次规划、分步实施"，近期以"补短板"为主，重点解决设施不足问题；远期以"提品质"为主，实现城乡环卫一体化，设施标准适度超前，满足2035年35万人口服务需求。</w:t>
      </w:r>
    </w:p>
    <w:p w14:paraId="51285CC8">
      <w:pPr>
        <w:spacing w:after="0" w:line="360" w:lineRule="auto"/>
        <w:ind w:firstLine="560" w:firstLineChars="200"/>
        <w:rPr>
          <w:rFonts w:hint="eastAsia" w:ascii="仿宋_GB2312" w:eastAsia="仿宋_GB2312"/>
          <w:sz w:val="28"/>
          <w:szCs w:val="28"/>
        </w:rPr>
      </w:pPr>
      <w:r>
        <w:rPr>
          <w:rFonts w:hint="eastAsia" w:ascii="仿宋_GB2312" w:eastAsia="仿宋_GB2312"/>
          <w:sz w:val="28"/>
          <w:szCs w:val="28"/>
        </w:rPr>
        <w:t>3. 智慧赋能，绿色低碳。积极响应国务院大规模设备更新政策，提出新能源车辆替代、智慧监管平台建设、AI垃圾分类识别等创新举措，规划期末环卫车电动化率100%，助力"双碳"目标实现。</w:t>
      </w:r>
    </w:p>
    <w:p w14:paraId="147C464B">
      <w:pPr>
        <w:spacing w:after="0" w:line="360" w:lineRule="auto"/>
        <w:ind w:firstLine="560" w:firstLineChars="200"/>
        <w:rPr>
          <w:rFonts w:hint="eastAsia" w:ascii="仿宋_GB2312" w:eastAsia="仿宋_GB2312"/>
          <w:sz w:val="28"/>
          <w:szCs w:val="28"/>
        </w:rPr>
      </w:pPr>
      <w:r>
        <w:rPr>
          <w:rFonts w:hint="eastAsia" w:ascii="仿宋_GB2312" w:eastAsia="仿宋_GB2312"/>
          <w:sz w:val="28"/>
          <w:szCs w:val="28"/>
        </w:rPr>
        <w:t>4. 因地制宜，人文关怀。结合安阳县"洹畔田园"城市特色，设施选址注重与茶店河生态景观带、礼湖公园等绿地的协调；同步规划建设环卫工人休息场所、过渡性宿舍，体现以人为本理念。</w:t>
      </w:r>
    </w:p>
    <w:p w14:paraId="7EA1695C">
      <w:pPr>
        <w:spacing w:after="0" w:line="360" w:lineRule="auto"/>
        <w:ind w:firstLine="560" w:firstLineChars="200"/>
        <w:rPr>
          <w:rFonts w:hint="eastAsia" w:ascii="仿宋_GB2312" w:eastAsia="仿宋_GB2312"/>
          <w:sz w:val="28"/>
          <w:szCs w:val="28"/>
        </w:rPr>
      </w:pPr>
      <w:r>
        <w:rPr>
          <w:rFonts w:hint="eastAsia" w:ascii="仿宋_GB2312" w:eastAsia="仿宋_GB2312"/>
          <w:sz w:val="28"/>
          <w:szCs w:val="28"/>
        </w:rPr>
        <w:t>（二）预期效果</w:t>
      </w:r>
    </w:p>
    <w:p w14:paraId="1153DE85">
      <w:pPr>
        <w:spacing w:after="0" w:line="360" w:lineRule="auto"/>
        <w:ind w:firstLine="560" w:firstLineChars="200"/>
        <w:rPr>
          <w:rFonts w:hint="eastAsia" w:ascii="仿宋_GB2312" w:eastAsia="仿宋_GB2312"/>
          <w:sz w:val="28"/>
          <w:szCs w:val="28"/>
        </w:rPr>
      </w:pPr>
      <w:r>
        <w:rPr>
          <w:rFonts w:hint="eastAsia" w:ascii="仿宋_GB2312" w:eastAsia="仿宋_GB2312"/>
          <w:sz w:val="28"/>
          <w:szCs w:val="28"/>
        </w:rPr>
        <w:t>通过《专项规划》实施，预计实现三方面目标：一是设施短板全面补齐。近期新增4座转运站、7座公厕、21处休息场所，城区公厕密度提升至1.5座/平方千米，机械化清扫率提升至95%，彻底扭转"设施滞后、分类粗放"现状。二是治理效能显著提升。建成智慧环卫平台，实现垃圾收运全流程数字化监管，垃圾分类覆盖率2025年达95%、2035年达100%，生活垃圾回收利用率从现状35%提升至50%，建筑垃圾资源化率超90%。三是人居环境持续改善。通过环卫设施均衡布局、容貌整治、应急体系完善，建成区道路保洁达标率100%，水面垃圾清捞率95%，为市民营造"整洁、有序、文明、优美、和谐"的城市环境，为争创省级卫生县城、建设豫北区域性中心城市提供坚实的环境卫生保障。</w:t>
      </w:r>
    </w:p>
    <w:p w14:paraId="598C3D9A">
      <w:pPr>
        <w:spacing w:after="0" w:line="360" w:lineRule="auto"/>
        <w:ind w:firstLine="560" w:firstLineChars="200"/>
        <w:rPr>
          <w:rFonts w:hint="eastAsia" w:ascii="黑体" w:hAnsi="黑体" w:eastAsia="黑体"/>
          <w:sz w:val="28"/>
          <w:szCs w:val="28"/>
        </w:rPr>
      </w:pPr>
      <w:r>
        <w:rPr>
          <w:rFonts w:hint="eastAsia" w:ascii="黑体" w:hAnsi="黑体" w:eastAsia="黑体"/>
          <w:sz w:val="28"/>
          <w:szCs w:val="28"/>
        </w:rPr>
        <w:t>五、下一步工作</w:t>
      </w:r>
    </w:p>
    <w:p w14:paraId="74241A01">
      <w:pPr>
        <w:spacing w:after="0" w:line="360" w:lineRule="auto"/>
        <w:ind w:firstLine="560" w:firstLineChars="200"/>
        <w:rPr>
          <w:rFonts w:hint="eastAsia" w:ascii="仿宋_GB2312" w:eastAsia="仿宋_GB2312"/>
          <w:sz w:val="28"/>
          <w:szCs w:val="28"/>
        </w:rPr>
      </w:pPr>
      <w:r>
        <w:rPr>
          <w:rFonts w:hint="eastAsia" w:ascii="仿宋_GB2312" w:eastAsia="仿宋_GB2312"/>
          <w:sz w:val="28"/>
          <w:szCs w:val="28"/>
        </w:rPr>
        <w:t>一是广泛征求意见。现面向社会公开征求意见，请各单位、社会各界人士对规划内容的科学性、合理性、可行性提出宝贵意见，重点对转运站选址、公厕布局、近期建设项目时序安排等方面提出建议。</w:t>
      </w:r>
    </w:p>
    <w:p w14:paraId="28068922">
      <w:pPr>
        <w:spacing w:after="0" w:line="360" w:lineRule="auto"/>
        <w:ind w:firstLine="560" w:firstLineChars="200"/>
        <w:rPr>
          <w:rFonts w:hint="eastAsia" w:ascii="仿宋_GB2312" w:eastAsia="仿宋_GB2312"/>
          <w:sz w:val="28"/>
          <w:szCs w:val="28"/>
        </w:rPr>
      </w:pPr>
      <w:r>
        <w:rPr>
          <w:rFonts w:hint="eastAsia" w:ascii="仿宋_GB2312" w:eastAsia="仿宋_GB2312"/>
          <w:sz w:val="28"/>
          <w:szCs w:val="28"/>
        </w:rPr>
        <w:t>二是修改完善报批。根据征求意见情况，对规划进行修改完善，按程序报请县规委会审议，并与《安阳县国土空间总体规划》同步报批，确保规划法定效力。</w:t>
      </w:r>
    </w:p>
    <w:p w14:paraId="1DC79F11">
      <w:pPr>
        <w:spacing w:after="0" w:line="360" w:lineRule="auto"/>
        <w:ind w:firstLine="560" w:firstLineChars="200"/>
        <w:rPr>
          <w:rFonts w:ascii="仿宋_GB2312" w:eastAsia="仿宋_GB2312"/>
          <w:sz w:val="28"/>
          <w:szCs w:val="28"/>
        </w:rPr>
      </w:pPr>
      <w:r>
        <w:rPr>
          <w:rFonts w:hint="eastAsia" w:ascii="仿宋_GB2312" w:eastAsia="仿宋_GB2312"/>
          <w:sz w:val="28"/>
          <w:szCs w:val="28"/>
        </w:rPr>
        <w:t>三是强化实施监督。规划批复后，建立年度实施计划机制，将近期建设项目纳入政府重点工程，明确责任单位和时节点，定期开展规划实施评估，确保各项目标任务落地见效，推动安阳县环境卫生事业高质量发展。</w:t>
      </w:r>
    </w:p>
    <w:p w14:paraId="2CC8CD69">
      <w:pPr>
        <w:spacing w:after="0" w:line="360" w:lineRule="auto"/>
        <w:ind w:firstLine="560" w:firstLineChars="200"/>
        <w:rPr>
          <w:rFonts w:hint="eastAsia" w:ascii="仿宋_GB2312" w:eastAsia="仿宋_GB2312"/>
          <w:sz w:val="28"/>
          <w:szCs w:val="28"/>
        </w:rPr>
      </w:pPr>
    </w:p>
    <w:p w14:paraId="0E2E0E1E">
      <w:pPr>
        <w:spacing w:after="0" w:line="360" w:lineRule="auto"/>
        <w:ind w:firstLine="562" w:firstLineChars="200"/>
        <w:jc w:val="right"/>
        <w:rPr>
          <w:rFonts w:hint="eastAsia" w:ascii="仿宋_GB2312" w:eastAsia="仿宋_GB2312"/>
          <w:b/>
          <w:bCs/>
          <w:sz w:val="28"/>
          <w:szCs w:val="28"/>
        </w:rPr>
      </w:pPr>
      <w:r>
        <w:rPr>
          <w:rFonts w:hint="eastAsia" w:ascii="仿宋_GB2312" w:eastAsia="仿宋_GB2312"/>
          <w:b/>
          <w:bCs/>
          <w:sz w:val="28"/>
          <w:szCs w:val="28"/>
        </w:rPr>
        <w:t>安阳县城市管理局</w:t>
      </w:r>
    </w:p>
    <w:p w14:paraId="3C1A08AB">
      <w:pPr>
        <w:spacing w:after="0" w:line="360" w:lineRule="auto"/>
        <w:ind w:firstLine="562" w:firstLineChars="200"/>
        <w:jc w:val="right"/>
        <w:rPr>
          <w:rFonts w:hint="eastAsia" w:ascii="仿宋_GB2312" w:eastAsia="仿宋_GB2312"/>
          <w:b/>
          <w:bCs/>
          <w:sz w:val="28"/>
          <w:szCs w:val="28"/>
        </w:rPr>
      </w:pPr>
      <w:bookmarkStart w:id="0" w:name="_GoBack"/>
      <w:bookmarkEnd w:id="0"/>
      <w:r>
        <w:rPr>
          <w:rFonts w:hint="eastAsia" w:ascii="仿宋_GB2312" w:eastAsia="仿宋_GB2312"/>
          <w:b/>
          <w:bCs/>
          <w:sz w:val="28"/>
          <w:szCs w:val="28"/>
        </w:rPr>
        <w:t>2026年4月</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5E4C"/>
    <w:rsid w:val="00084E5C"/>
    <w:rsid w:val="007365E4"/>
    <w:rsid w:val="00B37E44"/>
    <w:rsid w:val="00C82C12"/>
    <w:rsid w:val="00CA0EA2"/>
    <w:rsid w:val="00D75E4C"/>
    <w:rsid w:val="00EA4670"/>
    <w:rsid w:val="00EE6588"/>
    <w:rsid w:val="151767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styleId="2">
    <w:name w:val="heading 1"/>
    <w:basedOn w:val="1"/>
    <w:next w:val="1"/>
    <w:link w:val="17"/>
    <w:qFormat/>
    <w:uiPriority w:val="9"/>
    <w:pPr>
      <w:keepNext/>
      <w:keepLines/>
      <w:spacing w:before="480" w:after="80"/>
      <w:outlineLvl w:val="0"/>
    </w:pPr>
    <w:rPr>
      <w:rFonts w:asciiTheme="majorHAnsi" w:hAnsiTheme="majorHAnsi" w:eastAsiaTheme="majorEastAsia" w:cstheme="majorBidi"/>
      <w:color w:val="2F5597" w:themeColor="accent1" w:themeShade="BF"/>
      <w:sz w:val="48"/>
      <w:szCs w:val="48"/>
    </w:rPr>
  </w:style>
  <w:style w:type="paragraph" w:styleId="3">
    <w:name w:val="heading 2"/>
    <w:basedOn w:val="1"/>
    <w:next w:val="1"/>
    <w:link w:val="18"/>
    <w:semiHidden/>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40"/>
      <w:szCs w:val="40"/>
    </w:rPr>
  </w:style>
  <w:style w:type="paragraph" w:styleId="4">
    <w:name w:val="heading 3"/>
    <w:basedOn w:val="1"/>
    <w:next w:val="1"/>
    <w:link w:val="19"/>
    <w:semiHidden/>
    <w:unhideWhenUsed/>
    <w:qFormat/>
    <w:uiPriority w:val="9"/>
    <w:pPr>
      <w:keepNext/>
      <w:keepLines/>
      <w:spacing w:before="160" w:after="80"/>
      <w:outlineLvl w:val="2"/>
    </w:pPr>
    <w:rPr>
      <w:rFonts w:asciiTheme="majorHAnsi" w:hAnsiTheme="majorHAnsi" w:eastAsiaTheme="majorEastAsia" w:cstheme="majorBidi"/>
      <w:color w:val="2F5597" w:themeColor="accent1" w:themeShade="BF"/>
      <w:sz w:val="32"/>
      <w:szCs w:val="32"/>
    </w:rPr>
  </w:style>
  <w:style w:type="paragraph" w:styleId="5">
    <w:name w:val="heading 4"/>
    <w:basedOn w:val="1"/>
    <w:next w:val="1"/>
    <w:link w:val="20"/>
    <w:semiHidden/>
    <w:unhideWhenUsed/>
    <w:qFormat/>
    <w:uiPriority w:val="9"/>
    <w:pPr>
      <w:keepNext/>
      <w:keepLines/>
      <w:spacing w:before="80" w:after="40"/>
      <w:outlineLvl w:val="3"/>
    </w:pPr>
    <w:rPr>
      <w:rFonts w:cstheme="majorBidi"/>
      <w:color w:val="2F5597" w:themeColor="accent1" w:themeShade="BF"/>
      <w:sz w:val="28"/>
      <w:szCs w:val="28"/>
    </w:rPr>
  </w:style>
  <w:style w:type="paragraph" w:styleId="6">
    <w:name w:val="heading 5"/>
    <w:basedOn w:val="1"/>
    <w:next w:val="1"/>
    <w:link w:val="21"/>
    <w:semiHidden/>
    <w:unhideWhenUsed/>
    <w:qFormat/>
    <w:uiPriority w:val="9"/>
    <w:pPr>
      <w:keepNext/>
      <w:keepLines/>
      <w:spacing w:before="80" w:after="40"/>
      <w:outlineLvl w:val="4"/>
    </w:pPr>
    <w:rPr>
      <w:rFonts w:cstheme="majorBidi"/>
      <w:color w:val="2F5597" w:themeColor="accent1" w:themeShade="BF"/>
      <w:sz w:val="24"/>
    </w:rPr>
  </w:style>
  <w:style w:type="paragraph" w:styleId="7">
    <w:name w:val="heading 6"/>
    <w:basedOn w:val="1"/>
    <w:next w:val="1"/>
    <w:link w:val="22"/>
    <w:semiHidden/>
    <w:unhideWhenUsed/>
    <w:qFormat/>
    <w:uiPriority w:val="9"/>
    <w:pPr>
      <w:keepNext/>
      <w:keepLines/>
      <w:spacing w:before="40" w:after="0"/>
      <w:outlineLvl w:val="5"/>
    </w:pPr>
    <w:rPr>
      <w:rFonts w:cstheme="majorBidi"/>
      <w:b/>
      <w:bCs/>
      <w:color w:val="2F5597" w:themeColor="accent1" w:themeShade="BF"/>
    </w:rPr>
  </w:style>
  <w:style w:type="paragraph" w:styleId="8">
    <w:name w:val="heading 7"/>
    <w:basedOn w:val="1"/>
    <w:next w:val="1"/>
    <w:link w:val="23"/>
    <w:semiHidden/>
    <w:unhideWhenUsed/>
    <w:qFormat/>
    <w:uiPriority w:val="9"/>
    <w:pPr>
      <w:keepNext/>
      <w:keepLines/>
      <w:spacing w:before="40" w:after="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4"/>
    <w:semiHidden/>
    <w:unhideWhenUsed/>
    <w:qFormat/>
    <w:uiPriority w:val="9"/>
    <w:pPr>
      <w:keepNext/>
      <w:keepLines/>
      <w:spacing w:after="0"/>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5"/>
    <w:semiHidden/>
    <w:unhideWhenUsed/>
    <w:qFormat/>
    <w:uiPriority w:val="9"/>
    <w:pPr>
      <w:keepNext/>
      <w:keepLines/>
      <w:spacing w:after="0"/>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11">
    <w:name w:val="footer"/>
    <w:basedOn w:val="1"/>
    <w:link w:val="36"/>
    <w:unhideWhenUsed/>
    <w:qFormat/>
    <w:uiPriority w:val="99"/>
    <w:pPr>
      <w:tabs>
        <w:tab w:val="center" w:pos="4153"/>
        <w:tab w:val="right" w:pos="8306"/>
      </w:tabs>
      <w:snapToGrid w:val="0"/>
      <w:spacing w:line="240" w:lineRule="auto"/>
    </w:pPr>
    <w:rPr>
      <w:sz w:val="18"/>
      <w:szCs w:val="18"/>
    </w:rPr>
  </w:style>
  <w:style w:type="paragraph" w:styleId="12">
    <w:name w:val="header"/>
    <w:basedOn w:val="1"/>
    <w:link w:val="35"/>
    <w:unhideWhenUsed/>
    <w:qFormat/>
    <w:uiPriority w:val="99"/>
    <w:pPr>
      <w:tabs>
        <w:tab w:val="center" w:pos="4153"/>
        <w:tab w:val="right" w:pos="8306"/>
      </w:tabs>
      <w:snapToGrid w:val="0"/>
      <w:spacing w:line="240" w:lineRule="auto"/>
      <w:jc w:val="center"/>
    </w:pPr>
    <w:rPr>
      <w:sz w:val="18"/>
      <w:szCs w:val="18"/>
    </w:rPr>
  </w:style>
  <w:style w:type="paragraph" w:styleId="13">
    <w:name w:val="Subtitle"/>
    <w:basedOn w:val="1"/>
    <w:next w:val="1"/>
    <w:link w:val="27"/>
    <w:qFormat/>
    <w:uiPriority w:val="11"/>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Title"/>
    <w:basedOn w:val="1"/>
    <w:next w:val="1"/>
    <w:link w:val="26"/>
    <w:qFormat/>
    <w:uiPriority w:val="10"/>
    <w:pPr>
      <w:spacing w:after="80" w:line="240" w:lineRule="auto"/>
      <w:contextualSpacing/>
      <w:jc w:val="center"/>
    </w:pPr>
    <w:rPr>
      <w:rFonts w:asciiTheme="majorHAnsi" w:hAnsiTheme="majorHAnsi" w:eastAsiaTheme="majorEastAsia" w:cstheme="majorBidi"/>
      <w:spacing w:val="-10"/>
      <w:kern w:val="28"/>
      <w:sz w:val="56"/>
      <w:szCs w:val="56"/>
    </w:rPr>
  </w:style>
  <w:style w:type="character" w:customStyle="1" w:styleId="17">
    <w:name w:val="标题 1 字符"/>
    <w:basedOn w:val="16"/>
    <w:link w:val="2"/>
    <w:qFormat/>
    <w:uiPriority w:val="9"/>
    <w:rPr>
      <w:rFonts w:asciiTheme="majorHAnsi" w:hAnsiTheme="majorHAnsi" w:eastAsiaTheme="majorEastAsia" w:cstheme="majorBidi"/>
      <w:color w:val="2F5597" w:themeColor="accent1" w:themeShade="BF"/>
      <w:sz w:val="48"/>
      <w:szCs w:val="48"/>
    </w:rPr>
  </w:style>
  <w:style w:type="character" w:customStyle="1" w:styleId="18">
    <w:name w:val="标题 2 字符"/>
    <w:basedOn w:val="16"/>
    <w:link w:val="3"/>
    <w:semiHidden/>
    <w:uiPriority w:val="9"/>
    <w:rPr>
      <w:rFonts w:asciiTheme="majorHAnsi" w:hAnsiTheme="majorHAnsi" w:eastAsiaTheme="majorEastAsia" w:cstheme="majorBidi"/>
      <w:color w:val="2F5597" w:themeColor="accent1" w:themeShade="BF"/>
      <w:sz w:val="40"/>
      <w:szCs w:val="40"/>
    </w:rPr>
  </w:style>
  <w:style w:type="character" w:customStyle="1" w:styleId="19">
    <w:name w:val="标题 3 字符"/>
    <w:basedOn w:val="16"/>
    <w:link w:val="4"/>
    <w:semiHidden/>
    <w:qFormat/>
    <w:uiPriority w:val="9"/>
    <w:rPr>
      <w:rFonts w:asciiTheme="majorHAnsi" w:hAnsiTheme="majorHAnsi" w:eastAsiaTheme="majorEastAsia" w:cstheme="majorBidi"/>
      <w:color w:val="2F5597" w:themeColor="accent1" w:themeShade="BF"/>
      <w:sz w:val="32"/>
      <w:szCs w:val="32"/>
    </w:rPr>
  </w:style>
  <w:style w:type="character" w:customStyle="1" w:styleId="20">
    <w:name w:val="标题 4 字符"/>
    <w:basedOn w:val="16"/>
    <w:link w:val="5"/>
    <w:semiHidden/>
    <w:qFormat/>
    <w:uiPriority w:val="9"/>
    <w:rPr>
      <w:rFonts w:cstheme="majorBidi"/>
      <w:color w:val="2F5597" w:themeColor="accent1" w:themeShade="BF"/>
      <w:sz w:val="28"/>
      <w:szCs w:val="28"/>
    </w:rPr>
  </w:style>
  <w:style w:type="character" w:customStyle="1" w:styleId="21">
    <w:name w:val="标题 5 字符"/>
    <w:basedOn w:val="16"/>
    <w:link w:val="6"/>
    <w:semiHidden/>
    <w:qFormat/>
    <w:uiPriority w:val="9"/>
    <w:rPr>
      <w:rFonts w:cstheme="majorBidi"/>
      <w:color w:val="2F5597" w:themeColor="accent1" w:themeShade="BF"/>
      <w:sz w:val="24"/>
    </w:rPr>
  </w:style>
  <w:style w:type="character" w:customStyle="1" w:styleId="22">
    <w:name w:val="标题 6 字符"/>
    <w:basedOn w:val="16"/>
    <w:link w:val="7"/>
    <w:semiHidden/>
    <w:qFormat/>
    <w:uiPriority w:val="9"/>
    <w:rPr>
      <w:rFonts w:cstheme="majorBidi"/>
      <w:b/>
      <w:bCs/>
      <w:color w:val="2F5597" w:themeColor="accent1" w:themeShade="BF"/>
    </w:rPr>
  </w:style>
  <w:style w:type="character" w:customStyle="1" w:styleId="23">
    <w:name w:val="标题 7 字符"/>
    <w:basedOn w:val="16"/>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4">
    <w:name w:val="标题 8 字符"/>
    <w:basedOn w:val="16"/>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5">
    <w:name w:val="标题 9 字符"/>
    <w:basedOn w:val="16"/>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6">
    <w:name w:val="标题 字符"/>
    <w:basedOn w:val="16"/>
    <w:link w:val="14"/>
    <w:qFormat/>
    <w:uiPriority w:val="10"/>
    <w:rPr>
      <w:rFonts w:asciiTheme="majorHAnsi" w:hAnsiTheme="majorHAnsi" w:eastAsiaTheme="majorEastAsia" w:cstheme="majorBidi"/>
      <w:spacing w:val="-10"/>
      <w:kern w:val="28"/>
      <w:sz w:val="56"/>
      <w:szCs w:val="56"/>
    </w:rPr>
  </w:style>
  <w:style w:type="character" w:customStyle="1" w:styleId="27">
    <w:name w:val="副标题 字符"/>
    <w:basedOn w:val="16"/>
    <w:link w:val="13"/>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8">
    <w:name w:val="Quote"/>
    <w:basedOn w:val="1"/>
    <w:next w:val="1"/>
    <w:link w:val="29"/>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29">
    <w:name w:val="引用 字符"/>
    <w:basedOn w:val="16"/>
    <w:link w:val="28"/>
    <w:qFormat/>
    <w:uiPriority w:val="29"/>
    <w:rPr>
      <w:i/>
      <w:iCs/>
      <w:color w:val="404040" w:themeColor="text1" w:themeTint="BF"/>
      <w14:textFill>
        <w14:solidFill>
          <w14:schemeClr w14:val="tx1">
            <w14:lumMod w14:val="75000"/>
            <w14:lumOff w14:val="25000"/>
          </w14:schemeClr>
        </w14:solidFill>
      </w14:textFill>
    </w:rPr>
  </w:style>
  <w:style w:type="paragraph" w:styleId="30">
    <w:name w:val="List Paragraph"/>
    <w:basedOn w:val="1"/>
    <w:qFormat/>
    <w:uiPriority w:val="34"/>
    <w:pPr>
      <w:ind w:left="720"/>
      <w:contextualSpacing/>
    </w:pPr>
  </w:style>
  <w:style w:type="character" w:customStyle="1" w:styleId="31">
    <w:name w:val="Intense Emphasis"/>
    <w:basedOn w:val="16"/>
    <w:qFormat/>
    <w:uiPriority w:val="21"/>
    <w:rPr>
      <w:i/>
      <w:iCs/>
      <w:color w:val="2F5597" w:themeColor="accent1" w:themeShade="BF"/>
    </w:rPr>
  </w:style>
  <w:style w:type="paragraph" w:styleId="32">
    <w:name w:val="Intense Quote"/>
    <w:basedOn w:val="1"/>
    <w:next w:val="1"/>
    <w:link w:val="33"/>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3">
    <w:name w:val="明显引用 字符"/>
    <w:basedOn w:val="16"/>
    <w:link w:val="32"/>
    <w:qFormat/>
    <w:uiPriority w:val="30"/>
    <w:rPr>
      <w:i/>
      <w:iCs/>
      <w:color w:val="2F5597" w:themeColor="accent1" w:themeShade="BF"/>
    </w:rPr>
  </w:style>
  <w:style w:type="character" w:customStyle="1" w:styleId="34">
    <w:name w:val="Intense Reference"/>
    <w:basedOn w:val="16"/>
    <w:qFormat/>
    <w:uiPriority w:val="32"/>
    <w:rPr>
      <w:b/>
      <w:bCs/>
      <w:smallCaps/>
      <w:color w:val="2F5597" w:themeColor="accent1" w:themeShade="BF"/>
      <w:spacing w:val="5"/>
    </w:rPr>
  </w:style>
  <w:style w:type="character" w:customStyle="1" w:styleId="35">
    <w:name w:val="页眉 字符"/>
    <w:basedOn w:val="16"/>
    <w:link w:val="12"/>
    <w:qFormat/>
    <w:uiPriority w:val="99"/>
    <w:rPr>
      <w:sz w:val="18"/>
      <w:szCs w:val="18"/>
    </w:rPr>
  </w:style>
  <w:style w:type="character" w:customStyle="1" w:styleId="36">
    <w:name w:val="页脚 字符"/>
    <w:basedOn w:val="16"/>
    <w:link w:val="11"/>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4018</Words>
  <Characters>4326</Characters>
  <Lines>31</Lines>
  <Paragraphs>8</Paragraphs>
  <TotalTime>173</TotalTime>
  <ScaleCrop>false</ScaleCrop>
  <LinksUpToDate>false</LinksUpToDate>
  <CharactersWithSpaces>4342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2026-04-01T03:30:00Z</dcterms:created>
  <dc:creator>zhicheng zhang</dc:creator>
  <cp:lastModifiedBy>跌宕人间</cp:lastModifiedBy>
  <dcterms:modified xsi:type="dcterms:W3CDTF">2026-04-03T00:52:34Z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eyJoZGlkIjoiYzdkYjIwMzYwMmE4MTVlMmM5NTAyNGMyNTM3YThjODIiLCJ1c2VySWQiOiI4MzUxMDI1ODkifQ==</vt:lpwstr>
  </property>
  <property fmtid="{D5CDD505-2E9C-101B-9397-08002B2CF9AE}" pid="3" name="KSOProductBuildVer">
    <vt:lpwstr>2052-12.1.0.25225</vt:lpwstr>
  </property>
  <property fmtid="{D5CDD505-2E9C-101B-9397-08002B2CF9AE}" pid="4" name="ICV">
    <vt:lpwstr>28208686F3F84171BE400E80928A4ED2_12</vt:lpwstr>
  </property>
</Properties>
</file>