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3C30D4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7754F74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223041F4">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安县环开〔202</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号</w:t>
      </w:r>
    </w:p>
    <w:p w14:paraId="67326DF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cs="Times New Roman"/>
          <w:b/>
          <w:sz w:val="36"/>
          <w:szCs w:val="36"/>
        </w:rPr>
      </w:pPr>
    </w:p>
    <w:p w14:paraId="528F1483">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100"/>
          <w:sz w:val="44"/>
          <w:szCs w:val="44"/>
        </w:rPr>
        <w:t>安阳市生态环境局安阳县分局</w:t>
      </w:r>
    </w:p>
    <w:p w14:paraId="6F5CD29B">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100"/>
          <w:sz w:val="44"/>
          <w:szCs w:val="44"/>
        </w:rPr>
        <w:t>关于安阳县水利局安阳河（安阳县段）流域</w:t>
      </w:r>
    </w:p>
    <w:p w14:paraId="581C86EB">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100"/>
          <w:sz w:val="44"/>
          <w:szCs w:val="44"/>
        </w:rPr>
        <w:t>水生态修复工程环境影响报告表的批复</w:t>
      </w:r>
    </w:p>
    <w:p w14:paraId="05B888A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仿宋" w:cs="Times New Roman"/>
          <w:spacing w:val="-34"/>
          <w:sz w:val="44"/>
          <w:szCs w:val="44"/>
        </w:rPr>
      </w:pPr>
    </w:p>
    <w:p w14:paraId="3FA33220">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hint="default" w:ascii="Times New Roman" w:hAnsi="Times New Roman" w:eastAsia="仿宋" w:cs="Times New Roman"/>
          <w:bCs/>
          <w:color w:val="000000"/>
          <w:sz w:val="32"/>
          <w:szCs w:val="32"/>
        </w:rPr>
      </w:pPr>
      <w:r>
        <w:rPr>
          <w:rFonts w:hint="eastAsia" w:ascii="Times New Roman" w:hAnsi="Times New Roman" w:eastAsia="仿宋" w:cs="Times New Roman"/>
          <w:color w:val="000000"/>
          <w:sz w:val="32"/>
          <w:szCs w:val="32"/>
          <w:lang w:eastAsia="zh-CN"/>
        </w:rPr>
        <w:t>安阳县水利局</w:t>
      </w:r>
      <w:r>
        <w:rPr>
          <w:rFonts w:hint="default" w:ascii="Times New Roman" w:hAnsi="Times New Roman" w:eastAsia="仿宋" w:cs="Times New Roman"/>
          <w:color w:val="000000"/>
          <w:sz w:val="32"/>
          <w:szCs w:val="32"/>
        </w:rPr>
        <w:t>：</w:t>
      </w:r>
    </w:p>
    <w:p w14:paraId="282E757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FF"/>
          <w:sz w:val="32"/>
          <w:szCs w:val="32"/>
        </w:rPr>
      </w:pPr>
      <w:r>
        <w:rPr>
          <w:rFonts w:hint="default" w:ascii="Times New Roman" w:hAnsi="Times New Roman" w:eastAsia="仿宋" w:cs="Times New Roman"/>
          <w:color w:val="auto"/>
          <w:sz w:val="32"/>
          <w:szCs w:val="32"/>
        </w:rPr>
        <w:t>你单位（</w:t>
      </w:r>
      <w:r>
        <w:rPr>
          <w:rFonts w:hint="default" w:ascii="Times New Roman" w:hAnsi="Times New Roman" w:eastAsia="仿宋" w:cs="Times New Roman"/>
          <w:color w:val="auto"/>
          <w:sz w:val="32"/>
          <w:szCs w:val="32"/>
          <w:lang w:val="en-US" w:eastAsia="zh-CN"/>
        </w:rPr>
        <w:t>统一社会信用代码114105220056022032</w:t>
      </w:r>
      <w:r>
        <w:rPr>
          <w:rFonts w:hint="default" w:ascii="Times New Roman" w:hAnsi="Times New Roman" w:eastAsia="仿宋" w:cs="Times New Roman"/>
          <w:color w:val="auto"/>
          <w:sz w:val="32"/>
          <w:szCs w:val="32"/>
        </w:rPr>
        <w:t>）报送的由郑州大学环境技术咨询工程有限公司编制完成的《安阳县水利局安阳河（安阳县段）流域水生态修复工程环境影响报告表》（</w:t>
      </w:r>
      <w:r>
        <w:rPr>
          <w:rFonts w:hint="default" w:ascii="Times New Roman" w:hAnsi="Times New Roman" w:eastAsia="仿宋" w:cs="Times New Roman"/>
          <w:color w:val="000000"/>
          <w:sz w:val="32"/>
          <w:szCs w:val="32"/>
        </w:rPr>
        <w:t>以下简称《报告表》）收悉。该项目审批事项在安阳县</w:t>
      </w:r>
      <w:r>
        <w:rPr>
          <w:rFonts w:hint="eastAsia" w:ascii="Times New Roman" w:hAnsi="Times New Roman" w:eastAsia="仿宋" w:cs="Times New Roman"/>
          <w:color w:val="000000"/>
          <w:sz w:val="32"/>
          <w:szCs w:val="32"/>
          <w:lang w:eastAsia="zh-CN"/>
        </w:rPr>
        <w:t>人民政府</w:t>
      </w:r>
      <w:r>
        <w:rPr>
          <w:rFonts w:hint="default" w:ascii="Times New Roman" w:hAnsi="Times New Roman" w:eastAsia="仿宋" w:cs="Times New Roman"/>
          <w:color w:val="000000"/>
          <w:sz w:val="32"/>
          <w:szCs w:val="32"/>
        </w:rPr>
        <w:t>网站公示期</w:t>
      </w:r>
      <w:r>
        <w:rPr>
          <w:rFonts w:hint="default" w:ascii="Times New Roman" w:hAnsi="Times New Roman" w:eastAsia="仿宋" w:cs="Times New Roman"/>
          <w:color w:val="auto"/>
          <w:sz w:val="32"/>
          <w:szCs w:val="32"/>
        </w:rPr>
        <w:t>满。根据《中华人民共和国环境保护法》第十九条、《中华人民共和国行政许可法》第三十八条、《中华人民共和国环境影响评价法》第二十二条、《建设项目环境保护管理条例》第九条第二款等法律法规规定，经研究，批复如下：</w:t>
      </w:r>
    </w:p>
    <w:p w14:paraId="7264C80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eastAsia"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安阳县水利局安阳河</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eastAsia="zh-CN"/>
        </w:rPr>
        <w:t>安阳县段</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eastAsia="zh-CN"/>
        </w:rPr>
        <w:t>流域水生态修复工程，生态修复范围为北起安阳县安阳河韩化桥，东至安阳县内黄交界，东西两侧在河道管理范围内，河道长度26.82km，生态修复总面积60.46hm</w:t>
      </w:r>
      <w:r>
        <w:rPr>
          <w:rFonts w:hint="default" w:ascii="Times New Roman" w:hAnsi="Times New Roman" w:eastAsia="仿宋" w:cs="Times New Roman"/>
          <w:color w:val="auto"/>
          <w:sz w:val="32"/>
          <w:szCs w:val="32"/>
          <w:vertAlign w:val="superscript"/>
          <w:lang w:eastAsia="zh-CN"/>
        </w:rPr>
        <w:t>2</w:t>
      </w:r>
      <w:r>
        <w:rPr>
          <w:rFonts w:hint="eastAsia" w:ascii="Times New Roman" w:hAnsi="Times New Roman" w:eastAsia="仿宋" w:cs="Times New Roman"/>
          <w:color w:val="auto"/>
          <w:sz w:val="32"/>
          <w:szCs w:val="32"/>
          <w:lang w:eastAsia="zh-CN"/>
        </w:rPr>
        <w:t>。</w:t>
      </w:r>
    </w:p>
    <w:p w14:paraId="2CE1BC1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主要建设内容：实施内容包括河流生态缓冲带工程、生态净化塘工程、水生植被恢复工程、生态护坡工程等。其中，在安阳河（韩化桥-内黄交界处）26.82km河段构建河流生态缓冲带；安阳河（辛村镇区段）2.82km河段（总面积1.41hm</w:t>
      </w:r>
      <w:r>
        <w:rPr>
          <w:rFonts w:hint="eastAsia" w:ascii="Times New Roman" w:hAnsi="Times New Roman" w:eastAsia="仿宋" w:cs="Times New Roman"/>
          <w:color w:val="auto"/>
          <w:sz w:val="32"/>
          <w:szCs w:val="32"/>
          <w:vertAlign w:val="superscript"/>
          <w:lang w:val="en-US" w:eastAsia="zh-CN"/>
        </w:rPr>
        <w:t>2</w:t>
      </w:r>
      <w:r>
        <w:rPr>
          <w:rFonts w:hint="eastAsia" w:ascii="Times New Roman" w:hAnsi="Times New Roman" w:eastAsia="仿宋" w:cs="Times New Roman"/>
          <w:color w:val="auto"/>
          <w:sz w:val="32"/>
          <w:szCs w:val="32"/>
          <w:lang w:val="en-US" w:eastAsia="zh-CN"/>
        </w:rPr>
        <w:t>）实施水生植被恢复；利用安阳河（安阳县段）太保沟附近可用滩地坑塘，进行边岸改造，建设生态净化塘，总面积0.26hm</w:t>
      </w:r>
      <w:r>
        <w:rPr>
          <w:rFonts w:hint="eastAsia" w:ascii="Times New Roman" w:hAnsi="Times New Roman" w:eastAsia="仿宋" w:cs="Times New Roman"/>
          <w:color w:val="auto"/>
          <w:sz w:val="32"/>
          <w:szCs w:val="32"/>
          <w:vertAlign w:val="superscript"/>
          <w:lang w:val="en-US" w:eastAsia="zh-CN"/>
        </w:rPr>
        <w:t>2</w:t>
      </w:r>
      <w:r>
        <w:rPr>
          <w:rFonts w:hint="eastAsia" w:ascii="Times New Roman" w:hAnsi="Times New Roman" w:eastAsia="仿宋" w:cs="Times New Roman"/>
          <w:color w:val="auto"/>
          <w:sz w:val="32"/>
          <w:szCs w:val="32"/>
          <w:lang w:val="en-US" w:eastAsia="zh-CN"/>
        </w:rPr>
        <w:t>；安阳河（韩化桥一内黄县界处）26.82km构建生态护坡工程</w:t>
      </w:r>
      <w:bookmarkStart w:id="0" w:name="_GoBack"/>
      <w:bookmarkEnd w:id="0"/>
      <w:r>
        <w:rPr>
          <w:rFonts w:hint="eastAsia" w:ascii="Times New Roman" w:hAnsi="Times New Roman" w:eastAsia="仿宋" w:cs="Times New Roman"/>
          <w:color w:val="auto"/>
          <w:sz w:val="32"/>
          <w:szCs w:val="32"/>
          <w:lang w:val="en-US" w:eastAsia="zh-CN"/>
        </w:rPr>
        <w:t>。</w:t>
      </w:r>
    </w:p>
    <w:p w14:paraId="5A9C29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二、</w:t>
      </w:r>
      <w:r>
        <w:rPr>
          <w:rFonts w:hint="default" w:ascii="Times New Roman" w:hAnsi="Times New Roman" w:eastAsia="仿宋" w:cs="Times New Roman"/>
          <w:color w:val="000000"/>
          <w:sz w:val="32"/>
          <w:szCs w:val="32"/>
        </w:rPr>
        <w:t>经审查，该《报告表》内容符合国家有关法律法规要求和建设项目环境管理规定，我局批准该《报告表》，原则同意你单位按照《报告表》所列项目的建设内容和生态环境保护措施进行建设。</w:t>
      </w:r>
    </w:p>
    <w:p w14:paraId="31BEBA2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三、你单位应向社会公众主动公开批准的《报告表》，并接受相关方的垂询。</w:t>
      </w:r>
    </w:p>
    <w:p w14:paraId="4B9D1D0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四、你单位应全面落实《报告表》提出的各项生态环境保护措施，</w:t>
      </w:r>
      <w:r>
        <w:rPr>
          <w:rFonts w:ascii="仿宋_GB2312" w:hAnsi="宋体" w:eastAsia="仿宋_GB2312" w:cs="仿宋_GB2312"/>
          <w:i w:val="0"/>
          <w:iCs w:val="0"/>
          <w:caps w:val="0"/>
          <w:color w:val="000000"/>
          <w:spacing w:val="0"/>
          <w:sz w:val="31"/>
          <w:szCs w:val="31"/>
          <w:shd w:val="clear" w:fill="FFFFFF"/>
        </w:rPr>
        <w:t>各项环境保护设施与主体工程同时设计、同时施工、同时投入使用，确保各项污染物达标排放。</w:t>
      </w:r>
    </w:p>
    <w:p w14:paraId="37229B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55" w:lineRule="atLeast"/>
        <w:ind w:left="0" w:right="0" w:firstLine="645"/>
        <w:jc w:val="both"/>
        <w:textAlignment w:val="top"/>
        <w:rPr>
          <w:rFonts w:ascii="Calibri" w:hAnsi="Calibri" w:cs="Calibri"/>
          <w:i w:val="0"/>
          <w:iCs w:val="0"/>
          <w:caps w:val="0"/>
          <w:color w:val="000000"/>
          <w:spacing w:val="0"/>
          <w:sz w:val="21"/>
          <w:szCs w:val="21"/>
        </w:rPr>
      </w:pPr>
      <w:r>
        <w:rPr>
          <w:rFonts w:hint="default" w:ascii="Times New Roman" w:hAnsi="Times New Roman" w:eastAsia="仿宋" w:cs="Times New Roman"/>
          <w:color w:val="000000"/>
          <w:sz w:val="32"/>
          <w:szCs w:val="32"/>
        </w:rPr>
        <w:t>（一）</w:t>
      </w:r>
      <w:r>
        <w:rPr>
          <w:rFonts w:ascii="仿宋_GB2312" w:hAnsi="Calibri" w:eastAsia="仿宋_GB2312" w:cs="仿宋_GB2312"/>
          <w:i w:val="0"/>
          <w:iCs w:val="0"/>
          <w:caps w:val="0"/>
          <w:color w:val="000000"/>
          <w:spacing w:val="0"/>
          <w:sz w:val="31"/>
          <w:szCs w:val="31"/>
          <w:shd w:val="clear" w:fill="FFFFFF"/>
        </w:rPr>
        <w:t>向设计单位提供《报告表》和本批复文件，确保项目设计符合环境保护设计规范要求，落实防治环境污染和生态破坏的措施。</w:t>
      </w:r>
    </w:p>
    <w:p w14:paraId="33B37BC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55" w:lineRule="atLeast"/>
        <w:ind w:left="0" w:right="0" w:firstLine="645"/>
        <w:jc w:val="both"/>
        <w:textAlignment w:val="top"/>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shd w:val="clear" w:fill="FFFFFF"/>
        </w:rPr>
        <w:t>（二）依据《报告表》和本批复文件，对项目建设和运行过程中产生的废气、废水、噪声、固体废物等污染，以及因施工对生态环境造成的破坏，采取相应的防治措施及生态环境影响减缓措施。</w:t>
      </w:r>
    </w:p>
    <w:p w14:paraId="781AD9B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55" w:lineRule="atLeast"/>
        <w:ind w:left="0" w:right="0" w:firstLine="645"/>
        <w:jc w:val="both"/>
        <w:textAlignment w:val="top"/>
        <w:rPr>
          <w:rFonts w:hint="default" w:ascii="Times New Roman" w:hAnsi="Times New Roman" w:eastAsia="仿宋" w:cs="Times New Roman"/>
          <w:color w:val="auto"/>
          <w:sz w:val="32"/>
          <w:szCs w:val="32"/>
        </w:rPr>
      </w:pPr>
      <w:r>
        <w:rPr>
          <w:rFonts w:hint="default" w:ascii="仿宋_GB2312" w:hAnsi="Calibri" w:eastAsia="仿宋_GB2312" w:cs="仿宋_GB2312"/>
          <w:i w:val="0"/>
          <w:iCs w:val="0"/>
          <w:caps w:val="0"/>
          <w:color w:val="auto"/>
          <w:spacing w:val="0"/>
          <w:sz w:val="31"/>
          <w:szCs w:val="31"/>
          <w:shd w:val="clear" w:fill="FFFFFF"/>
        </w:rPr>
        <w:t>（三）项目污染控制应满足以下要求：</w:t>
      </w:r>
    </w:p>
    <w:p w14:paraId="5AF8FFF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生态环境。施工活动开始之前，需制定详细的施工方案，限定施工人员的活动区域，尽量控制施工作业范围，合理安排施工期。施工期应进行表土剥离，严格控制作业面积并按照水土保持方案采取防尘布覆盖等措施控制水土流失。项目施工期结束后表土回填进行生态恢复，保证生态恢复数量和质量。</w:t>
      </w:r>
    </w:p>
    <w:p w14:paraId="7EB8CA0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废气。施工期废气包括施工扬尘、机械及车辆尾气、淤泥恶臭，施工场地设置围挡，洒水抑尘；加强对施工机械燃料的管理，车辆定期检修与保养、做好交通组织等；喷洒除臭剂，减少臭气排放。施工期废气应满足《大气污染物综合排放标准（GB16297-1996）》和《恶臭污染物排放标准（GB14554-1993）》要求。</w:t>
      </w:r>
    </w:p>
    <w:p w14:paraId="4088B98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eastAsia"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3.废水。机械及车辆冲洗废水经沉淀处理后全部回用于施工区洒水降尘；淤泥退水经沉淀后，上清液排入河道做生态补水；生活污水利用化粪池处理后用作农肥，不外排</w:t>
      </w:r>
      <w:r>
        <w:rPr>
          <w:rFonts w:hint="eastAsia" w:ascii="Times New Roman" w:hAnsi="Times New Roman" w:eastAsia="仿宋" w:cs="Times New Roman"/>
          <w:color w:val="auto"/>
          <w:sz w:val="32"/>
          <w:szCs w:val="32"/>
          <w:lang w:eastAsia="zh-CN"/>
        </w:rPr>
        <w:t>。</w:t>
      </w:r>
    </w:p>
    <w:p w14:paraId="7C7B4C2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4.噪声。选用低噪声设备，合理安排施工时间</w:t>
      </w:r>
      <w:r>
        <w:rPr>
          <w:rFonts w:hint="eastAsia" w:ascii="Times New Roman" w:hAnsi="Times New Roman" w:eastAsia="仿宋" w:cs="Times New Roman"/>
          <w:color w:val="auto"/>
          <w:sz w:val="32"/>
          <w:szCs w:val="32"/>
          <w:lang w:eastAsia="zh-CN"/>
        </w:rPr>
        <w:t>，科学制定施工计划，严禁夜间施工</w:t>
      </w:r>
      <w:r>
        <w:rPr>
          <w:rFonts w:hint="default" w:ascii="Times New Roman" w:hAnsi="Times New Roman" w:eastAsia="仿宋" w:cs="Times New Roman"/>
          <w:color w:val="auto"/>
          <w:sz w:val="32"/>
          <w:szCs w:val="32"/>
        </w:rPr>
        <w:t>；在敏感点处对高噪声设备设置围挡、隔声屏障等防护措施；施工期定期对施工机械保养。施工期场界噪声应满足《建筑施工场界环境噪声排放标准（GB12523-2011）》要求。</w:t>
      </w:r>
    </w:p>
    <w:p w14:paraId="23B8980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5.固体废物。河道垃圾和生活垃圾集中收集后交由环卫部门统一处置，建筑垃圾外售给当地建筑垃圾综合处理厂进行回收利用，淤泥在晾晒区自然干化后，作为基肥用于岸坡绿化</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你单位应严格按照《一般工业固体废物贮存和填埋污染控制标准（GB18599-2020）》要求，设置贮存区域。</w:t>
      </w:r>
    </w:p>
    <w:p w14:paraId="00E1506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auto"/>
          <w:sz w:val="32"/>
          <w:szCs w:val="32"/>
        </w:rPr>
        <w:t>五、如果国家、省、市颁布污染防治新的排放标准和政策，你单位应执行新的排放</w:t>
      </w:r>
      <w:r>
        <w:rPr>
          <w:rFonts w:hint="default" w:ascii="Times New Roman" w:hAnsi="Times New Roman" w:eastAsia="仿宋" w:cs="Times New Roman"/>
          <w:color w:val="000000"/>
          <w:sz w:val="32"/>
          <w:szCs w:val="32"/>
        </w:rPr>
        <w:t>标准和政策，并加强环境管理，不断提升污染治理水平。</w:t>
      </w:r>
    </w:p>
    <w:p w14:paraId="43FD910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六</w:t>
      </w:r>
      <w:r>
        <w:rPr>
          <w:rFonts w:hint="default" w:ascii="Times New Roman" w:hAnsi="Times New Roman" w:eastAsia="仿宋" w:cs="Times New Roman"/>
          <w:color w:val="000000"/>
          <w:sz w:val="32"/>
          <w:szCs w:val="32"/>
        </w:rPr>
        <w:t>、本项目建设必须严格执行环境保护设施与主体工程同时设计、同时施工、同时投产使用的环境保护“三同时”制度。项目竣工后，须按规定程序进行竣工环境保护验收，验收合格后，方可投入使用。</w:t>
      </w:r>
    </w:p>
    <w:p w14:paraId="5DCE3D2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七</w:t>
      </w:r>
      <w:r>
        <w:rPr>
          <w:rFonts w:hint="default" w:ascii="Times New Roman" w:hAnsi="Times New Roman" w:eastAsia="仿宋" w:cs="Times New Roman"/>
          <w:color w:val="000000"/>
          <w:sz w:val="32"/>
          <w:szCs w:val="32"/>
        </w:rPr>
        <w:t>、本批复有效期为5年。如该项目逾期方开工建设，其环境影响报告表应报我局重新审核。</w:t>
      </w:r>
    </w:p>
    <w:p w14:paraId="7058376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p>
    <w:p w14:paraId="6D1BA69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p>
    <w:p w14:paraId="3A881A8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eastAsia="zh-CN"/>
        </w:rPr>
        <w:t>　</w:t>
      </w:r>
      <w:r>
        <w:rPr>
          <w:rFonts w:hint="default" w:ascii="Times New Roman" w:hAnsi="Times New Roman" w:eastAsia="仿宋" w:cs="Times New Roman"/>
          <w:color w:val="000000"/>
          <w:sz w:val="32"/>
          <w:szCs w:val="32"/>
        </w:rPr>
        <w:t>　202</w:t>
      </w:r>
      <w:r>
        <w:rPr>
          <w:rFonts w:hint="eastAsia" w:ascii="Times New Roman" w:hAnsi="Times New Roman" w:eastAsia="仿宋" w:cs="Times New Roman"/>
          <w:color w:val="000000"/>
          <w:sz w:val="32"/>
          <w:szCs w:val="32"/>
          <w:lang w:val="en-US" w:eastAsia="zh-CN"/>
        </w:rPr>
        <w:t>6</w:t>
      </w:r>
      <w:r>
        <w:rPr>
          <w:rFonts w:hint="default" w:ascii="Times New Roman" w:hAnsi="Times New Roman" w:eastAsia="仿宋" w:cs="Times New Roman"/>
          <w:color w:val="000000"/>
          <w:sz w:val="32"/>
          <w:szCs w:val="32"/>
        </w:rPr>
        <w:t>年</w:t>
      </w:r>
      <w:r>
        <w:rPr>
          <w:rFonts w:hint="eastAsia" w:ascii="Times New Roman" w:hAnsi="Times New Roman" w:eastAsia="仿宋" w:cs="Times New Roman"/>
          <w:color w:val="000000"/>
          <w:sz w:val="32"/>
          <w:szCs w:val="32"/>
          <w:lang w:val="en-US" w:eastAsia="zh-CN"/>
        </w:rPr>
        <w:t>4</w:t>
      </w:r>
      <w:r>
        <w:rPr>
          <w:rFonts w:hint="default" w:ascii="Times New Roman" w:hAnsi="Times New Roman" w:eastAsia="仿宋" w:cs="Times New Roman"/>
          <w:color w:val="000000"/>
          <w:sz w:val="32"/>
          <w:szCs w:val="32"/>
        </w:rPr>
        <w:t>月</w:t>
      </w:r>
      <w:r>
        <w:rPr>
          <w:rFonts w:hint="eastAsia" w:ascii="Times New Roman" w:hAnsi="Times New Roman" w:eastAsia="仿宋" w:cs="Times New Roman"/>
          <w:color w:val="000000"/>
          <w:sz w:val="32"/>
          <w:szCs w:val="32"/>
          <w:lang w:val="en-US" w:eastAsia="zh-CN"/>
        </w:rPr>
        <w:t>10</w:t>
      </w:r>
      <w:r>
        <w:rPr>
          <w:rFonts w:hint="default" w:ascii="Times New Roman" w:hAnsi="Times New Roman" w:eastAsia="仿宋" w:cs="Times New Roman"/>
          <w:color w:val="000000"/>
          <w:sz w:val="32"/>
          <w:szCs w:val="32"/>
        </w:rPr>
        <w:t>日　　</w:t>
      </w: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AA8AC7A-65AD-427B-B518-426EC5C70CC8}"/>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embedRegular r:id="rId2" w:fontKey="{727FE434-22F3-4BD5-8EDF-326B8195E3E5}"/>
  </w:font>
  <w:font w:name="仿宋">
    <w:panose1 w:val="02010609060101010101"/>
    <w:charset w:val="86"/>
    <w:family w:val="modern"/>
    <w:pitch w:val="default"/>
    <w:sig w:usb0="800002BF" w:usb1="38CF7CFA" w:usb2="00000016" w:usb3="00000000" w:csb0="00040001" w:csb1="00000000"/>
    <w:embedRegular r:id="rId3" w:fontKey="{FE9DA666-38A4-4C5B-B324-EDEF7295DDAD}"/>
  </w:font>
  <w:font w:name="方正小标宋简体">
    <w:panose1 w:val="02010600010101010101"/>
    <w:charset w:val="86"/>
    <w:family w:val="auto"/>
    <w:pitch w:val="default"/>
    <w:sig w:usb0="00000001" w:usb1="080E0000" w:usb2="00000000" w:usb3="00000000" w:csb0="00040000" w:csb1="00000000"/>
    <w:embedRegular r:id="rId4" w:fontKey="{C3C06608-DC57-436D-BE5C-AB14EB26D6A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YTc4YmMwNTljMWNmNTgxODYyNWQ1YzE5ZDlkODkifQ=="/>
  </w:docVars>
  <w:rsids>
    <w:rsidRoot w:val="00000000"/>
    <w:rsid w:val="00F10D54"/>
    <w:rsid w:val="03276B8A"/>
    <w:rsid w:val="035E347F"/>
    <w:rsid w:val="04F11555"/>
    <w:rsid w:val="0536145F"/>
    <w:rsid w:val="053E4A03"/>
    <w:rsid w:val="07016D48"/>
    <w:rsid w:val="073066F6"/>
    <w:rsid w:val="07CD7839"/>
    <w:rsid w:val="08A61824"/>
    <w:rsid w:val="095721B5"/>
    <w:rsid w:val="09A316F6"/>
    <w:rsid w:val="09D43C31"/>
    <w:rsid w:val="09DA7ADF"/>
    <w:rsid w:val="0B772A1C"/>
    <w:rsid w:val="0BF10107"/>
    <w:rsid w:val="0E6718B2"/>
    <w:rsid w:val="0F7A2EED"/>
    <w:rsid w:val="112076B2"/>
    <w:rsid w:val="11FE2AA3"/>
    <w:rsid w:val="13E26EA1"/>
    <w:rsid w:val="14E530ED"/>
    <w:rsid w:val="163E1907"/>
    <w:rsid w:val="170C37B7"/>
    <w:rsid w:val="17BA6AB6"/>
    <w:rsid w:val="1864257A"/>
    <w:rsid w:val="1B306679"/>
    <w:rsid w:val="1B984BE9"/>
    <w:rsid w:val="1C432202"/>
    <w:rsid w:val="1CD203FA"/>
    <w:rsid w:val="1D093164"/>
    <w:rsid w:val="1D6B6159"/>
    <w:rsid w:val="1DAE7EBF"/>
    <w:rsid w:val="20335306"/>
    <w:rsid w:val="21C5052E"/>
    <w:rsid w:val="239D3E35"/>
    <w:rsid w:val="26356E66"/>
    <w:rsid w:val="27A83279"/>
    <w:rsid w:val="29CE5AA6"/>
    <w:rsid w:val="29E11C7D"/>
    <w:rsid w:val="2A2F50EB"/>
    <w:rsid w:val="2CAB6572"/>
    <w:rsid w:val="2CD258AD"/>
    <w:rsid w:val="2DFC65DC"/>
    <w:rsid w:val="306D6ACD"/>
    <w:rsid w:val="32231862"/>
    <w:rsid w:val="3364345F"/>
    <w:rsid w:val="35B75733"/>
    <w:rsid w:val="36965B9D"/>
    <w:rsid w:val="372B0ED0"/>
    <w:rsid w:val="39E15381"/>
    <w:rsid w:val="3AC3717D"/>
    <w:rsid w:val="3C5C1637"/>
    <w:rsid w:val="3CB217EF"/>
    <w:rsid w:val="3DAA63FD"/>
    <w:rsid w:val="3EAE375E"/>
    <w:rsid w:val="3F5D6E73"/>
    <w:rsid w:val="3F924981"/>
    <w:rsid w:val="410D73A4"/>
    <w:rsid w:val="414B1620"/>
    <w:rsid w:val="41614FF9"/>
    <w:rsid w:val="42424E2B"/>
    <w:rsid w:val="424858CD"/>
    <w:rsid w:val="426911E3"/>
    <w:rsid w:val="446077EA"/>
    <w:rsid w:val="46BC1CE4"/>
    <w:rsid w:val="4707219F"/>
    <w:rsid w:val="49437029"/>
    <w:rsid w:val="4A395E21"/>
    <w:rsid w:val="4A444683"/>
    <w:rsid w:val="4BDB662F"/>
    <w:rsid w:val="4D3C2F8C"/>
    <w:rsid w:val="4D9F185B"/>
    <w:rsid w:val="4DCE3A17"/>
    <w:rsid w:val="4E4B53C1"/>
    <w:rsid w:val="4E7078AD"/>
    <w:rsid w:val="4E7747E4"/>
    <w:rsid w:val="4F1813ED"/>
    <w:rsid w:val="4FC94CD3"/>
    <w:rsid w:val="501F0559"/>
    <w:rsid w:val="51090B70"/>
    <w:rsid w:val="51814F04"/>
    <w:rsid w:val="53E126F6"/>
    <w:rsid w:val="55205B1A"/>
    <w:rsid w:val="57AC1143"/>
    <w:rsid w:val="57E74053"/>
    <w:rsid w:val="58DD0FB2"/>
    <w:rsid w:val="5A9D0792"/>
    <w:rsid w:val="5AA71877"/>
    <w:rsid w:val="5AF947C9"/>
    <w:rsid w:val="5B1417DD"/>
    <w:rsid w:val="5CB63FF4"/>
    <w:rsid w:val="5DFE20F6"/>
    <w:rsid w:val="5E9138F2"/>
    <w:rsid w:val="5F0B2A56"/>
    <w:rsid w:val="5FA347AB"/>
    <w:rsid w:val="61FC3E67"/>
    <w:rsid w:val="626339C6"/>
    <w:rsid w:val="62EB356B"/>
    <w:rsid w:val="63402869"/>
    <w:rsid w:val="642657F3"/>
    <w:rsid w:val="65414F7C"/>
    <w:rsid w:val="679118E5"/>
    <w:rsid w:val="68356714"/>
    <w:rsid w:val="68C66F69"/>
    <w:rsid w:val="68C90D6B"/>
    <w:rsid w:val="68E0783D"/>
    <w:rsid w:val="690802CD"/>
    <w:rsid w:val="69E71C90"/>
    <w:rsid w:val="6CEE4EA3"/>
    <w:rsid w:val="6E3C6259"/>
    <w:rsid w:val="6E8E4322"/>
    <w:rsid w:val="70111815"/>
    <w:rsid w:val="70B01C51"/>
    <w:rsid w:val="712E63F7"/>
    <w:rsid w:val="7489259C"/>
    <w:rsid w:val="77207C94"/>
    <w:rsid w:val="773D7394"/>
    <w:rsid w:val="77F030E2"/>
    <w:rsid w:val="78EC17D9"/>
    <w:rsid w:val="7AAE6D58"/>
    <w:rsid w:val="7BB51BEE"/>
    <w:rsid w:val="7C596401"/>
    <w:rsid w:val="7D204CF5"/>
    <w:rsid w:val="7DC765FA"/>
    <w:rsid w:val="7E1D5320"/>
    <w:rsid w:val="7E260B81"/>
    <w:rsid w:val="7F6747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1"/>
    <w:autoRedefine/>
    <w:qFormat/>
    <w:uiPriority w:val="0"/>
    <w:pPr>
      <w:widowControl w:val="0"/>
      <w:jc w:val="both"/>
    </w:pPr>
    <w:rPr>
      <w:rFonts w:ascii="Calibri" w:hAnsi="Calibri" w:eastAsiaTheme="minorEastAsia" w:cstheme="minorBidi"/>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Default"/>
    <w:basedOn w:val="8"/>
    <w:next w:val="9"/>
    <w:autoRedefine/>
    <w:qFormat/>
    <w:uiPriority w:val="0"/>
    <w:pPr>
      <w:widowControl w:val="0"/>
      <w:autoSpaceDE w:val="0"/>
      <w:autoSpaceDN w:val="0"/>
      <w:spacing w:beforeAutospacing="0" w:afterAutospacing="0" w:line="460" w:lineRule="exact"/>
      <w:jc w:val="center"/>
    </w:pPr>
    <w:rPr>
      <w:rFonts w:ascii="黑体" w:eastAsia="黑体"/>
      <w:color w:val="000000"/>
      <w:sz w:val="24"/>
      <w:szCs w:val="24"/>
      <w:lang w:val="en-US" w:eastAsia="zh-CN" w:bidi="ar-SA"/>
    </w:rPr>
  </w:style>
  <w:style w:type="paragraph" w:customStyle="1" w:styleId="8">
    <w:name w:val="纯文本1"/>
    <w:basedOn w:val="1"/>
    <w:qFormat/>
    <w:uiPriority w:val="0"/>
    <w:pPr>
      <w:adjustRightInd w:val="0"/>
    </w:pPr>
    <w:rPr>
      <w:rFonts w:ascii="宋体" w:hAnsi="Courier New"/>
      <w:szCs w:val="20"/>
    </w:rPr>
  </w:style>
  <w:style w:type="paragraph" w:customStyle="1" w:styleId="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10">
    <w:name w:val="标题 11"/>
    <w:basedOn w:val="1"/>
    <w:autoRedefine/>
    <w:qFormat/>
    <w:uiPriority w:val="0"/>
    <w:pPr>
      <w:spacing w:before="100" w:beforeAutospacing="1" w:after="100" w:afterAutospacing="1"/>
      <w:jc w:val="left"/>
      <w:outlineLvl w:val="0"/>
    </w:pPr>
    <w:rPr>
      <w:rFonts w:hint="eastAsia" w:ascii="宋体" w:hAnsi="宋体"/>
      <w:b/>
      <w:kern w:val="36"/>
      <w:sz w:val="48"/>
      <w:szCs w:val="48"/>
    </w:rPr>
  </w:style>
  <w:style w:type="character" w:customStyle="1" w:styleId="11">
    <w:name w:val="默认段落字体1"/>
    <w:link w:val="1"/>
    <w:autoRedefine/>
    <w:qFormat/>
    <w:uiPriority w:val="0"/>
    <w:rPr>
      <w:sz w:val="24"/>
      <w:szCs w:val="24"/>
    </w:rPr>
  </w:style>
  <w:style w:type="table" w:customStyle="1" w:styleId="12">
    <w:name w:val="普通表格1"/>
    <w:autoRedefine/>
    <w:qFormat/>
    <w:uiPriority w:val="0"/>
  </w:style>
  <w:style w:type="paragraph" w:customStyle="1" w:styleId="13">
    <w:name w:val="标题 段落4级"/>
    <w:autoRedefine/>
    <w:qFormat/>
    <w:uiPriority w:val="0"/>
    <w:pPr>
      <w:spacing w:beforeAutospacing="0" w:afterAutospacing="0" w:line="500" w:lineRule="exact"/>
      <w:outlineLvl w:val="3"/>
    </w:pPr>
    <w:rPr>
      <w:rFonts w:ascii="Times New Roman" w:hAnsi="Times New Roman" w:eastAsia="仿宋_GB2312" w:cstheme="minorBidi"/>
      <w:b/>
      <w:kern w:val="2"/>
      <w:sz w:val="28"/>
      <w:szCs w:val="24"/>
      <w:lang w:val="en-US" w:eastAsia="zh-CN" w:bidi="ar-SA"/>
    </w:rPr>
  </w:style>
  <w:style w:type="paragraph" w:customStyle="1" w:styleId="14">
    <w:name w:val="索引 51"/>
    <w:basedOn w:val="1"/>
    <w:autoRedefine/>
    <w:qFormat/>
    <w:uiPriority w:val="0"/>
    <w:pPr>
      <w:ind w:left="1680"/>
    </w:pPr>
    <w:rPr>
      <w:rFonts w:eastAsia="Times New Roman"/>
      <w:sz w:val="32"/>
      <w:szCs w:val="24"/>
    </w:rPr>
  </w:style>
  <w:style w:type="paragraph" w:customStyle="1" w:styleId="15">
    <w:name w:val="正文文本缩进1"/>
    <w:basedOn w:val="1"/>
    <w:autoRedefine/>
    <w:qFormat/>
    <w:uiPriority w:val="0"/>
    <w:pPr>
      <w:ind w:firstLine="538" w:firstLineChars="192"/>
    </w:pPr>
    <w:rPr>
      <w:sz w:val="28"/>
    </w:rPr>
  </w:style>
  <w:style w:type="paragraph" w:customStyle="1" w:styleId="16">
    <w:name w:val="页脚1"/>
    <w:basedOn w:val="1"/>
    <w:link w:val="17"/>
    <w:autoRedefine/>
    <w:qFormat/>
    <w:uiPriority w:val="0"/>
    <w:pPr>
      <w:tabs>
        <w:tab w:val="center" w:pos="4153"/>
        <w:tab w:val="right" w:pos="8306"/>
      </w:tabs>
      <w:snapToGrid w:val="0"/>
      <w:jc w:val="left"/>
    </w:pPr>
    <w:rPr>
      <w:sz w:val="18"/>
      <w:szCs w:val="18"/>
    </w:rPr>
  </w:style>
  <w:style w:type="character" w:customStyle="1" w:styleId="17">
    <w:name w:val="页脚 Char"/>
    <w:basedOn w:val="11"/>
    <w:link w:val="16"/>
    <w:autoRedefine/>
    <w:qFormat/>
    <w:uiPriority w:val="0"/>
    <w:rPr>
      <w:rFonts w:ascii="Calibri" w:hAnsi="Calibri"/>
      <w:kern w:val="2"/>
      <w:sz w:val="18"/>
      <w:szCs w:val="18"/>
    </w:rPr>
  </w:style>
  <w:style w:type="paragraph" w:customStyle="1" w:styleId="18">
    <w:name w:val="页眉1"/>
    <w:basedOn w:val="1"/>
    <w:link w:val="19"/>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9">
    <w:name w:val="页眉 Char"/>
    <w:basedOn w:val="11"/>
    <w:link w:val="18"/>
    <w:autoRedefine/>
    <w:qFormat/>
    <w:uiPriority w:val="0"/>
    <w:rPr>
      <w:rFonts w:ascii="Calibri" w:hAnsi="Calibri"/>
      <w:kern w:val="2"/>
      <w:sz w:val="18"/>
      <w:szCs w:val="18"/>
    </w:rPr>
  </w:style>
  <w:style w:type="paragraph" w:customStyle="1" w:styleId="20">
    <w:name w:val="普通(网站)1"/>
    <w:basedOn w:val="1"/>
    <w:autoRedefine/>
    <w:qFormat/>
    <w:uiPriority w:val="0"/>
    <w:pPr>
      <w:spacing w:before="100" w:beforeAutospacing="1" w:after="100" w:afterAutospacing="1"/>
      <w:jc w:val="left"/>
    </w:pPr>
    <w:rPr>
      <w:kern w:val="0"/>
      <w:sz w:val="24"/>
      <w:szCs w:val="24"/>
      <w:lang w:bidi="ar"/>
    </w:rPr>
  </w:style>
  <w:style w:type="paragraph" w:customStyle="1" w:styleId="21">
    <w:name w:val="表格内容"/>
    <w:basedOn w:val="1"/>
    <w:autoRedefine/>
    <w:qFormat/>
    <w:uiPriority w:val="0"/>
    <w:pPr>
      <w:spacing w:beforeAutospacing="0" w:afterAutospacing="0" w:line="240" w:lineRule="auto"/>
      <w:ind w:firstLine="0" w:firstLineChars="0"/>
      <w:jc w:val="center"/>
    </w:pPr>
    <w:rPr>
      <w:rFonts w:ascii="Times New Roman" w:hAnsi="Times New Roman"/>
      <w:sz w:val="21"/>
    </w:rPr>
  </w:style>
  <w:style w:type="paragraph" w:customStyle="1" w:styleId="22">
    <w:name w:val="正"/>
    <w:basedOn w:val="1"/>
    <w:autoRedefine/>
    <w:qFormat/>
    <w:uiPriority w:val="0"/>
    <w:pPr>
      <w:adjustRightInd w:val="0"/>
      <w:spacing w:line="360" w:lineRule="auto"/>
      <w:ind w:left="23" w:leftChars="11" w:firstLine="48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1715</Words>
  <Characters>1835</Characters>
  <Lines>0</Lines>
  <Paragraphs>0</Paragraphs>
  <TotalTime>114</TotalTime>
  <ScaleCrop>false</ScaleCrop>
  <LinksUpToDate>false</LinksUpToDate>
  <CharactersWithSpaces>1865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2023-03-21T08:02:00Z</dcterms:created>
  <dc:creator>Administrator</dc:creator>
  <cp:lastModifiedBy>〆浮生半世，破碎流离゛</cp:lastModifiedBy>
  <cp:lastPrinted>2026-04-07T01:59:03Z</cp:lastPrinted>
  <dcterms:modified xsi:type="dcterms:W3CDTF">2026-04-07T03:06:14Z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CA60F39256A849208D5313257050C520_13</vt:lpwstr>
  </property>
  <property fmtid="{D5CDD505-2E9C-101B-9397-08002B2CF9AE}" pid="4" name="KSOTemplateDocerSaveRecord">
    <vt:lpwstr>eyJoZGlkIjoiYjYwNDI1ODZiMTVkNjkxZDg0ZDc2Y2FjNWUxMjAwZDIiLCJ1c2VySWQiOiIyNDU2ODkxMDIifQ==</vt:lpwstr>
  </property>
</Properties>
</file>