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160" w:lineRule="atLeast"/>
        <w:jc w:val="center"/>
        <w:rPr>
          <w:rFonts w:hint="eastAsia" w:ascii="方正小标宋简体" w:hAnsi="黑体" w:eastAsia="方正小标宋简体" w:cs="黑体"/>
          <w:bCs/>
          <w:sz w:val="84"/>
          <w:szCs w:val="84"/>
          <w:highlight w:val="yellow"/>
          <w:lang w:eastAsia="zh-CN"/>
        </w:rPr>
      </w:pPr>
    </w:p>
    <w:p>
      <w:pPr>
        <w:spacing w:line="160" w:lineRule="atLeast"/>
        <w:jc w:val="center"/>
        <w:rPr>
          <w:rFonts w:hint="eastAsia" w:ascii="方正小标宋简体" w:hAnsi="黑体" w:eastAsia="方正小标宋简体" w:cs="黑体"/>
          <w:bCs/>
          <w:sz w:val="84"/>
          <w:szCs w:val="84"/>
          <w:highlight w:val="yellow"/>
          <w:lang w:eastAsia="zh-CN"/>
        </w:rPr>
      </w:pPr>
    </w:p>
    <w:p>
      <w:pPr>
        <w:spacing w:line="160" w:lineRule="atLeast"/>
        <w:jc w:val="center"/>
        <w:rPr>
          <w:rFonts w:hint="eastAsia" w:ascii="方正小标宋简体" w:hAnsi="黑体" w:eastAsia="方正小标宋简体" w:cs="黑体"/>
          <w:bCs/>
          <w:sz w:val="84"/>
          <w:szCs w:val="84"/>
          <w:highlight w:val="none"/>
          <w:lang w:val="en-US" w:eastAsia="zh-CN"/>
        </w:rPr>
      </w:pPr>
      <w:r>
        <w:rPr>
          <w:rFonts w:hint="eastAsia" w:ascii="方正小标宋简体" w:hAnsi="黑体" w:eastAsia="方正小标宋简体" w:cs="黑体"/>
          <w:bCs/>
          <w:sz w:val="84"/>
          <w:szCs w:val="84"/>
          <w:highlight w:val="none"/>
          <w:lang w:eastAsia="zh-CN"/>
        </w:rPr>
        <w:t>安阳市殷都区</w:t>
      </w:r>
      <w:r>
        <w:rPr>
          <w:rFonts w:hint="eastAsia" w:ascii="方正小标宋简体" w:hAnsi="黑体" w:eastAsia="方正小标宋简体" w:cs="黑体"/>
          <w:bCs/>
          <w:sz w:val="84"/>
          <w:szCs w:val="84"/>
          <w:highlight w:val="none"/>
          <w:lang w:val="en-US" w:eastAsia="zh-CN"/>
        </w:rPr>
        <w:t>政府预算</w:t>
      </w:r>
    </w:p>
    <w:p>
      <w:pPr>
        <w:spacing w:line="160" w:lineRule="atLeast"/>
        <w:jc w:val="center"/>
        <w:rPr>
          <w:rFonts w:hint="eastAsia" w:ascii="方正小标宋简体" w:hAnsi="黑体" w:eastAsia="方正小标宋简体" w:cs="黑体"/>
          <w:bCs/>
          <w:sz w:val="52"/>
          <w:szCs w:val="52"/>
          <w:highlight w:val="none"/>
          <w:lang w:val="en-US" w:eastAsia="zh-CN"/>
        </w:rPr>
      </w:pPr>
      <w:r>
        <w:rPr>
          <w:rFonts w:hint="eastAsia" w:ascii="方正小标宋简体" w:hAnsi="黑体" w:eastAsia="方正小标宋简体" w:cs="黑体"/>
          <w:bCs/>
          <w:sz w:val="52"/>
          <w:szCs w:val="52"/>
          <w:highlight w:val="none"/>
          <w:lang w:val="en-US" w:eastAsia="zh-CN"/>
        </w:rPr>
        <w:t>（2026年度）</w:t>
      </w:r>
    </w:p>
    <w:p>
      <w:pPr>
        <w:pStyle w:val="12"/>
        <w:rPr>
          <w:rFonts w:hint="eastAsia" w:ascii="方正小标宋简体" w:hAnsi="黑体" w:eastAsia="方正小标宋简体" w:cs="黑体"/>
          <w:bCs/>
          <w:sz w:val="52"/>
          <w:szCs w:val="52"/>
          <w:highlight w:val="none"/>
          <w:lang w:val="en-US" w:eastAsia="zh-CN"/>
        </w:rPr>
      </w:pPr>
    </w:p>
    <w:p>
      <w:pPr>
        <w:rPr>
          <w:rFonts w:hint="eastAsia" w:ascii="方正小标宋简体" w:hAnsi="黑体" w:eastAsia="方正小标宋简体" w:cs="黑体"/>
          <w:bCs/>
          <w:sz w:val="52"/>
          <w:szCs w:val="52"/>
          <w:highlight w:val="none"/>
          <w:lang w:val="en-US" w:eastAsia="zh-CN"/>
        </w:rPr>
      </w:pPr>
    </w:p>
    <w:p>
      <w:pPr>
        <w:pStyle w:val="12"/>
        <w:rPr>
          <w:rFonts w:hint="eastAsia" w:ascii="方正小标宋简体" w:hAnsi="黑体" w:eastAsia="方正小标宋简体" w:cs="黑体"/>
          <w:bCs/>
          <w:sz w:val="52"/>
          <w:szCs w:val="52"/>
          <w:highlight w:val="none"/>
          <w:lang w:val="en-US" w:eastAsia="zh-CN"/>
        </w:rPr>
      </w:pPr>
    </w:p>
    <w:p>
      <w:pPr>
        <w:rPr>
          <w:rFonts w:hint="eastAsia" w:ascii="方正小标宋简体" w:hAnsi="黑体" w:eastAsia="方正小标宋简体" w:cs="黑体"/>
          <w:bCs/>
          <w:sz w:val="52"/>
          <w:szCs w:val="52"/>
          <w:highlight w:val="none"/>
          <w:lang w:val="en-US" w:eastAsia="zh-CN"/>
        </w:rPr>
      </w:pPr>
    </w:p>
    <w:p>
      <w:pPr>
        <w:pStyle w:val="12"/>
        <w:rPr>
          <w:rFonts w:hint="eastAsia" w:ascii="方正小标宋简体" w:hAnsi="黑体" w:eastAsia="方正小标宋简体" w:cs="黑体"/>
          <w:bCs/>
          <w:sz w:val="52"/>
          <w:szCs w:val="52"/>
          <w:highlight w:val="none"/>
          <w:lang w:val="en-US" w:eastAsia="zh-CN"/>
        </w:rPr>
      </w:pPr>
    </w:p>
    <w:p>
      <w:pPr>
        <w:spacing w:line="160" w:lineRule="atLeast"/>
        <w:jc w:val="center"/>
        <w:rPr>
          <w:rFonts w:hint="eastAsia" w:ascii="方正小标宋简体" w:hAnsi="黑体" w:eastAsia="方正小标宋简体" w:cs="黑体"/>
          <w:bCs/>
          <w:sz w:val="44"/>
          <w:szCs w:val="44"/>
          <w:highlight w:val="none"/>
        </w:rPr>
      </w:pPr>
    </w:p>
    <w:p>
      <w:pPr>
        <w:spacing w:line="160" w:lineRule="atLeast"/>
        <w:jc w:val="center"/>
        <w:rPr>
          <w:rFonts w:hint="eastAsia" w:ascii="方正小标宋简体" w:hAnsi="黑体" w:eastAsia="方正小标宋简体" w:cs="黑体"/>
          <w:bCs/>
          <w:sz w:val="44"/>
          <w:szCs w:val="44"/>
          <w:highlight w:val="none"/>
        </w:rPr>
      </w:pPr>
    </w:p>
    <w:p>
      <w:pPr>
        <w:spacing w:line="160" w:lineRule="atLeast"/>
        <w:jc w:val="center"/>
        <w:rPr>
          <w:rFonts w:hint="eastAsia" w:ascii="方正小标宋简体" w:hAnsi="黑体" w:eastAsia="方正小标宋简体" w:cs="黑体"/>
          <w:bCs/>
          <w:sz w:val="44"/>
          <w:szCs w:val="44"/>
          <w:highlight w:val="none"/>
        </w:rPr>
      </w:pPr>
      <w:r>
        <w:rPr>
          <w:rFonts w:hint="eastAsia" w:ascii="方正小标宋简体" w:hAnsi="黑体" w:eastAsia="方正小标宋简体" w:cs="黑体"/>
          <w:bCs/>
          <w:sz w:val="44"/>
          <w:szCs w:val="44"/>
          <w:highlight w:val="none"/>
        </w:rPr>
        <w:t>关于安阳市</w:t>
      </w:r>
      <w:r>
        <w:rPr>
          <w:rFonts w:hint="eastAsia" w:ascii="方正小标宋简体" w:hAnsi="黑体" w:eastAsia="方正小标宋简体" w:cs="黑体"/>
          <w:bCs/>
          <w:sz w:val="44"/>
          <w:szCs w:val="44"/>
          <w:highlight w:val="none"/>
          <w:lang w:eastAsia="zh-CN"/>
        </w:rPr>
        <w:t>殷都</w:t>
      </w:r>
      <w:r>
        <w:rPr>
          <w:rFonts w:hint="eastAsia" w:ascii="方正小标宋简体" w:hAnsi="黑体" w:eastAsia="方正小标宋简体" w:cs="黑体"/>
          <w:bCs/>
          <w:sz w:val="44"/>
          <w:szCs w:val="44"/>
          <w:highlight w:val="none"/>
        </w:rPr>
        <w:t>区</w:t>
      </w:r>
      <w:r>
        <w:rPr>
          <w:rFonts w:hint="eastAsia" w:ascii="方正小标宋简体" w:hAnsi="黑体" w:eastAsia="方正小标宋简体" w:cs="黑体"/>
          <w:bCs/>
          <w:sz w:val="44"/>
          <w:szCs w:val="44"/>
          <w:highlight w:val="none"/>
          <w:lang w:eastAsia="zh-CN"/>
        </w:rPr>
        <w:t>2026年</w:t>
      </w:r>
      <w:r>
        <w:rPr>
          <w:rFonts w:hint="eastAsia" w:ascii="方正小标宋简体" w:hAnsi="黑体" w:eastAsia="方正小标宋简体" w:cs="黑体"/>
          <w:bCs/>
          <w:sz w:val="44"/>
          <w:szCs w:val="44"/>
          <w:highlight w:val="none"/>
        </w:rPr>
        <w:t>预算安排情况的</w:t>
      </w:r>
    </w:p>
    <w:p>
      <w:pPr>
        <w:spacing w:line="160" w:lineRule="atLeast"/>
        <w:jc w:val="center"/>
        <w:rPr>
          <w:rFonts w:ascii="方正小标宋简体" w:hAnsi="黑体" w:eastAsia="方正小标宋简体" w:cs="黑体"/>
          <w:bCs/>
          <w:sz w:val="44"/>
          <w:szCs w:val="44"/>
          <w:highlight w:val="none"/>
        </w:rPr>
      </w:pPr>
      <w:r>
        <w:rPr>
          <w:rFonts w:hint="eastAsia" w:ascii="方正小标宋简体" w:hAnsi="黑体" w:eastAsia="方正小标宋简体" w:cs="黑体"/>
          <w:bCs/>
          <w:sz w:val="44"/>
          <w:szCs w:val="44"/>
          <w:highlight w:val="none"/>
        </w:rPr>
        <w:t>说</w:t>
      </w:r>
      <w:r>
        <w:rPr>
          <w:rFonts w:ascii="方正小标宋简体" w:hAnsi="黑体" w:eastAsia="方正小标宋简体" w:cs="黑体"/>
          <w:bCs/>
          <w:sz w:val="44"/>
          <w:szCs w:val="44"/>
          <w:highlight w:val="none"/>
        </w:rPr>
        <w:t xml:space="preserve">      </w:t>
      </w:r>
      <w:r>
        <w:rPr>
          <w:rFonts w:hint="eastAsia" w:ascii="方正小标宋简体" w:hAnsi="黑体" w:eastAsia="方正小标宋简体" w:cs="黑体"/>
          <w:bCs/>
          <w:sz w:val="44"/>
          <w:szCs w:val="44"/>
          <w:highlight w:val="none"/>
        </w:rPr>
        <w:t>明</w:t>
      </w:r>
    </w:p>
    <w:p>
      <w:pPr>
        <w:kinsoku w:val="0"/>
        <w:overflowPunct w:val="0"/>
        <w:adjustRightInd w:val="0"/>
        <w:snapToGrid w:val="0"/>
        <w:spacing w:line="360" w:lineRule="auto"/>
        <w:ind w:left="-142" w:right="51" w:firstLine="39" w:firstLineChars="7"/>
        <w:jc w:val="center"/>
        <w:rPr>
          <w:rFonts w:ascii="黑体" w:hAnsi="Times New Roman" w:eastAsia="黑体" w:cs="黑体"/>
          <w:sz w:val="56"/>
          <w:szCs w:val="56"/>
          <w:highlight w:val="none"/>
        </w:rPr>
      </w:pPr>
    </w:p>
    <w:p>
      <w:pPr>
        <w:kinsoku w:val="0"/>
        <w:overflowPunct w:val="0"/>
        <w:adjustRightInd w:val="0"/>
        <w:snapToGrid w:val="0"/>
        <w:spacing w:line="360" w:lineRule="auto"/>
        <w:ind w:left="-142" w:right="51" w:firstLine="39" w:firstLineChars="7"/>
        <w:jc w:val="center"/>
        <w:rPr>
          <w:rFonts w:ascii="黑体" w:hAnsi="Times New Roman" w:eastAsia="黑体" w:cs="黑体"/>
          <w:sz w:val="56"/>
          <w:szCs w:val="56"/>
          <w:highlight w:val="none"/>
        </w:rPr>
      </w:pPr>
      <w:r>
        <w:rPr>
          <w:rFonts w:hint="eastAsia" w:ascii="黑体" w:hAnsi="Times New Roman" w:eastAsia="黑体" w:cs="黑体"/>
          <w:sz w:val="56"/>
          <w:szCs w:val="56"/>
          <w:highlight w:val="none"/>
        </w:rPr>
        <w:t>目</w:t>
      </w:r>
      <w:r>
        <w:rPr>
          <w:rFonts w:ascii="黑体" w:hAnsi="Times New Roman" w:eastAsia="黑体" w:cs="黑体"/>
          <w:spacing w:val="2"/>
          <w:sz w:val="56"/>
          <w:szCs w:val="56"/>
          <w:highlight w:val="none"/>
        </w:rPr>
        <w:t xml:space="preserve"> </w:t>
      </w:r>
      <w:r>
        <w:rPr>
          <w:rFonts w:hint="eastAsia" w:ascii="黑体" w:hAnsi="Times New Roman" w:eastAsia="黑体" w:cs="黑体"/>
          <w:sz w:val="56"/>
          <w:szCs w:val="56"/>
          <w:highlight w:val="none"/>
        </w:rPr>
        <w:t>录</w:t>
      </w:r>
    </w:p>
    <w:p>
      <w:pPr>
        <w:kinsoku w:val="0"/>
        <w:overflowPunct w:val="0"/>
        <w:adjustRightInd w:val="0"/>
        <w:snapToGrid w:val="0"/>
        <w:spacing w:line="360" w:lineRule="auto"/>
        <w:ind w:right="3569" w:firstLine="640" w:firstLineChars="200"/>
        <w:rPr>
          <w:rFonts w:ascii="黑体" w:hAnsi="Times New Roman" w:eastAsia="黑体" w:cs="黑体"/>
          <w:w w:val="99"/>
          <w:sz w:val="32"/>
          <w:szCs w:val="32"/>
          <w:highlight w:val="none"/>
        </w:rPr>
      </w:pPr>
      <w:r>
        <w:rPr>
          <w:rFonts w:hint="eastAsia" w:ascii="黑体" w:hAnsi="Times New Roman" w:eastAsia="黑体" w:cs="黑体"/>
          <w:sz w:val="32"/>
          <w:szCs w:val="32"/>
          <w:highlight w:val="none"/>
        </w:rPr>
        <w:t>第一部分</w:t>
      </w:r>
      <w:r>
        <w:rPr>
          <w:rFonts w:ascii="黑体" w:hAnsi="Times New Roman" w:eastAsia="黑体" w:cs="黑体"/>
          <w:sz w:val="32"/>
          <w:szCs w:val="32"/>
          <w:highlight w:val="none"/>
        </w:rPr>
        <w:t xml:space="preserve"> </w:t>
      </w:r>
      <w:r>
        <w:rPr>
          <w:rFonts w:hint="eastAsia" w:ascii="黑体" w:hAnsi="Times New Roman" w:eastAsia="黑体" w:cs="黑体"/>
          <w:sz w:val="32"/>
          <w:szCs w:val="32"/>
          <w:highlight w:val="none"/>
        </w:rPr>
        <w:t>财政预算编制概况</w:t>
      </w:r>
      <w:r>
        <w:rPr>
          <w:rFonts w:ascii="黑体" w:hAnsi="Times New Roman" w:eastAsia="黑体" w:cs="黑体"/>
          <w:w w:val="99"/>
          <w:sz w:val="32"/>
          <w:szCs w:val="32"/>
          <w:highlight w:val="none"/>
        </w:rPr>
        <w:t xml:space="preserve"> </w:t>
      </w:r>
    </w:p>
    <w:p>
      <w:pPr>
        <w:kinsoku w:val="0"/>
        <w:overflowPunct w:val="0"/>
        <w:adjustRightInd w:val="0"/>
        <w:snapToGrid w:val="0"/>
        <w:spacing w:line="360" w:lineRule="auto"/>
        <w:ind w:right="3569" w:firstLine="960" w:firstLineChars="300"/>
        <w:jc w:val="left"/>
        <w:rPr>
          <w:rFonts w:ascii="仿宋_GB2312" w:hAnsi="Times New Roman" w:eastAsia="仿宋_GB2312" w:cs="仿宋_GB2312"/>
          <w:sz w:val="32"/>
          <w:szCs w:val="32"/>
          <w:highlight w:val="none"/>
        </w:rPr>
      </w:pPr>
      <w:r>
        <w:rPr>
          <w:rFonts w:hint="eastAsia" w:ascii="仿宋_GB2312" w:hAnsi="Times New Roman" w:eastAsia="仿宋_GB2312" w:cs="仿宋_GB2312"/>
          <w:sz w:val="32"/>
          <w:szCs w:val="32"/>
          <w:highlight w:val="none"/>
        </w:rPr>
        <w:t>一、预算编制原则和依据</w:t>
      </w:r>
    </w:p>
    <w:p>
      <w:pPr>
        <w:kinsoku w:val="0"/>
        <w:overflowPunct w:val="0"/>
        <w:adjustRightInd w:val="0"/>
        <w:snapToGrid w:val="0"/>
        <w:spacing w:line="360" w:lineRule="auto"/>
        <w:ind w:right="3569" w:firstLine="960" w:firstLineChars="300"/>
        <w:jc w:val="left"/>
        <w:rPr>
          <w:rFonts w:ascii="仿宋_GB2312" w:hAnsi="Times New Roman" w:eastAsia="仿宋_GB2312" w:cs="仿宋_GB2312"/>
          <w:sz w:val="32"/>
          <w:szCs w:val="32"/>
          <w:highlight w:val="none"/>
        </w:rPr>
      </w:pPr>
      <w:r>
        <w:rPr>
          <w:rFonts w:hint="eastAsia" w:ascii="仿宋_GB2312" w:hAnsi="Times New Roman" w:eastAsia="仿宋_GB2312" w:cs="仿宋_GB2312"/>
          <w:sz w:val="32"/>
          <w:szCs w:val="32"/>
          <w:highlight w:val="none"/>
        </w:rPr>
        <w:t>二、支出预算安排标准</w:t>
      </w:r>
    </w:p>
    <w:p>
      <w:pPr>
        <w:kinsoku w:val="0"/>
        <w:overflowPunct w:val="0"/>
        <w:adjustRightInd w:val="0"/>
        <w:snapToGrid w:val="0"/>
        <w:spacing w:line="360" w:lineRule="auto"/>
        <w:ind w:right="521" w:firstLine="640" w:firstLineChars="200"/>
        <w:rPr>
          <w:rFonts w:ascii="黑体" w:hAnsi="Times New Roman" w:eastAsia="黑体" w:cs="黑体"/>
          <w:color w:val="auto"/>
          <w:w w:val="99"/>
          <w:sz w:val="32"/>
          <w:szCs w:val="32"/>
          <w:highlight w:val="none"/>
        </w:rPr>
      </w:pPr>
      <w:r>
        <w:rPr>
          <w:rFonts w:hint="eastAsia" w:ascii="黑体" w:hAnsi="Times New Roman" w:eastAsia="黑体" w:cs="黑体"/>
          <w:sz w:val="32"/>
          <w:szCs w:val="32"/>
          <w:highlight w:val="none"/>
        </w:rPr>
        <w:t>第二</w:t>
      </w:r>
      <w:r>
        <w:rPr>
          <w:rFonts w:hint="eastAsia" w:ascii="黑体" w:hAnsi="Times New Roman" w:eastAsia="黑体" w:cs="黑体"/>
          <w:color w:val="auto"/>
          <w:sz w:val="32"/>
          <w:szCs w:val="32"/>
          <w:highlight w:val="none"/>
        </w:rPr>
        <w:t>部分</w:t>
      </w:r>
      <w:r>
        <w:rPr>
          <w:rFonts w:ascii="黑体" w:hAnsi="Times New Roman" w:eastAsia="黑体" w:cs="黑体"/>
          <w:color w:val="auto"/>
          <w:sz w:val="32"/>
          <w:szCs w:val="32"/>
          <w:highlight w:val="none"/>
        </w:rPr>
        <w:t xml:space="preserve"> </w:t>
      </w:r>
      <w:r>
        <w:rPr>
          <w:rFonts w:hint="eastAsia" w:ascii="黑体" w:hAnsi="Times New Roman" w:eastAsia="黑体" w:cs="黑体"/>
          <w:color w:val="auto"/>
          <w:sz w:val="32"/>
          <w:szCs w:val="32"/>
          <w:highlight w:val="none"/>
          <w:lang w:eastAsia="zh-CN"/>
        </w:rPr>
        <w:t>殷都</w:t>
      </w:r>
      <w:r>
        <w:rPr>
          <w:rFonts w:hint="eastAsia" w:ascii="黑体" w:hAnsi="Times New Roman" w:eastAsia="黑体" w:cs="黑体"/>
          <w:color w:val="auto"/>
          <w:sz w:val="32"/>
          <w:szCs w:val="32"/>
          <w:highlight w:val="none"/>
        </w:rPr>
        <w:t>区</w:t>
      </w:r>
      <w:r>
        <w:rPr>
          <w:rFonts w:ascii="黑体" w:hAnsi="Times New Roman" w:eastAsia="黑体" w:cs="黑体"/>
          <w:color w:val="auto"/>
          <w:spacing w:val="-119"/>
          <w:sz w:val="32"/>
          <w:szCs w:val="32"/>
          <w:highlight w:val="none"/>
        </w:rPr>
        <w:t xml:space="preserve">          </w:t>
      </w:r>
      <w:r>
        <w:rPr>
          <w:rFonts w:hint="eastAsia" w:ascii="黑体" w:hAnsi="Times New Roman" w:eastAsia="黑体" w:cs="黑体"/>
          <w:color w:val="auto"/>
          <w:sz w:val="32"/>
          <w:szCs w:val="32"/>
          <w:highlight w:val="none"/>
          <w:lang w:eastAsia="zh-CN"/>
        </w:rPr>
        <w:t>2026年</w:t>
      </w:r>
      <w:r>
        <w:rPr>
          <w:rFonts w:hint="eastAsia" w:ascii="黑体" w:hAnsi="Times New Roman" w:eastAsia="黑体" w:cs="黑体"/>
          <w:color w:val="auto"/>
          <w:sz w:val="32"/>
          <w:szCs w:val="32"/>
          <w:highlight w:val="none"/>
        </w:rPr>
        <w:t>度财政预算情况说明</w:t>
      </w:r>
      <w:r>
        <w:rPr>
          <w:rFonts w:ascii="黑体" w:hAnsi="Times New Roman" w:eastAsia="黑体" w:cs="黑体"/>
          <w:color w:val="auto"/>
          <w:w w:val="99"/>
          <w:sz w:val="32"/>
          <w:szCs w:val="32"/>
          <w:highlight w:val="none"/>
        </w:rPr>
        <w:t xml:space="preserve"> </w:t>
      </w:r>
    </w:p>
    <w:p>
      <w:pPr>
        <w:kinsoku w:val="0"/>
        <w:overflowPunct w:val="0"/>
        <w:adjustRightInd w:val="0"/>
        <w:snapToGrid w:val="0"/>
        <w:spacing w:line="360" w:lineRule="auto"/>
        <w:ind w:right="2039"/>
        <w:jc w:val="left"/>
        <w:rPr>
          <w:rFonts w:ascii="仿宋_GB2312" w:hAnsi="Times New Roman" w:eastAsia="仿宋_GB2312" w:cs="仿宋_GB2312"/>
          <w:color w:val="auto"/>
          <w:sz w:val="32"/>
          <w:szCs w:val="32"/>
          <w:highlight w:val="none"/>
        </w:rPr>
      </w:pPr>
      <w:r>
        <w:rPr>
          <w:rFonts w:ascii="黑体" w:hAnsi="Times New Roman" w:eastAsia="黑体" w:cs="黑体"/>
          <w:color w:val="auto"/>
          <w:w w:val="99"/>
          <w:sz w:val="32"/>
          <w:szCs w:val="32"/>
          <w:highlight w:val="none"/>
        </w:rPr>
        <w:t xml:space="preserve">     </w:t>
      </w:r>
      <w:r>
        <w:rPr>
          <w:rFonts w:ascii="仿宋_GB2312" w:hAnsi="Times New Roman" w:eastAsia="仿宋_GB2312" w:cs="仿宋_GB2312"/>
          <w:color w:val="auto"/>
          <w:sz w:val="32"/>
          <w:szCs w:val="32"/>
          <w:highlight w:val="none"/>
        </w:rPr>
        <w:t xml:space="preserve"> </w:t>
      </w:r>
      <w:r>
        <w:rPr>
          <w:rFonts w:hint="eastAsia" w:ascii="仿宋_GB2312" w:hAnsi="Times New Roman" w:eastAsia="仿宋_GB2312" w:cs="仿宋_GB2312"/>
          <w:color w:val="auto"/>
          <w:sz w:val="32"/>
          <w:szCs w:val="32"/>
          <w:highlight w:val="none"/>
        </w:rPr>
        <w:t>一、一般公共预算收支安排</w:t>
      </w:r>
    </w:p>
    <w:p>
      <w:pPr>
        <w:kinsoku w:val="0"/>
        <w:overflowPunct w:val="0"/>
        <w:adjustRightInd w:val="0"/>
        <w:snapToGrid w:val="0"/>
        <w:spacing w:line="360" w:lineRule="auto"/>
        <w:ind w:right="1424" w:firstLine="960" w:firstLineChars="300"/>
        <w:jc w:val="left"/>
        <w:rPr>
          <w:rFonts w:ascii="仿宋_GB2312" w:hAnsi="Times New Roman" w:eastAsia="仿宋_GB2312" w:cs="仿宋_GB2312"/>
          <w:color w:val="auto"/>
          <w:sz w:val="32"/>
          <w:szCs w:val="32"/>
          <w:highlight w:val="none"/>
        </w:rPr>
      </w:pPr>
      <w:r>
        <w:rPr>
          <w:rFonts w:hint="eastAsia" w:ascii="仿宋_GB2312" w:hAnsi="Times New Roman" w:eastAsia="仿宋_GB2312" w:cs="仿宋_GB2312"/>
          <w:color w:val="auto"/>
          <w:sz w:val="32"/>
          <w:szCs w:val="32"/>
          <w:highlight w:val="none"/>
        </w:rPr>
        <w:t>二、政府性基金预算收支安排情况</w:t>
      </w:r>
    </w:p>
    <w:p>
      <w:pPr>
        <w:kinsoku w:val="0"/>
        <w:overflowPunct w:val="0"/>
        <w:adjustRightInd w:val="0"/>
        <w:snapToGrid w:val="0"/>
        <w:spacing w:line="360" w:lineRule="auto"/>
        <w:ind w:right="1424" w:firstLine="960" w:firstLineChars="300"/>
        <w:jc w:val="left"/>
        <w:rPr>
          <w:rFonts w:ascii="仿宋_GB2312" w:hAnsi="Times New Roman" w:eastAsia="仿宋_GB2312" w:cs="仿宋_GB2312"/>
          <w:color w:val="auto"/>
          <w:sz w:val="32"/>
          <w:szCs w:val="32"/>
          <w:highlight w:val="none"/>
          <w:lang w:val="zh-CN"/>
        </w:rPr>
      </w:pPr>
      <w:r>
        <w:rPr>
          <w:rFonts w:hint="eastAsia" w:ascii="仿宋_GB2312" w:hAnsi="Times New Roman" w:eastAsia="仿宋_GB2312" w:cs="仿宋_GB2312"/>
          <w:color w:val="auto"/>
          <w:sz w:val="32"/>
          <w:szCs w:val="32"/>
          <w:highlight w:val="none"/>
        </w:rPr>
        <w:t>三、</w:t>
      </w:r>
      <w:r>
        <w:rPr>
          <w:rFonts w:hint="eastAsia" w:ascii="仿宋_GB2312" w:hAnsi="Times New Roman" w:eastAsia="仿宋_GB2312" w:cs="仿宋_GB2312"/>
          <w:color w:val="auto"/>
          <w:sz w:val="32"/>
          <w:szCs w:val="32"/>
          <w:highlight w:val="none"/>
          <w:lang w:val="zh-CN"/>
        </w:rPr>
        <w:t>国有资本经营预算收支情况说明</w:t>
      </w:r>
    </w:p>
    <w:p>
      <w:pPr>
        <w:kinsoku w:val="0"/>
        <w:overflowPunct w:val="0"/>
        <w:adjustRightInd w:val="0"/>
        <w:snapToGrid w:val="0"/>
        <w:spacing w:line="360" w:lineRule="auto"/>
        <w:ind w:right="1724" w:rightChars="821"/>
        <w:jc w:val="left"/>
        <w:rPr>
          <w:rFonts w:ascii="仿宋_GB2312" w:hAnsi="Times New Roman" w:eastAsia="仿宋_GB2312" w:cs="仿宋_GB2312"/>
          <w:color w:val="auto"/>
          <w:sz w:val="32"/>
          <w:szCs w:val="32"/>
          <w:highlight w:val="none"/>
        </w:rPr>
      </w:pPr>
      <w:r>
        <w:rPr>
          <w:rFonts w:ascii="仿宋_GB2312" w:hAnsi="Times New Roman" w:eastAsia="仿宋_GB2312" w:cs="仿宋_GB2312"/>
          <w:color w:val="auto"/>
          <w:sz w:val="32"/>
          <w:szCs w:val="32"/>
          <w:highlight w:val="none"/>
        </w:rPr>
        <w:t xml:space="preserve">      </w:t>
      </w:r>
      <w:r>
        <w:rPr>
          <w:rFonts w:hint="eastAsia" w:ascii="仿宋_GB2312" w:hAnsi="Times New Roman" w:eastAsia="仿宋_GB2312" w:cs="仿宋_GB2312"/>
          <w:color w:val="auto"/>
          <w:sz w:val="32"/>
          <w:szCs w:val="32"/>
          <w:highlight w:val="none"/>
        </w:rPr>
        <w:t>四、</w:t>
      </w:r>
      <w:r>
        <w:rPr>
          <w:rFonts w:hint="eastAsia" w:ascii="仿宋_GB2312" w:hAnsi="Times New Roman" w:eastAsia="仿宋_GB2312" w:cs="仿宋_GB2312"/>
          <w:color w:val="auto"/>
          <w:sz w:val="32"/>
          <w:szCs w:val="32"/>
          <w:highlight w:val="none"/>
          <w:lang w:val="zh-CN"/>
        </w:rPr>
        <w:t>社会保险基金预算收支情况说明</w:t>
      </w:r>
    </w:p>
    <w:p>
      <w:pPr>
        <w:kinsoku w:val="0"/>
        <w:overflowPunct w:val="0"/>
        <w:adjustRightInd w:val="0"/>
        <w:snapToGrid w:val="0"/>
        <w:spacing w:line="360" w:lineRule="auto"/>
        <w:ind w:right="1260" w:rightChars="600"/>
        <w:jc w:val="left"/>
        <w:rPr>
          <w:rFonts w:ascii="仿宋_GB2312" w:hAnsi="Times New Roman" w:eastAsia="仿宋_GB2312" w:cs="仿宋_GB2312"/>
          <w:color w:val="auto"/>
          <w:sz w:val="32"/>
          <w:szCs w:val="32"/>
          <w:highlight w:val="none"/>
        </w:rPr>
      </w:pPr>
      <w:r>
        <w:rPr>
          <w:rFonts w:ascii="仿宋_GB2312" w:hAnsi="Times New Roman" w:eastAsia="仿宋_GB2312" w:cs="仿宋_GB2312"/>
          <w:color w:val="auto"/>
          <w:sz w:val="32"/>
          <w:szCs w:val="32"/>
          <w:highlight w:val="none"/>
        </w:rPr>
        <w:t xml:space="preserve">      </w:t>
      </w:r>
      <w:r>
        <w:rPr>
          <w:rFonts w:hint="eastAsia" w:ascii="仿宋_GB2312" w:hAnsi="Times New Roman" w:eastAsia="仿宋_GB2312" w:cs="仿宋_GB2312"/>
          <w:color w:val="auto"/>
          <w:sz w:val="32"/>
          <w:szCs w:val="32"/>
          <w:highlight w:val="none"/>
        </w:rPr>
        <w:t>五、“三公”经费支出预算情况说明</w:t>
      </w:r>
    </w:p>
    <w:p>
      <w:pPr>
        <w:kinsoku w:val="0"/>
        <w:overflowPunct w:val="0"/>
        <w:adjustRightInd w:val="0"/>
        <w:snapToGrid w:val="0"/>
        <w:spacing w:line="360" w:lineRule="auto"/>
        <w:ind w:right="1050" w:rightChars="500"/>
        <w:jc w:val="left"/>
        <w:rPr>
          <w:rFonts w:ascii="仿宋_GB2312" w:hAnsi="Times New Roman" w:eastAsia="仿宋_GB2312" w:cs="仿宋_GB2312"/>
          <w:color w:val="auto"/>
          <w:sz w:val="32"/>
          <w:szCs w:val="32"/>
          <w:highlight w:val="none"/>
          <w:lang w:val="zh-CN"/>
        </w:rPr>
      </w:pPr>
      <w:r>
        <w:rPr>
          <w:rFonts w:ascii="仿宋_GB2312" w:hAnsi="Times New Roman" w:eastAsia="仿宋_GB2312" w:cs="仿宋_GB2312"/>
          <w:color w:val="auto"/>
          <w:sz w:val="32"/>
          <w:szCs w:val="32"/>
          <w:highlight w:val="none"/>
        </w:rPr>
        <w:t xml:space="preserve">      </w:t>
      </w:r>
      <w:r>
        <w:rPr>
          <w:rFonts w:hint="eastAsia" w:ascii="仿宋_GB2312" w:hAnsi="Times New Roman" w:eastAsia="仿宋_GB2312" w:cs="仿宋_GB2312"/>
          <w:color w:val="auto"/>
          <w:sz w:val="32"/>
          <w:szCs w:val="32"/>
          <w:highlight w:val="none"/>
        </w:rPr>
        <w:t>六、</w:t>
      </w:r>
      <w:r>
        <w:rPr>
          <w:rFonts w:hint="eastAsia" w:ascii="仿宋_GB2312" w:hAnsi="Times New Roman" w:eastAsia="仿宋_GB2312" w:cs="仿宋_GB2312"/>
          <w:color w:val="auto"/>
          <w:sz w:val="32"/>
          <w:szCs w:val="32"/>
          <w:highlight w:val="none"/>
          <w:lang w:val="zh-CN"/>
        </w:rPr>
        <w:t>转移支付情况说明</w:t>
      </w:r>
    </w:p>
    <w:p>
      <w:pPr>
        <w:kinsoku w:val="0"/>
        <w:overflowPunct w:val="0"/>
        <w:adjustRightInd w:val="0"/>
        <w:snapToGrid w:val="0"/>
        <w:spacing w:line="360" w:lineRule="auto"/>
        <w:ind w:right="3569" w:firstLine="960" w:firstLineChars="300"/>
        <w:jc w:val="left"/>
        <w:rPr>
          <w:rFonts w:ascii="仿宋_GB2312" w:hAnsi="Times New Roman" w:eastAsia="仿宋_GB2312" w:cs="仿宋_GB2312"/>
          <w:color w:val="auto"/>
          <w:sz w:val="32"/>
          <w:szCs w:val="32"/>
          <w:highlight w:val="none"/>
          <w:lang w:val="zh-CN"/>
        </w:rPr>
      </w:pPr>
      <w:r>
        <w:rPr>
          <w:rFonts w:hint="eastAsia" w:ascii="仿宋_GB2312" w:hAnsi="Times New Roman" w:eastAsia="仿宋_GB2312" w:cs="仿宋_GB2312"/>
          <w:color w:val="auto"/>
          <w:sz w:val="32"/>
          <w:szCs w:val="32"/>
          <w:highlight w:val="none"/>
          <w:lang w:val="zh-CN"/>
        </w:rPr>
        <w:t>七、举借债务情况说明</w:t>
      </w:r>
    </w:p>
    <w:p>
      <w:pPr>
        <w:kinsoku w:val="0"/>
        <w:overflowPunct w:val="0"/>
        <w:adjustRightInd w:val="0"/>
        <w:snapToGrid w:val="0"/>
        <w:spacing w:line="360" w:lineRule="auto"/>
        <w:ind w:right="960" w:firstLine="640" w:firstLineChars="200"/>
        <w:jc w:val="left"/>
        <w:rPr>
          <w:rFonts w:ascii="仿宋_GB2312" w:hAnsi="Times New Roman" w:eastAsia="仿宋_GB2312" w:cs="仿宋_GB2312"/>
          <w:color w:val="auto"/>
          <w:sz w:val="32"/>
          <w:szCs w:val="32"/>
          <w:highlight w:val="none"/>
        </w:rPr>
      </w:pPr>
      <w:r>
        <w:rPr>
          <w:rFonts w:ascii="仿宋_GB2312" w:hAnsi="Times New Roman" w:eastAsia="仿宋_GB2312" w:cs="仿宋_GB2312"/>
          <w:color w:val="auto"/>
          <w:sz w:val="32"/>
          <w:szCs w:val="32"/>
          <w:highlight w:val="none"/>
        </w:rPr>
        <w:t xml:space="preserve">  </w:t>
      </w:r>
      <w:r>
        <w:rPr>
          <w:rFonts w:hint="eastAsia" w:ascii="仿宋_GB2312" w:hAnsi="Times New Roman" w:eastAsia="仿宋_GB2312" w:cs="仿宋_GB2312"/>
          <w:color w:val="auto"/>
          <w:sz w:val="32"/>
          <w:szCs w:val="32"/>
          <w:highlight w:val="none"/>
        </w:rPr>
        <w:t>八、重大政策和重点项目绩效目标情况</w:t>
      </w:r>
    </w:p>
    <w:p>
      <w:pPr>
        <w:kinsoku w:val="0"/>
        <w:overflowPunct w:val="0"/>
        <w:adjustRightInd w:val="0"/>
        <w:snapToGrid w:val="0"/>
        <w:spacing w:line="360" w:lineRule="auto"/>
        <w:ind w:right="1050" w:rightChars="500"/>
        <w:jc w:val="left"/>
        <w:rPr>
          <w:rFonts w:hint="eastAsia" w:ascii="仿宋_GB2312" w:hAnsi="Times New Roman" w:eastAsia="仿宋_GB2312" w:cs="仿宋_GB2312"/>
          <w:color w:val="auto"/>
          <w:sz w:val="32"/>
          <w:szCs w:val="32"/>
          <w:highlight w:val="none"/>
        </w:rPr>
      </w:pPr>
      <w:r>
        <w:rPr>
          <w:rFonts w:ascii="仿宋_GB2312" w:hAnsi="Times New Roman" w:eastAsia="仿宋_GB2312" w:cs="仿宋_GB2312"/>
          <w:color w:val="auto"/>
          <w:sz w:val="32"/>
          <w:szCs w:val="32"/>
          <w:highlight w:val="none"/>
        </w:rPr>
        <w:t xml:space="preserve">      </w:t>
      </w:r>
      <w:r>
        <w:rPr>
          <w:rFonts w:hint="eastAsia" w:ascii="仿宋_GB2312" w:hAnsi="Times New Roman" w:eastAsia="仿宋_GB2312" w:cs="仿宋_GB2312"/>
          <w:color w:val="auto"/>
          <w:sz w:val="32"/>
          <w:szCs w:val="32"/>
          <w:highlight w:val="none"/>
        </w:rPr>
        <w:t>九、</w:t>
      </w:r>
      <w:r>
        <w:rPr>
          <w:rFonts w:hint="eastAsia" w:ascii="仿宋_GB2312" w:hAnsi="Times New Roman" w:eastAsia="仿宋_GB2312" w:cs="仿宋_GB2312"/>
          <w:color w:val="auto"/>
          <w:sz w:val="32"/>
          <w:szCs w:val="32"/>
          <w:highlight w:val="none"/>
          <w:lang w:val="en-US" w:eastAsia="zh-CN"/>
        </w:rPr>
        <w:t>财政衔接</w:t>
      </w:r>
      <w:r>
        <w:rPr>
          <w:rFonts w:hint="eastAsia" w:ascii="仿宋_GB2312" w:hAnsi="Times New Roman" w:eastAsia="仿宋_GB2312" w:cs="仿宋_GB2312"/>
          <w:color w:val="auto"/>
          <w:sz w:val="32"/>
          <w:szCs w:val="32"/>
          <w:highlight w:val="none"/>
        </w:rPr>
        <w:t>资金情况说明</w:t>
      </w:r>
    </w:p>
    <w:p>
      <w:pPr>
        <w:kinsoku w:val="0"/>
        <w:overflowPunct w:val="0"/>
        <w:adjustRightInd w:val="0"/>
        <w:snapToGrid w:val="0"/>
        <w:spacing w:line="360" w:lineRule="auto"/>
        <w:ind w:right="1050" w:rightChars="500"/>
        <w:jc w:val="left"/>
        <w:rPr>
          <w:rFonts w:hint="eastAsia" w:eastAsia="宋体"/>
          <w:color w:val="auto"/>
          <w:highlight w:val="none"/>
          <w:lang w:val="en-US" w:eastAsia="zh-CN"/>
        </w:rPr>
      </w:pPr>
      <w:r>
        <w:rPr>
          <w:rFonts w:hint="eastAsia"/>
          <w:color w:val="auto"/>
          <w:highlight w:val="none"/>
          <w:lang w:val="en-US" w:eastAsia="zh-CN"/>
        </w:rPr>
        <w:t xml:space="preserve">         </w:t>
      </w:r>
      <w:r>
        <w:rPr>
          <w:rFonts w:hint="eastAsia" w:ascii="仿宋_GB2312" w:hAnsi="Times New Roman" w:eastAsia="仿宋_GB2312" w:cs="仿宋_GB2312"/>
          <w:color w:val="auto"/>
          <w:sz w:val="32"/>
          <w:szCs w:val="32"/>
          <w:highlight w:val="none"/>
          <w:lang w:eastAsia="zh-CN"/>
        </w:rPr>
        <w:t>十</w:t>
      </w:r>
      <w:r>
        <w:rPr>
          <w:rFonts w:hint="eastAsia" w:ascii="仿宋_GB2312" w:hAnsi="Times New Roman" w:eastAsia="仿宋_GB2312" w:cs="仿宋_GB2312"/>
          <w:color w:val="auto"/>
          <w:sz w:val="32"/>
          <w:szCs w:val="32"/>
          <w:highlight w:val="none"/>
        </w:rPr>
        <w:t>、</w:t>
      </w:r>
      <w:r>
        <w:rPr>
          <w:rFonts w:hint="eastAsia" w:ascii="仿宋_GB2312" w:hAnsi="Times New Roman" w:eastAsia="仿宋_GB2312" w:cs="仿宋_GB2312"/>
          <w:color w:val="auto"/>
          <w:sz w:val="32"/>
          <w:szCs w:val="32"/>
          <w:highlight w:val="none"/>
          <w:lang w:eastAsia="zh-CN"/>
        </w:rPr>
        <w:t>预算调整报告及报表</w:t>
      </w:r>
      <w:r>
        <w:rPr>
          <w:rFonts w:hint="eastAsia" w:ascii="仿宋_GB2312" w:hAnsi="Times New Roman" w:eastAsia="仿宋_GB2312" w:cs="仿宋_GB2312"/>
          <w:color w:val="auto"/>
          <w:sz w:val="32"/>
          <w:szCs w:val="32"/>
          <w:highlight w:val="none"/>
        </w:rPr>
        <w:t>情况说明</w:t>
      </w:r>
    </w:p>
    <w:p>
      <w:pPr>
        <w:kinsoku w:val="0"/>
        <w:overflowPunct w:val="0"/>
        <w:adjustRightInd w:val="0"/>
        <w:snapToGrid w:val="0"/>
        <w:spacing w:line="360" w:lineRule="auto"/>
        <w:ind w:right="521" w:firstLine="640" w:firstLineChars="200"/>
        <w:rPr>
          <w:rFonts w:hint="eastAsia" w:ascii="黑体" w:hAnsi="Times New Roman" w:eastAsia="黑体" w:cs="黑体"/>
          <w:color w:val="auto"/>
          <w:sz w:val="32"/>
          <w:szCs w:val="32"/>
          <w:highlight w:val="none"/>
        </w:rPr>
      </w:pPr>
      <w:r>
        <w:rPr>
          <w:rFonts w:hint="eastAsia" w:ascii="黑体" w:hAnsi="Times New Roman" w:eastAsia="黑体" w:cs="黑体"/>
          <w:color w:val="auto"/>
          <w:sz w:val="32"/>
          <w:szCs w:val="32"/>
          <w:highlight w:val="none"/>
        </w:rPr>
        <w:t>第三部分  关于安阳市</w:t>
      </w:r>
      <w:r>
        <w:rPr>
          <w:rFonts w:hint="eastAsia" w:ascii="黑体" w:hAnsi="Times New Roman" w:eastAsia="黑体" w:cs="黑体"/>
          <w:color w:val="auto"/>
          <w:sz w:val="32"/>
          <w:szCs w:val="32"/>
          <w:highlight w:val="none"/>
          <w:lang w:eastAsia="zh-CN"/>
        </w:rPr>
        <w:t>殷都</w:t>
      </w:r>
      <w:r>
        <w:rPr>
          <w:rFonts w:hint="eastAsia" w:ascii="黑体" w:hAnsi="Times New Roman" w:eastAsia="黑体" w:cs="黑体"/>
          <w:color w:val="auto"/>
          <w:sz w:val="32"/>
          <w:szCs w:val="32"/>
          <w:highlight w:val="none"/>
        </w:rPr>
        <w:t>区</w:t>
      </w:r>
      <w:r>
        <w:rPr>
          <w:rFonts w:hint="eastAsia" w:ascii="黑体" w:hAnsi="Times New Roman" w:eastAsia="黑体" w:cs="黑体"/>
          <w:color w:val="auto"/>
          <w:sz w:val="32"/>
          <w:szCs w:val="32"/>
          <w:highlight w:val="none"/>
          <w:lang w:eastAsia="zh-CN"/>
        </w:rPr>
        <w:t>2026年</w:t>
      </w:r>
      <w:r>
        <w:rPr>
          <w:rFonts w:hint="eastAsia" w:ascii="黑体" w:hAnsi="Times New Roman" w:eastAsia="黑体" w:cs="黑体"/>
          <w:color w:val="auto"/>
          <w:sz w:val="32"/>
          <w:szCs w:val="32"/>
          <w:highlight w:val="none"/>
        </w:rPr>
        <w:t>财政预算执行情况和</w:t>
      </w:r>
      <w:r>
        <w:rPr>
          <w:rFonts w:hint="eastAsia" w:ascii="黑体" w:hAnsi="Times New Roman" w:eastAsia="黑体" w:cs="黑体"/>
          <w:color w:val="auto"/>
          <w:sz w:val="32"/>
          <w:szCs w:val="32"/>
          <w:highlight w:val="none"/>
          <w:lang w:eastAsia="zh-CN"/>
        </w:rPr>
        <w:t>2026年</w:t>
      </w:r>
      <w:r>
        <w:rPr>
          <w:rFonts w:hint="eastAsia" w:ascii="黑体" w:hAnsi="Times New Roman" w:eastAsia="黑体" w:cs="黑体"/>
          <w:color w:val="auto"/>
          <w:sz w:val="32"/>
          <w:szCs w:val="32"/>
          <w:highlight w:val="none"/>
        </w:rPr>
        <w:t>财政预算（草案）的报告</w:t>
      </w:r>
    </w:p>
    <w:p>
      <w:pPr>
        <w:kinsoku w:val="0"/>
        <w:overflowPunct w:val="0"/>
        <w:adjustRightInd w:val="0"/>
        <w:snapToGrid w:val="0"/>
        <w:spacing w:line="360" w:lineRule="auto"/>
        <w:ind w:right="521" w:firstLine="358" w:firstLineChars="112"/>
        <w:rPr>
          <w:rFonts w:hint="eastAsia" w:ascii="仿宋_GB2312" w:hAnsi="Times New Roman" w:eastAsia="仿宋_GB2312" w:cs="仿宋_GB2312"/>
          <w:color w:val="auto"/>
          <w:sz w:val="32"/>
          <w:szCs w:val="32"/>
          <w:highlight w:val="none"/>
        </w:rPr>
      </w:pPr>
      <w:r>
        <w:rPr>
          <w:rFonts w:hint="eastAsia" w:ascii="仿宋_GB2312" w:hAnsi="Times New Roman" w:eastAsia="仿宋_GB2312" w:cs="仿宋_GB2312"/>
          <w:color w:val="auto"/>
          <w:sz w:val="32"/>
          <w:szCs w:val="32"/>
          <w:highlight w:val="none"/>
        </w:rPr>
        <w:t xml:space="preserve">    一、</w:t>
      </w:r>
      <w:r>
        <w:rPr>
          <w:rFonts w:hint="eastAsia" w:ascii="仿宋_GB2312" w:hAnsi="Times New Roman" w:eastAsia="仿宋_GB2312" w:cs="仿宋_GB2312"/>
          <w:color w:val="auto"/>
          <w:sz w:val="32"/>
          <w:szCs w:val="32"/>
          <w:highlight w:val="none"/>
          <w:lang w:eastAsia="zh-CN"/>
        </w:rPr>
        <w:t>2025年</w:t>
      </w:r>
      <w:r>
        <w:rPr>
          <w:rFonts w:hint="eastAsia" w:ascii="仿宋_GB2312" w:hAnsi="Times New Roman" w:eastAsia="仿宋_GB2312" w:cs="仿宋_GB2312"/>
          <w:color w:val="auto"/>
          <w:sz w:val="32"/>
          <w:szCs w:val="32"/>
          <w:highlight w:val="none"/>
        </w:rPr>
        <w:t>财政预算执行情况</w:t>
      </w:r>
    </w:p>
    <w:p>
      <w:pPr>
        <w:kinsoku w:val="0"/>
        <w:overflowPunct w:val="0"/>
        <w:adjustRightInd w:val="0"/>
        <w:snapToGrid w:val="0"/>
        <w:spacing w:line="360" w:lineRule="auto"/>
        <w:ind w:right="521" w:firstLine="800" w:firstLineChars="250"/>
        <w:rPr>
          <w:rFonts w:hint="eastAsia" w:ascii="仿宋_GB2312" w:hAnsi="Times New Roman" w:eastAsia="仿宋_GB2312" w:cs="仿宋_GB2312"/>
          <w:color w:val="auto"/>
          <w:sz w:val="32"/>
          <w:szCs w:val="32"/>
          <w:highlight w:val="none"/>
        </w:rPr>
      </w:pPr>
      <w:r>
        <w:rPr>
          <w:rFonts w:hint="eastAsia" w:ascii="仿宋_GB2312" w:hAnsi="Times New Roman" w:eastAsia="仿宋_GB2312" w:cs="仿宋_GB2312"/>
          <w:color w:val="auto"/>
          <w:sz w:val="32"/>
          <w:szCs w:val="32"/>
          <w:highlight w:val="none"/>
          <w:lang w:val="en-US" w:eastAsia="zh-CN"/>
        </w:rPr>
        <w:t xml:space="preserve"> </w:t>
      </w:r>
      <w:r>
        <w:rPr>
          <w:rFonts w:hint="eastAsia" w:ascii="仿宋_GB2312" w:hAnsi="Times New Roman" w:eastAsia="仿宋_GB2312" w:cs="仿宋_GB2312"/>
          <w:color w:val="auto"/>
          <w:sz w:val="32"/>
          <w:szCs w:val="32"/>
          <w:highlight w:val="none"/>
        </w:rPr>
        <w:t>二、</w:t>
      </w:r>
      <w:r>
        <w:rPr>
          <w:rFonts w:hint="eastAsia" w:ascii="仿宋_GB2312" w:hAnsi="Times New Roman" w:eastAsia="仿宋_GB2312" w:cs="仿宋_GB2312"/>
          <w:color w:val="auto"/>
          <w:sz w:val="32"/>
          <w:szCs w:val="32"/>
          <w:highlight w:val="none"/>
          <w:lang w:eastAsia="zh-CN"/>
        </w:rPr>
        <w:t>2026年</w:t>
      </w:r>
      <w:r>
        <w:rPr>
          <w:rFonts w:hint="eastAsia" w:ascii="仿宋_GB2312" w:hAnsi="Times New Roman" w:eastAsia="仿宋_GB2312" w:cs="仿宋_GB2312"/>
          <w:color w:val="auto"/>
          <w:sz w:val="32"/>
          <w:szCs w:val="32"/>
          <w:highlight w:val="none"/>
        </w:rPr>
        <w:t>财政预算安排情况</w:t>
      </w:r>
    </w:p>
    <w:p>
      <w:pPr>
        <w:kinsoku w:val="0"/>
        <w:overflowPunct w:val="0"/>
        <w:adjustRightInd w:val="0"/>
        <w:snapToGrid w:val="0"/>
        <w:spacing w:line="360" w:lineRule="auto"/>
        <w:ind w:right="521" w:firstLine="800" w:firstLineChars="250"/>
        <w:rPr>
          <w:rFonts w:hint="eastAsia" w:ascii="仿宋_GB2312" w:hAnsi="Times New Roman" w:eastAsia="仿宋_GB2312" w:cs="仿宋_GB2312"/>
          <w:color w:val="auto"/>
          <w:sz w:val="32"/>
          <w:szCs w:val="32"/>
          <w:highlight w:val="none"/>
        </w:rPr>
      </w:pPr>
      <w:r>
        <w:rPr>
          <w:rFonts w:hint="eastAsia" w:ascii="仿宋_GB2312" w:hAnsi="Times New Roman" w:eastAsia="仿宋_GB2312" w:cs="仿宋_GB2312"/>
          <w:color w:val="auto"/>
          <w:sz w:val="32"/>
          <w:szCs w:val="32"/>
          <w:highlight w:val="none"/>
          <w:lang w:val="en-US" w:eastAsia="zh-CN"/>
        </w:rPr>
        <w:t xml:space="preserve"> </w:t>
      </w:r>
      <w:r>
        <w:rPr>
          <w:rFonts w:hint="eastAsia" w:ascii="仿宋_GB2312" w:hAnsi="Times New Roman" w:eastAsia="仿宋_GB2312" w:cs="仿宋_GB2312"/>
          <w:color w:val="auto"/>
          <w:sz w:val="32"/>
          <w:szCs w:val="32"/>
          <w:highlight w:val="none"/>
        </w:rPr>
        <w:t>三、</w:t>
      </w:r>
      <w:r>
        <w:rPr>
          <w:rFonts w:hint="eastAsia" w:ascii="仿宋_GB2312" w:hAnsi="Times New Roman" w:eastAsia="仿宋_GB2312" w:cs="仿宋_GB2312"/>
          <w:color w:val="auto"/>
          <w:sz w:val="32"/>
          <w:szCs w:val="32"/>
          <w:highlight w:val="none"/>
          <w:lang w:val="en-US" w:eastAsia="zh-CN"/>
        </w:rPr>
        <w:t>切实做好2026年财政管理和预算执行</w:t>
      </w:r>
    </w:p>
    <w:p>
      <w:pPr>
        <w:kinsoku w:val="0"/>
        <w:overflowPunct w:val="0"/>
        <w:adjustRightInd w:val="0"/>
        <w:snapToGrid w:val="0"/>
        <w:spacing w:line="360" w:lineRule="auto"/>
        <w:ind w:right="521"/>
        <w:rPr>
          <w:rFonts w:ascii="黑体" w:hAnsi="Times New Roman" w:eastAsia="黑体" w:cs="黑体"/>
          <w:color w:val="auto"/>
          <w:sz w:val="32"/>
          <w:szCs w:val="32"/>
          <w:highlight w:val="none"/>
        </w:rPr>
      </w:pPr>
      <w:r>
        <w:rPr>
          <w:rFonts w:ascii="黑体" w:hAnsi="Times New Roman" w:eastAsia="黑体" w:cs="黑体"/>
          <w:color w:val="auto"/>
          <w:sz w:val="32"/>
          <w:szCs w:val="32"/>
          <w:highlight w:val="none"/>
        </w:rPr>
        <w:t xml:space="preserve">   </w:t>
      </w:r>
      <w:r>
        <w:rPr>
          <w:rFonts w:hint="eastAsia" w:ascii="黑体" w:hAnsi="Times New Roman" w:eastAsia="黑体" w:cs="黑体"/>
          <w:color w:val="auto"/>
          <w:sz w:val="32"/>
          <w:szCs w:val="32"/>
          <w:highlight w:val="none"/>
        </w:rPr>
        <w:t>附件1：</w:t>
      </w:r>
      <w:r>
        <w:rPr>
          <w:rFonts w:ascii="黑体" w:hAnsi="Times New Roman" w:eastAsia="黑体" w:cs="黑体"/>
          <w:color w:val="auto"/>
          <w:spacing w:val="-32"/>
          <w:sz w:val="32"/>
          <w:szCs w:val="32"/>
          <w:highlight w:val="none"/>
        </w:rPr>
        <w:t xml:space="preserve"> </w:t>
      </w:r>
      <w:r>
        <w:rPr>
          <w:rFonts w:hint="eastAsia" w:ascii="黑体" w:hAnsi="Times New Roman" w:eastAsia="黑体" w:cs="黑体"/>
          <w:color w:val="auto"/>
          <w:spacing w:val="-32"/>
          <w:sz w:val="32"/>
          <w:szCs w:val="32"/>
          <w:highlight w:val="none"/>
          <w:lang w:eastAsia="zh-CN"/>
        </w:rPr>
        <w:t>殷都</w:t>
      </w:r>
      <w:r>
        <w:rPr>
          <w:rFonts w:hint="eastAsia" w:ascii="黑体" w:hAnsi="Times New Roman" w:eastAsia="黑体" w:cs="黑体"/>
          <w:color w:val="auto"/>
          <w:spacing w:val="-32"/>
          <w:sz w:val="32"/>
          <w:szCs w:val="32"/>
          <w:highlight w:val="none"/>
        </w:rPr>
        <w:t>区</w:t>
      </w:r>
      <w:r>
        <w:rPr>
          <w:rFonts w:hint="eastAsia" w:ascii="黑体" w:hAnsi="Times New Roman" w:eastAsia="黑体" w:cs="黑体"/>
          <w:color w:val="auto"/>
          <w:sz w:val="32"/>
          <w:szCs w:val="32"/>
          <w:highlight w:val="none"/>
          <w:lang w:eastAsia="zh-CN"/>
        </w:rPr>
        <w:t>2026年</w:t>
      </w:r>
      <w:r>
        <w:rPr>
          <w:rFonts w:hint="eastAsia" w:ascii="黑体" w:hAnsi="Times New Roman" w:eastAsia="黑体" w:cs="黑体"/>
          <w:color w:val="auto"/>
          <w:sz w:val="32"/>
          <w:szCs w:val="32"/>
          <w:highlight w:val="none"/>
        </w:rPr>
        <w:t>度预算明细表</w:t>
      </w:r>
    </w:p>
    <w:p>
      <w:pPr>
        <w:kinsoku w:val="0"/>
        <w:overflowPunct w:val="0"/>
        <w:adjustRightInd w:val="0"/>
        <w:snapToGrid w:val="0"/>
        <w:spacing w:line="360" w:lineRule="auto"/>
        <w:ind w:right="51" w:firstLine="960" w:firstLineChars="300"/>
        <w:jc w:val="left"/>
        <w:rPr>
          <w:rFonts w:hint="eastAsia" w:ascii="仿宋_GB2312" w:eastAsia="仿宋_GB2312"/>
          <w:color w:val="auto"/>
          <w:sz w:val="32"/>
          <w:szCs w:val="32"/>
          <w:highlight w:val="none"/>
          <w:lang w:eastAsia="zh-CN"/>
        </w:rPr>
      </w:pPr>
      <w:r>
        <w:rPr>
          <w:rFonts w:hint="eastAsia" w:ascii="仿宋_GB2312" w:hAnsi="Times New Roman" w:eastAsia="仿宋_GB2312" w:cs="仿宋_GB2312"/>
          <w:color w:val="auto"/>
          <w:sz w:val="32"/>
          <w:szCs w:val="32"/>
          <w:highlight w:val="none"/>
          <w:lang w:eastAsia="zh-CN"/>
        </w:rPr>
        <w:t>一、</w:t>
      </w:r>
      <w:r>
        <w:rPr>
          <w:rFonts w:hint="eastAsia" w:ascii="仿宋_GB2312" w:eastAsia="仿宋_GB2312"/>
          <w:color w:val="auto"/>
          <w:sz w:val="32"/>
          <w:szCs w:val="32"/>
          <w:highlight w:val="none"/>
          <w:lang w:eastAsia="zh-CN"/>
        </w:rPr>
        <w:t>2026年殷都区一般公共预算收支预算总表</w:t>
      </w:r>
    </w:p>
    <w:p>
      <w:pPr>
        <w:kinsoku w:val="0"/>
        <w:overflowPunct w:val="0"/>
        <w:adjustRightInd w:val="0"/>
        <w:snapToGrid w:val="0"/>
        <w:spacing w:line="360" w:lineRule="auto"/>
        <w:ind w:right="51" w:firstLine="960" w:firstLineChars="300"/>
        <w:jc w:val="left"/>
        <w:rPr>
          <w:rFonts w:ascii="仿宋_GB2312" w:hAnsi="Times New Roman" w:eastAsia="仿宋_GB2312" w:cs="仿宋_GB2312"/>
          <w:color w:val="auto"/>
          <w:sz w:val="32"/>
          <w:szCs w:val="32"/>
          <w:highlight w:val="none"/>
        </w:rPr>
      </w:pPr>
      <w:r>
        <w:rPr>
          <w:rFonts w:hint="eastAsia" w:ascii="仿宋_GB2312" w:hAnsi="Times New Roman" w:eastAsia="仿宋_GB2312" w:cs="仿宋_GB2312"/>
          <w:color w:val="auto"/>
          <w:sz w:val="32"/>
          <w:szCs w:val="32"/>
          <w:highlight w:val="none"/>
          <w:lang w:eastAsia="zh-CN"/>
        </w:rPr>
        <w:t>二</w:t>
      </w:r>
      <w:r>
        <w:rPr>
          <w:rFonts w:hint="eastAsia" w:ascii="仿宋_GB2312" w:hAnsi="Times New Roman" w:eastAsia="仿宋_GB2312" w:cs="仿宋_GB2312"/>
          <w:color w:val="auto"/>
          <w:sz w:val="32"/>
          <w:szCs w:val="32"/>
          <w:highlight w:val="none"/>
        </w:rPr>
        <w:t>、</w:t>
      </w:r>
      <w:r>
        <w:rPr>
          <w:rFonts w:hint="eastAsia" w:ascii="仿宋_GB2312" w:eastAsia="仿宋_GB2312"/>
          <w:color w:val="auto"/>
          <w:sz w:val="32"/>
          <w:szCs w:val="32"/>
          <w:highlight w:val="none"/>
          <w:lang w:eastAsia="zh-CN"/>
        </w:rPr>
        <w:t>2026年殷都区一般公共预算收入预算表</w:t>
      </w:r>
    </w:p>
    <w:p>
      <w:pPr>
        <w:kinsoku w:val="0"/>
        <w:overflowPunct w:val="0"/>
        <w:adjustRightInd w:val="0"/>
        <w:snapToGrid w:val="0"/>
        <w:spacing w:line="360" w:lineRule="auto"/>
        <w:ind w:right="51" w:firstLine="960" w:firstLineChars="300"/>
        <w:jc w:val="left"/>
        <w:rPr>
          <w:rFonts w:ascii="仿宋_GB2312" w:hAnsi="Times New Roman" w:eastAsia="仿宋_GB2312" w:cs="仿宋_GB2312"/>
          <w:color w:val="auto"/>
          <w:sz w:val="32"/>
          <w:szCs w:val="32"/>
          <w:highlight w:val="none"/>
        </w:rPr>
      </w:pPr>
      <w:r>
        <w:rPr>
          <w:rFonts w:hint="eastAsia" w:ascii="仿宋_GB2312" w:hAnsi="Times New Roman" w:eastAsia="仿宋_GB2312" w:cs="仿宋_GB2312"/>
          <w:color w:val="auto"/>
          <w:sz w:val="32"/>
          <w:szCs w:val="32"/>
          <w:highlight w:val="none"/>
          <w:lang w:eastAsia="zh-CN"/>
        </w:rPr>
        <w:t>三</w:t>
      </w:r>
      <w:r>
        <w:rPr>
          <w:rFonts w:hint="eastAsia" w:ascii="仿宋_GB2312" w:hAnsi="Times New Roman" w:eastAsia="仿宋_GB2312" w:cs="仿宋_GB2312"/>
          <w:color w:val="auto"/>
          <w:sz w:val="32"/>
          <w:szCs w:val="32"/>
          <w:highlight w:val="none"/>
        </w:rPr>
        <w:t>、</w:t>
      </w:r>
      <w:r>
        <w:rPr>
          <w:rFonts w:hint="eastAsia" w:ascii="仿宋_GB2312" w:eastAsia="仿宋_GB2312"/>
          <w:color w:val="auto"/>
          <w:sz w:val="32"/>
          <w:szCs w:val="32"/>
          <w:highlight w:val="none"/>
          <w:lang w:eastAsia="zh-CN"/>
        </w:rPr>
        <w:t>2026年殷都区一般公共预算收入分级预算表</w:t>
      </w:r>
    </w:p>
    <w:p>
      <w:pPr>
        <w:kinsoku w:val="0"/>
        <w:overflowPunct w:val="0"/>
        <w:adjustRightInd w:val="0"/>
        <w:snapToGrid w:val="0"/>
        <w:spacing w:line="360" w:lineRule="auto"/>
        <w:ind w:right="51" w:firstLine="960" w:firstLineChars="300"/>
        <w:jc w:val="left"/>
        <w:rPr>
          <w:rFonts w:ascii="仿宋_GB2312" w:eastAsia="仿宋_GB2312"/>
          <w:color w:val="auto"/>
          <w:sz w:val="32"/>
          <w:szCs w:val="32"/>
          <w:highlight w:val="none"/>
        </w:rPr>
      </w:pPr>
      <w:r>
        <w:rPr>
          <w:rFonts w:hint="eastAsia" w:ascii="仿宋_GB2312" w:hAnsi="Times New Roman" w:eastAsia="仿宋_GB2312" w:cs="仿宋_GB2312"/>
          <w:color w:val="auto"/>
          <w:sz w:val="32"/>
          <w:szCs w:val="32"/>
          <w:highlight w:val="none"/>
          <w:lang w:eastAsia="zh-CN"/>
        </w:rPr>
        <w:t>四</w:t>
      </w:r>
      <w:r>
        <w:rPr>
          <w:rFonts w:hint="eastAsia" w:ascii="仿宋_GB2312" w:hAnsi="Times New Roman" w:eastAsia="仿宋_GB2312" w:cs="仿宋_GB2312"/>
          <w:color w:val="auto"/>
          <w:sz w:val="32"/>
          <w:szCs w:val="32"/>
          <w:highlight w:val="none"/>
        </w:rPr>
        <w:t>、</w:t>
      </w:r>
      <w:r>
        <w:rPr>
          <w:rFonts w:hint="eastAsia" w:ascii="仿宋_GB2312" w:eastAsia="仿宋_GB2312"/>
          <w:color w:val="auto"/>
          <w:sz w:val="32"/>
          <w:szCs w:val="32"/>
          <w:highlight w:val="none"/>
          <w:lang w:eastAsia="zh-CN"/>
        </w:rPr>
        <w:t>2026年殷都区一般公共预算支出预算表</w:t>
      </w:r>
    </w:p>
    <w:p>
      <w:pPr>
        <w:kinsoku w:val="0"/>
        <w:overflowPunct w:val="0"/>
        <w:adjustRightInd w:val="0"/>
        <w:snapToGrid w:val="0"/>
        <w:spacing w:line="360" w:lineRule="auto"/>
        <w:ind w:right="51" w:firstLine="960" w:firstLineChars="300"/>
        <w:jc w:val="left"/>
        <w:rPr>
          <w:rFonts w:hint="eastAsia" w:ascii="仿宋_GB2312" w:eastAsia="仿宋_GB2312"/>
          <w:color w:val="auto"/>
          <w:sz w:val="32"/>
          <w:szCs w:val="32"/>
          <w:highlight w:val="none"/>
          <w:lang w:eastAsia="zh-CN"/>
        </w:rPr>
      </w:pPr>
      <w:r>
        <w:rPr>
          <w:rFonts w:hint="eastAsia" w:ascii="仿宋_GB2312" w:hAnsi="Times New Roman" w:eastAsia="仿宋_GB2312" w:cs="仿宋_GB2312"/>
          <w:color w:val="auto"/>
          <w:sz w:val="32"/>
          <w:szCs w:val="32"/>
          <w:highlight w:val="none"/>
          <w:lang w:eastAsia="zh-CN"/>
        </w:rPr>
        <w:t>五</w:t>
      </w:r>
      <w:r>
        <w:rPr>
          <w:rFonts w:hint="eastAsia" w:ascii="仿宋_GB2312" w:hAnsi="Times New Roman" w:eastAsia="仿宋_GB2312" w:cs="仿宋_GB2312"/>
          <w:color w:val="auto"/>
          <w:sz w:val="32"/>
          <w:szCs w:val="32"/>
          <w:highlight w:val="none"/>
        </w:rPr>
        <w:t>、</w:t>
      </w:r>
      <w:r>
        <w:rPr>
          <w:rFonts w:hint="eastAsia" w:ascii="仿宋_GB2312" w:eastAsia="仿宋_GB2312"/>
          <w:color w:val="auto"/>
          <w:sz w:val="32"/>
          <w:szCs w:val="32"/>
          <w:highlight w:val="none"/>
          <w:lang w:eastAsia="zh-CN"/>
        </w:rPr>
        <w:t>2026年殷都区一般公共预算支出明细表</w:t>
      </w:r>
    </w:p>
    <w:p>
      <w:pPr>
        <w:kinsoku w:val="0"/>
        <w:overflowPunct w:val="0"/>
        <w:adjustRightInd w:val="0"/>
        <w:snapToGrid w:val="0"/>
        <w:spacing w:line="360" w:lineRule="auto"/>
        <w:ind w:right="51" w:firstLine="960" w:firstLineChars="300"/>
        <w:jc w:val="left"/>
        <w:rPr>
          <w:rFonts w:hint="eastAsia" w:ascii="仿宋_GB2312" w:eastAsia="仿宋_GB2312"/>
          <w:color w:val="auto"/>
          <w:sz w:val="32"/>
          <w:szCs w:val="32"/>
          <w:highlight w:val="none"/>
          <w:lang w:eastAsia="zh-CN"/>
        </w:rPr>
      </w:pPr>
      <w:r>
        <w:rPr>
          <w:rFonts w:hint="eastAsia" w:ascii="仿宋_GB2312" w:hAnsi="Times New Roman" w:eastAsia="仿宋_GB2312" w:cs="仿宋_GB2312"/>
          <w:color w:val="auto"/>
          <w:sz w:val="32"/>
          <w:szCs w:val="32"/>
          <w:highlight w:val="none"/>
          <w:lang w:eastAsia="zh-CN"/>
        </w:rPr>
        <w:t>六</w:t>
      </w:r>
      <w:r>
        <w:rPr>
          <w:rFonts w:hint="eastAsia" w:ascii="仿宋_GB2312" w:hAnsi="Times New Roman" w:eastAsia="仿宋_GB2312" w:cs="仿宋_GB2312"/>
          <w:color w:val="auto"/>
          <w:sz w:val="32"/>
          <w:szCs w:val="32"/>
          <w:highlight w:val="none"/>
        </w:rPr>
        <w:t>、</w:t>
      </w:r>
      <w:r>
        <w:rPr>
          <w:rFonts w:hint="eastAsia" w:ascii="仿宋_GB2312" w:eastAsia="仿宋_GB2312"/>
          <w:color w:val="auto"/>
          <w:sz w:val="32"/>
          <w:szCs w:val="32"/>
          <w:highlight w:val="none"/>
          <w:lang w:eastAsia="zh-CN"/>
        </w:rPr>
        <w:t>2026年</w:t>
      </w:r>
      <w:r>
        <w:rPr>
          <w:rFonts w:hint="eastAsia" w:ascii="仿宋_GB2312" w:eastAsia="仿宋_GB2312"/>
          <w:color w:val="auto"/>
          <w:sz w:val="32"/>
          <w:szCs w:val="32"/>
          <w:highlight w:val="none"/>
        </w:rPr>
        <w:t>一般公共预算</w:t>
      </w:r>
      <w:r>
        <w:rPr>
          <w:rFonts w:hint="eastAsia" w:ascii="仿宋_GB2312" w:eastAsia="仿宋_GB2312"/>
          <w:color w:val="auto"/>
          <w:sz w:val="32"/>
          <w:szCs w:val="32"/>
          <w:highlight w:val="none"/>
          <w:lang w:eastAsia="zh-CN"/>
        </w:rPr>
        <w:t>支</w:t>
      </w:r>
      <w:r>
        <w:rPr>
          <w:rFonts w:hint="eastAsia" w:ascii="仿宋_GB2312" w:eastAsia="仿宋_GB2312"/>
          <w:color w:val="auto"/>
          <w:sz w:val="32"/>
          <w:szCs w:val="32"/>
          <w:highlight w:val="none"/>
        </w:rPr>
        <w:t>出</w:t>
      </w:r>
      <w:r>
        <w:rPr>
          <w:rFonts w:hint="eastAsia" w:ascii="仿宋_GB2312" w:eastAsia="仿宋_GB2312"/>
          <w:color w:val="auto"/>
          <w:sz w:val="32"/>
          <w:szCs w:val="32"/>
          <w:highlight w:val="none"/>
          <w:lang w:eastAsia="zh-CN"/>
        </w:rPr>
        <w:t>预算</w:t>
      </w:r>
      <w:r>
        <w:rPr>
          <w:rFonts w:hint="eastAsia" w:ascii="仿宋_GB2312" w:eastAsia="仿宋_GB2312"/>
          <w:color w:val="auto"/>
          <w:sz w:val="32"/>
          <w:szCs w:val="32"/>
          <w:highlight w:val="none"/>
        </w:rPr>
        <w:t>表</w:t>
      </w:r>
      <w:r>
        <w:rPr>
          <w:rFonts w:hint="eastAsia" w:ascii="仿宋_GB2312" w:eastAsia="仿宋_GB2312"/>
          <w:color w:val="auto"/>
          <w:sz w:val="32"/>
          <w:szCs w:val="32"/>
          <w:highlight w:val="none"/>
          <w:lang w:eastAsia="zh-CN"/>
        </w:rPr>
        <w:t>（按经济分类）</w:t>
      </w:r>
    </w:p>
    <w:p>
      <w:pPr>
        <w:kinsoku w:val="0"/>
        <w:overflowPunct w:val="0"/>
        <w:adjustRightInd w:val="0"/>
        <w:snapToGrid w:val="0"/>
        <w:spacing w:line="360" w:lineRule="auto"/>
        <w:ind w:right="51" w:firstLine="960" w:firstLineChars="300"/>
        <w:jc w:val="left"/>
        <w:rPr>
          <w:rFonts w:hint="eastAsia" w:ascii="仿宋_GB2312" w:hAnsi="Times New Roman" w:eastAsia="仿宋_GB2312" w:cs="仿宋_GB2312"/>
          <w:color w:val="auto"/>
          <w:sz w:val="32"/>
          <w:szCs w:val="32"/>
          <w:highlight w:val="none"/>
          <w:lang w:eastAsia="zh-CN"/>
        </w:rPr>
      </w:pPr>
      <w:r>
        <w:rPr>
          <w:rFonts w:hint="eastAsia" w:ascii="仿宋_GB2312" w:hAnsi="Times New Roman" w:eastAsia="仿宋_GB2312" w:cs="仿宋_GB2312"/>
          <w:color w:val="auto"/>
          <w:sz w:val="32"/>
          <w:szCs w:val="32"/>
          <w:highlight w:val="none"/>
          <w:lang w:eastAsia="zh-CN"/>
        </w:rPr>
        <w:t>七</w:t>
      </w:r>
      <w:r>
        <w:rPr>
          <w:rFonts w:hint="eastAsia" w:ascii="仿宋_GB2312" w:hAnsi="Times New Roman" w:eastAsia="仿宋_GB2312" w:cs="仿宋_GB2312"/>
          <w:color w:val="auto"/>
          <w:sz w:val="32"/>
          <w:szCs w:val="32"/>
          <w:highlight w:val="none"/>
        </w:rPr>
        <w:t>、</w:t>
      </w:r>
      <w:r>
        <w:rPr>
          <w:rFonts w:hint="eastAsia" w:ascii="仿宋_GB2312" w:hAnsi="Times New Roman" w:eastAsia="仿宋_GB2312" w:cs="仿宋_GB2312"/>
          <w:color w:val="auto"/>
          <w:sz w:val="32"/>
          <w:szCs w:val="32"/>
          <w:highlight w:val="none"/>
          <w:lang w:eastAsia="zh-CN"/>
        </w:rPr>
        <w:t>2026年殷都区一般公共预算本级支出预算表</w:t>
      </w:r>
    </w:p>
    <w:p>
      <w:pPr>
        <w:kinsoku w:val="0"/>
        <w:overflowPunct w:val="0"/>
        <w:adjustRightInd w:val="0"/>
        <w:snapToGrid w:val="0"/>
        <w:spacing w:line="360" w:lineRule="auto"/>
        <w:ind w:right="51" w:firstLine="960" w:firstLineChars="300"/>
        <w:jc w:val="left"/>
        <w:rPr>
          <w:rFonts w:hint="eastAsia" w:ascii="仿宋_GB2312" w:hAnsi="Times New Roman" w:eastAsia="仿宋_GB2312" w:cs="仿宋_GB2312"/>
          <w:color w:val="auto"/>
          <w:sz w:val="32"/>
          <w:szCs w:val="32"/>
          <w:highlight w:val="none"/>
        </w:rPr>
      </w:pPr>
      <w:r>
        <w:rPr>
          <w:rFonts w:hint="eastAsia" w:ascii="仿宋_GB2312" w:hAnsi="Times New Roman" w:eastAsia="仿宋_GB2312" w:cs="仿宋_GB2312"/>
          <w:color w:val="auto"/>
          <w:sz w:val="32"/>
          <w:szCs w:val="32"/>
          <w:highlight w:val="none"/>
          <w:lang w:eastAsia="zh-CN"/>
        </w:rPr>
        <w:t>八</w:t>
      </w:r>
      <w:r>
        <w:rPr>
          <w:rFonts w:hint="eastAsia" w:ascii="仿宋_GB2312" w:hAnsi="Times New Roman" w:eastAsia="仿宋_GB2312" w:cs="仿宋_GB2312"/>
          <w:color w:val="auto"/>
          <w:sz w:val="32"/>
          <w:szCs w:val="32"/>
          <w:highlight w:val="none"/>
        </w:rPr>
        <w:t>、</w:t>
      </w:r>
      <w:r>
        <w:rPr>
          <w:rFonts w:hint="eastAsia" w:ascii="仿宋_GB2312" w:hAnsi="Times New Roman" w:eastAsia="仿宋_GB2312" w:cs="仿宋_GB2312"/>
          <w:color w:val="auto"/>
          <w:sz w:val="32"/>
          <w:szCs w:val="32"/>
          <w:highlight w:val="none"/>
          <w:lang w:eastAsia="zh-CN"/>
        </w:rPr>
        <w:t>2026年殷都区一般公共预算支出明细表（本级）</w:t>
      </w:r>
    </w:p>
    <w:p>
      <w:pPr>
        <w:kinsoku w:val="0"/>
        <w:overflowPunct w:val="0"/>
        <w:adjustRightInd w:val="0"/>
        <w:snapToGrid w:val="0"/>
        <w:spacing w:line="360" w:lineRule="auto"/>
        <w:ind w:right="51" w:firstLine="960" w:firstLineChars="300"/>
        <w:jc w:val="left"/>
        <w:rPr>
          <w:rFonts w:hint="eastAsia" w:ascii="仿宋_GB2312" w:hAnsi="Times New Roman" w:eastAsia="仿宋_GB2312" w:cs="仿宋_GB2312"/>
          <w:color w:val="auto"/>
          <w:sz w:val="32"/>
          <w:szCs w:val="32"/>
          <w:highlight w:val="none"/>
        </w:rPr>
      </w:pPr>
      <w:r>
        <w:rPr>
          <w:rFonts w:hint="eastAsia" w:ascii="仿宋_GB2312" w:hAnsi="Times New Roman" w:eastAsia="仿宋_GB2312" w:cs="仿宋_GB2312"/>
          <w:color w:val="auto"/>
          <w:sz w:val="32"/>
          <w:szCs w:val="32"/>
          <w:highlight w:val="none"/>
          <w:lang w:eastAsia="zh-CN"/>
        </w:rPr>
        <w:t>九</w:t>
      </w:r>
      <w:r>
        <w:rPr>
          <w:rFonts w:hint="eastAsia" w:ascii="仿宋_GB2312" w:hAnsi="Times New Roman" w:eastAsia="仿宋_GB2312" w:cs="仿宋_GB2312"/>
          <w:color w:val="auto"/>
          <w:sz w:val="32"/>
          <w:szCs w:val="32"/>
          <w:highlight w:val="none"/>
        </w:rPr>
        <w:t>、</w:t>
      </w:r>
      <w:r>
        <w:rPr>
          <w:rFonts w:hint="eastAsia" w:ascii="仿宋_GB2312" w:hAnsi="Times New Roman" w:eastAsia="仿宋_GB2312" w:cs="仿宋_GB2312"/>
          <w:color w:val="auto"/>
          <w:sz w:val="32"/>
          <w:szCs w:val="32"/>
          <w:highlight w:val="none"/>
          <w:lang w:eastAsia="zh-CN"/>
        </w:rPr>
        <w:t>2026年殷都区一般公共预算本级支出明细表（</w:t>
      </w:r>
      <w:r>
        <w:rPr>
          <w:rFonts w:hint="eastAsia" w:ascii="仿宋_GB2312" w:eastAsia="仿宋_GB2312"/>
          <w:color w:val="auto"/>
          <w:sz w:val="32"/>
          <w:szCs w:val="32"/>
          <w:highlight w:val="none"/>
          <w:lang w:eastAsia="zh-CN"/>
        </w:rPr>
        <w:t>按经济分类</w:t>
      </w:r>
      <w:r>
        <w:rPr>
          <w:rFonts w:hint="eastAsia" w:ascii="仿宋_GB2312" w:hAnsi="Times New Roman" w:eastAsia="仿宋_GB2312" w:cs="仿宋_GB2312"/>
          <w:color w:val="auto"/>
          <w:sz w:val="32"/>
          <w:szCs w:val="32"/>
          <w:highlight w:val="none"/>
          <w:lang w:eastAsia="zh-CN"/>
        </w:rPr>
        <w:t>）</w:t>
      </w:r>
    </w:p>
    <w:p>
      <w:pPr>
        <w:kinsoku w:val="0"/>
        <w:overflowPunct w:val="0"/>
        <w:adjustRightInd w:val="0"/>
        <w:snapToGrid w:val="0"/>
        <w:spacing w:line="360" w:lineRule="auto"/>
        <w:ind w:right="51" w:firstLine="960" w:firstLineChars="300"/>
        <w:jc w:val="left"/>
        <w:rPr>
          <w:rFonts w:hint="eastAsia" w:ascii="仿宋_GB2312" w:hAnsi="Times New Roman" w:eastAsia="仿宋_GB2312" w:cs="仿宋_GB2312"/>
          <w:color w:val="auto"/>
          <w:sz w:val="32"/>
          <w:szCs w:val="32"/>
          <w:highlight w:val="none"/>
        </w:rPr>
      </w:pPr>
      <w:r>
        <w:rPr>
          <w:rFonts w:hint="eastAsia" w:ascii="仿宋_GB2312" w:hAnsi="Times New Roman" w:eastAsia="仿宋_GB2312" w:cs="仿宋_GB2312"/>
          <w:color w:val="auto"/>
          <w:sz w:val="32"/>
          <w:szCs w:val="32"/>
          <w:highlight w:val="none"/>
          <w:lang w:eastAsia="zh-CN"/>
        </w:rPr>
        <w:t>十</w:t>
      </w:r>
      <w:r>
        <w:rPr>
          <w:rFonts w:hint="eastAsia" w:ascii="仿宋_GB2312" w:hAnsi="Times New Roman" w:eastAsia="仿宋_GB2312" w:cs="仿宋_GB2312"/>
          <w:color w:val="auto"/>
          <w:sz w:val="32"/>
          <w:szCs w:val="32"/>
          <w:highlight w:val="none"/>
        </w:rPr>
        <w:t>、</w:t>
      </w:r>
      <w:r>
        <w:rPr>
          <w:rFonts w:hint="eastAsia" w:ascii="仿宋_GB2312" w:hAnsi="Times New Roman" w:eastAsia="仿宋_GB2312" w:cs="仿宋_GB2312"/>
          <w:color w:val="auto"/>
          <w:sz w:val="32"/>
          <w:szCs w:val="32"/>
          <w:highlight w:val="none"/>
          <w:lang w:eastAsia="zh-CN"/>
        </w:rPr>
        <w:t>2026年殷都区一般公共预算“三公”经费预算表</w:t>
      </w:r>
    </w:p>
    <w:p>
      <w:pPr>
        <w:kinsoku w:val="0"/>
        <w:overflowPunct w:val="0"/>
        <w:adjustRightInd w:val="0"/>
        <w:snapToGrid w:val="0"/>
        <w:spacing w:line="360" w:lineRule="auto"/>
        <w:ind w:right="51" w:firstLine="960" w:firstLineChars="300"/>
        <w:jc w:val="left"/>
        <w:rPr>
          <w:rFonts w:hint="eastAsia" w:ascii="仿宋_GB2312" w:hAnsi="Times New Roman" w:eastAsia="仿宋_GB2312" w:cs="仿宋_GB2312"/>
          <w:color w:val="auto"/>
          <w:sz w:val="32"/>
          <w:szCs w:val="32"/>
          <w:highlight w:val="none"/>
        </w:rPr>
      </w:pPr>
      <w:r>
        <w:rPr>
          <w:rFonts w:hint="eastAsia" w:ascii="仿宋_GB2312" w:hAnsi="Times New Roman" w:eastAsia="仿宋_GB2312" w:cs="仿宋_GB2312"/>
          <w:color w:val="auto"/>
          <w:sz w:val="32"/>
          <w:szCs w:val="32"/>
          <w:highlight w:val="none"/>
        </w:rPr>
        <w:t>十</w:t>
      </w:r>
      <w:r>
        <w:rPr>
          <w:rFonts w:hint="eastAsia" w:ascii="仿宋_GB2312" w:hAnsi="Times New Roman" w:eastAsia="仿宋_GB2312" w:cs="仿宋_GB2312"/>
          <w:color w:val="auto"/>
          <w:sz w:val="32"/>
          <w:szCs w:val="32"/>
          <w:highlight w:val="none"/>
          <w:lang w:eastAsia="zh-CN"/>
        </w:rPr>
        <w:t>一</w:t>
      </w:r>
      <w:r>
        <w:rPr>
          <w:rFonts w:hint="eastAsia" w:ascii="仿宋_GB2312" w:hAnsi="Times New Roman" w:eastAsia="仿宋_GB2312" w:cs="仿宋_GB2312"/>
          <w:color w:val="auto"/>
          <w:sz w:val="32"/>
          <w:szCs w:val="32"/>
          <w:highlight w:val="none"/>
        </w:rPr>
        <w:t>、</w:t>
      </w:r>
      <w:r>
        <w:rPr>
          <w:rFonts w:hint="eastAsia" w:ascii="仿宋_GB2312" w:hAnsi="Times New Roman" w:eastAsia="仿宋_GB2312" w:cs="仿宋_GB2312"/>
          <w:color w:val="auto"/>
          <w:sz w:val="32"/>
          <w:szCs w:val="32"/>
          <w:highlight w:val="none"/>
          <w:lang w:eastAsia="zh-CN"/>
        </w:rPr>
        <w:t>2026年殷都区一般公共预算返还性收入和转移支付收入预算表（分项目）</w:t>
      </w:r>
    </w:p>
    <w:p>
      <w:pPr>
        <w:kinsoku w:val="0"/>
        <w:overflowPunct w:val="0"/>
        <w:adjustRightInd w:val="0"/>
        <w:snapToGrid w:val="0"/>
        <w:spacing w:line="360" w:lineRule="auto"/>
        <w:ind w:right="51" w:firstLine="960" w:firstLineChars="300"/>
        <w:jc w:val="left"/>
        <w:rPr>
          <w:rFonts w:hint="eastAsia" w:ascii="仿宋_GB2312" w:hAnsi="Times New Roman" w:eastAsia="仿宋_GB2312" w:cs="仿宋_GB2312"/>
          <w:color w:val="auto"/>
          <w:sz w:val="32"/>
          <w:szCs w:val="32"/>
          <w:highlight w:val="none"/>
          <w:lang w:eastAsia="zh-CN"/>
        </w:rPr>
      </w:pPr>
      <w:r>
        <w:rPr>
          <w:rFonts w:hint="eastAsia" w:ascii="仿宋_GB2312" w:hAnsi="Times New Roman" w:eastAsia="仿宋_GB2312" w:cs="仿宋_GB2312"/>
          <w:color w:val="auto"/>
          <w:sz w:val="32"/>
          <w:szCs w:val="32"/>
          <w:highlight w:val="none"/>
        </w:rPr>
        <w:t>十</w:t>
      </w:r>
      <w:r>
        <w:rPr>
          <w:rFonts w:hint="eastAsia" w:ascii="仿宋_GB2312" w:hAnsi="Times New Roman" w:eastAsia="仿宋_GB2312" w:cs="仿宋_GB2312"/>
          <w:color w:val="auto"/>
          <w:sz w:val="32"/>
          <w:szCs w:val="32"/>
          <w:highlight w:val="none"/>
          <w:lang w:eastAsia="zh-CN"/>
        </w:rPr>
        <w:t>二</w:t>
      </w:r>
      <w:r>
        <w:rPr>
          <w:rFonts w:hint="eastAsia" w:ascii="仿宋_GB2312" w:hAnsi="Times New Roman" w:eastAsia="仿宋_GB2312" w:cs="仿宋_GB2312"/>
          <w:color w:val="auto"/>
          <w:sz w:val="32"/>
          <w:szCs w:val="32"/>
          <w:highlight w:val="none"/>
        </w:rPr>
        <w:t>、</w:t>
      </w:r>
      <w:r>
        <w:rPr>
          <w:rFonts w:hint="eastAsia" w:ascii="仿宋_GB2312" w:hAnsi="Times New Roman" w:eastAsia="仿宋_GB2312" w:cs="仿宋_GB2312"/>
          <w:color w:val="auto"/>
          <w:sz w:val="32"/>
          <w:szCs w:val="32"/>
          <w:highlight w:val="none"/>
          <w:lang w:eastAsia="zh-CN"/>
        </w:rPr>
        <w:t>2026年殷都区专项转移支付分项目预算表</w:t>
      </w:r>
    </w:p>
    <w:p>
      <w:pPr>
        <w:kinsoku w:val="0"/>
        <w:overflowPunct w:val="0"/>
        <w:adjustRightInd w:val="0"/>
        <w:snapToGrid w:val="0"/>
        <w:spacing w:line="360" w:lineRule="auto"/>
        <w:ind w:right="51" w:firstLine="960" w:firstLineChars="300"/>
        <w:jc w:val="left"/>
        <w:rPr>
          <w:rFonts w:hint="eastAsia" w:ascii="仿宋_GB2312" w:hAnsi="Times New Roman" w:eastAsia="仿宋_GB2312" w:cs="仿宋_GB2312"/>
          <w:color w:val="auto"/>
          <w:sz w:val="32"/>
          <w:szCs w:val="32"/>
          <w:highlight w:val="none"/>
        </w:rPr>
      </w:pPr>
      <w:r>
        <w:rPr>
          <w:rFonts w:hint="eastAsia" w:ascii="仿宋_GB2312" w:hAnsi="Times New Roman" w:eastAsia="仿宋_GB2312" w:cs="仿宋_GB2312"/>
          <w:color w:val="auto"/>
          <w:sz w:val="32"/>
          <w:szCs w:val="32"/>
          <w:highlight w:val="none"/>
        </w:rPr>
        <w:t>十</w:t>
      </w:r>
      <w:r>
        <w:rPr>
          <w:rFonts w:hint="eastAsia" w:ascii="仿宋_GB2312" w:hAnsi="Times New Roman" w:eastAsia="仿宋_GB2312" w:cs="仿宋_GB2312"/>
          <w:color w:val="auto"/>
          <w:sz w:val="32"/>
          <w:szCs w:val="32"/>
          <w:highlight w:val="none"/>
          <w:lang w:eastAsia="zh-CN"/>
        </w:rPr>
        <w:t>三</w:t>
      </w:r>
      <w:r>
        <w:rPr>
          <w:rFonts w:hint="eastAsia" w:ascii="仿宋_GB2312" w:hAnsi="Times New Roman" w:eastAsia="仿宋_GB2312" w:cs="仿宋_GB2312"/>
          <w:color w:val="auto"/>
          <w:sz w:val="32"/>
          <w:szCs w:val="32"/>
          <w:highlight w:val="none"/>
        </w:rPr>
        <w:t>、</w:t>
      </w:r>
      <w:r>
        <w:rPr>
          <w:rFonts w:hint="eastAsia" w:ascii="仿宋_GB2312" w:hAnsi="Times New Roman" w:eastAsia="仿宋_GB2312" w:cs="仿宋_GB2312"/>
          <w:color w:val="auto"/>
          <w:sz w:val="32"/>
          <w:szCs w:val="32"/>
          <w:highlight w:val="none"/>
          <w:lang w:eastAsia="zh-CN"/>
        </w:rPr>
        <w:t>2025年殷都区政府一般债务限额及余额情况表</w:t>
      </w:r>
    </w:p>
    <w:p>
      <w:pPr>
        <w:kinsoku w:val="0"/>
        <w:overflowPunct w:val="0"/>
        <w:adjustRightInd w:val="0"/>
        <w:snapToGrid w:val="0"/>
        <w:spacing w:line="360" w:lineRule="auto"/>
        <w:ind w:right="51" w:firstLine="960" w:firstLineChars="300"/>
        <w:jc w:val="left"/>
        <w:rPr>
          <w:rFonts w:hint="eastAsia" w:ascii="仿宋_GB2312" w:hAnsi="Times New Roman" w:eastAsia="仿宋_GB2312" w:cs="仿宋_GB2312"/>
          <w:color w:val="auto"/>
          <w:sz w:val="32"/>
          <w:szCs w:val="32"/>
          <w:highlight w:val="none"/>
        </w:rPr>
      </w:pPr>
      <w:r>
        <w:rPr>
          <w:rFonts w:hint="eastAsia" w:ascii="仿宋_GB2312" w:hAnsi="Times New Roman" w:eastAsia="仿宋_GB2312" w:cs="仿宋_GB2312"/>
          <w:color w:val="auto"/>
          <w:sz w:val="32"/>
          <w:szCs w:val="32"/>
          <w:highlight w:val="none"/>
        </w:rPr>
        <w:t>十</w:t>
      </w:r>
      <w:r>
        <w:rPr>
          <w:rFonts w:hint="eastAsia" w:ascii="仿宋_GB2312" w:hAnsi="Times New Roman" w:eastAsia="仿宋_GB2312" w:cs="仿宋_GB2312"/>
          <w:color w:val="auto"/>
          <w:sz w:val="32"/>
          <w:szCs w:val="32"/>
          <w:highlight w:val="none"/>
          <w:lang w:eastAsia="zh-CN"/>
        </w:rPr>
        <w:t>四</w:t>
      </w:r>
      <w:r>
        <w:rPr>
          <w:rFonts w:hint="eastAsia" w:ascii="仿宋_GB2312" w:hAnsi="Times New Roman" w:eastAsia="仿宋_GB2312" w:cs="仿宋_GB2312"/>
          <w:color w:val="auto"/>
          <w:sz w:val="32"/>
          <w:szCs w:val="32"/>
          <w:highlight w:val="none"/>
        </w:rPr>
        <w:t>、</w:t>
      </w:r>
      <w:r>
        <w:rPr>
          <w:rFonts w:hint="eastAsia" w:ascii="仿宋_GB2312" w:hAnsi="Times New Roman" w:eastAsia="仿宋_GB2312" w:cs="仿宋_GB2312"/>
          <w:color w:val="auto"/>
          <w:sz w:val="32"/>
          <w:szCs w:val="32"/>
          <w:highlight w:val="none"/>
          <w:lang w:eastAsia="zh-CN"/>
        </w:rPr>
        <w:t>2025年殷都区政府专项债务限额及余额情况表</w:t>
      </w:r>
    </w:p>
    <w:p>
      <w:pPr>
        <w:kinsoku w:val="0"/>
        <w:overflowPunct w:val="0"/>
        <w:adjustRightInd w:val="0"/>
        <w:snapToGrid w:val="0"/>
        <w:spacing w:line="360" w:lineRule="auto"/>
        <w:ind w:right="51" w:firstLine="960" w:firstLineChars="300"/>
        <w:jc w:val="left"/>
        <w:rPr>
          <w:rFonts w:hint="eastAsia" w:ascii="仿宋_GB2312" w:hAnsi="Times New Roman" w:eastAsia="仿宋_GB2312" w:cs="仿宋_GB2312"/>
          <w:color w:val="auto"/>
          <w:sz w:val="32"/>
          <w:szCs w:val="32"/>
          <w:highlight w:val="none"/>
        </w:rPr>
      </w:pPr>
      <w:r>
        <w:rPr>
          <w:rFonts w:hint="eastAsia" w:ascii="仿宋_GB2312" w:hAnsi="Times New Roman" w:eastAsia="仿宋_GB2312" w:cs="仿宋_GB2312"/>
          <w:color w:val="auto"/>
          <w:sz w:val="32"/>
          <w:szCs w:val="32"/>
          <w:highlight w:val="none"/>
        </w:rPr>
        <w:t>十</w:t>
      </w:r>
      <w:r>
        <w:rPr>
          <w:rFonts w:hint="eastAsia" w:ascii="仿宋_GB2312" w:hAnsi="Times New Roman" w:eastAsia="仿宋_GB2312" w:cs="仿宋_GB2312"/>
          <w:color w:val="auto"/>
          <w:sz w:val="32"/>
          <w:szCs w:val="32"/>
          <w:highlight w:val="none"/>
          <w:lang w:eastAsia="zh-CN"/>
        </w:rPr>
        <w:t>五</w:t>
      </w:r>
      <w:r>
        <w:rPr>
          <w:rFonts w:hint="eastAsia" w:ascii="仿宋_GB2312" w:hAnsi="Times New Roman" w:eastAsia="仿宋_GB2312" w:cs="仿宋_GB2312"/>
          <w:color w:val="auto"/>
          <w:sz w:val="32"/>
          <w:szCs w:val="32"/>
          <w:highlight w:val="none"/>
        </w:rPr>
        <w:t>、</w:t>
      </w:r>
      <w:r>
        <w:rPr>
          <w:rFonts w:hint="eastAsia" w:ascii="仿宋_GB2312" w:hAnsi="Times New Roman" w:eastAsia="仿宋_GB2312" w:cs="仿宋_GB2312"/>
          <w:color w:val="auto"/>
          <w:sz w:val="32"/>
          <w:szCs w:val="32"/>
          <w:highlight w:val="none"/>
          <w:lang w:eastAsia="zh-CN"/>
        </w:rPr>
        <w:t>2026年殷都区政府性基金预算收支总表</w:t>
      </w:r>
    </w:p>
    <w:p>
      <w:pPr>
        <w:kinsoku w:val="0"/>
        <w:overflowPunct w:val="0"/>
        <w:adjustRightInd w:val="0"/>
        <w:snapToGrid w:val="0"/>
        <w:spacing w:line="360" w:lineRule="auto"/>
        <w:ind w:right="51" w:firstLine="960" w:firstLineChars="300"/>
        <w:jc w:val="left"/>
        <w:rPr>
          <w:rFonts w:ascii="仿宋_GB2312" w:hAnsi="Times New Roman" w:eastAsia="仿宋_GB2312" w:cs="仿宋_GB2312"/>
          <w:color w:val="auto"/>
          <w:sz w:val="32"/>
          <w:szCs w:val="32"/>
          <w:highlight w:val="none"/>
        </w:rPr>
      </w:pPr>
      <w:r>
        <w:rPr>
          <w:rFonts w:hint="eastAsia" w:ascii="仿宋_GB2312" w:hAnsi="Times New Roman" w:eastAsia="仿宋_GB2312" w:cs="仿宋_GB2312"/>
          <w:color w:val="auto"/>
          <w:sz w:val="32"/>
          <w:szCs w:val="32"/>
          <w:highlight w:val="none"/>
        </w:rPr>
        <w:t>十</w:t>
      </w:r>
      <w:r>
        <w:rPr>
          <w:rFonts w:hint="eastAsia" w:ascii="仿宋_GB2312" w:hAnsi="Times New Roman" w:eastAsia="仿宋_GB2312" w:cs="仿宋_GB2312"/>
          <w:color w:val="auto"/>
          <w:sz w:val="32"/>
          <w:szCs w:val="32"/>
          <w:highlight w:val="none"/>
          <w:lang w:eastAsia="zh-CN"/>
        </w:rPr>
        <w:t>六</w:t>
      </w:r>
      <w:r>
        <w:rPr>
          <w:rFonts w:hint="eastAsia" w:ascii="仿宋_GB2312" w:hAnsi="Times New Roman" w:eastAsia="仿宋_GB2312" w:cs="仿宋_GB2312"/>
          <w:color w:val="auto"/>
          <w:sz w:val="32"/>
          <w:szCs w:val="32"/>
          <w:highlight w:val="none"/>
        </w:rPr>
        <w:t>、</w:t>
      </w:r>
      <w:r>
        <w:rPr>
          <w:rFonts w:hint="eastAsia" w:ascii="仿宋_GB2312" w:hAnsi="Times New Roman" w:eastAsia="仿宋_GB2312" w:cs="仿宋_GB2312"/>
          <w:color w:val="auto"/>
          <w:sz w:val="32"/>
          <w:szCs w:val="32"/>
          <w:highlight w:val="none"/>
          <w:lang w:eastAsia="zh-CN"/>
        </w:rPr>
        <w:t>2026年殷都区政府性基金收入预算表</w:t>
      </w:r>
    </w:p>
    <w:p>
      <w:pPr>
        <w:kinsoku w:val="0"/>
        <w:overflowPunct w:val="0"/>
        <w:adjustRightInd w:val="0"/>
        <w:snapToGrid w:val="0"/>
        <w:spacing w:line="360" w:lineRule="auto"/>
        <w:ind w:right="51" w:firstLine="960" w:firstLineChars="300"/>
        <w:jc w:val="left"/>
        <w:rPr>
          <w:rFonts w:ascii="仿宋_GB2312" w:hAnsi="Times New Roman" w:eastAsia="仿宋_GB2312" w:cs="仿宋_GB2312"/>
          <w:color w:val="auto"/>
          <w:sz w:val="32"/>
          <w:szCs w:val="32"/>
          <w:highlight w:val="none"/>
        </w:rPr>
      </w:pPr>
      <w:r>
        <w:rPr>
          <w:rFonts w:hint="eastAsia" w:ascii="仿宋_GB2312" w:hAnsi="Times New Roman" w:eastAsia="仿宋_GB2312" w:cs="仿宋_GB2312"/>
          <w:color w:val="auto"/>
          <w:sz w:val="32"/>
          <w:szCs w:val="32"/>
          <w:highlight w:val="none"/>
        </w:rPr>
        <w:t>十</w:t>
      </w:r>
      <w:r>
        <w:rPr>
          <w:rFonts w:hint="eastAsia" w:ascii="仿宋_GB2312" w:hAnsi="Times New Roman" w:eastAsia="仿宋_GB2312" w:cs="仿宋_GB2312"/>
          <w:color w:val="auto"/>
          <w:sz w:val="32"/>
          <w:szCs w:val="32"/>
          <w:highlight w:val="none"/>
          <w:lang w:eastAsia="zh-CN"/>
        </w:rPr>
        <w:t>七</w:t>
      </w:r>
      <w:r>
        <w:rPr>
          <w:rFonts w:hint="eastAsia" w:ascii="仿宋_GB2312" w:hAnsi="Times New Roman" w:eastAsia="仿宋_GB2312" w:cs="仿宋_GB2312"/>
          <w:color w:val="auto"/>
          <w:sz w:val="32"/>
          <w:szCs w:val="32"/>
          <w:highlight w:val="none"/>
        </w:rPr>
        <w:t>、</w:t>
      </w:r>
      <w:r>
        <w:rPr>
          <w:rFonts w:hint="eastAsia" w:ascii="仿宋_GB2312" w:hAnsi="Times New Roman" w:eastAsia="仿宋_GB2312" w:cs="仿宋_GB2312"/>
          <w:color w:val="auto"/>
          <w:sz w:val="32"/>
          <w:szCs w:val="32"/>
          <w:highlight w:val="none"/>
          <w:lang w:eastAsia="zh-CN"/>
        </w:rPr>
        <w:t>2026年殷都区政府性基金预算支出预算表</w:t>
      </w:r>
    </w:p>
    <w:p>
      <w:pPr>
        <w:kinsoku w:val="0"/>
        <w:overflowPunct w:val="0"/>
        <w:adjustRightInd w:val="0"/>
        <w:snapToGrid w:val="0"/>
        <w:spacing w:line="360" w:lineRule="auto"/>
        <w:ind w:right="51" w:firstLine="960" w:firstLineChars="300"/>
        <w:jc w:val="left"/>
        <w:rPr>
          <w:rFonts w:hint="eastAsia" w:ascii="仿宋_GB2312" w:hAnsi="Times New Roman" w:eastAsia="仿宋_GB2312" w:cs="仿宋_GB2312"/>
          <w:color w:val="auto"/>
          <w:sz w:val="32"/>
          <w:szCs w:val="32"/>
          <w:highlight w:val="none"/>
          <w:lang w:eastAsia="zh-CN"/>
        </w:rPr>
      </w:pPr>
      <w:r>
        <w:rPr>
          <w:rFonts w:hint="eastAsia" w:ascii="仿宋_GB2312" w:hAnsi="Times New Roman" w:eastAsia="仿宋_GB2312" w:cs="仿宋_GB2312"/>
          <w:color w:val="auto"/>
          <w:sz w:val="32"/>
          <w:szCs w:val="32"/>
          <w:highlight w:val="none"/>
        </w:rPr>
        <w:t>十</w:t>
      </w:r>
      <w:r>
        <w:rPr>
          <w:rFonts w:hint="eastAsia" w:ascii="仿宋_GB2312" w:hAnsi="Times New Roman" w:eastAsia="仿宋_GB2312" w:cs="仿宋_GB2312"/>
          <w:color w:val="auto"/>
          <w:sz w:val="32"/>
          <w:szCs w:val="32"/>
          <w:highlight w:val="none"/>
          <w:lang w:eastAsia="zh-CN"/>
        </w:rPr>
        <w:t>八</w:t>
      </w:r>
      <w:r>
        <w:rPr>
          <w:rFonts w:hint="eastAsia" w:ascii="仿宋_GB2312" w:hAnsi="Times New Roman" w:eastAsia="仿宋_GB2312" w:cs="仿宋_GB2312"/>
          <w:color w:val="auto"/>
          <w:sz w:val="32"/>
          <w:szCs w:val="32"/>
          <w:highlight w:val="none"/>
        </w:rPr>
        <w:t>、</w:t>
      </w:r>
      <w:r>
        <w:rPr>
          <w:rFonts w:hint="eastAsia" w:ascii="仿宋_GB2312" w:hAnsi="Times New Roman" w:eastAsia="仿宋_GB2312" w:cs="仿宋_GB2312"/>
          <w:color w:val="auto"/>
          <w:sz w:val="32"/>
          <w:szCs w:val="32"/>
          <w:highlight w:val="none"/>
          <w:lang w:eastAsia="zh-CN"/>
        </w:rPr>
        <w:t>2026年殷都区政府性基金本级预算支出预算表</w:t>
      </w:r>
    </w:p>
    <w:p>
      <w:pPr>
        <w:kinsoku w:val="0"/>
        <w:overflowPunct w:val="0"/>
        <w:adjustRightInd w:val="0"/>
        <w:snapToGrid w:val="0"/>
        <w:spacing w:line="360" w:lineRule="auto"/>
        <w:ind w:right="51" w:firstLine="960" w:firstLineChars="300"/>
        <w:jc w:val="left"/>
        <w:rPr>
          <w:rFonts w:hint="eastAsia" w:ascii="仿宋_GB2312" w:hAnsi="Times New Roman" w:eastAsia="仿宋_GB2312" w:cs="仿宋_GB2312"/>
          <w:color w:val="auto"/>
          <w:sz w:val="32"/>
          <w:szCs w:val="32"/>
          <w:highlight w:val="none"/>
        </w:rPr>
      </w:pPr>
      <w:r>
        <w:rPr>
          <w:rFonts w:hint="eastAsia" w:ascii="仿宋_GB2312" w:hAnsi="Times New Roman" w:eastAsia="仿宋_GB2312" w:cs="仿宋_GB2312"/>
          <w:color w:val="auto"/>
          <w:sz w:val="32"/>
          <w:szCs w:val="32"/>
          <w:highlight w:val="none"/>
        </w:rPr>
        <w:t>十</w:t>
      </w:r>
      <w:r>
        <w:rPr>
          <w:rFonts w:hint="eastAsia" w:ascii="仿宋_GB2312" w:hAnsi="Times New Roman" w:eastAsia="仿宋_GB2312" w:cs="仿宋_GB2312"/>
          <w:color w:val="auto"/>
          <w:sz w:val="32"/>
          <w:szCs w:val="32"/>
          <w:highlight w:val="none"/>
          <w:lang w:eastAsia="zh-CN"/>
        </w:rPr>
        <w:t>九</w:t>
      </w:r>
      <w:r>
        <w:rPr>
          <w:rFonts w:hint="eastAsia" w:ascii="仿宋_GB2312" w:hAnsi="Times New Roman" w:eastAsia="仿宋_GB2312" w:cs="仿宋_GB2312"/>
          <w:color w:val="auto"/>
          <w:sz w:val="32"/>
          <w:szCs w:val="32"/>
          <w:highlight w:val="none"/>
        </w:rPr>
        <w:t>、</w:t>
      </w:r>
      <w:r>
        <w:rPr>
          <w:rFonts w:hint="eastAsia" w:ascii="仿宋_GB2312" w:hAnsi="Times New Roman" w:eastAsia="仿宋_GB2312" w:cs="仿宋_GB2312"/>
          <w:color w:val="auto"/>
          <w:sz w:val="32"/>
          <w:szCs w:val="32"/>
          <w:highlight w:val="none"/>
          <w:lang w:eastAsia="zh-CN"/>
        </w:rPr>
        <w:t>2026年殷都区政府性基金转移支出预算表</w:t>
      </w:r>
    </w:p>
    <w:p>
      <w:pPr>
        <w:kinsoku w:val="0"/>
        <w:overflowPunct w:val="0"/>
        <w:adjustRightInd w:val="0"/>
        <w:snapToGrid w:val="0"/>
        <w:spacing w:line="360" w:lineRule="auto"/>
        <w:ind w:right="51" w:firstLine="960" w:firstLineChars="300"/>
        <w:jc w:val="left"/>
        <w:rPr>
          <w:rFonts w:hint="eastAsia" w:ascii="仿宋_GB2312" w:hAnsi="Times New Roman" w:eastAsia="仿宋_GB2312" w:cs="仿宋_GB2312"/>
          <w:color w:val="auto"/>
          <w:sz w:val="32"/>
          <w:szCs w:val="32"/>
          <w:highlight w:val="none"/>
        </w:rPr>
      </w:pPr>
      <w:r>
        <w:rPr>
          <w:rFonts w:hint="eastAsia" w:ascii="仿宋_GB2312" w:hAnsi="Times New Roman" w:eastAsia="仿宋_GB2312" w:cs="仿宋_GB2312"/>
          <w:color w:val="auto"/>
          <w:sz w:val="32"/>
          <w:szCs w:val="32"/>
          <w:highlight w:val="none"/>
          <w:lang w:eastAsia="zh-CN"/>
        </w:rPr>
        <w:t>二十</w:t>
      </w:r>
      <w:r>
        <w:rPr>
          <w:rFonts w:hint="eastAsia" w:ascii="仿宋_GB2312" w:hAnsi="Times New Roman" w:eastAsia="仿宋_GB2312" w:cs="仿宋_GB2312"/>
          <w:color w:val="auto"/>
          <w:sz w:val="32"/>
          <w:szCs w:val="32"/>
          <w:highlight w:val="none"/>
        </w:rPr>
        <w:t>、</w:t>
      </w:r>
      <w:r>
        <w:rPr>
          <w:rFonts w:hint="eastAsia" w:ascii="仿宋_GB2312" w:hAnsi="Times New Roman" w:eastAsia="仿宋_GB2312" w:cs="仿宋_GB2312"/>
          <w:color w:val="auto"/>
          <w:sz w:val="32"/>
          <w:szCs w:val="32"/>
          <w:highlight w:val="none"/>
          <w:lang w:eastAsia="zh-CN"/>
        </w:rPr>
        <w:t>2026年殷都区国有资本经营收入预算表</w:t>
      </w:r>
    </w:p>
    <w:p>
      <w:pPr>
        <w:kinsoku w:val="0"/>
        <w:overflowPunct w:val="0"/>
        <w:adjustRightInd w:val="0"/>
        <w:snapToGrid w:val="0"/>
        <w:spacing w:line="360" w:lineRule="auto"/>
        <w:ind w:right="51" w:firstLine="960" w:firstLineChars="300"/>
        <w:jc w:val="left"/>
        <w:rPr>
          <w:rFonts w:ascii="仿宋_GB2312" w:hAnsi="Times New Roman" w:eastAsia="仿宋_GB2312" w:cs="仿宋_GB2312"/>
          <w:color w:val="auto"/>
          <w:sz w:val="32"/>
          <w:szCs w:val="32"/>
          <w:highlight w:val="none"/>
        </w:rPr>
      </w:pPr>
      <w:r>
        <w:rPr>
          <w:rFonts w:hint="eastAsia" w:ascii="仿宋_GB2312" w:hAnsi="Times New Roman" w:eastAsia="仿宋_GB2312" w:cs="仿宋_GB2312"/>
          <w:color w:val="auto"/>
          <w:sz w:val="32"/>
          <w:szCs w:val="32"/>
          <w:highlight w:val="none"/>
          <w:lang w:val="en-US" w:eastAsia="zh-CN"/>
        </w:rPr>
        <w:t>二十一</w:t>
      </w:r>
      <w:r>
        <w:rPr>
          <w:rFonts w:hint="eastAsia" w:ascii="仿宋_GB2312" w:hAnsi="Times New Roman" w:eastAsia="仿宋_GB2312" w:cs="仿宋_GB2312"/>
          <w:color w:val="auto"/>
          <w:sz w:val="32"/>
          <w:szCs w:val="32"/>
          <w:highlight w:val="none"/>
        </w:rPr>
        <w:t>、</w:t>
      </w:r>
      <w:r>
        <w:rPr>
          <w:rFonts w:hint="eastAsia" w:ascii="仿宋_GB2312" w:hAnsi="Times New Roman" w:eastAsia="仿宋_GB2312" w:cs="仿宋_GB2312"/>
          <w:color w:val="auto"/>
          <w:sz w:val="32"/>
          <w:szCs w:val="32"/>
          <w:highlight w:val="none"/>
          <w:lang w:eastAsia="zh-CN"/>
        </w:rPr>
        <w:t>2025年殷都区国有资本经营预算支出表</w:t>
      </w:r>
    </w:p>
    <w:p>
      <w:pPr>
        <w:kinsoku w:val="0"/>
        <w:overflowPunct w:val="0"/>
        <w:adjustRightInd w:val="0"/>
        <w:snapToGrid w:val="0"/>
        <w:spacing w:line="360" w:lineRule="auto"/>
        <w:ind w:right="51" w:firstLine="960" w:firstLineChars="300"/>
        <w:jc w:val="left"/>
        <w:rPr>
          <w:rFonts w:hint="eastAsia" w:ascii="仿宋_GB2312" w:hAnsi="Times New Roman" w:eastAsia="仿宋_GB2312" w:cs="仿宋_GB2312"/>
          <w:color w:val="auto"/>
          <w:sz w:val="32"/>
          <w:szCs w:val="32"/>
          <w:highlight w:val="none"/>
          <w:lang w:eastAsia="zh-CN"/>
        </w:rPr>
      </w:pPr>
      <w:r>
        <w:rPr>
          <w:rFonts w:hint="eastAsia" w:ascii="仿宋_GB2312" w:hAnsi="Times New Roman" w:eastAsia="仿宋_GB2312" w:cs="仿宋_GB2312"/>
          <w:color w:val="auto"/>
          <w:sz w:val="32"/>
          <w:szCs w:val="32"/>
          <w:highlight w:val="none"/>
          <w:lang w:val="en-US" w:eastAsia="zh-CN"/>
        </w:rPr>
        <w:t>二十二</w:t>
      </w:r>
      <w:r>
        <w:rPr>
          <w:rFonts w:hint="eastAsia" w:ascii="仿宋_GB2312" w:hAnsi="Times New Roman" w:eastAsia="仿宋_GB2312" w:cs="仿宋_GB2312"/>
          <w:color w:val="auto"/>
          <w:sz w:val="32"/>
          <w:szCs w:val="32"/>
          <w:highlight w:val="none"/>
        </w:rPr>
        <w:t>、</w:t>
      </w:r>
      <w:r>
        <w:rPr>
          <w:rFonts w:hint="eastAsia" w:ascii="仿宋_GB2312" w:hAnsi="Times New Roman" w:eastAsia="仿宋_GB2312" w:cs="仿宋_GB2312"/>
          <w:color w:val="auto"/>
          <w:sz w:val="32"/>
          <w:szCs w:val="32"/>
          <w:highlight w:val="none"/>
          <w:lang w:eastAsia="zh-CN"/>
        </w:rPr>
        <w:t>2026年殷都区本级国有资本经营预算支出表</w:t>
      </w:r>
    </w:p>
    <w:p>
      <w:pPr>
        <w:kinsoku w:val="0"/>
        <w:overflowPunct w:val="0"/>
        <w:adjustRightInd w:val="0"/>
        <w:snapToGrid w:val="0"/>
        <w:spacing w:line="360" w:lineRule="auto"/>
        <w:ind w:right="51" w:firstLine="960" w:firstLineChars="300"/>
        <w:jc w:val="left"/>
        <w:rPr>
          <w:rFonts w:hint="eastAsia" w:ascii="仿宋_GB2312" w:hAnsi="Times New Roman" w:eastAsia="仿宋_GB2312" w:cs="仿宋_GB2312"/>
          <w:color w:val="auto"/>
          <w:sz w:val="32"/>
          <w:szCs w:val="32"/>
          <w:highlight w:val="none"/>
        </w:rPr>
      </w:pPr>
      <w:r>
        <w:rPr>
          <w:rFonts w:hint="eastAsia" w:ascii="仿宋_GB2312" w:hAnsi="Times New Roman" w:eastAsia="仿宋_GB2312" w:cs="仿宋_GB2312"/>
          <w:color w:val="auto"/>
          <w:sz w:val="32"/>
          <w:szCs w:val="32"/>
          <w:highlight w:val="none"/>
          <w:lang w:val="en-US" w:eastAsia="zh-CN"/>
        </w:rPr>
        <w:t>二十三</w:t>
      </w:r>
      <w:r>
        <w:rPr>
          <w:rFonts w:hint="eastAsia" w:ascii="仿宋_GB2312" w:hAnsi="Times New Roman" w:eastAsia="仿宋_GB2312" w:cs="仿宋_GB2312"/>
          <w:color w:val="auto"/>
          <w:sz w:val="32"/>
          <w:szCs w:val="32"/>
          <w:highlight w:val="none"/>
        </w:rPr>
        <w:t>、</w:t>
      </w:r>
      <w:r>
        <w:rPr>
          <w:rFonts w:hint="eastAsia" w:ascii="仿宋_GB2312" w:hAnsi="Times New Roman" w:eastAsia="仿宋_GB2312" w:cs="仿宋_GB2312"/>
          <w:color w:val="auto"/>
          <w:sz w:val="32"/>
          <w:szCs w:val="32"/>
          <w:highlight w:val="none"/>
          <w:lang w:eastAsia="zh-CN"/>
        </w:rPr>
        <w:t>2026年殷都区国有资本经营转移支付预算表</w:t>
      </w:r>
    </w:p>
    <w:p>
      <w:pPr>
        <w:kinsoku w:val="0"/>
        <w:overflowPunct w:val="0"/>
        <w:adjustRightInd w:val="0"/>
        <w:snapToGrid w:val="0"/>
        <w:spacing w:line="360" w:lineRule="auto"/>
        <w:ind w:right="51" w:firstLine="960" w:firstLineChars="300"/>
        <w:jc w:val="left"/>
        <w:rPr>
          <w:color w:val="auto"/>
          <w:highlight w:val="none"/>
        </w:rPr>
      </w:pPr>
      <w:r>
        <w:rPr>
          <w:rFonts w:hint="eastAsia" w:ascii="仿宋_GB2312" w:hAnsi="Times New Roman" w:eastAsia="仿宋_GB2312" w:cs="仿宋_GB2312"/>
          <w:color w:val="auto"/>
          <w:sz w:val="32"/>
          <w:szCs w:val="32"/>
          <w:highlight w:val="none"/>
        </w:rPr>
        <w:t>二十</w:t>
      </w:r>
      <w:r>
        <w:rPr>
          <w:rFonts w:hint="eastAsia" w:ascii="仿宋_GB2312" w:hAnsi="Times New Roman" w:eastAsia="仿宋_GB2312" w:cs="仿宋_GB2312"/>
          <w:color w:val="auto"/>
          <w:sz w:val="32"/>
          <w:szCs w:val="32"/>
          <w:highlight w:val="none"/>
          <w:lang w:val="en-US" w:eastAsia="zh-CN"/>
        </w:rPr>
        <w:t>四</w:t>
      </w:r>
      <w:r>
        <w:rPr>
          <w:rFonts w:hint="eastAsia" w:ascii="仿宋_GB2312" w:hAnsi="Times New Roman" w:eastAsia="仿宋_GB2312" w:cs="仿宋_GB2312"/>
          <w:color w:val="auto"/>
          <w:sz w:val="32"/>
          <w:szCs w:val="32"/>
          <w:highlight w:val="none"/>
        </w:rPr>
        <w:t>、</w:t>
      </w:r>
      <w:r>
        <w:rPr>
          <w:rFonts w:hint="eastAsia" w:ascii="仿宋_GB2312" w:hAnsi="Times New Roman" w:eastAsia="仿宋_GB2312" w:cs="仿宋_GB2312"/>
          <w:color w:val="auto"/>
          <w:sz w:val="32"/>
          <w:szCs w:val="32"/>
          <w:highlight w:val="none"/>
          <w:lang w:eastAsia="zh-CN"/>
        </w:rPr>
        <w:t>2026年殷都区社会保障基金收入预算表</w:t>
      </w:r>
    </w:p>
    <w:p>
      <w:pPr>
        <w:kinsoku w:val="0"/>
        <w:overflowPunct w:val="0"/>
        <w:adjustRightInd w:val="0"/>
        <w:snapToGrid w:val="0"/>
        <w:spacing w:line="360" w:lineRule="auto"/>
        <w:ind w:right="51" w:firstLine="960" w:firstLineChars="300"/>
        <w:jc w:val="left"/>
        <w:rPr>
          <w:rFonts w:ascii="仿宋_GB2312" w:hAnsi="Times New Roman" w:eastAsia="仿宋_GB2312" w:cs="仿宋_GB2312"/>
          <w:color w:val="auto"/>
          <w:sz w:val="32"/>
          <w:szCs w:val="32"/>
          <w:highlight w:val="none"/>
        </w:rPr>
      </w:pPr>
      <w:r>
        <w:rPr>
          <w:rFonts w:hint="eastAsia" w:ascii="仿宋_GB2312" w:hAnsi="Times New Roman" w:eastAsia="仿宋_GB2312" w:cs="仿宋_GB2312"/>
          <w:color w:val="auto"/>
          <w:sz w:val="32"/>
          <w:szCs w:val="32"/>
          <w:highlight w:val="none"/>
        </w:rPr>
        <w:t>二十</w:t>
      </w:r>
      <w:r>
        <w:rPr>
          <w:rFonts w:hint="eastAsia" w:ascii="仿宋_GB2312" w:hAnsi="Times New Roman" w:eastAsia="仿宋_GB2312" w:cs="仿宋_GB2312"/>
          <w:color w:val="auto"/>
          <w:sz w:val="32"/>
          <w:szCs w:val="32"/>
          <w:highlight w:val="none"/>
          <w:lang w:val="en-US" w:eastAsia="zh-CN"/>
        </w:rPr>
        <w:t>五</w:t>
      </w:r>
      <w:r>
        <w:rPr>
          <w:rFonts w:hint="eastAsia" w:ascii="仿宋_GB2312" w:hAnsi="Times New Roman" w:eastAsia="仿宋_GB2312" w:cs="仿宋_GB2312"/>
          <w:color w:val="auto"/>
          <w:sz w:val="32"/>
          <w:szCs w:val="32"/>
          <w:highlight w:val="none"/>
        </w:rPr>
        <w:t>、</w:t>
      </w:r>
      <w:r>
        <w:rPr>
          <w:rFonts w:hint="eastAsia" w:ascii="仿宋_GB2312" w:hAnsi="Times New Roman" w:eastAsia="仿宋_GB2312" w:cs="仿宋_GB2312"/>
          <w:color w:val="auto"/>
          <w:sz w:val="32"/>
          <w:szCs w:val="32"/>
          <w:highlight w:val="none"/>
          <w:lang w:eastAsia="zh-CN"/>
        </w:rPr>
        <w:t>2026年殷都区社会保障基金支出预算表</w:t>
      </w:r>
    </w:p>
    <w:p>
      <w:pPr>
        <w:kinsoku w:val="0"/>
        <w:overflowPunct w:val="0"/>
        <w:adjustRightInd w:val="0"/>
        <w:snapToGrid w:val="0"/>
        <w:spacing w:line="360" w:lineRule="auto"/>
        <w:ind w:right="51" w:firstLine="960" w:firstLineChars="300"/>
        <w:jc w:val="left"/>
        <w:rPr>
          <w:rFonts w:ascii="仿宋_GB2312" w:hAnsi="Times New Roman" w:eastAsia="仿宋_GB2312" w:cs="仿宋_GB2312"/>
          <w:color w:val="auto"/>
          <w:sz w:val="32"/>
          <w:szCs w:val="32"/>
          <w:highlight w:val="none"/>
        </w:rPr>
      </w:pPr>
      <w:r>
        <w:rPr>
          <w:rFonts w:hint="eastAsia" w:ascii="仿宋_GB2312" w:hAnsi="Times New Roman" w:eastAsia="仿宋_GB2312" w:cs="仿宋_GB2312"/>
          <w:color w:val="auto"/>
          <w:sz w:val="32"/>
          <w:szCs w:val="32"/>
          <w:highlight w:val="none"/>
        </w:rPr>
        <w:t>二十</w:t>
      </w:r>
      <w:r>
        <w:rPr>
          <w:rFonts w:hint="eastAsia" w:ascii="仿宋_GB2312" w:hAnsi="Times New Roman" w:eastAsia="仿宋_GB2312" w:cs="仿宋_GB2312"/>
          <w:color w:val="auto"/>
          <w:sz w:val="32"/>
          <w:szCs w:val="32"/>
          <w:highlight w:val="none"/>
          <w:lang w:val="en-US" w:eastAsia="zh-CN"/>
        </w:rPr>
        <w:t>六</w:t>
      </w:r>
      <w:r>
        <w:rPr>
          <w:rFonts w:hint="eastAsia" w:ascii="仿宋_GB2312" w:hAnsi="Times New Roman" w:eastAsia="仿宋_GB2312" w:cs="仿宋_GB2312"/>
          <w:color w:val="auto"/>
          <w:sz w:val="32"/>
          <w:szCs w:val="32"/>
          <w:highlight w:val="none"/>
        </w:rPr>
        <w:t>、</w:t>
      </w:r>
      <w:r>
        <w:rPr>
          <w:rFonts w:hint="eastAsia" w:ascii="仿宋_GB2312" w:hAnsi="Times New Roman" w:eastAsia="仿宋_GB2312" w:cs="仿宋_GB2312"/>
          <w:color w:val="auto"/>
          <w:sz w:val="32"/>
          <w:szCs w:val="32"/>
          <w:highlight w:val="none"/>
          <w:lang w:eastAsia="zh-CN"/>
        </w:rPr>
        <w:t>2026年殷都区本级社会保障基金支出预算表</w:t>
      </w:r>
    </w:p>
    <w:p>
      <w:pPr>
        <w:kinsoku w:val="0"/>
        <w:overflowPunct w:val="0"/>
        <w:adjustRightInd w:val="0"/>
        <w:snapToGrid w:val="0"/>
        <w:spacing w:line="360" w:lineRule="auto"/>
        <w:ind w:right="51" w:firstLine="960" w:firstLineChars="300"/>
        <w:jc w:val="left"/>
        <w:rPr>
          <w:rFonts w:ascii="仿宋_GB2312" w:hAnsi="Times New Roman" w:eastAsia="仿宋_GB2312" w:cs="仿宋_GB2312"/>
          <w:color w:val="auto"/>
          <w:sz w:val="32"/>
          <w:szCs w:val="32"/>
          <w:highlight w:val="none"/>
        </w:rPr>
      </w:pPr>
      <w:r>
        <w:rPr>
          <w:rFonts w:hint="eastAsia" w:ascii="仿宋_GB2312" w:hAnsi="Times New Roman" w:eastAsia="仿宋_GB2312" w:cs="仿宋_GB2312"/>
          <w:color w:val="auto"/>
          <w:sz w:val="32"/>
          <w:szCs w:val="32"/>
          <w:highlight w:val="none"/>
        </w:rPr>
        <w:t>二十</w:t>
      </w:r>
      <w:r>
        <w:rPr>
          <w:rFonts w:hint="eastAsia" w:ascii="仿宋_GB2312" w:hAnsi="Times New Roman" w:eastAsia="仿宋_GB2312" w:cs="仿宋_GB2312"/>
          <w:color w:val="auto"/>
          <w:sz w:val="32"/>
          <w:szCs w:val="32"/>
          <w:highlight w:val="none"/>
          <w:lang w:val="en-US" w:eastAsia="zh-CN"/>
        </w:rPr>
        <w:t>七</w:t>
      </w:r>
      <w:r>
        <w:rPr>
          <w:rFonts w:hint="eastAsia" w:ascii="仿宋_GB2312" w:hAnsi="Times New Roman" w:eastAsia="仿宋_GB2312" w:cs="仿宋_GB2312"/>
          <w:color w:val="auto"/>
          <w:sz w:val="32"/>
          <w:szCs w:val="32"/>
          <w:highlight w:val="none"/>
        </w:rPr>
        <w:t>、</w:t>
      </w:r>
      <w:r>
        <w:rPr>
          <w:rFonts w:hint="eastAsia" w:ascii="仿宋_GB2312" w:hAnsi="Times New Roman" w:eastAsia="仿宋_GB2312" w:cs="仿宋_GB2312"/>
          <w:color w:val="auto"/>
          <w:sz w:val="32"/>
          <w:szCs w:val="32"/>
          <w:highlight w:val="none"/>
          <w:lang w:eastAsia="zh-CN"/>
        </w:rPr>
        <w:t>2026年殷都区社会保障基金预算结余表</w:t>
      </w:r>
    </w:p>
    <w:p>
      <w:pPr>
        <w:kinsoku w:val="0"/>
        <w:overflowPunct w:val="0"/>
        <w:adjustRightInd w:val="0"/>
        <w:snapToGrid w:val="0"/>
        <w:spacing w:line="360" w:lineRule="auto"/>
        <w:ind w:right="51" w:firstLine="960" w:firstLineChars="300"/>
        <w:jc w:val="left"/>
        <w:rPr>
          <w:rFonts w:hint="eastAsia" w:ascii="仿宋_GB2312" w:hAnsi="Times New Roman" w:eastAsia="仿宋_GB2312" w:cs="仿宋_GB2312"/>
          <w:color w:val="auto"/>
          <w:sz w:val="32"/>
          <w:szCs w:val="32"/>
          <w:highlight w:val="none"/>
        </w:rPr>
      </w:pPr>
    </w:p>
    <w:p>
      <w:pPr>
        <w:pStyle w:val="12"/>
        <w:rPr>
          <w:rFonts w:hint="eastAsia" w:eastAsia="仿宋_GB2312"/>
          <w:color w:val="auto"/>
          <w:highlight w:val="none"/>
          <w:lang w:val="en-US" w:eastAsia="zh-CN"/>
        </w:rPr>
      </w:pPr>
    </w:p>
    <w:p>
      <w:pPr>
        <w:kinsoku w:val="0"/>
        <w:overflowPunct w:val="0"/>
        <w:adjustRightInd w:val="0"/>
        <w:snapToGrid w:val="0"/>
        <w:spacing w:line="360" w:lineRule="auto"/>
        <w:ind w:right="51"/>
        <w:jc w:val="left"/>
        <w:rPr>
          <w:rFonts w:hint="default" w:ascii="仿宋_GB2312" w:hAnsi="Times New Roman" w:eastAsia="仿宋_GB2312" w:cs="仿宋_GB2312"/>
          <w:color w:val="auto"/>
          <w:sz w:val="32"/>
          <w:szCs w:val="32"/>
          <w:highlight w:val="none"/>
          <w:lang w:val="en-US" w:eastAsia="zh-CN"/>
        </w:rPr>
      </w:pPr>
      <w:r>
        <w:rPr>
          <w:rFonts w:hint="eastAsia" w:ascii="仿宋_GB2312" w:hAnsi="Times New Roman" w:eastAsia="仿宋_GB2312" w:cs="仿宋_GB2312"/>
          <w:color w:val="auto"/>
          <w:sz w:val="32"/>
          <w:szCs w:val="32"/>
          <w:highlight w:val="none"/>
          <w:lang w:val="en-US" w:eastAsia="zh-CN"/>
        </w:rPr>
        <w:t xml:space="preserve"> </w:t>
      </w:r>
    </w:p>
    <w:p>
      <w:pPr>
        <w:kinsoku w:val="0"/>
        <w:overflowPunct w:val="0"/>
        <w:adjustRightInd w:val="0"/>
        <w:snapToGrid w:val="0"/>
        <w:spacing w:line="360" w:lineRule="auto"/>
        <w:ind w:right="51"/>
        <w:jc w:val="left"/>
        <w:rPr>
          <w:rFonts w:hint="eastAsia" w:ascii="黑体" w:hAnsi="Times New Roman" w:eastAsia="黑体" w:cs="仿宋_GB2312"/>
          <w:color w:val="auto"/>
          <w:sz w:val="32"/>
          <w:szCs w:val="32"/>
          <w:highlight w:val="none"/>
        </w:rPr>
      </w:pPr>
    </w:p>
    <w:p>
      <w:pPr>
        <w:kinsoku w:val="0"/>
        <w:overflowPunct w:val="0"/>
        <w:adjustRightInd w:val="0"/>
        <w:snapToGrid w:val="0"/>
        <w:spacing w:line="360" w:lineRule="auto"/>
        <w:ind w:right="51"/>
        <w:jc w:val="left"/>
        <w:rPr>
          <w:rFonts w:hint="eastAsia" w:ascii="黑体" w:hAnsi="Times New Roman" w:eastAsia="黑体" w:cs="仿宋_GB2312"/>
          <w:color w:val="auto"/>
          <w:sz w:val="32"/>
          <w:szCs w:val="32"/>
          <w:highlight w:val="none"/>
        </w:rPr>
      </w:pPr>
    </w:p>
    <w:p>
      <w:pPr>
        <w:kinsoku w:val="0"/>
        <w:overflowPunct w:val="0"/>
        <w:adjustRightInd w:val="0"/>
        <w:snapToGrid w:val="0"/>
        <w:spacing w:line="360" w:lineRule="auto"/>
        <w:ind w:right="51"/>
        <w:jc w:val="left"/>
        <w:rPr>
          <w:rFonts w:hint="eastAsia" w:ascii="黑体" w:hAnsi="Times New Roman" w:eastAsia="黑体" w:cs="仿宋_GB2312"/>
          <w:color w:val="auto"/>
          <w:sz w:val="32"/>
          <w:szCs w:val="32"/>
          <w:highlight w:val="none"/>
        </w:rPr>
      </w:pPr>
    </w:p>
    <w:p>
      <w:pPr>
        <w:kinsoku w:val="0"/>
        <w:overflowPunct w:val="0"/>
        <w:adjustRightInd w:val="0"/>
        <w:snapToGrid w:val="0"/>
        <w:spacing w:line="360" w:lineRule="auto"/>
        <w:ind w:right="51"/>
        <w:jc w:val="left"/>
        <w:rPr>
          <w:rFonts w:hint="eastAsia" w:ascii="仿宋_GB2312" w:hAnsi="Times New Roman" w:eastAsia="仿宋_GB2312" w:cs="仿宋_GB2312"/>
          <w:color w:val="auto"/>
          <w:sz w:val="32"/>
          <w:szCs w:val="32"/>
          <w:highlight w:val="none"/>
        </w:rPr>
      </w:pPr>
    </w:p>
    <w:p>
      <w:pPr>
        <w:pStyle w:val="2"/>
        <w:rPr>
          <w:rFonts w:hint="eastAsia" w:ascii="仿宋_GB2312" w:hAnsi="Times New Roman" w:eastAsia="仿宋_GB2312" w:cs="仿宋_GB2312"/>
          <w:color w:val="auto"/>
          <w:sz w:val="32"/>
          <w:szCs w:val="32"/>
          <w:highlight w:val="none"/>
        </w:rPr>
      </w:pPr>
    </w:p>
    <w:p>
      <w:pPr>
        <w:kinsoku w:val="0"/>
        <w:overflowPunct w:val="0"/>
        <w:adjustRightInd w:val="0"/>
        <w:snapToGrid w:val="0"/>
        <w:spacing w:line="360" w:lineRule="auto"/>
        <w:ind w:right="51"/>
        <w:jc w:val="left"/>
        <w:rPr>
          <w:rFonts w:hint="eastAsia" w:ascii="仿宋_GB2312" w:hAnsi="Times New Roman" w:eastAsia="仿宋_GB2312" w:cs="仿宋_GB2312"/>
          <w:color w:val="auto"/>
          <w:sz w:val="32"/>
          <w:szCs w:val="32"/>
          <w:highlight w:val="none"/>
        </w:rPr>
      </w:pPr>
    </w:p>
    <w:p>
      <w:pPr>
        <w:pStyle w:val="13"/>
        <w:rPr>
          <w:rFonts w:hint="eastAsia"/>
          <w:color w:val="auto"/>
        </w:rPr>
      </w:pPr>
    </w:p>
    <w:p>
      <w:pPr>
        <w:adjustRightInd w:val="0"/>
        <w:snapToGrid w:val="0"/>
        <w:spacing w:line="360" w:lineRule="auto"/>
        <w:jc w:val="center"/>
        <w:rPr>
          <w:rFonts w:hint="eastAsia" w:ascii="黑体" w:hAnsi="黑体" w:eastAsia="黑体"/>
          <w:color w:val="auto"/>
          <w:sz w:val="32"/>
          <w:szCs w:val="32"/>
          <w:highlight w:val="none"/>
        </w:rPr>
      </w:pPr>
    </w:p>
    <w:p>
      <w:pPr>
        <w:adjustRightInd w:val="0"/>
        <w:snapToGrid w:val="0"/>
        <w:spacing w:line="360" w:lineRule="auto"/>
        <w:jc w:val="center"/>
        <w:rPr>
          <w:rFonts w:ascii="黑体" w:hAnsi="黑体" w:eastAsia="黑体"/>
          <w:color w:val="auto"/>
          <w:sz w:val="32"/>
          <w:szCs w:val="32"/>
          <w:highlight w:val="none"/>
        </w:rPr>
      </w:pPr>
      <w:r>
        <w:rPr>
          <w:rFonts w:hint="eastAsia" w:ascii="黑体" w:hAnsi="黑体" w:eastAsia="黑体"/>
          <w:color w:val="auto"/>
          <w:sz w:val="32"/>
          <w:szCs w:val="32"/>
          <w:highlight w:val="none"/>
        </w:rPr>
        <w:t>第一部分</w:t>
      </w:r>
    </w:p>
    <w:p>
      <w:pPr>
        <w:widowControl/>
        <w:spacing w:line="600" w:lineRule="exact"/>
        <w:ind w:right="42" w:rightChars="20" w:firstLine="2880" w:firstLineChars="900"/>
        <w:rPr>
          <w:rFonts w:hint="eastAsia" w:ascii="仿宋_GB2312" w:hAnsi="仿宋_GB2312" w:eastAsia="仿宋_GB2312"/>
          <w:color w:val="auto"/>
          <w:sz w:val="32"/>
          <w:szCs w:val="32"/>
          <w:highlight w:val="none"/>
        </w:rPr>
      </w:pPr>
      <w:r>
        <w:rPr>
          <w:rFonts w:hint="eastAsia" w:ascii="黑体" w:hAnsi="黑体" w:eastAsia="黑体"/>
          <w:color w:val="auto"/>
          <w:sz w:val="32"/>
          <w:szCs w:val="32"/>
          <w:highlight w:val="none"/>
          <w:lang w:val="en-US" w:eastAsia="zh-CN"/>
        </w:rPr>
        <w:t xml:space="preserve">  </w:t>
      </w:r>
      <w:r>
        <w:rPr>
          <w:rFonts w:hint="eastAsia" w:ascii="黑体" w:hAnsi="黑体" w:eastAsia="黑体"/>
          <w:color w:val="auto"/>
          <w:sz w:val="32"/>
          <w:szCs w:val="32"/>
          <w:highlight w:val="none"/>
        </w:rPr>
        <w:t>财政预算编制</w:t>
      </w:r>
      <w:r>
        <w:rPr>
          <w:rFonts w:hint="eastAsia" w:ascii="黑体" w:hAnsi="黑体" w:eastAsia="黑体"/>
          <w:bCs/>
          <w:color w:val="auto"/>
          <w:sz w:val="32"/>
          <w:szCs w:val="32"/>
          <w:highlight w:val="none"/>
        </w:rPr>
        <w:t>概</w:t>
      </w:r>
      <w:r>
        <w:rPr>
          <w:rFonts w:hint="eastAsia" w:ascii="黑体" w:hAnsi="黑体" w:eastAsia="黑体"/>
          <w:color w:val="auto"/>
          <w:sz w:val="32"/>
          <w:szCs w:val="32"/>
          <w:highlight w:val="none"/>
        </w:rPr>
        <w:t>况</w:t>
      </w:r>
    </w:p>
    <w:p>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auto"/>
        <w:rPr>
          <w:rFonts w:ascii="仿宋_GB2312" w:hAnsi="仿宋_GB2312" w:eastAsia="仿宋_GB2312"/>
          <w:color w:val="auto"/>
          <w:sz w:val="32"/>
          <w:szCs w:val="30"/>
          <w:highlight w:val="none"/>
        </w:rPr>
      </w:pPr>
      <w:r>
        <w:rPr>
          <w:rFonts w:hint="eastAsia" w:ascii="仿宋_GB2312" w:hAnsi="仿宋_GB2312" w:eastAsia="仿宋_GB2312" w:cs="Times New Roman"/>
          <w:color w:val="auto"/>
          <w:sz w:val="32"/>
          <w:szCs w:val="30"/>
          <w:highlight w:val="none"/>
        </w:rPr>
        <w:t xml:space="preserve"> </w:t>
      </w:r>
      <w:r>
        <w:rPr>
          <w:rFonts w:hint="eastAsia" w:ascii="仿宋_GB2312" w:hAnsi="仿宋_GB2312" w:eastAsia="仿宋_GB2312" w:cs="Times New Roman"/>
          <w:color w:val="auto"/>
          <w:sz w:val="32"/>
          <w:szCs w:val="30"/>
          <w:highlight w:val="none"/>
          <w:lang w:val="en-US" w:eastAsia="zh-CN"/>
        </w:rPr>
        <w:t>2026年财政收支矛盾更加突出，</w:t>
      </w:r>
      <w:r>
        <w:rPr>
          <w:rFonts w:hint="eastAsia" w:ascii="仿宋_GB2312" w:hAnsi="仿宋_GB2312" w:eastAsia="仿宋_GB2312" w:cs="Times New Roman"/>
          <w:color w:val="auto"/>
          <w:sz w:val="32"/>
          <w:szCs w:val="30"/>
          <w:highlight w:val="none"/>
        </w:rPr>
        <w:t>为保障各方面合理支出，在考虑需求与可能，统筹兼顾确保财政收支平衡</w:t>
      </w:r>
      <w:r>
        <w:rPr>
          <w:rFonts w:hint="eastAsia" w:ascii="仿宋_GB2312" w:hAnsi="仿宋_GB2312" w:eastAsia="仿宋_GB2312" w:cs="Times New Roman"/>
          <w:color w:val="auto"/>
          <w:sz w:val="32"/>
          <w:szCs w:val="30"/>
          <w:highlight w:val="none"/>
          <w:lang w:val="en-US" w:eastAsia="zh-CN"/>
        </w:rPr>
        <w:t>的同时</w:t>
      </w:r>
      <w:r>
        <w:rPr>
          <w:rFonts w:hint="eastAsia" w:ascii="仿宋_GB2312" w:hAnsi="仿宋_GB2312" w:eastAsia="仿宋_GB2312" w:cs="Times New Roman"/>
          <w:color w:val="auto"/>
          <w:sz w:val="32"/>
          <w:szCs w:val="30"/>
          <w:highlight w:val="none"/>
        </w:rPr>
        <w:t>，重点在加大财政资源统筹力度、提高财政资源配置效率、推动预算绩效管理提质增效、</w:t>
      </w:r>
      <w:r>
        <w:rPr>
          <w:rFonts w:hint="eastAsia" w:ascii="仿宋_GB2312" w:hAnsi="仿宋_GB2312" w:eastAsia="仿宋_GB2312" w:cs="Times New Roman"/>
          <w:color w:val="auto"/>
          <w:sz w:val="32"/>
          <w:szCs w:val="30"/>
          <w:highlight w:val="none"/>
          <w:lang w:eastAsia="zh-CN"/>
        </w:rPr>
        <w:t>防范化解风险</w:t>
      </w:r>
      <w:r>
        <w:rPr>
          <w:rFonts w:hint="eastAsia" w:ascii="仿宋_GB2312" w:hAnsi="仿宋_GB2312" w:eastAsia="仿宋_GB2312" w:cs="Times New Roman"/>
          <w:color w:val="auto"/>
          <w:sz w:val="32"/>
          <w:szCs w:val="30"/>
          <w:highlight w:val="none"/>
        </w:rPr>
        <w:t>等方面进一步加强管理，提高年度预算安排的科学性、前瞻性和有效性。</w:t>
      </w:r>
      <w:r>
        <w:rPr>
          <w:rFonts w:hint="eastAsia" w:ascii="仿宋_GB2312" w:hAnsi="仿宋_GB2312" w:eastAsia="仿宋_GB2312"/>
          <w:color w:val="auto"/>
          <w:sz w:val="32"/>
          <w:szCs w:val="30"/>
          <w:highlight w:val="none"/>
        </w:rPr>
        <w:t>现将</w:t>
      </w:r>
      <w:r>
        <w:rPr>
          <w:rFonts w:hint="eastAsia" w:ascii="仿宋_GB2312" w:hAnsi="仿宋_GB2312" w:eastAsia="仿宋_GB2312"/>
          <w:color w:val="auto"/>
          <w:sz w:val="32"/>
          <w:szCs w:val="30"/>
          <w:highlight w:val="none"/>
          <w:lang w:eastAsia="zh-CN"/>
        </w:rPr>
        <w:t>殷都</w:t>
      </w:r>
      <w:r>
        <w:rPr>
          <w:rFonts w:hint="eastAsia" w:ascii="仿宋_GB2312" w:hAnsi="仿宋_GB2312" w:eastAsia="仿宋_GB2312"/>
          <w:color w:val="auto"/>
          <w:sz w:val="32"/>
          <w:szCs w:val="30"/>
          <w:highlight w:val="none"/>
        </w:rPr>
        <w:t>区</w:t>
      </w:r>
      <w:r>
        <w:rPr>
          <w:rFonts w:hint="eastAsia" w:ascii="仿宋_GB2312" w:hAnsi="仿宋_GB2312" w:eastAsia="仿宋_GB2312"/>
          <w:color w:val="auto"/>
          <w:sz w:val="32"/>
          <w:szCs w:val="30"/>
          <w:highlight w:val="none"/>
          <w:lang w:eastAsia="zh-CN"/>
        </w:rPr>
        <w:t>2026年</w:t>
      </w:r>
      <w:r>
        <w:rPr>
          <w:rFonts w:hint="eastAsia" w:ascii="仿宋_GB2312" w:hAnsi="仿宋_GB2312" w:eastAsia="仿宋_GB2312"/>
          <w:color w:val="auto"/>
          <w:sz w:val="32"/>
          <w:szCs w:val="30"/>
          <w:highlight w:val="none"/>
        </w:rPr>
        <w:t>财政预算编制情况汇报如下：</w:t>
      </w:r>
    </w:p>
    <w:p>
      <w:pPr>
        <w:numPr>
          <w:ilvl w:val="0"/>
          <w:numId w:val="2"/>
        </w:numPr>
        <w:rPr>
          <w:rFonts w:hint="eastAsia" w:ascii="黑体" w:hAnsi="黑体" w:eastAsia="黑体"/>
          <w:color w:val="auto"/>
          <w:sz w:val="32"/>
          <w:szCs w:val="30"/>
          <w:highlight w:val="none"/>
        </w:rPr>
      </w:pPr>
      <w:r>
        <w:rPr>
          <w:rFonts w:hint="eastAsia" w:ascii="黑体" w:hAnsi="黑体" w:eastAsia="黑体"/>
          <w:color w:val="auto"/>
          <w:sz w:val="32"/>
          <w:szCs w:val="30"/>
          <w:highlight w:val="none"/>
        </w:rPr>
        <w:t>预算编制原则及依据</w:t>
      </w:r>
    </w:p>
    <w:p>
      <w:pPr>
        <w:rPr>
          <w:rFonts w:hint="eastAsia" w:ascii="仿宋_GB2312" w:hAnsi="黑体" w:eastAsia="仿宋_GB2312"/>
          <w:b/>
          <w:color w:val="auto"/>
          <w:sz w:val="32"/>
          <w:szCs w:val="30"/>
          <w:highlight w:val="none"/>
        </w:rPr>
      </w:pPr>
      <w:r>
        <w:rPr>
          <w:rFonts w:hint="eastAsia" w:ascii="仿宋_GB2312" w:hAnsi="黑体" w:eastAsia="仿宋_GB2312"/>
          <w:b/>
          <w:color w:val="auto"/>
          <w:sz w:val="32"/>
          <w:szCs w:val="30"/>
          <w:highlight w:val="none"/>
          <w:lang w:val="en-US" w:eastAsia="zh-CN"/>
        </w:rPr>
        <w:t xml:space="preserve">   </w:t>
      </w:r>
      <w:r>
        <w:rPr>
          <w:rFonts w:hint="eastAsia" w:ascii="仿宋_GB2312" w:hAnsi="黑体" w:eastAsia="仿宋_GB2312"/>
          <w:b/>
          <w:color w:val="auto"/>
          <w:sz w:val="32"/>
          <w:szCs w:val="30"/>
          <w:highlight w:val="none"/>
        </w:rPr>
        <w:t>（一）预算编制原则</w:t>
      </w:r>
    </w:p>
    <w:p>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Times New Roman"/>
          <w:color w:val="auto"/>
          <w:sz w:val="32"/>
          <w:szCs w:val="30"/>
          <w:highlight w:val="none"/>
          <w:lang w:val="en-US" w:eastAsia="zh-CN"/>
        </w:rPr>
      </w:pPr>
      <w:r>
        <w:rPr>
          <w:rFonts w:hint="eastAsia" w:ascii="仿宋_GB2312" w:hAnsi="仿宋_GB2312" w:eastAsia="仿宋_GB2312" w:cs="Times New Roman"/>
          <w:color w:val="auto"/>
          <w:sz w:val="32"/>
          <w:szCs w:val="30"/>
          <w:highlight w:val="none"/>
          <w:lang w:val="en-US" w:eastAsia="zh-CN"/>
        </w:rPr>
        <w:t>2026年财政收支矛盾依然突出，为保各方面合理支出，特别是中央和省、市、区决策部署的落实，在考虑需求与可能，统筹兼顾确保财政收支平衡的同时，进一步优化财政资金使用结构和方式，努力提高财政资源配置效率和使用效益。预算编制坚持以下原则:</w:t>
      </w:r>
    </w:p>
    <w:p>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Times New Roman"/>
          <w:color w:val="auto"/>
          <w:sz w:val="32"/>
          <w:szCs w:val="30"/>
          <w:highlight w:val="none"/>
          <w:lang w:eastAsia="zh-CN"/>
        </w:rPr>
      </w:pPr>
      <w:r>
        <w:rPr>
          <w:rFonts w:hint="eastAsia" w:ascii="仿宋_GB2312" w:hAnsi="仿宋_GB2312" w:eastAsia="仿宋_GB2312" w:cs="Times New Roman"/>
          <w:color w:val="auto"/>
          <w:sz w:val="32"/>
          <w:szCs w:val="30"/>
          <w:highlight w:val="none"/>
          <w:lang w:val="en-US" w:eastAsia="zh-CN"/>
        </w:rPr>
        <w:t>1.落实决策部署，</w:t>
      </w:r>
      <w:r>
        <w:rPr>
          <w:rFonts w:hint="eastAsia" w:ascii="仿宋_GB2312" w:hAnsi="仿宋_GB2312" w:eastAsia="仿宋_GB2312" w:cs="Times New Roman"/>
          <w:color w:val="auto"/>
          <w:sz w:val="32"/>
          <w:szCs w:val="30"/>
          <w:highlight w:val="none"/>
          <w:lang w:eastAsia="zh-CN"/>
        </w:rPr>
        <w:t>优先保障重点支出。</w:t>
      </w:r>
    </w:p>
    <w:p>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Times New Roman"/>
          <w:color w:val="auto"/>
          <w:sz w:val="32"/>
          <w:szCs w:val="30"/>
          <w:highlight w:val="none"/>
          <w:lang w:eastAsia="zh-CN"/>
        </w:rPr>
      </w:pPr>
      <w:r>
        <w:rPr>
          <w:rFonts w:hint="eastAsia" w:ascii="仿宋_GB2312" w:hAnsi="仿宋_GB2312" w:eastAsia="仿宋_GB2312" w:cs="Times New Roman"/>
          <w:color w:val="auto"/>
          <w:sz w:val="32"/>
          <w:szCs w:val="30"/>
          <w:highlight w:val="none"/>
          <w:lang w:eastAsia="zh-CN"/>
        </w:rPr>
        <w:t>将落实党中央、国务院决策部署、省委省政府、市委市政府</w:t>
      </w:r>
      <w:r>
        <w:rPr>
          <w:rFonts w:hint="eastAsia" w:ascii="仿宋_GB2312" w:hAnsi="仿宋_GB2312" w:eastAsia="仿宋_GB2312" w:cs="Times New Roman"/>
          <w:color w:val="auto"/>
          <w:sz w:val="32"/>
          <w:szCs w:val="30"/>
          <w:highlight w:val="none"/>
          <w:lang w:val="en-US" w:eastAsia="zh-CN"/>
        </w:rPr>
        <w:t>和区委区政府</w:t>
      </w:r>
      <w:r>
        <w:rPr>
          <w:rFonts w:hint="eastAsia" w:ascii="仿宋_GB2312" w:hAnsi="仿宋_GB2312" w:eastAsia="仿宋_GB2312" w:cs="Times New Roman"/>
          <w:color w:val="auto"/>
          <w:sz w:val="32"/>
          <w:szCs w:val="30"/>
          <w:highlight w:val="none"/>
          <w:lang w:eastAsia="zh-CN"/>
        </w:rPr>
        <w:t>有关要求，作为年度预算编制的首要任务，集中财力保障</w:t>
      </w:r>
      <w:r>
        <w:rPr>
          <w:rFonts w:hint="eastAsia" w:ascii="仿宋_GB2312" w:hAnsi="仿宋_GB2312" w:eastAsia="仿宋_GB2312" w:cs="Times New Roman"/>
          <w:color w:val="auto"/>
          <w:sz w:val="32"/>
          <w:szCs w:val="30"/>
          <w:highlight w:val="none"/>
          <w:lang w:val="en-US" w:eastAsia="zh-CN"/>
        </w:rPr>
        <w:t>各种</w:t>
      </w:r>
      <w:r>
        <w:rPr>
          <w:rFonts w:hint="eastAsia" w:ascii="仿宋_GB2312" w:hAnsi="仿宋_GB2312" w:eastAsia="仿宋_GB2312" w:cs="Times New Roman"/>
          <w:color w:val="auto"/>
          <w:sz w:val="32"/>
          <w:szCs w:val="30"/>
          <w:highlight w:val="none"/>
          <w:lang w:eastAsia="zh-CN"/>
        </w:rPr>
        <w:t>政策落实</w:t>
      </w:r>
      <w:r>
        <w:rPr>
          <w:rFonts w:hint="eastAsia" w:ascii="仿宋_GB2312" w:hAnsi="仿宋_GB2312" w:eastAsia="仿宋_GB2312" w:cs="Times New Roman"/>
          <w:color w:val="auto"/>
          <w:sz w:val="32"/>
          <w:szCs w:val="30"/>
          <w:highlight w:val="none"/>
          <w:lang w:val="en-US" w:eastAsia="zh-CN"/>
        </w:rPr>
        <w:t>和区</w:t>
      </w:r>
      <w:r>
        <w:rPr>
          <w:rFonts w:hint="eastAsia" w:ascii="仿宋_GB2312" w:hAnsi="仿宋_GB2312" w:eastAsia="仿宋_GB2312" w:cs="Times New Roman"/>
          <w:color w:val="auto"/>
          <w:sz w:val="32"/>
          <w:szCs w:val="30"/>
          <w:highlight w:val="none"/>
          <w:lang w:eastAsia="zh-CN"/>
        </w:rPr>
        <w:t>级重大项目。</w:t>
      </w:r>
    </w:p>
    <w:p>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Times New Roman"/>
          <w:color w:val="auto"/>
          <w:sz w:val="32"/>
          <w:szCs w:val="30"/>
          <w:highlight w:val="none"/>
        </w:rPr>
      </w:pPr>
      <w:r>
        <w:rPr>
          <w:rFonts w:hint="eastAsia" w:ascii="仿宋_GB2312" w:hAnsi="仿宋_GB2312" w:eastAsia="仿宋_GB2312" w:cs="Times New Roman"/>
          <w:color w:val="auto"/>
          <w:sz w:val="32"/>
          <w:szCs w:val="30"/>
          <w:highlight w:val="none"/>
          <w:lang w:val="en-US" w:eastAsia="zh-CN"/>
        </w:rPr>
        <w:t>2.</w:t>
      </w:r>
      <w:r>
        <w:rPr>
          <w:rFonts w:hint="eastAsia" w:ascii="仿宋_GB2312" w:hAnsi="仿宋_GB2312" w:eastAsia="仿宋_GB2312" w:cs="Times New Roman"/>
          <w:color w:val="auto"/>
          <w:sz w:val="32"/>
          <w:szCs w:val="30"/>
          <w:highlight w:val="none"/>
        </w:rPr>
        <w:t>兜牢“三保”底线，足额编列“三保”预算</w:t>
      </w:r>
      <w:r>
        <w:rPr>
          <w:rFonts w:hint="eastAsia" w:ascii="仿宋_GB2312" w:hAnsi="仿宋_GB2312" w:eastAsia="仿宋_GB2312" w:cs="Times New Roman"/>
          <w:color w:val="auto"/>
          <w:sz w:val="32"/>
          <w:szCs w:val="30"/>
          <w:highlight w:val="none"/>
          <w:lang w:eastAsia="zh-CN"/>
        </w:rPr>
        <w:t>。</w:t>
      </w:r>
    </w:p>
    <w:p>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Times New Roman"/>
          <w:color w:val="auto"/>
          <w:sz w:val="32"/>
          <w:szCs w:val="30"/>
          <w:highlight w:val="none"/>
        </w:rPr>
      </w:pPr>
      <w:r>
        <w:rPr>
          <w:rFonts w:hint="eastAsia" w:ascii="仿宋_GB2312" w:hAnsi="仿宋_GB2312" w:eastAsia="仿宋_GB2312" w:cs="Times New Roman"/>
          <w:color w:val="auto"/>
          <w:sz w:val="32"/>
          <w:szCs w:val="30"/>
          <w:highlight w:val="none"/>
          <w:lang w:eastAsia="zh-CN"/>
        </w:rPr>
        <w:t>2026年</w:t>
      </w:r>
      <w:r>
        <w:rPr>
          <w:rFonts w:hint="eastAsia" w:ascii="仿宋_GB2312" w:hAnsi="仿宋_GB2312" w:eastAsia="仿宋_GB2312" w:cs="Times New Roman"/>
          <w:color w:val="auto"/>
          <w:sz w:val="32"/>
          <w:szCs w:val="30"/>
          <w:highlight w:val="none"/>
        </w:rPr>
        <w:t>预算编制按省厅要求将“三保”支出足额编列预算，“三保”支出对照保障清单，全部纳入预算，不留缺口。</w:t>
      </w:r>
    </w:p>
    <w:p>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Times New Roman"/>
          <w:color w:val="auto"/>
          <w:sz w:val="32"/>
          <w:szCs w:val="30"/>
          <w:highlight w:val="none"/>
        </w:rPr>
      </w:pPr>
      <w:r>
        <w:rPr>
          <w:rFonts w:hint="eastAsia" w:ascii="仿宋_GB2312" w:hAnsi="仿宋_GB2312" w:eastAsia="仿宋_GB2312" w:cs="Times New Roman"/>
          <w:color w:val="auto"/>
          <w:sz w:val="32"/>
          <w:szCs w:val="30"/>
          <w:highlight w:val="none"/>
          <w:lang w:val="en-US" w:eastAsia="zh-CN"/>
        </w:rPr>
        <w:t>3.</w:t>
      </w:r>
      <w:r>
        <w:rPr>
          <w:rFonts w:hint="eastAsia" w:ascii="仿宋_GB2312" w:hAnsi="仿宋_GB2312" w:eastAsia="仿宋_GB2312" w:cs="Times New Roman"/>
          <w:color w:val="auto"/>
          <w:sz w:val="32"/>
          <w:szCs w:val="30"/>
          <w:highlight w:val="none"/>
        </w:rPr>
        <w:t>坚持过“紧日子”，合理压缩</w:t>
      </w:r>
      <w:r>
        <w:rPr>
          <w:rFonts w:hint="eastAsia" w:ascii="仿宋_GB2312" w:hAnsi="仿宋_GB2312" w:eastAsia="仿宋_GB2312" w:cs="Times New Roman"/>
          <w:color w:val="auto"/>
          <w:sz w:val="32"/>
          <w:szCs w:val="30"/>
          <w:highlight w:val="none"/>
          <w:lang w:val="en-US" w:eastAsia="zh-CN"/>
        </w:rPr>
        <w:t>预算</w:t>
      </w:r>
      <w:r>
        <w:rPr>
          <w:rFonts w:hint="eastAsia" w:ascii="仿宋_GB2312" w:hAnsi="仿宋_GB2312" w:eastAsia="仿宋_GB2312" w:cs="Times New Roman"/>
          <w:color w:val="auto"/>
          <w:sz w:val="32"/>
          <w:szCs w:val="30"/>
          <w:highlight w:val="none"/>
        </w:rPr>
        <w:t>支出。</w:t>
      </w:r>
    </w:p>
    <w:p>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Times New Roman"/>
          <w:color w:val="auto"/>
          <w:sz w:val="32"/>
          <w:szCs w:val="30"/>
          <w:highlight w:val="none"/>
        </w:rPr>
      </w:pPr>
      <w:r>
        <w:rPr>
          <w:rFonts w:hint="eastAsia" w:ascii="仿宋_GB2312" w:hAnsi="仿宋_GB2312" w:eastAsia="仿宋_GB2312" w:cs="Times New Roman"/>
          <w:color w:val="auto"/>
          <w:sz w:val="32"/>
          <w:szCs w:val="30"/>
          <w:highlight w:val="none"/>
        </w:rPr>
        <w:t>继续贯彻落实过“紧日子”思想</w:t>
      </w:r>
      <w:r>
        <w:rPr>
          <w:rFonts w:hint="eastAsia" w:ascii="仿宋_GB2312" w:hAnsi="仿宋_GB2312" w:eastAsia="仿宋_GB2312" w:cs="Times New Roman"/>
          <w:color w:val="auto"/>
          <w:sz w:val="32"/>
          <w:szCs w:val="30"/>
          <w:highlight w:val="none"/>
          <w:lang w:eastAsia="zh-CN"/>
        </w:rPr>
        <w:t>，</w:t>
      </w:r>
      <w:r>
        <w:rPr>
          <w:rFonts w:hint="eastAsia" w:ascii="仿宋_GB2312" w:hAnsi="仿宋_GB2312" w:eastAsia="仿宋_GB2312" w:cs="Times New Roman"/>
          <w:color w:val="auto"/>
          <w:sz w:val="32"/>
          <w:szCs w:val="30"/>
          <w:highlight w:val="none"/>
        </w:rPr>
        <w:t>一般性支出预算按“零增长”或“负增长”原则编制。一是公用经费</w:t>
      </w:r>
      <w:r>
        <w:rPr>
          <w:rFonts w:hint="eastAsia" w:ascii="仿宋_GB2312" w:hAnsi="仿宋_GB2312" w:eastAsia="仿宋_GB2312" w:cs="Times New Roman"/>
          <w:color w:val="auto"/>
          <w:sz w:val="32"/>
          <w:szCs w:val="30"/>
          <w:highlight w:val="none"/>
          <w:lang w:val="en-US" w:eastAsia="zh-CN"/>
        </w:rPr>
        <w:t>按</w:t>
      </w:r>
      <w:r>
        <w:rPr>
          <w:rFonts w:hint="eastAsia" w:ascii="仿宋_GB2312" w:hAnsi="仿宋_GB2312" w:eastAsia="仿宋_GB2312" w:cs="Times New Roman"/>
          <w:color w:val="auto"/>
          <w:sz w:val="32"/>
          <w:szCs w:val="30"/>
          <w:highlight w:val="none"/>
        </w:rPr>
        <w:t>人员定额</w:t>
      </w:r>
      <w:r>
        <w:rPr>
          <w:rFonts w:hint="eastAsia" w:ascii="仿宋_GB2312" w:hAnsi="仿宋_GB2312" w:eastAsia="仿宋_GB2312" w:cs="Times New Roman"/>
          <w:color w:val="auto"/>
          <w:sz w:val="32"/>
          <w:szCs w:val="30"/>
          <w:highlight w:val="none"/>
          <w:lang w:val="en-US" w:eastAsia="zh-CN"/>
        </w:rPr>
        <w:t>编制</w:t>
      </w:r>
      <w:r>
        <w:rPr>
          <w:rFonts w:hint="eastAsia" w:ascii="仿宋_GB2312" w:hAnsi="仿宋_GB2312" w:eastAsia="仿宋_GB2312" w:cs="Times New Roman"/>
          <w:color w:val="auto"/>
          <w:sz w:val="32"/>
          <w:szCs w:val="30"/>
          <w:highlight w:val="none"/>
        </w:rPr>
        <w:t>，严控办公费、印刷费、会议费、培训费、委托业务费等经费支出。二是严格控制编外人员总量，各单位不再增加编外聘用人员，</w:t>
      </w:r>
      <w:r>
        <w:rPr>
          <w:rFonts w:hint="eastAsia" w:ascii="仿宋_GB2312" w:hAnsi="仿宋_GB2312" w:eastAsia="仿宋_GB2312" w:cs="Times New Roman"/>
          <w:color w:val="auto"/>
          <w:sz w:val="32"/>
          <w:szCs w:val="30"/>
          <w:highlight w:val="none"/>
          <w:lang w:val="en-US" w:eastAsia="zh-CN"/>
        </w:rPr>
        <w:t>相关经费只减不增。三是项目支出编制除刚性支出、上级督导、巡视督查整改和区级必须配套外其他不安排。四是超长期国债、专项债券、中央预算内投资等上级资金、硬性要求有规定及区委区政府研究决定的项目单独编列，其他项目由财政预留编制，根据项目进展情况统筹安排。</w:t>
      </w:r>
    </w:p>
    <w:p>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Times New Roman"/>
          <w:color w:val="auto"/>
          <w:sz w:val="32"/>
          <w:szCs w:val="30"/>
          <w:highlight w:val="none"/>
        </w:rPr>
      </w:pPr>
      <w:r>
        <w:rPr>
          <w:rFonts w:hint="eastAsia" w:ascii="仿宋_GB2312" w:hAnsi="仿宋_GB2312" w:eastAsia="仿宋_GB2312" w:cs="Times New Roman"/>
          <w:color w:val="auto"/>
          <w:sz w:val="32"/>
          <w:szCs w:val="30"/>
          <w:highlight w:val="none"/>
          <w:lang w:val="en-US" w:eastAsia="zh-CN"/>
        </w:rPr>
        <w:t>4.推动绩效管理，强化监督结果应用。</w:t>
      </w:r>
    </w:p>
    <w:p>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Times New Roman"/>
          <w:color w:val="auto"/>
          <w:sz w:val="32"/>
          <w:szCs w:val="30"/>
          <w:highlight w:val="none"/>
        </w:rPr>
      </w:pPr>
      <w:r>
        <w:rPr>
          <w:rFonts w:hint="eastAsia" w:ascii="仿宋_GB2312" w:hAnsi="仿宋_GB2312" w:eastAsia="仿宋_GB2312" w:cs="Times New Roman"/>
          <w:color w:val="auto"/>
          <w:sz w:val="32"/>
          <w:szCs w:val="30"/>
          <w:highlight w:val="none"/>
          <w:lang w:val="en-US" w:eastAsia="zh-CN"/>
        </w:rPr>
        <w:t>加强预算绩效的动态管理，将绩效评价结果与改进管理、完善政策、以后年度预算安排有机衔接，对目标偏离较大的项目资金予以取消、压缩、优化、调整。</w:t>
      </w:r>
      <w:r>
        <w:rPr>
          <w:rFonts w:hint="eastAsia" w:ascii="仿宋_GB2312" w:hAnsi="仿宋_GB2312" w:eastAsia="仿宋_GB2312" w:cs="Times New Roman"/>
          <w:color w:val="auto"/>
          <w:sz w:val="32"/>
          <w:szCs w:val="30"/>
          <w:highlight w:val="none"/>
          <w:lang w:eastAsia="zh-CN"/>
        </w:rPr>
        <w:t>将人大监督、审计监督、财会监督等发现问题整改落实情况作为预算安排的重要依据。</w:t>
      </w:r>
    </w:p>
    <w:p>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auto"/>
        <w:rPr>
          <w:rFonts w:hint="default" w:ascii="仿宋_GB2312" w:hAnsi="仿宋_GB2312" w:eastAsia="仿宋_GB2312" w:cs="Times New Roman"/>
          <w:color w:val="auto"/>
          <w:sz w:val="32"/>
          <w:szCs w:val="30"/>
          <w:highlight w:val="none"/>
          <w:lang w:val="en-US" w:eastAsia="zh-CN"/>
        </w:rPr>
      </w:pPr>
      <w:r>
        <w:rPr>
          <w:rFonts w:hint="eastAsia" w:ascii="仿宋_GB2312" w:hAnsi="仿宋_GB2312" w:eastAsia="仿宋_GB2312" w:cs="Times New Roman"/>
          <w:color w:val="auto"/>
          <w:sz w:val="32"/>
          <w:szCs w:val="30"/>
          <w:highlight w:val="none"/>
          <w:lang w:val="en-US" w:eastAsia="zh-CN"/>
        </w:rPr>
        <w:t>5.规范政府采购，提高预算资金效益</w:t>
      </w:r>
    </w:p>
    <w:p>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Times New Roman"/>
          <w:color w:val="auto"/>
          <w:sz w:val="32"/>
          <w:szCs w:val="30"/>
          <w:highlight w:val="none"/>
          <w:lang w:val="en-US" w:eastAsia="zh-CN"/>
        </w:rPr>
      </w:pPr>
      <w:r>
        <w:rPr>
          <w:rFonts w:hint="eastAsia" w:ascii="仿宋_GB2312" w:hAnsi="仿宋_GB2312" w:eastAsia="仿宋_GB2312" w:cs="Times New Roman"/>
          <w:color w:val="auto"/>
          <w:sz w:val="32"/>
          <w:szCs w:val="30"/>
          <w:highlight w:val="none"/>
          <w:lang w:val="en-US" w:eastAsia="zh-CN"/>
        </w:rPr>
        <w:t>编制政府采购预算项目要进行充分调研和分析，确保采购项目符合实际需求，避免重复采购或浪费。加强对政府采购资金进行准确标识，规避在实际执行中因采购标识不准确影响工作推动。设定明确采购项目绩效目标，确保采购资金能达到预期效果。</w:t>
      </w:r>
    </w:p>
    <w:p>
      <w:pPr>
        <w:spacing w:line="580" w:lineRule="exact"/>
        <w:rPr>
          <w:rFonts w:hint="eastAsia" w:ascii="仿宋_GB2312" w:eastAsia="仿宋_GB2312"/>
          <w:b/>
          <w:color w:val="auto"/>
          <w:sz w:val="32"/>
          <w:szCs w:val="32"/>
          <w:highlight w:val="none"/>
        </w:rPr>
      </w:pPr>
      <w:r>
        <w:rPr>
          <w:rFonts w:hint="eastAsia" w:ascii="仿宋_GB2312" w:eastAsia="仿宋_GB2312"/>
          <w:b/>
          <w:color w:val="auto"/>
          <w:sz w:val="32"/>
          <w:szCs w:val="32"/>
          <w:highlight w:val="none"/>
        </w:rPr>
        <w:t>（二）预算编制依据</w:t>
      </w:r>
    </w:p>
    <w:p>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Times New Roman"/>
          <w:color w:val="auto"/>
          <w:sz w:val="32"/>
          <w:szCs w:val="30"/>
          <w:highlight w:val="none"/>
          <w:lang w:val="en-US" w:eastAsia="zh-CN"/>
        </w:rPr>
      </w:pPr>
      <w:r>
        <w:rPr>
          <w:rFonts w:hint="eastAsia" w:ascii="仿宋_GB2312" w:hAnsi="仿宋_GB2312" w:eastAsia="仿宋_GB2312" w:cs="Times New Roman"/>
          <w:color w:val="auto"/>
          <w:sz w:val="32"/>
          <w:szCs w:val="30"/>
          <w:highlight w:val="none"/>
          <w:lang w:val="en-US" w:eastAsia="zh-CN"/>
        </w:rPr>
        <w:t>1、《中华人民共和国预算法》及实施条例、《国务院关于进一步深化预算管理制度改革意见》（国发〔2024〕5号）、《河南省推进省级部门支出零基预算管理改革方案》等及国务院、省、市2026年预算编制精神。</w:t>
      </w:r>
    </w:p>
    <w:p>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Times New Roman"/>
          <w:color w:val="auto"/>
          <w:sz w:val="32"/>
          <w:szCs w:val="30"/>
          <w:highlight w:val="none"/>
          <w:lang w:val="en-US" w:eastAsia="zh-CN"/>
        </w:rPr>
      </w:pPr>
      <w:r>
        <w:rPr>
          <w:rFonts w:hint="eastAsia" w:ascii="仿宋_GB2312" w:hAnsi="仿宋_GB2312" w:eastAsia="仿宋_GB2312" w:cs="Times New Roman"/>
          <w:color w:val="auto"/>
          <w:sz w:val="32"/>
          <w:szCs w:val="30"/>
          <w:highlight w:val="none"/>
          <w:lang w:val="en-US" w:eastAsia="zh-CN"/>
        </w:rPr>
        <w:t>2、中央“八项规定”、国务院《党政机关厉行节约反对浪费条例》和中办、国办《党政机关国内公务接待管理规定》。</w:t>
      </w:r>
    </w:p>
    <w:p>
      <w:pPr>
        <w:ind w:firstLine="640" w:firstLineChars="200"/>
        <w:rPr>
          <w:rFonts w:hint="eastAsia" w:ascii="黑体" w:hAnsi="黑体" w:eastAsia="黑体" w:cs="Arial"/>
          <w:color w:val="auto"/>
          <w:kern w:val="0"/>
          <w:sz w:val="32"/>
          <w:szCs w:val="30"/>
          <w:highlight w:val="none"/>
        </w:rPr>
      </w:pPr>
      <w:r>
        <w:rPr>
          <w:rFonts w:hint="eastAsia" w:ascii="黑体" w:hAnsi="黑体" w:eastAsia="黑体" w:cs="Arial"/>
          <w:color w:val="auto"/>
          <w:kern w:val="0"/>
          <w:sz w:val="32"/>
          <w:szCs w:val="30"/>
          <w:highlight w:val="none"/>
        </w:rPr>
        <w:t>二、支出预算安排标准</w:t>
      </w:r>
    </w:p>
    <w:p>
      <w:pPr>
        <w:spacing w:line="560" w:lineRule="exact"/>
        <w:ind w:firstLine="643" w:firstLineChars="200"/>
        <w:rPr>
          <w:rFonts w:hint="eastAsia" w:ascii="仿宋_GB2312" w:hAnsi="仿宋_GB2312" w:eastAsia="仿宋_GB2312" w:cs="Times New Roman"/>
          <w:color w:val="auto"/>
          <w:sz w:val="32"/>
          <w:szCs w:val="30"/>
          <w:highlight w:val="none"/>
          <w:lang w:val="en-US" w:eastAsia="zh-CN"/>
        </w:rPr>
      </w:pPr>
      <w:r>
        <w:rPr>
          <w:rFonts w:hint="eastAsia" w:ascii="仿宋_GB2312" w:hAnsi="楷体" w:eastAsia="仿宋_GB2312" w:cs="楷体"/>
          <w:b/>
          <w:color w:val="auto"/>
          <w:sz w:val="32"/>
          <w:szCs w:val="32"/>
          <w:highlight w:val="none"/>
        </w:rPr>
        <w:t>（一）</w:t>
      </w:r>
      <w:r>
        <w:rPr>
          <w:rFonts w:hint="eastAsia" w:ascii="仿宋_GB2312" w:hAnsi="楷体" w:eastAsia="仿宋_GB2312" w:cs="楷体"/>
          <w:b/>
          <w:bCs/>
          <w:color w:val="auto"/>
          <w:sz w:val="32"/>
          <w:szCs w:val="32"/>
          <w:highlight w:val="none"/>
          <w:lang w:val="en-US" w:eastAsia="zh-CN"/>
        </w:rPr>
        <w:t>基本支出</w:t>
      </w:r>
      <w:r>
        <w:rPr>
          <w:rFonts w:hint="eastAsia" w:ascii="仿宋_GB2312" w:hAnsi="楷体" w:eastAsia="仿宋_GB2312" w:cs="楷体"/>
          <w:b/>
          <w:bCs/>
          <w:color w:val="auto"/>
          <w:sz w:val="32"/>
          <w:szCs w:val="32"/>
          <w:highlight w:val="none"/>
        </w:rPr>
        <w:t>预算的编制</w:t>
      </w:r>
      <w:r>
        <w:rPr>
          <w:rFonts w:hint="eastAsia" w:ascii="仿宋_GB2312" w:hAnsi="楷体" w:eastAsia="仿宋_GB2312" w:cs="楷体"/>
          <w:b/>
          <w:bCs/>
          <w:color w:val="auto"/>
          <w:sz w:val="32"/>
          <w:szCs w:val="32"/>
          <w:highlight w:val="none"/>
          <w:lang w:eastAsia="zh-CN"/>
        </w:rPr>
        <w:t>：</w:t>
      </w:r>
      <w:r>
        <w:rPr>
          <w:rFonts w:hint="eastAsia" w:ascii="仿宋_GB2312" w:hAnsi="仿宋_GB2312" w:eastAsia="仿宋_GB2312" w:cs="Times New Roman"/>
          <w:color w:val="auto"/>
          <w:sz w:val="32"/>
          <w:szCs w:val="30"/>
          <w:highlight w:val="none"/>
          <w:lang w:val="en-US" w:eastAsia="zh-CN"/>
        </w:rPr>
        <w:t>基本支出预算主要是保障单位机构正常运转、完成日常工作任务而编制的年度支出计划。主要包括人员经费、日常公用经费、零星采购等。</w:t>
      </w:r>
    </w:p>
    <w:p>
      <w:pPr>
        <w:spacing w:line="560" w:lineRule="exact"/>
        <w:rPr>
          <w:rFonts w:hint="eastAsia" w:ascii="仿宋_GB2312" w:hAnsi="楷体" w:eastAsia="仿宋_GB2312" w:cs="楷体"/>
          <w:b/>
          <w:bCs/>
          <w:color w:val="auto"/>
          <w:sz w:val="32"/>
          <w:szCs w:val="32"/>
          <w:highlight w:val="none"/>
        </w:rPr>
      </w:pPr>
      <w:r>
        <w:rPr>
          <w:rFonts w:hint="eastAsia" w:ascii="仿宋_GB2312" w:hAnsi="楷体" w:eastAsia="仿宋_GB2312" w:cs="楷体"/>
          <w:b/>
          <w:bCs/>
          <w:color w:val="auto"/>
          <w:sz w:val="32"/>
          <w:szCs w:val="32"/>
          <w:highlight w:val="none"/>
          <w:lang w:val="en-US" w:eastAsia="zh-CN"/>
        </w:rPr>
        <w:t xml:space="preserve">    1、</w:t>
      </w:r>
      <w:r>
        <w:rPr>
          <w:rFonts w:hint="eastAsia" w:ascii="仿宋_GB2312" w:hAnsi="楷体" w:eastAsia="仿宋_GB2312" w:cs="楷体"/>
          <w:b/>
          <w:bCs/>
          <w:color w:val="auto"/>
          <w:sz w:val="32"/>
          <w:szCs w:val="32"/>
          <w:highlight w:val="none"/>
        </w:rPr>
        <w:t>人员经费预算的编制</w:t>
      </w:r>
    </w:p>
    <w:p>
      <w:pPr>
        <w:spacing w:line="560" w:lineRule="exact"/>
        <w:ind w:firstLine="640" w:firstLineChars="200"/>
        <w:rPr>
          <w:rFonts w:hint="eastAsia" w:ascii="仿宋_GB2312" w:hAnsi="仿宋_GB2312" w:eastAsia="仿宋_GB2312" w:cs="Times New Roman"/>
          <w:color w:val="auto"/>
          <w:sz w:val="32"/>
          <w:szCs w:val="30"/>
          <w:highlight w:val="none"/>
          <w:lang w:val="en-US" w:eastAsia="zh-CN"/>
        </w:rPr>
      </w:pPr>
      <w:r>
        <w:rPr>
          <w:rFonts w:hint="eastAsia" w:ascii="仿宋_GB2312" w:hAnsi="仿宋_GB2312" w:eastAsia="仿宋_GB2312" w:cs="Times New Roman"/>
          <w:color w:val="auto"/>
          <w:sz w:val="32"/>
          <w:szCs w:val="30"/>
          <w:highlight w:val="none"/>
          <w:lang w:val="en-US" w:eastAsia="zh-CN"/>
        </w:rPr>
        <w:t>人员经费包括工资福利支出、对个人和家庭的补助支出。人员经费支出根据区编办、人事部门核定的编制数、在职实有人数、离退休实有人数以及按照国家和省、市规定的工资标准和有关补贴政策编制。</w:t>
      </w:r>
    </w:p>
    <w:p>
      <w:pPr>
        <w:keepNext w:val="0"/>
        <w:keepLines w:val="0"/>
        <w:pageBreakBefore w:val="0"/>
        <w:widowControl w:val="0"/>
        <w:tabs>
          <w:tab w:val="left" w:pos="3150"/>
        </w:tabs>
        <w:kinsoku/>
        <w:wordWrap/>
        <w:overflowPunct/>
        <w:topLinePunct w:val="0"/>
        <w:autoSpaceDE w:val="0"/>
        <w:autoSpaceDN w:val="0"/>
        <w:bidi w:val="0"/>
        <w:adjustRightInd w:val="0"/>
        <w:snapToGrid/>
        <w:spacing w:line="240" w:lineRule="auto"/>
        <w:textAlignment w:val="auto"/>
        <w:rPr>
          <w:rFonts w:hint="eastAsia" w:ascii="仿宋_GB2312" w:hAnsi="楷体" w:eastAsia="仿宋_GB2312" w:cs="楷体"/>
          <w:b/>
          <w:color w:val="auto"/>
          <w:sz w:val="32"/>
          <w:szCs w:val="32"/>
          <w:highlight w:val="none"/>
        </w:rPr>
      </w:pPr>
      <w:r>
        <w:rPr>
          <w:rFonts w:hint="eastAsia" w:ascii="仿宋_GB2312" w:hAnsi="楷体" w:eastAsia="仿宋_GB2312" w:cs="楷体"/>
          <w:b/>
          <w:color w:val="auto"/>
          <w:sz w:val="32"/>
          <w:szCs w:val="32"/>
          <w:highlight w:val="none"/>
          <w:lang w:val="en-US" w:eastAsia="zh-CN"/>
        </w:rPr>
        <w:t xml:space="preserve">    2、</w:t>
      </w:r>
      <w:r>
        <w:rPr>
          <w:rFonts w:hint="eastAsia" w:ascii="仿宋_GB2312" w:hAnsi="楷体" w:eastAsia="仿宋_GB2312" w:cs="楷体"/>
          <w:b/>
          <w:color w:val="auto"/>
          <w:sz w:val="32"/>
          <w:szCs w:val="32"/>
          <w:highlight w:val="none"/>
        </w:rPr>
        <w:t>公用经费预算的编制</w:t>
      </w:r>
    </w:p>
    <w:p>
      <w:pPr>
        <w:spacing w:line="560" w:lineRule="exact"/>
        <w:ind w:firstLine="640" w:firstLineChars="200"/>
        <w:rPr>
          <w:rFonts w:hint="eastAsia" w:ascii="仿宋_GB2312" w:hAnsi="仿宋_GB2312" w:eastAsia="仿宋_GB2312" w:cs="Times New Roman"/>
          <w:color w:val="auto"/>
          <w:sz w:val="32"/>
          <w:szCs w:val="30"/>
          <w:highlight w:val="none"/>
          <w:lang w:val="en-US" w:eastAsia="zh-CN"/>
        </w:rPr>
      </w:pPr>
      <w:r>
        <w:rPr>
          <w:rFonts w:hint="eastAsia" w:ascii="仿宋_GB2312" w:hAnsi="仿宋_GB2312" w:eastAsia="仿宋_GB2312" w:cs="Times New Roman"/>
          <w:color w:val="auto"/>
          <w:sz w:val="32"/>
          <w:szCs w:val="30"/>
          <w:highlight w:val="none"/>
          <w:lang w:val="en-US" w:eastAsia="zh-CN"/>
        </w:rPr>
        <w:t>公用经费包括按定额分配的单位运行支出以及经常性业务费。财政部门按照相关标准，参考上年预算数下达公用经费总量控制数。单位要在控制数内结合本单位实际情况编列到科目。</w:t>
      </w:r>
    </w:p>
    <w:p>
      <w:pPr>
        <w:spacing w:line="560" w:lineRule="exact"/>
        <w:ind w:firstLine="640" w:firstLineChars="200"/>
        <w:rPr>
          <w:rFonts w:hint="eastAsia" w:ascii="仿宋_GB2312" w:hAnsi="仿宋_GB2312" w:eastAsia="仿宋_GB2312" w:cs="Times New Roman"/>
          <w:color w:val="auto"/>
          <w:sz w:val="32"/>
          <w:szCs w:val="30"/>
          <w:highlight w:val="none"/>
          <w:lang w:val="en-US" w:eastAsia="zh-CN"/>
        </w:rPr>
      </w:pPr>
      <w:r>
        <w:rPr>
          <w:rFonts w:hint="eastAsia" w:ascii="仿宋_GB2312" w:hAnsi="仿宋_GB2312" w:eastAsia="仿宋_GB2312" w:cs="Times New Roman"/>
          <w:color w:val="auto"/>
          <w:sz w:val="32"/>
          <w:szCs w:val="30"/>
          <w:highlight w:val="none"/>
          <w:lang w:val="en-US" w:eastAsia="zh-CN"/>
        </w:rPr>
        <w:t>（1）单位维持性的基本运行支出采取以综合定额方式分配。水电费、邮电费、取暖费由区机关事务管理中心统一编制。党报党刊征订经费由区宣传部统一编制。其余基本运行支出包括办公费、印刷费、手续费、物业管理费、差旅费、维护费、租赁费、劳务费、福利费等。</w:t>
      </w:r>
    </w:p>
    <w:p>
      <w:pPr>
        <w:spacing w:line="560" w:lineRule="exact"/>
        <w:ind w:firstLine="640" w:firstLineChars="200"/>
        <w:rPr>
          <w:rFonts w:hint="eastAsia" w:ascii="仿宋_GB2312" w:hAnsi="仿宋_GB2312" w:eastAsia="仿宋_GB2312" w:cs="Times New Roman"/>
          <w:color w:val="auto"/>
          <w:sz w:val="32"/>
          <w:szCs w:val="30"/>
          <w:highlight w:val="none"/>
          <w:lang w:val="en-US" w:eastAsia="zh-CN"/>
        </w:rPr>
      </w:pPr>
      <w:r>
        <w:rPr>
          <w:rFonts w:hint="eastAsia" w:ascii="仿宋_GB2312" w:hAnsi="仿宋_GB2312" w:eastAsia="仿宋_GB2312" w:cs="Times New Roman"/>
          <w:color w:val="auto"/>
          <w:sz w:val="32"/>
          <w:szCs w:val="30"/>
          <w:highlight w:val="none"/>
          <w:lang w:val="en-US" w:eastAsia="zh-CN"/>
        </w:rPr>
        <w:t>（2）根据安阳市公务用车改革制度相关规定，行政机关和参公单位车改补贴，按有关部门批准的参加车改实有人数、分职级补贴标准，据实。列入预算，预算执行中不再调整。核定保留的应急、机要及委托各单位管理的公务车辆按照每车每年2.2万元标准计算运行费，由机关事务管理局统一编列。未参加改革的单位交通费仍按原标准执行。</w:t>
      </w:r>
    </w:p>
    <w:p>
      <w:pPr>
        <w:spacing w:line="560" w:lineRule="exact"/>
        <w:ind w:firstLine="640" w:firstLineChars="200"/>
        <w:rPr>
          <w:rFonts w:hint="eastAsia" w:ascii="仿宋_GB2312" w:hAnsi="仿宋_GB2312" w:eastAsia="仿宋_GB2312" w:cs="Times New Roman"/>
          <w:color w:val="auto"/>
          <w:sz w:val="32"/>
          <w:szCs w:val="30"/>
          <w:highlight w:val="none"/>
          <w:lang w:val="en-US" w:eastAsia="zh-CN"/>
        </w:rPr>
      </w:pPr>
      <w:r>
        <w:rPr>
          <w:rFonts w:hint="eastAsia" w:ascii="仿宋_GB2312" w:hAnsi="仿宋_GB2312" w:eastAsia="仿宋_GB2312" w:cs="Times New Roman"/>
          <w:color w:val="auto"/>
          <w:sz w:val="32"/>
          <w:szCs w:val="30"/>
          <w:highlight w:val="none"/>
          <w:lang w:val="en-US" w:eastAsia="zh-CN"/>
        </w:rPr>
        <w:t>（3）业务公用经费。参照以前年度情况并结合单位要求编列。要求各预算单位要在梳理既有业务费的基础上，对不合理、不必要的支出进行压减，紧密结合工作职责，编制业务公用经费预算。</w:t>
      </w:r>
    </w:p>
    <w:p>
      <w:pPr>
        <w:spacing w:line="580" w:lineRule="exact"/>
        <w:ind w:firstLine="640"/>
        <w:rPr>
          <w:rFonts w:hint="eastAsia" w:ascii="仿宋_GB2312" w:hAnsi="楷体" w:eastAsia="仿宋_GB2312" w:cs="楷体"/>
          <w:b/>
          <w:color w:val="auto"/>
          <w:sz w:val="32"/>
          <w:szCs w:val="32"/>
          <w:highlight w:val="none"/>
          <w:lang w:val="en-US" w:eastAsia="zh-CN"/>
        </w:rPr>
      </w:pPr>
      <w:r>
        <w:rPr>
          <w:rFonts w:hint="eastAsia" w:ascii="仿宋_GB2312" w:hAnsi="楷体" w:eastAsia="仿宋_GB2312" w:cs="楷体"/>
          <w:b/>
          <w:color w:val="auto"/>
          <w:sz w:val="32"/>
          <w:szCs w:val="32"/>
          <w:highlight w:val="none"/>
          <w:lang w:val="en-US" w:eastAsia="zh-CN"/>
        </w:rPr>
        <w:t>3、政府采购预算的编制</w:t>
      </w:r>
    </w:p>
    <w:p>
      <w:pPr>
        <w:spacing w:line="560" w:lineRule="exact"/>
        <w:ind w:firstLine="640" w:firstLineChars="200"/>
        <w:rPr>
          <w:rFonts w:hint="eastAsia" w:ascii="仿宋_GB2312" w:hAnsi="仿宋_GB2312" w:eastAsia="仿宋_GB2312" w:cs="Times New Roman"/>
          <w:color w:val="auto"/>
          <w:sz w:val="32"/>
          <w:szCs w:val="30"/>
          <w:highlight w:val="none"/>
          <w:lang w:val="en-US" w:eastAsia="zh-CN"/>
        </w:rPr>
      </w:pPr>
      <w:r>
        <w:rPr>
          <w:rFonts w:hint="eastAsia" w:ascii="仿宋_GB2312" w:hAnsi="仿宋_GB2312" w:eastAsia="仿宋_GB2312" w:cs="Times New Roman"/>
          <w:color w:val="auto"/>
          <w:sz w:val="32"/>
          <w:szCs w:val="30"/>
          <w:highlight w:val="none"/>
          <w:lang w:val="en-US" w:eastAsia="zh-CN"/>
        </w:rPr>
        <w:t>规范政府采购预算和新增资产预算编制：（1）各预算部门（单位）要按照政府采购法律法规的规定，对照《河南省财政厅关于印发河南省政府集中采购目录及标准（2020年版）的通知》（豫财购〔2020〕4号），将政府采购范围内的支出全部编列政府采购预算，填报政府采购预算表，区财政局对政府采购预算进行监督管理。（2）各预算部门（单位）结合存量资产情况，根据资产配置标准等要求相应编制新增资产配置计划，凡是预算支出形成资产的，均应编制资产配置相关预算。对金额在三十万以下的采购列入基本支出预算。</w:t>
      </w:r>
    </w:p>
    <w:p>
      <w:pPr>
        <w:pStyle w:val="21"/>
        <w:widowControl w:val="0"/>
        <w:ind w:firstLine="643" w:firstLineChars="200"/>
        <w:rPr>
          <w:rFonts w:hint="eastAsia" w:ascii="仿宋_GB2312" w:hAnsi="楷体" w:eastAsia="仿宋_GB2312" w:cs="楷体"/>
          <w:b/>
          <w:bCs/>
          <w:color w:val="auto"/>
          <w:sz w:val="32"/>
          <w:szCs w:val="32"/>
          <w:highlight w:val="none"/>
        </w:rPr>
      </w:pPr>
      <w:r>
        <w:rPr>
          <w:rFonts w:hint="eastAsia" w:ascii="仿宋_GB2312" w:hAnsi="楷体" w:eastAsia="仿宋_GB2312" w:cs="楷体"/>
          <w:b/>
          <w:bCs/>
          <w:color w:val="auto"/>
          <w:sz w:val="32"/>
          <w:szCs w:val="32"/>
          <w:highlight w:val="none"/>
        </w:rPr>
        <w:t>（</w:t>
      </w:r>
      <w:r>
        <w:rPr>
          <w:rFonts w:hint="eastAsia" w:ascii="仿宋_GB2312" w:hAnsi="楷体" w:eastAsia="仿宋_GB2312" w:cs="楷体"/>
          <w:b/>
          <w:bCs/>
          <w:color w:val="auto"/>
          <w:sz w:val="32"/>
          <w:szCs w:val="32"/>
          <w:highlight w:val="none"/>
          <w:lang w:val="en-US" w:eastAsia="zh-CN"/>
        </w:rPr>
        <w:t>二</w:t>
      </w:r>
      <w:r>
        <w:rPr>
          <w:rFonts w:hint="eastAsia" w:ascii="仿宋_GB2312" w:hAnsi="楷体" w:eastAsia="仿宋_GB2312" w:cs="楷体"/>
          <w:b/>
          <w:bCs/>
          <w:color w:val="auto"/>
          <w:sz w:val="32"/>
          <w:szCs w:val="32"/>
          <w:highlight w:val="none"/>
        </w:rPr>
        <w:t>）项目支出预算的编制</w:t>
      </w:r>
    </w:p>
    <w:p>
      <w:pPr>
        <w:spacing w:line="560" w:lineRule="exact"/>
        <w:ind w:firstLine="640" w:firstLineChars="200"/>
        <w:rPr>
          <w:rFonts w:hint="eastAsia" w:ascii="仿宋_GB2312" w:hAnsi="仿宋_GB2312" w:eastAsia="仿宋_GB2312" w:cs="Times New Roman"/>
          <w:color w:val="auto"/>
          <w:sz w:val="32"/>
          <w:szCs w:val="30"/>
          <w:highlight w:val="none"/>
          <w:lang w:val="en-US" w:eastAsia="zh-CN"/>
        </w:rPr>
      </w:pPr>
      <w:r>
        <w:rPr>
          <w:rFonts w:hint="eastAsia" w:ascii="仿宋_GB2312" w:hAnsi="仿宋_GB2312" w:eastAsia="仿宋_GB2312" w:cs="Times New Roman"/>
          <w:color w:val="auto"/>
          <w:sz w:val="32"/>
          <w:szCs w:val="30"/>
          <w:highlight w:val="none"/>
          <w:lang w:val="en-US" w:eastAsia="zh-CN"/>
        </w:rPr>
        <w:t>对于2026年项目支出的预算编制，各单位在预算一体化系统中录入预算项目库，根据项目轻重缓急以及财力状况统筹安排重点支出。</w:t>
      </w:r>
    </w:p>
    <w:p>
      <w:pPr>
        <w:spacing w:line="560" w:lineRule="exact"/>
        <w:ind w:firstLine="640" w:firstLineChars="200"/>
        <w:rPr>
          <w:rFonts w:hint="eastAsia" w:ascii="仿宋_GB2312" w:hAnsi="仿宋_GB2312" w:eastAsia="仿宋_GB2312" w:cs="Times New Roman"/>
          <w:color w:val="auto"/>
          <w:sz w:val="32"/>
          <w:szCs w:val="30"/>
          <w:highlight w:val="none"/>
          <w:lang w:val="en-US" w:eastAsia="zh-CN"/>
        </w:rPr>
      </w:pPr>
      <w:r>
        <w:rPr>
          <w:rFonts w:hint="eastAsia" w:ascii="仿宋_GB2312" w:hAnsi="仿宋_GB2312" w:eastAsia="仿宋_GB2312" w:cs="Times New Roman"/>
          <w:color w:val="auto"/>
          <w:sz w:val="32"/>
          <w:szCs w:val="30"/>
          <w:highlight w:val="none"/>
          <w:lang w:val="en-US" w:eastAsia="zh-CN"/>
        </w:rPr>
        <w:t xml:space="preserve">完善项目支出分类。严格项目支出审核，根据项目支出用途和范围，完善项目支出分类，按照轻重缓急分类依次保障。将项目按照支出的必要性、紧迫性等，分为A1、A2、B、C四类。 </w:t>
      </w:r>
    </w:p>
    <w:p>
      <w:pPr>
        <w:spacing w:line="560" w:lineRule="exact"/>
        <w:ind w:firstLine="640" w:firstLineChars="200"/>
        <w:rPr>
          <w:rFonts w:hint="eastAsia" w:ascii="仿宋_GB2312" w:hAnsi="仿宋_GB2312" w:eastAsia="仿宋_GB2312" w:cs="Times New Roman"/>
          <w:color w:val="auto"/>
          <w:sz w:val="32"/>
          <w:szCs w:val="30"/>
          <w:highlight w:val="none"/>
          <w:lang w:val="en-US" w:eastAsia="zh-CN"/>
        </w:rPr>
      </w:pPr>
      <w:r>
        <w:rPr>
          <w:rFonts w:hint="eastAsia" w:ascii="仿宋_GB2312" w:hAnsi="仿宋_GB2312" w:eastAsia="仿宋_GB2312" w:cs="Times New Roman"/>
          <w:color w:val="auto"/>
          <w:sz w:val="32"/>
          <w:szCs w:val="30"/>
          <w:highlight w:val="none"/>
          <w:lang w:val="en-US" w:eastAsia="zh-CN"/>
        </w:rPr>
        <w:t xml:space="preserve">    2、硬化列入预算项目条件。（1）各预算部门（单位）申报的项目必须有充分的立项依据、具体的支出内容、详细的资金计划、合理的绩效目标、成熟的实施方案，不具备条件的不得纳入2026年预算项目。（2）区财政局对预算部门（单位）申报的项目绩效目标进行审核，将符合条件的项目按级次纳入预算项目管理。严格落实零基预算要求，除新增落实上级重大决策部署外，预算部门（单位）申请列入预算项目中的年度项目支出申报总金额原则上不得超过上年度预算批复数。</w:t>
      </w:r>
    </w:p>
    <w:p>
      <w:pPr>
        <w:spacing w:line="560" w:lineRule="exact"/>
        <w:ind w:firstLine="640" w:firstLineChars="200"/>
        <w:rPr>
          <w:rFonts w:hint="eastAsia" w:ascii="仿宋_GB2312" w:hAnsi="仿宋_GB2312" w:eastAsia="仿宋_GB2312" w:cs="Times New Roman"/>
          <w:color w:val="auto"/>
          <w:sz w:val="32"/>
          <w:szCs w:val="30"/>
          <w:highlight w:val="none"/>
          <w:lang w:val="en-US" w:eastAsia="zh-CN"/>
        </w:rPr>
      </w:pPr>
      <w:r>
        <w:rPr>
          <w:rFonts w:hint="eastAsia" w:ascii="仿宋_GB2312" w:hAnsi="仿宋_GB2312" w:eastAsia="仿宋_GB2312" w:cs="Times New Roman"/>
          <w:color w:val="auto"/>
          <w:sz w:val="32"/>
          <w:szCs w:val="30"/>
          <w:highlight w:val="none"/>
          <w:lang w:val="en-US" w:eastAsia="zh-CN"/>
        </w:rPr>
        <w:t>3.明确申报责任。各预算部门（单位）是项目申报和编制项目绩效目标的主体，对进入预算编制项目的真实性、必要性和合理性负责。区财政局组织和指导各预算部门（单位）对项目执行和绩效评估情况进行评价、考核，评价结果作为安排以后年度预算的重要参考。</w:t>
      </w:r>
    </w:p>
    <w:p>
      <w:pPr>
        <w:spacing w:line="560" w:lineRule="exact"/>
        <w:ind w:firstLine="640" w:firstLineChars="200"/>
        <w:rPr>
          <w:rFonts w:hint="eastAsia" w:ascii="仿宋_GB2312" w:hAnsi="仿宋_GB2312" w:eastAsia="仿宋_GB2312" w:cs="Times New Roman"/>
          <w:color w:val="auto"/>
          <w:sz w:val="32"/>
          <w:szCs w:val="30"/>
          <w:highlight w:val="none"/>
          <w:lang w:val="en-US" w:eastAsia="zh-CN"/>
        </w:rPr>
      </w:pPr>
      <w:r>
        <w:rPr>
          <w:rFonts w:hint="eastAsia" w:ascii="仿宋_GB2312" w:hAnsi="仿宋_GB2312" w:eastAsia="仿宋_GB2312" w:cs="Times New Roman"/>
          <w:color w:val="auto"/>
          <w:sz w:val="32"/>
          <w:szCs w:val="30"/>
          <w:highlight w:val="none"/>
          <w:lang w:val="en-US" w:eastAsia="zh-CN"/>
        </w:rPr>
        <w:t>4.严格入库项目管理。对编入预算的项目实行动态管理，区财政局对纳入预算的项目实施情况、资金拨付及绩效评价情况实行全过程监督，保证项目资金的有效管理。预算执行中调剂安排的项目原则上从已安排的预算项目中调整。</w:t>
      </w:r>
    </w:p>
    <w:p>
      <w:pPr>
        <w:adjustRightInd w:val="0"/>
        <w:snapToGrid w:val="0"/>
        <w:spacing w:line="360" w:lineRule="auto"/>
        <w:jc w:val="center"/>
        <w:rPr>
          <w:rFonts w:hint="eastAsia" w:ascii="黑体" w:hAnsi="黑体" w:eastAsia="黑体" w:cs="Times New Roman"/>
          <w:color w:val="auto"/>
          <w:sz w:val="32"/>
          <w:szCs w:val="32"/>
          <w:highlight w:val="none"/>
        </w:rPr>
      </w:pPr>
    </w:p>
    <w:p>
      <w:pPr>
        <w:adjustRightInd w:val="0"/>
        <w:snapToGrid w:val="0"/>
        <w:spacing w:line="360" w:lineRule="auto"/>
        <w:jc w:val="center"/>
        <w:rPr>
          <w:rFonts w:hint="eastAsia" w:ascii="黑体" w:hAnsi="黑体" w:eastAsia="黑体" w:cs="Times New Roman"/>
          <w:color w:val="auto"/>
          <w:sz w:val="32"/>
          <w:szCs w:val="32"/>
          <w:highlight w:val="none"/>
        </w:rPr>
      </w:pPr>
    </w:p>
    <w:p>
      <w:pPr>
        <w:adjustRightInd w:val="0"/>
        <w:snapToGrid w:val="0"/>
        <w:spacing w:line="360" w:lineRule="auto"/>
        <w:jc w:val="center"/>
        <w:rPr>
          <w:rFonts w:hint="eastAsia" w:ascii="黑体" w:hAnsi="黑体" w:eastAsia="黑体" w:cs="Times New Roman"/>
          <w:color w:val="auto"/>
          <w:sz w:val="32"/>
          <w:szCs w:val="32"/>
          <w:highlight w:val="none"/>
        </w:rPr>
      </w:pPr>
      <w:r>
        <w:rPr>
          <w:rFonts w:hint="eastAsia" w:ascii="黑体" w:hAnsi="黑体" w:eastAsia="黑体" w:cs="Times New Roman"/>
          <w:color w:val="auto"/>
          <w:sz w:val="32"/>
          <w:szCs w:val="32"/>
          <w:highlight w:val="none"/>
        </w:rPr>
        <w:t xml:space="preserve">第二部分 </w:t>
      </w:r>
      <w:r>
        <w:rPr>
          <w:rFonts w:hint="eastAsia" w:ascii="黑体" w:hAnsi="黑体" w:eastAsia="黑体" w:cs="Times New Roman"/>
          <w:color w:val="auto"/>
          <w:sz w:val="32"/>
          <w:szCs w:val="32"/>
          <w:highlight w:val="none"/>
          <w:lang w:eastAsia="zh-CN"/>
        </w:rPr>
        <w:t>殷都</w:t>
      </w:r>
      <w:r>
        <w:rPr>
          <w:rFonts w:hint="eastAsia" w:ascii="黑体" w:hAnsi="黑体" w:eastAsia="黑体" w:cs="Times New Roman"/>
          <w:color w:val="auto"/>
          <w:sz w:val="32"/>
          <w:szCs w:val="32"/>
          <w:highlight w:val="none"/>
        </w:rPr>
        <w:t>区</w:t>
      </w:r>
      <w:r>
        <w:rPr>
          <w:rFonts w:hint="eastAsia" w:ascii="黑体" w:hAnsi="黑体" w:eastAsia="黑体" w:cs="Times New Roman"/>
          <w:color w:val="auto"/>
          <w:sz w:val="32"/>
          <w:szCs w:val="32"/>
          <w:highlight w:val="none"/>
          <w:lang w:eastAsia="zh-CN"/>
        </w:rPr>
        <w:t>2026年</w:t>
      </w:r>
      <w:r>
        <w:rPr>
          <w:rFonts w:hint="eastAsia" w:ascii="黑体" w:hAnsi="黑体" w:eastAsia="黑体" w:cs="Times New Roman"/>
          <w:color w:val="auto"/>
          <w:sz w:val="32"/>
          <w:szCs w:val="32"/>
          <w:highlight w:val="none"/>
        </w:rPr>
        <w:t>度总预算情况说明</w:t>
      </w:r>
    </w:p>
    <w:p>
      <w:pPr>
        <w:spacing w:line="560" w:lineRule="exact"/>
        <w:ind w:firstLine="640" w:firstLineChars="200"/>
        <w:rPr>
          <w:rFonts w:hint="eastAsia" w:ascii="仿宋_GB2312" w:hAnsi="仿宋_GB2312" w:eastAsia="仿宋_GB2312" w:cs="Times New Roman"/>
          <w:color w:val="auto"/>
          <w:sz w:val="32"/>
          <w:szCs w:val="30"/>
          <w:highlight w:val="none"/>
          <w:lang w:val="en-US" w:eastAsia="zh-CN"/>
        </w:rPr>
      </w:pPr>
      <w:r>
        <w:rPr>
          <w:rFonts w:hint="eastAsia" w:ascii="仿宋_GB2312" w:hAnsi="仿宋_GB2312" w:eastAsia="仿宋_GB2312" w:cs="Times New Roman"/>
          <w:color w:val="auto"/>
          <w:sz w:val="32"/>
          <w:szCs w:val="30"/>
          <w:highlight w:val="none"/>
          <w:lang w:val="en-US" w:eastAsia="zh-CN"/>
        </w:rPr>
        <w:t>按照预算法规定，全口径预算包括一般公共预算、政府性基金预算、国有资本经营预算、社会保险基金预算。具体预算编制情况如下：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color w:val="auto"/>
          <w:highlight w:val="none"/>
        </w:rPr>
      </w:pPr>
      <w:r>
        <w:rPr>
          <w:rFonts w:hint="eastAsia" w:ascii="黑体" w:hAnsi="黑体" w:eastAsia="黑体" w:cs="Arial"/>
          <w:color w:val="auto"/>
          <w:kern w:val="0"/>
          <w:sz w:val="32"/>
          <w:szCs w:val="30"/>
          <w:highlight w:val="none"/>
        </w:rPr>
        <w:t>一、一般公共预算收支安排</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楷体" w:eastAsia="黑体" w:cs="楷体"/>
          <w:bCs/>
          <w:color w:val="auto"/>
          <w:kern w:val="0"/>
          <w:sz w:val="32"/>
          <w:szCs w:val="30"/>
          <w:highlight w:val="none"/>
        </w:rPr>
      </w:pPr>
      <w:r>
        <w:rPr>
          <w:rFonts w:hint="eastAsia" w:ascii="黑体" w:hAnsi="楷体" w:eastAsia="黑体" w:cs="楷体"/>
          <w:bCs/>
          <w:color w:val="auto"/>
          <w:kern w:val="0"/>
          <w:sz w:val="32"/>
          <w:szCs w:val="30"/>
          <w:highlight w:val="none"/>
        </w:rPr>
        <w:t>（一）一般公共预算收入安排</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 w:eastAsia="仿宋_GB2312"/>
          <w:b/>
          <w:color w:val="auto"/>
          <w:sz w:val="32"/>
          <w:szCs w:val="32"/>
          <w:highlight w:val="none"/>
        </w:rPr>
      </w:pPr>
      <w:r>
        <w:rPr>
          <w:rFonts w:hint="eastAsia" w:ascii="仿宋_GB2312" w:hAnsi="仿宋" w:eastAsia="仿宋_GB2312"/>
          <w:b/>
          <w:color w:val="auto"/>
          <w:sz w:val="32"/>
          <w:szCs w:val="32"/>
          <w:highlight w:val="none"/>
        </w:rPr>
        <w:t>全区一般公共预算收入安排</w:t>
      </w:r>
      <w:r>
        <w:rPr>
          <w:rFonts w:hint="eastAsia" w:ascii="仿宋_GB2312" w:hAnsi="仿宋" w:eastAsia="仿宋_GB2312"/>
          <w:b/>
          <w:color w:val="auto"/>
          <w:sz w:val="32"/>
          <w:szCs w:val="32"/>
          <w:highlight w:val="none"/>
          <w:lang w:val="en-US" w:eastAsia="zh-CN"/>
        </w:rPr>
        <w:t>190858</w:t>
      </w:r>
      <w:r>
        <w:rPr>
          <w:rFonts w:hint="eastAsia" w:ascii="仿宋_GB2312" w:hAnsi="仿宋" w:eastAsia="仿宋_GB2312"/>
          <w:b/>
          <w:color w:val="auto"/>
          <w:sz w:val="32"/>
          <w:szCs w:val="32"/>
          <w:highlight w:val="none"/>
        </w:rPr>
        <w:t>万元，同比增幅3%。分部门是：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税务部门</w:t>
      </w:r>
      <w:r>
        <w:rPr>
          <w:rFonts w:hint="eastAsia" w:ascii="仿宋_GB2312" w:hAnsi="仿宋" w:eastAsia="仿宋_GB2312"/>
          <w:b/>
          <w:color w:val="auto"/>
          <w:sz w:val="32"/>
          <w:szCs w:val="32"/>
          <w:highlight w:val="none"/>
          <w:lang w:val="en-US" w:eastAsia="zh-CN"/>
        </w:rPr>
        <w:t>152690</w:t>
      </w:r>
      <w:r>
        <w:rPr>
          <w:rFonts w:hint="eastAsia" w:ascii="仿宋_GB2312" w:hAnsi="仿宋" w:eastAsia="仿宋_GB2312"/>
          <w:color w:val="auto"/>
          <w:sz w:val="32"/>
          <w:szCs w:val="32"/>
          <w:highlight w:val="none"/>
        </w:rPr>
        <w:t>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财政部门</w:t>
      </w:r>
      <w:r>
        <w:rPr>
          <w:rFonts w:hint="eastAsia" w:ascii="仿宋_GB2312" w:hAnsi="仿宋" w:eastAsia="仿宋_GB2312"/>
          <w:b/>
          <w:color w:val="auto"/>
          <w:sz w:val="32"/>
          <w:szCs w:val="32"/>
          <w:highlight w:val="none"/>
          <w:lang w:val="en-US" w:eastAsia="zh-CN"/>
        </w:rPr>
        <w:t xml:space="preserve">38168 </w:t>
      </w:r>
      <w:r>
        <w:rPr>
          <w:rFonts w:hint="eastAsia" w:ascii="仿宋_GB2312" w:hAnsi="仿宋" w:eastAsia="仿宋_GB2312"/>
          <w:color w:val="auto"/>
          <w:sz w:val="32"/>
          <w:szCs w:val="32"/>
          <w:highlight w:val="none"/>
        </w:rPr>
        <w:t>万元。</w:t>
      </w:r>
    </w:p>
    <w:p>
      <w:pPr>
        <w:keepNext w:val="0"/>
        <w:keepLines w:val="0"/>
        <w:pageBreakBefore w:val="0"/>
        <w:kinsoku/>
        <w:wordWrap/>
        <w:overflowPunct/>
        <w:topLinePunct w:val="0"/>
        <w:autoSpaceDE/>
        <w:bidi w:val="0"/>
        <w:spacing w:line="560" w:lineRule="exact"/>
        <w:ind w:firstLine="640" w:firstLineChars="200"/>
        <w:jc w:val="left"/>
        <w:textAlignment w:val="auto"/>
        <w:rPr>
          <w:rFonts w:hint="eastAsia" w:ascii="黑体" w:hAnsi="楷体" w:eastAsia="黑体" w:cs="楷体"/>
          <w:bCs/>
          <w:color w:val="auto"/>
          <w:kern w:val="0"/>
          <w:sz w:val="32"/>
          <w:szCs w:val="30"/>
          <w:highlight w:val="none"/>
        </w:rPr>
      </w:pPr>
      <w:r>
        <w:rPr>
          <w:rFonts w:hint="eastAsia" w:ascii="黑体" w:hAnsi="楷体" w:eastAsia="黑体" w:cs="楷体"/>
          <w:bCs/>
          <w:color w:val="auto"/>
          <w:kern w:val="0"/>
          <w:sz w:val="32"/>
          <w:szCs w:val="30"/>
          <w:highlight w:val="none"/>
        </w:rPr>
        <w:t>（二）一般公共预算支出安排</w:t>
      </w:r>
    </w:p>
    <w:p>
      <w:pPr>
        <w:keepNext w:val="0"/>
        <w:keepLines w:val="0"/>
        <w:pageBreakBefore w:val="0"/>
        <w:kinsoku/>
        <w:wordWrap/>
        <w:overflowPunct/>
        <w:topLinePunct w:val="0"/>
        <w:autoSpaceDE/>
        <w:bidi w:val="0"/>
        <w:spacing w:line="560" w:lineRule="exact"/>
        <w:ind w:firstLine="643" w:firstLineChars="200"/>
        <w:jc w:val="left"/>
        <w:textAlignment w:val="auto"/>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全区一般公共预算支出安排</w:t>
      </w:r>
      <w:r>
        <w:rPr>
          <w:rFonts w:hint="eastAsia" w:ascii="仿宋" w:hAnsi="仿宋" w:eastAsia="仿宋"/>
          <w:b/>
          <w:color w:val="auto"/>
          <w:sz w:val="32"/>
          <w:szCs w:val="32"/>
          <w:highlight w:val="none"/>
          <w:lang w:val="en-US" w:eastAsia="zh-CN"/>
        </w:rPr>
        <w:t>339412</w:t>
      </w:r>
      <w:r>
        <w:rPr>
          <w:rFonts w:hint="eastAsia" w:ascii="仿宋" w:hAnsi="仿宋" w:eastAsia="仿宋"/>
          <w:b/>
          <w:color w:val="auto"/>
          <w:sz w:val="32"/>
          <w:szCs w:val="32"/>
          <w:highlight w:val="none"/>
        </w:rPr>
        <w:t>万元。重点支出和“三公”经费支出安排情况如下：</w:t>
      </w:r>
    </w:p>
    <w:p>
      <w:pPr>
        <w:keepNext w:val="0"/>
        <w:keepLines w:val="0"/>
        <w:pageBreakBefore w:val="0"/>
        <w:widowControl w:val="0"/>
        <w:kinsoku/>
        <w:wordWrap/>
        <w:overflowPunct/>
        <w:topLinePunct w:val="0"/>
        <w:autoSpaceDE/>
        <w:bidi w:val="0"/>
        <w:spacing w:line="5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一般公共服务支出</w:t>
      </w:r>
      <w:r>
        <w:rPr>
          <w:rFonts w:hint="eastAsia" w:ascii="仿宋_GB2312" w:hAnsi="仿宋_GB2312" w:eastAsia="仿宋_GB2312" w:cs="仿宋_GB2312"/>
          <w:color w:val="auto"/>
          <w:sz w:val="32"/>
          <w:szCs w:val="32"/>
          <w:lang w:val="en-US" w:eastAsia="zh-CN"/>
        </w:rPr>
        <w:t>57973</w:t>
      </w:r>
      <w:r>
        <w:rPr>
          <w:rFonts w:hint="eastAsia" w:ascii="仿宋_GB2312" w:hAnsi="仿宋_GB2312" w:eastAsia="仿宋_GB2312" w:cs="仿宋_GB2312"/>
          <w:color w:val="auto"/>
          <w:sz w:val="32"/>
          <w:szCs w:val="32"/>
        </w:rPr>
        <w:t>万元；</w:t>
      </w:r>
    </w:p>
    <w:p>
      <w:pPr>
        <w:keepNext w:val="0"/>
        <w:keepLines w:val="0"/>
        <w:pageBreakBefore w:val="0"/>
        <w:widowControl w:val="0"/>
        <w:kinsoku/>
        <w:wordWrap/>
        <w:overflowPunct/>
        <w:topLinePunct w:val="0"/>
        <w:autoSpaceDE/>
        <w:bidi w:val="0"/>
        <w:spacing w:line="560" w:lineRule="exact"/>
        <w:ind w:firstLine="640" w:firstLineChars="200"/>
        <w:jc w:val="lef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国防支出</w:t>
      </w:r>
      <w:r>
        <w:rPr>
          <w:rFonts w:hint="eastAsia" w:ascii="仿宋_GB2312" w:hAnsi="仿宋_GB2312" w:eastAsia="仿宋_GB2312" w:cs="仿宋_GB2312"/>
          <w:color w:val="auto"/>
          <w:sz w:val="32"/>
          <w:szCs w:val="32"/>
          <w:lang w:val="en-US" w:eastAsia="zh-CN"/>
        </w:rPr>
        <w:t>234万元；</w:t>
      </w:r>
    </w:p>
    <w:p>
      <w:pPr>
        <w:keepNext w:val="0"/>
        <w:keepLines w:val="0"/>
        <w:pageBreakBefore w:val="0"/>
        <w:widowControl w:val="0"/>
        <w:kinsoku/>
        <w:wordWrap/>
        <w:overflowPunct/>
        <w:topLinePunct w:val="0"/>
        <w:autoSpaceDE/>
        <w:bidi w:val="0"/>
        <w:spacing w:line="5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公共安全支出</w:t>
      </w:r>
      <w:r>
        <w:rPr>
          <w:rFonts w:hint="eastAsia" w:ascii="仿宋_GB2312" w:hAnsi="仿宋_GB2312" w:eastAsia="仿宋_GB2312" w:cs="仿宋_GB2312"/>
          <w:color w:val="auto"/>
          <w:sz w:val="32"/>
          <w:szCs w:val="32"/>
          <w:lang w:val="en-US" w:eastAsia="zh-CN"/>
        </w:rPr>
        <w:t>1134</w:t>
      </w:r>
      <w:r>
        <w:rPr>
          <w:rFonts w:hint="eastAsia" w:ascii="仿宋_GB2312" w:hAnsi="仿宋_GB2312" w:eastAsia="仿宋_GB2312" w:cs="仿宋_GB2312"/>
          <w:color w:val="auto"/>
          <w:sz w:val="32"/>
          <w:szCs w:val="32"/>
        </w:rPr>
        <w:t>万元；</w:t>
      </w:r>
    </w:p>
    <w:p>
      <w:pPr>
        <w:keepNext w:val="0"/>
        <w:keepLines w:val="0"/>
        <w:pageBreakBefore w:val="0"/>
        <w:widowControl w:val="0"/>
        <w:kinsoku/>
        <w:wordWrap/>
        <w:overflowPunct/>
        <w:topLinePunct w:val="0"/>
        <w:autoSpaceDE/>
        <w:bidi w:val="0"/>
        <w:spacing w:line="5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教育支出</w:t>
      </w:r>
      <w:r>
        <w:rPr>
          <w:rFonts w:hint="eastAsia" w:ascii="仿宋_GB2312" w:hAnsi="仿宋_GB2312" w:eastAsia="仿宋_GB2312" w:cs="仿宋_GB2312"/>
          <w:color w:val="auto"/>
          <w:sz w:val="32"/>
          <w:szCs w:val="32"/>
          <w:lang w:val="en-US" w:eastAsia="zh-CN"/>
        </w:rPr>
        <w:t>84167</w:t>
      </w:r>
      <w:r>
        <w:rPr>
          <w:rFonts w:hint="eastAsia" w:ascii="仿宋_GB2312" w:hAnsi="仿宋_GB2312" w:eastAsia="仿宋_GB2312" w:cs="仿宋_GB2312"/>
          <w:color w:val="auto"/>
          <w:sz w:val="32"/>
          <w:szCs w:val="32"/>
        </w:rPr>
        <w:t>万元；</w:t>
      </w:r>
    </w:p>
    <w:p>
      <w:pPr>
        <w:keepNext w:val="0"/>
        <w:keepLines w:val="0"/>
        <w:pageBreakBefore w:val="0"/>
        <w:widowControl w:val="0"/>
        <w:kinsoku/>
        <w:wordWrap/>
        <w:overflowPunct/>
        <w:topLinePunct w:val="0"/>
        <w:autoSpaceDE/>
        <w:bidi w:val="0"/>
        <w:spacing w:line="5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科学技术支出</w:t>
      </w:r>
      <w:r>
        <w:rPr>
          <w:rFonts w:hint="eastAsia" w:ascii="仿宋_GB2312" w:hAnsi="仿宋_GB2312" w:eastAsia="仿宋_GB2312" w:cs="仿宋_GB2312"/>
          <w:color w:val="auto"/>
          <w:sz w:val="32"/>
          <w:szCs w:val="32"/>
          <w:lang w:val="en-US" w:eastAsia="zh-CN"/>
        </w:rPr>
        <w:t>502</w:t>
      </w:r>
      <w:r>
        <w:rPr>
          <w:rFonts w:hint="eastAsia" w:ascii="仿宋_GB2312" w:hAnsi="仿宋_GB2312" w:eastAsia="仿宋_GB2312" w:cs="仿宋_GB2312"/>
          <w:color w:val="auto"/>
          <w:sz w:val="32"/>
          <w:szCs w:val="32"/>
        </w:rPr>
        <w:t>万元；</w:t>
      </w:r>
    </w:p>
    <w:p>
      <w:pPr>
        <w:keepNext w:val="0"/>
        <w:keepLines w:val="0"/>
        <w:pageBreakBefore w:val="0"/>
        <w:widowControl w:val="0"/>
        <w:kinsoku/>
        <w:wordWrap/>
        <w:overflowPunct/>
        <w:topLinePunct w:val="0"/>
        <w:autoSpaceDE/>
        <w:bidi w:val="0"/>
        <w:spacing w:line="560" w:lineRule="exact"/>
        <w:ind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文化旅游体育与传媒支出</w:t>
      </w:r>
      <w:r>
        <w:rPr>
          <w:rFonts w:hint="eastAsia" w:ascii="仿宋_GB2312" w:hAnsi="仿宋_GB2312" w:eastAsia="仿宋_GB2312" w:cs="仿宋_GB2312"/>
          <w:color w:val="auto"/>
          <w:sz w:val="32"/>
          <w:szCs w:val="32"/>
          <w:highlight w:val="none"/>
          <w:lang w:val="en-US" w:eastAsia="zh-CN"/>
        </w:rPr>
        <w:t>6018</w:t>
      </w:r>
      <w:r>
        <w:rPr>
          <w:rFonts w:hint="eastAsia" w:ascii="仿宋_GB2312" w:hAnsi="仿宋_GB2312" w:eastAsia="仿宋_GB2312" w:cs="仿宋_GB2312"/>
          <w:color w:val="auto"/>
          <w:sz w:val="32"/>
          <w:szCs w:val="32"/>
          <w:highlight w:val="none"/>
        </w:rPr>
        <w:t>万元；</w:t>
      </w:r>
    </w:p>
    <w:p>
      <w:pPr>
        <w:keepNext w:val="0"/>
        <w:keepLines w:val="0"/>
        <w:pageBreakBefore w:val="0"/>
        <w:widowControl w:val="0"/>
        <w:kinsoku/>
        <w:wordWrap/>
        <w:overflowPunct/>
        <w:topLinePunct w:val="0"/>
        <w:autoSpaceDE/>
        <w:bidi w:val="0"/>
        <w:spacing w:line="560" w:lineRule="exact"/>
        <w:ind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社会保障和就业支出</w:t>
      </w:r>
      <w:r>
        <w:rPr>
          <w:rFonts w:hint="eastAsia" w:ascii="仿宋_GB2312" w:hAnsi="仿宋_GB2312" w:eastAsia="仿宋_GB2312" w:cs="仿宋_GB2312"/>
          <w:color w:val="auto"/>
          <w:sz w:val="32"/>
          <w:szCs w:val="32"/>
          <w:highlight w:val="none"/>
          <w:lang w:val="en-US" w:eastAsia="zh-CN"/>
        </w:rPr>
        <w:t>48563</w:t>
      </w:r>
      <w:r>
        <w:rPr>
          <w:rFonts w:hint="eastAsia" w:ascii="仿宋_GB2312" w:hAnsi="仿宋_GB2312" w:eastAsia="仿宋_GB2312" w:cs="仿宋_GB2312"/>
          <w:color w:val="auto"/>
          <w:sz w:val="32"/>
          <w:szCs w:val="32"/>
          <w:highlight w:val="none"/>
        </w:rPr>
        <w:t>万元；</w:t>
      </w:r>
    </w:p>
    <w:p>
      <w:pPr>
        <w:keepNext w:val="0"/>
        <w:keepLines w:val="0"/>
        <w:pageBreakBefore w:val="0"/>
        <w:widowControl w:val="0"/>
        <w:kinsoku/>
        <w:wordWrap/>
        <w:overflowPunct/>
        <w:topLinePunct w:val="0"/>
        <w:autoSpaceDE/>
        <w:bidi w:val="0"/>
        <w:spacing w:line="560" w:lineRule="exact"/>
        <w:ind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卫生健康支出</w:t>
      </w:r>
      <w:r>
        <w:rPr>
          <w:rFonts w:hint="eastAsia" w:ascii="仿宋_GB2312" w:hAnsi="仿宋_GB2312" w:eastAsia="仿宋_GB2312" w:cs="仿宋_GB2312"/>
          <w:color w:val="auto"/>
          <w:sz w:val="32"/>
          <w:szCs w:val="32"/>
          <w:highlight w:val="none"/>
          <w:lang w:val="en-US" w:eastAsia="zh-CN"/>
        </w:rPr>
        <w:t>26726</w:t>
      </w:r>
      <w:r>
        <w:rPr>
          <w:rFonts w:hint="eastAsia" w:ascii="仿宋_GB2312" w:hAnsi="仿宋_GB2312" w:eastAsia="仿宋_GB2312" w:cs="仿宋_GB2312"/>
          <w:color w:val="auto"/>
          <w:sz w:val="32"/>
          <w:szCs w:val="32"/>
          <w:highlight w:val="none"/>
        </w:rPr>
        <w:t>万元；</w:t>
      </w:r>
    </w:p>
    <w:p>
      <w:pPr>
        <w:pStyle w:val="2"/>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eastAsia="zh-CN"/>
        </w:rPr>
        <w:t>节能环保支出</w:t>
      </w:r>
      <w:r>
        <w:rPr>
          <w:rFonts w:hint="eastAsia" w:ascii="仿宋_GB2312" w:hAnsi="仿宋_GB2312" w:eastAsia="仿宋_GB2312" w:cs="仿宋_GB2312"/>
          <w:color w:val="auto"/>
          <w:sz w:val="32"/>
          <w:szCs w:val="32"/>
          <w:highlight w:val="none"/>
          <w:lang w:val="en-US" w:eastAsia="zh-CN"/>
        </w:rPr>
        <w:t>16942万元；</w:t>
      </w:r>
    </w:p>
    <w:p>
      <w:pPr>
        <w:pStyle w:val="2"/>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城乡社区支出10371万元</w:t>
      </w:r>
    </w:p>
    <w:p>
      <w:pPr>
        <w:keepNext w:val="0"/>
        <w:keepLines w:val="0"/>
        <w:pageBreakBefore w:val="0"/>
        <w:widowControl w:val="0"/>
        <w:kinsoku/>
        <w:wordWrap/>
        <w:overflowPunct/>
        <w:topLinePunct w:val="0"/>
        <w:autoSpaceDE/>
        <w:bidi w:val="0"/>
        <w:spacing w:line="560" w:lineRule="exact"/>
        <w:ind w:firstLine="640" w:firstLineChars="200"/>
        <w:jc w:val="left"/>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农林水支出</w:t>
      </w:r>
      <w:r>
        <w:rPr>
          <w:rFonts w:hint="eastAsia" w:ascii="仿宋_GB2312" w:hAnsi="仿宋_GB2312" w:eastAsia="仿宋_GB2312" w:cs="仿宋_GB2312"/>
          <w:color w:val="auto"/>
          <w:sz w:val="32"/>
          <w:szCs w:val="32"/>
          <w:highlight w:val="none"/>
          <w:lang w:val="en-US" w:eastAsia="zh-CN"/>
        </w:rPr>
        <w:t>24668</w:t>
      </w:r>
      <w:r>
        <w:rPr>
          <w:rFonts w:hint="eastAsia" w:ascii="仿宋_GB2312" w:hAnsi="仿宋_GB2312" w:eastAsia="仿宋_GB2312" w:cs="仿宋_GB2312"/>
          <w:color w:val="auto"/>
          <w:sz w:val="32"/>
          <w:szCs w:val="32"/>
          <w:highlight w:val="none"/>
        </w:rPr>
        <w:t>万元</w:t>
      </w:r>
      <w:r>
        <w:rPr>
          <w:rFonts w:hint="eastAsia" w:ascii="仿宋_GB2312" w:hAnsi="仿宋_GB2312" w:eastAsia="仿宋_GB2312" w:cs="仿宋_GB2312"/>
          <w:color w:val="auto"/>
          <w:sz w:val="32"/>
          <w:szCs w:val="32"/>
          <w:highlight w:val="none"/>
          <w:lang w:eastAsia="zh-CN"/>
        </w:rPr>
        <w:t>；</w:t>
      </w:r>
    </w:p>
    <w:p>
      <w:pPr>
        <w:pStyle w:val="2"/>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eastAsia="zh-CN"/>
        </w:rPr>
        <w:t>交通运输支出</w:t>
      </w:r>
      <w:r>
        <w:rPr>
          <w:rFonts w:hint="eastAsia" w:ascii="仿宋_GB2312" w:hAnsi="仿宋_GB2312" w:eastAsia="仿宋_GB2312" w:cs="仿宋_GB2312"/>
          <w:color w:val="auto"/>
          <w:sz w:val="32"/>
          <w:szCs w:val="32"/>
          <w:highlight w:val="none"/>
          <w:lang w:val="en-US" w:eastAsia="zh-CN"/>
        </w:rPr>
        <w:t>8153万元；</w:t>
      </w:r>
    </w:p>
    <w:p>
      <w:pPr>
        <w:pStyle w:val="2"/>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资源勘探工业信息等支出349万元；</w:t>
      </w:r>
    </w:p>
    <w:p>
      <w:pPr>
        <w:pStyle w:val="2"/>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商业服务业等支出121万元；</w:t>
      </w:r>
    </w:p>
    <w:p>
      <w:pPr>
        <w:pStyle w:val="2"/>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金融支出211万元；</w:t>
      </w:r>
    </w:p>
    <w:p>
      <w:pPr>
        <w:pStyle w:val="2"/>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援助其他地区支出258万元；</w:t>
      </w:r>
    </w:p>
    <w:p>
      <w:pPr>
        <w:pStyle w:val="2"/>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自然资源海洋气象等支出8239万元；</w:t>
      </w:r>
    </w:p>
    <w:p>
      <w:pPr>
        <w:pStyle w:val="2"/>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住房保障支出12062万元；</w:t>
      </w:r>
    </w:p>
    <w:p>
      <w:pPr>
        <w:pStyle w:val="2"/>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粮油物资储备支出805万元；</w:t>
      </w:r>
    </w:p>
    <w:p>
      <w:pPr>
        <w:pStyle w:val="2"/>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灾害防治及应急管理支出5485万元；</w:t>
      </w:r>
    </w:p>
    <w:p>
      <w:pPr>
        <w:pStyle w:val="2"/>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预备费7000万元；</w:t>
      </w:r>
    </w:p>
    <w:p>
      <w:pPr>
        <w:pStyle w:val="2"/>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债务付息支出3382万元；</w:t>
      </w:r>
    </w:p>
    <w:p>
      <w:pPr>
        <w:pStyle w:val="2"/>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其他支出16048万元。</w:t>
      </w:r>
    </w:p>
    <w:p>
      <w:pPr>
        <w:keepNext w:val="0"/>
        <w:keepLines w:val="0"/>
        <w:pageBreakBefore w:val="0"/>
        <w:widowControl w:val="0"/>
        <w:kinsoku/>
        <w:wordWrap/>
        <w:overflowPunct/>
        <w:topLinePunct w:val="0"/>
        <w:autoSpaceDE/>
        <w:bidi w:val="0"/>
        <w:spacing w:line="560" w:lineRule="exact"/>
        <w:ind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从严控制“三公”经费。各部门</w:t>
      </w:r>
      <w:r>
        <w:rPr>
          <w:rFonts w:hint="eastAsia" w:ascii="仿宋_GB2312" w:hAnsi="仿宋_GB2312" w:eastAsia="仿宋_GB2312" w:cs="仿宋_GB2312"/>
          <w:color w:val="auto"/>
          <w:sz w:val="32"/>
          <w:szCs w:val="32"/>
          <w:highlight w:val="none"/>
          <w:lang w:eastAsia="zh-CN"/>
        </w:rPr>
        <w:t>2026年</w:t>
      </w:r>
      <w:r>
        <w:rPr>
          <w:rFonts w:hint="eastAsia" w:ascii="仿宋_GB2312" w:hAnsi="仿宋_GB2312" w:eastAsia="仿宋_GB2312" w:cs="仿宋_GB2312"/>
          <w:color w:val="auto"/>
          <w:sz w:val="32"/>
          <w:szCs w:val="32"/>
          <w:highlight w:val="none"/>
        </w:rPr>
        <w:t>“三公”经费预算安排</w:t>
      </w:r>
      <w:r>
        <w:rPr>
          <w:rFonts w:hint="eastAsia" w:ascii="仿宋_GB2312" w:hAnsi="仿宋_GB2312" w:eastAsia="仿宋_GB2312" w:cs="仿宋_GB2312"/>
          <w:color w:val="auto"/>
          <w:sz w:val="32"/>
          <w:szCs w:val="32"/>
          <w:highlight w:val="none"/>
          <w:lang w:val="en-US" w:eastAsia="zh-CN"/>
        </w:rPr>
        <w:t>447</w:t>
      </w:r>
      <w:r>
        <w:rPr>
          <w:rFonts w:hint="eastAsia" w:ascii="仿宋_GB2312" w:hAnsi="仿宋_GB2312" w:eastAsia="仿宋_GB2312" w:cs="仿宋_GB2312"/>
          <w:color w:val="auto"/>
          <w:sz w:val="32"/>
          <w:szCs w:val="32"/>
          <w:highlight w:val="none"/>
        </w:rPr>
        <w:t>元，下降</w:t>
      </w:r>
      <w:r>
        <w:rPr>
          <w:rFonts w:hint="eastAsia" w:ascii="仿宋_GB2312" w:hAnsi="仿宋_GB2312" w:eastAsia="仿宋_GB2312" w:cs="仿宋_GB2312"/>
          <w:color w:val="auto"/>
          <w:sz w:val="32"/>
          <w:szCs w:val="32"/>
          <w:highlight w:val="none"/>
          <w:lang w:val="en-US" w:eastAsia="zh-CN"/>
        </w:rPr>
        <w:t>0.7</w:t>
      </w:r>
      <w:r>
        <w:rPr>
          <w:rFonts w:hint="eastAsia" w:ascii="仿宋_GB2312" w:hAnsi="仿宋_GB2312" w:eastAsia="仿宋_GB2312" w:cs="仿宋_GB2312"/>
          <w:color w:val="auto"/>
          <w:sz w:val="32"/>
          <w:szCs w:val="32"/>
          <w:highlight w:val="none"/>
        </w:rPr>
        <w:t>%。</w:t>
      </w:r>
    </w:p>
    <w:p>
      <w:pPr>
        <w:keepNext w:val="0"/>
        <w:keepLines w:val="0"/>
        <w:pageBreakBefore w:val="0"/>
        <w:kinsoku/>
        <w:wordWrap/>
        <w:overflowPunct/>
        <w:topLinePunct w:val="0"/>
        <w:autoSpaceDE/>
        <w:bidi w:val="0"/>
        <w:spacing w:line="560" w:lineRule="exact"/>
        <w:ind w:firstLine="640" w:firstLineChars="200"/>
        <w:jc w:val="left"/>
        <w:textAlignment w:val="auto"/>
        <w:rPr>
          <w:rFonts w:hint="eastAsia" w:ascii="黑体" w:hAnsi="楷体" w:eastAsia="黑体" w:cs="楷体"/>
          <w:bCs/>
          <w:color w:val="auto"/>
          <w:kern w:val="0"/>
          <w:sz w:val="32"/>
          <w:szCs w:val="32"/>
          <w:highlight w:val="none"/>
        </w:rPr>
      </w:pPr>
      <w:r>
        <w:rPr>
          <w:rFonts w:hint="eastAsia" w:ascii="黑体" w:hAnsi="楷体" w:eastAsia="黑体" w:cs="楷体"/>
          <w:bCs/>
          <w:color w:val="auto"/>
          <w:kern w:val="0"/>
          <w:sz w:val="32"/>
          <w:szCs w:val="32"/>
          <w:highlight w:val="none"/>
        </w:rPr>
        <w:t>二、政府性基金预算收支安排情况</w:t>
      </w:r>
    </w:p>
    <w:p>
      <w:pPr>
        <w:keepNext w:val="0"/>
        <w:keepLines w:val="0"/>
        <w:pageBreakBefore w:val="0"/>
        <w:kinsoku/>
        <w:wordWrap/>
        <w:overflowPunct/>
        <w:topLinePunct w:val="0"/>
        <w:autoSpaceDE/>
        <w:bidi w:val="0"/>
        <w:spacing w:line="560" w:lineRule="exact"/>
        <w:ind w:firstLine="643" w:firstLineChars="200"/>
        <w:jc w:val="left"/>
        <w:textAlignment w:val="auto"/>
        <w:rPr>
          <w:rFonts w:hint="eastAsia" w:ascii="仿宋_GB2312" w:hAnsi="楷体" w:eastAsia="仿宋_GB2312" w:cs="楷体"/>
          <w:b/>
          <w:bCs/>
          <w:color w:val="auto"/>
          <w:kern w:val="0"/>
          <w:sz w:val="32"/>
          <w:szCs w:val="32"/>
          <w:highlight w:val="none"/>
        </w:rPr>
      </w:pPr>
      <w:r>
        <w:rPr>
          <w:rFonts w:hint="eastAsia" w:ascii="仿宋_GB2312" w:hAnsi="楷体" w:eastAsia="仿宋_GB2312" w:cs="楷体"/>
          <w:b/>
          <w:bCs/>
          <w:color w:val="auto"/>
          <w:kern w:val="0"/>
          <w:sz w:val="32"/>
          <w:szCs w:val="32"/>
          <w:highlight w:val="none"/>
        </w:rPr>
        <w:t>（一）政府性基金预算收入安排情况</w:t>
      </w:r>
    </w:p>
    <w:p>
      <w:pPr>
        <w:keepNext w:val="0"/>
        <w:keepLines w:val="0"/>
        <w:pageBreakBefore w:val="0"/>
        <w:kinsoku/>
        <w:wordWrap/>
        <w:overflowPunct/>
        <w:topLinePunct w:val="0"/>
        <w:autoSpaceDE/>
        <w:bidi w:val="0"/>
        <w:spacing w:line="560" w:lineRule="exact"/>
        <w:ind w:firstLine="640" w:firstLineChars="200"/>
        <w:jc w:val="left"/>
        <w:textAlignment w:val="auto"/>
        <w:rPr>
          <w:rFonts w:hint="eastAsia" w:ascii="仿宋_GB2312" w:hAnsi="仿宋" w:eastAsia="仿宋_GB2312"/>
          <w:color w:val="auto"/>
          <w:sz w:val="32"/>
          <w:szCs w:val="32"/>
          <w:highlight w:val="none"/>
          <w:lang w:eastAsia="zh-CN"/>
        </w:rPr>
      </w:pPr>
      <w:r>
        <w:rPr>
          <w:rFonts w:hint="eastAsia" w:ascii="仿宋_GB2312" w:hAnsi="仿宋" w:eastAsia="仿宋_GB2312"/>
          <w:color w:val="auto"/>
          <w:sz w:val="32"/>
          <w:szCs w:val="32"/>
          <w:highlight w:val="none"/>
        </w:rPr>
        <w:t>政府性基金预算收入</w:t>
      </w:r>
      <w:r>
        <w:rPr>
          <w:rFonts w:hint="eastAsia" w:ascii="仿宋_GB2312" w:hAnsi="仿宋" w:eastAsia="仿宋_GB2312"/>
          <w:color w:val="auto"/>
          <w:sz w:val="32"/>
          <w:szCs w:val="32"/>
          <w:highlight w:val="none"/>
          <w:lang w:val="en-US" w:eastAsia="zh-CN"/>
        </w:rPr>
        <w:t>130516</w:t>
      </w:r>
      <w:r>
        <w:rPr>
          <w:rFonts w:hint="eastAsia" w:ascii="仿宋_GB2312" w:hAnsi="仿宋" w:eastAsia="仿宋_GB2312"/>
          <w:color w:val="auto"/>
          <w:sz w:val="32"/>
          <w:szCs w:val="32"/>
          <w:highlight w:val="none"/>
        </w:rPr>
        <w:t>万元</w:t>
      </w:r>
      <w:r>
        <w:rPr>
          <w:rFonts w:hint="eastAsia" w:ascii="仿宋_GB2312" w:hAnsi="仿宋" w:eastAsia="仿宋_GB2312"/>
          <w:color w:val="auto"/>
          <w:sz w:val="32"/>
          <w:szCs w:val="32"/>
          <w:highlight w:val="none"/>
          <w:lang w:eastAsia="zh-CN"/>
        </w:rPr>
        <w:t>。</w:t>
      </w:r>
    </w:p>
    <w:p>
      <w:pPr>
        <w:keepNext w:val="0"/>
        <w:keepLines w:val="0"/>
        <w:pageBreakBefore w:val="0"/>
        <w:kinsoku/>
        <w:wordWrap/>
        <w:overflowPunct/>
        <w:topLinePunct w:val="0"/>
        <w:autoSpaceDE/>
        <w:bidi w:val="0"/>
        <w:spacing w:line="560" w:lineRule="exact"/>
        <w:ind w:firstLine="643" w:firstLineChars="200"/>
        <w:jc w:val="left"/>
        <w:textAlignment w:val="auto"/>
        <w:rPr>
          <w:rFonts w:hint="eastAsia" w:ascii="仿宋_GB2312" w:hAnsi="楷体" w:eastAsia="仿宋_GB2312" w:cs="楷体"/>
          <w:b/>
          <w:bCs/>
          <w:color w:val="auto"/>
          <w:kern w:val="0"/>
          <w:sz w:val="32"/>
          <w:szCs w:val="32"/>
          <w:highlight w:val="none"/>
        </w:rPr>
      </w:pPr>
      <w:r>
        <w:rPr>
          <w:rFonts w:hint="eastAsia" w:ascii="仿宋_GB2312" w:hAnsi="楷体" w:eastAsia="仿宋_GB2312" w:cs="楷体"/>
          <w:b/>
          <w:bCs/>
          <w:color w:val="auto"/>
          <w:kern w:val="0"/>
          <w:sz w:val="32"/>
          <w:szCs w:val="32"/>
          <w:highlight w:val="none"/>
        </w:rPr>
        <w:t>（二）政府性基金预算支出预算拟安排情况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楷体" w:eastAsia="黑体" w:cs="楷体"/>
          <w:bCs/>
          <w:color w:val="auto"/>
          <w:kern w:val="0"/>
          <w:sz w:val="32"/>
          <w:szCs w:val="30"/>
          <w:highlight w:val="none"/>
          <w:lang w:val="en-US" w:eastAsia="zh-CN"/>
        </w:rPr>
      </w:pPr>
      <w:r>
        <w:rPr>
          <w:rFonts w:hint="eastAsia" w:ascii="仿宋_GB2312" w:hAnsi="仿宋" w:eastAsia="仿宋_GB2312" w:cs="Times New Roman"/>
          <w:color w:val="auto"/>
          <w:sz w:val="32"/>
          <w:szCs w:val="32"/>
          <w:highlight w:val="none"/>
          <w:lang w:val="en-US" w:eastAsia="zh-CN"/>
        </w:rPr>
        <w:t>政府性基金收入预计完成</w:t>
      </w:r>
      <w:r>
        <w:rPr>
          <w:rFonts w:hint="default" w:ascii="仿宋_GB2312" w:hAnsi="仿宋" w:eastAsia="仿宋_GB2312" w:cs="Times New Roman"/>
          <w:color w:val="auto"/>
          <w:sz w:val="32"/>
          <w:szCs w:val="32"/>
          <w:highlight w:val="none"/>
          <w:lang w:eastAsia="zh-CN"/>
        </w:rPr>
        <w:t>50000</w:t>
      </w:r>
      <w:r>
        <w:rPr>
          <w:rFonts w:hint="eastAsia" w:ascii="仿宋_GB2312" w:hAnsi="仿宋" w:eastAsia="仿宋_GB2312" w:cs="Times New Roman"/>
          <w:color w:val="auto"/>
          <w:sz w:val="32"/>
          <w:szCs w:val="32"/>
          <w:highlight w:val="none"/>
          <w:lang w:val="en-US" w:eastAsia="zh-CN"/>
        </w:rPr>
        <w:t>万元，上级转移支付收入6366万元，上年结转收入74150万元。</w:t>
      </w:r>
      <w:r>
        <w:rPr>
          <w:rFonts w:hint="eastAsia" w:ascii="仿宋_GB2312" w:eastAsia="仿宋_GB2312" w:cs="Times New Roman"/>
          <w:color w:val="auto"/>
          <w:sz w:val="32"/>
          <w:szCs w:val="32"/>
          <w:lang w:eastAsia="zh-CN"/>
        </w:rPr>
        <w:t>按照“以收定支、专款专用、收支平衡”的原则，</w:t>
      </w:r>
      <w:r>
        <w:rPr>
          <w:rFonts w:hint="eastAsia" w:ascii="仿宋_GB2312" w:hAnsi="仿宋" w:eastAsia="仿宋_GB2312" w:cs="Times New Roman"/>
          <w:color w:val="auto"/>
          <w:sz w:val="32"/>
          <w:szCs w:val="32"/>
          <w:highlight w:val="none"/>
          <w:lang w:val="en-US" w:eastAsia="zh-CN"/>
        </w:rPr>
        <w:t>安排支出130516万元。其中：政府债务还本付息14921万元，土地补偿4692万元，中轴线（东灵路）工程4200万元，上年结转上级指标74150万元，预留重点项目32553万元。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楷体" w:eastAsia="黑体" w:cs="楷体"/>
          <w:bCs/>
          <w:color w:val="auto"/>
          <w:kern w:val="0"/>
          <w:sz w:val="32"/>
          <w:szCs w:val="30"/>
          <w:highlight w:val="none"/>
          <w:lang w:val="zh-CN"/>
        </w:rPr>
      </w:pPr>
      <w:r>
        <w:rPr>
          <w:rFonts w:hint="eastAsia" w:ascii="黑体" w:hAnsi="楷体" w:eastAsia="黑体" w:cs="楷体"/>
          <w:bCs/>
          <w:color w:val="auto"/>
          <w:kern w:val="0"/>
          <w:sz w:val="32"/>
          <w:szCs w:val="30"/>
          <w:highlight w:val="none"/>
          <w:lang w:val="zh-CN"/>
        </w:rPr>
        <w:t>三、国有资本经营预算收支情况说明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 w:eastAsia="仿宋_GB2312" w:cs="Times New Roman"/>
          <w:color w:val="auto"/>
          <w:sz w:val="32"/>
          <w:szCs w:val="32"/>
          <w:highlight w:val="none"/>
          <w:lang w:val="en-US" w:eastAsia="zh-CN"/>
        </w:rPr>
      </w:pPr>
      <w:r>
        <w:rPr>
          <w:rFonts w:hint="eastAsia" w:ascii="仿宋_GB2312" w:hAnsi="仿宋" w:eastAsia="仿宋_GB2312" w:cs="Times New Roman"/>
          <w:color w:val="auto"/>
          <w:sz w:val="32"/>
          <w:szCs w:val="32"/>
          <w:highlight w:val="none"/>
          <w:lang w:val="en-US" w:eastAsia="zh-CN"/>
        </w:rPr>
        <w:t>国有资本经营预算收入225万元，上年结转225万元，收入总计450万元，安排支出450万元。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楷体" w:eastAsia="黑体" w:cs="楷体"/>
          <w:bCs/>
          <w:color w:val="auto"/>
          <w:kern w:val="0"/>
          <w:sz w:val="32"/>
          <w:szCs w:val="30"/>
          <w:highlight w:val="none"/>
          <w:lang w:val="zh-CN"/>
        </w:rPr>
      </w:pPr>
      <w:r>
        <w:rPr>
          <w:rFonts w:hint="eastAsia" w:ascii="黑体" w:hAnsi="楷体" w:eastAsia="黑体" w:cs="楷体"/>
          <w:bCs/>
          <w:color w:val="auto"/>
          <w:kern w:val="0"/>
          <w:sz w:val="32"/>
          <w:szCs w:val="30"/>
          <w:highlight w:val="none"/>
          <w:lang w:val="zh-CN"/>
        </w:rPr>
        <w:t>四、社会保险基金预算收支情况说明</w:t>
      </w:r>
    </w:p>
    <w:p>
      <w:pPr>
        <w:keepNext w:val="0"/>
        <w:keepLines w:val="0"/>
        <w:pageBreakBefore w:val="0"/>
        <w:kinsoku/>
        <w:wordWrap/>
        <w:overflowPunct/>
        <w:topLinePunct w:val="0"/>
        <w:autoSpaceDE/>
        <w:bidi w:val="0"/>
        <w:spacing w:line="560" w:lineRule="exact"/>
        <w:ind w:firstLine="640" w:firstLineChars="200"/>
        <w:jc w:val="left"/>
        <w:textAlignment w:val="auto"/>
        <w:rPr>
          <w:rFonts w:hint="eastAsia" w:ascii="仿宋_GB2312" w:hAnsi="仿宋" w:eastAsia="仿宋_GB2312" w:cs="Times New Roman"/>
          <w:color w:val="auto"/>
          <w:sz w:val="32"/>
          <w:szCs w:val="32"/>
          <w:highlight w:val="none"/>
          <w:lang w:val="en-US" w:eastAsia="zh-CN"/>
        </w:rPr>
      </w:pPr>
      <w:r>
        <w:rPr>
          <w:rFonts w:hint="eastAsia" w:ascii="仿宋_GB2312" w:hAnsi="仿宋" w:eastAsia="仿宋_GB2312" w:cs="Times New Roman"/>
          <w:color w:val="auto"/>
          <w:sz w:val="32"/>
          <w:szCs w:val="32"/>
          <w:highlight w:val="none"/>
          <w:lang w:val="en-US" w:eastAsia="zh-CN"/>
        </w:rPr>
        <w:t>社会保险基金上年结转65598万元，预算收入65895万元，安排支出59102万元，累计结余72391万元。其中：机关养老保险基金预算收入34239万元，支出33723万元，累计结余2332万元；城乡居民养老保险基金预算收入31656万元，支出25379万元，累计结余70059万元。</w:t>
      </w:r>
    </w:p>
    <w:p>
      <w:pPr>
        <w:keepNext w:val="0"/>
        <w:keepLines w:val="0"/>
        <w:pageBreakBefore w:val="0"/>
        <w:kinsoku/>
        <w:wordWrap/>
        <w:overflowPunct/>
        <w:topLinePunct w:val="0"/>
        <w:autoSpaceDE/>
        <w:bidi w:val="0"/>
        <w:spacing w:line="560" w:lineRule="exact"/>
        <w:ind w:firstLine="640" w:firstLineChars="200"/>
        <w:jc w:val="left"/>
        <w:textAlignment w:val="auto"/>
        <w:rPr>
          <w:rFonts w:hint="eastAsia" w:ascii="黑体" w:hAnsi="仿宋_GB2312" w:eastAsia="黑体"/>
          <w:bCs/>
          <w:color w:val="auto"/>
          <w:kern w:val="0"/>
          <w:sz w:val="32"/>
          <w:szCs w:val="32"/>
          <w:highlight w:val="none"/>
        </w:rPr>
      </w:pPr>
      <w:r>
        <w:rPr>
          <w:rFonts w:hint="eastAsia" w:ascii="黑体" w:hAnsi="仿宋_GB2312" w:eastAsia="黑体"/>
          <w:color w:val="auto"/>
          <w:kern w:val="0"/>
          <w:sz w:val="32"/>
          <w:szCs w:val="32"/>
          <w:highlight w:val="none"/>
        </w:rPr>
        <w:t>五、三公经费支出预算增减情况说明</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 w:eastAsia="仿宋_GB2312" w:cs="Times New Roman"/>
          <w:color w:val="auto"/>
          <w:sz w:val="32"/>
          <w:szCs w:val="32"/>
          <w:highlight w:val="none"/>
          <w:lang w:val="en-US" w:eastAsia="zh-CN"/>
        </w:rPr>
      </w:pPr>
      <w:r>
        <w:rPr>
          <w:rFonts w:hint="eastAsia" w:ascii="仿宋_GB2312" w:eastAsia="仿宋_GB2312"/>
          <w:color w:val="auto"/>
          <w:sz w:val="32"/>
          <w:szCs w:val="32"/>
        </w:rPr>
        <w:t xml:space="preserve"> </w:t>
      </w:r>
      <w:r>
        <w:rPr>
          <w:rFonts w:hint="eastAsia" w:ascii="仿宋_GB2312" w:hAnsi="仿宋" w:eastAsia="仿宋_GB2312" w:cs="Times New Roman"/>
          <w:color w:val="auto"/>
          <w:sz w:val="32"/>
          <w:szCs w:val="32"/>
          <w:highlight w:val="none"/>
          <w:lang w:val="en-US" w:eastAsia="zh-CN"/>
        </w:rPr>
        <w:t>2026年“三公”经费预算安排447万元，较上年减少3万元，下降0.7%。其中：因公出国（境）费预算为零，公务用车购置费0万元，公车用车运行费447万元，公务接待费0万元。   公务接待费下降的主要原因是继续按照公务接待管理办法规定，厉行勤俭节约，严格接待审批，压缩公务接待费支出；公务运行维护费减少主要是加强公务用车使用管理，减少车辆维修维护费用。</w:t>
      </w:r>
    </w:p>
    <w:p>
      <w:pPr>
        <w:keepNext w:val="0"/>
        <w:keepLines w:val="0"/>
        <w:pageBreakBefore w:val="0"/>
        <w:kinsoku/>
        <w:wordWrap/>
        <w:overflowPunct/>
        <w:topLinePunct w:val="0"/>
        <w:autoSpaceDE/>
        <w:bidi w:val="0"/>
        <w:spacing w:line="560" w:lineRule="exact"/>
        <w:ind w:firstLine="960" w:firstLineChars="300"/>
        <w:jc w:val="left"/>
        <w:textAlignment w:val="auto"/>
        <w:rPr>
          <w:rStyle w:val="19"/>
          <w:rFonts w:hint="eastAsia" w:ascii="黑体" w:hAnsi="宋体" w:eastAsia="黑体" w:cs="ATC-*11"/>
          <w:bCs/>
          <w:color w:val="auto"/>
          <w:kern w:val="0"/>
          <w:szCs w:val="30"/>
          <w:highlight w:val="none"/>
          <w:lang w:val="zh-CN"/>
        </w:rPr>
      </w:pPr>
      <w:r>
        <w:rPr>
          <w:rStyle w:val="19"/>
          <w:rFonts w:hint="eastAsia" w:ascii="黑体" w:hAnsi="宋体" w:eastAsia="黑体" w:cs="ATC-*11"/>
          <w:bCs/>
          <w:color w:val="auto"/>
          <w:kern w:val="0"/>
          <w:sz w:val="32"/>
          <w:szCs w:val="32"/>
          <w:highlight w:val="none"/>
          <w:lang w:val="zh-CN"/>
        </w:rPr>
        <w:t>六、转移支付情况说明</w:t>
      </w:r>
    </w:p>
    <w:p>
      <w:pPr>
        <w:keepNext w:val="0"/>
        <w:keepLines w:val="0"/>
        <w:pageBreakBefore w:val="0"/>
        <w:kinsoku/>
        <w:wordWrap/>
        <w:overflowPunct/>
        <w:topLinePunct w:val="0"/>
        <w:autoSpaceDE/>
        <w:bidi w:val="0"/>
        <w:spacing w:line="560" w:lineRule="exact"/>
        <w:ind w:firstLine="640" w:firstLineChars="200"/>
        <w:jc w:val="left"/>
        <w:textAlignment w:val="auto"/>
        <w:rPr>
          <w:rFonts w:hint="eastAsia" w:ascii="仿宋_GB2312" w:hAnsi="仿宋" w:eastAsia="仿宋_GB2312" w:cs="Times New Roman"/>
          <w:color w:val="auto"/>
          <w:sz w:val="32"/>
          <w:szCs w:val="32"/>
          <w:highlight w:val="none"/>
          <w:lang w:val="en-US" w:eastAsia="zh-CN"/>
        </w:rPr>
      </w:pPr>
      <w:r>
        <w:rPr>
          <w:rFonts w:hint="eastAsia" w:ascii="仿宋_GB2312" w:hAnsi="仿宋" w:eastAsia="仿宋_GB2312" w:cs="Times New Roman"/>
          <w:color w:val="auto"/>
          <w:sz w:val="32"/>
          <w:szCs w:val="32"/>
          <w:highlight w:val="none"/>
          <w:lang w:val="en-US" w:eastAsia="zh-CN"/>
        </w:rPr>
        <w:t>2026年，上级补助收入167048万元。其中：返还性收入3592万元，一般性转移支付收入为125563万元，专项转移支付收入37893万元。具体项目情况是：</w:t>
      </w:r>
    </w:p>
    <w:p>
      <w:pPr>
        <w:pStyle w:val="11"/>
        <w:keepNext w:val="0"/>
        <w:keepLines w:val="0"/>
        <w:pageBreakBefore w:val="0"/>
        <w:shd w:val="clear" w:color="auto" w:fill="FFFFFF"/>
        <w:kinsoku/>
        <w:wordWrap/>
        <w:overflowPunct/>
        <w:topLinePunct w:val="0"/>
        <w:autoSpaceDE/>
        <w:bidi w:val="0"/>
        <w:spacing w:before="0" w:beforeAutospacing="0" w:after="0" w:afterAutospacing="0" w:line="560" w:lineRule="exact"/>
        <w:ind w:firstLine="640"/>
        <w:jc w:val="left"/>
        <w:textAlignment w:val="auto"/>
        <w:rPr>
          <w:rFonts w:hint="eastAsia" w:ascii="楷体_GB2312" w:hAnsi="楷体_GB2312" w:eastAsia="楷体_GB2312" w:cs="楷体_GB2312"/>
          <w:color w:val="auto"/>
          <w:kern w:val="2"/>
          <w:sz w:val="32"/>
          <w:szCs w:val="32"/>
          <w:lang w:val="en-US" w:eastAsia="zh-CN"/>
        </w:rPr>
      </w:pPr>
      <w:r>
        <w:rPr>
          <w:rFonts w:hint="eastAsia" w:ascii="楷体_GB2312" w:hAnsi="楷体_GB2312" w:eastAsia="楷体_GB2312" w:cs="楷体_GB2312"/>
          <w:color w:val="auto"/>
          <w:kern w:val="2"/>
          <w:sz w:val="32"/>
          <w:szCs w:val="32"/>
          <w:lang w:val="en-US" w:eastAsia="zh-CN"/>
        </w:rPr>
        <w:t>一、返还性收入3592万元</w:t>
      </w:r>
    </w:p>
    <w:p>
      <w:pPr>
        <w:keepNext w:val="0"/>
        <w:keepLines w:val="0"/>
        <w:pageBreakBefore w:val="0"/>
        <w:kinsoku/>
        <w:wordWrap/>
        <w:overflowPunct/>
        <w:topLinePunct w:val="0"/>
        <w:autoSpaceDE/>
        <w:bidi w:val="0"/>
        <w:spacing w:line="560" w:lineRule="exact"/>
        <w:ind w:firstLine="640" w:firstLineChars="200"/>
        <w:jc w:val="left"/>
        <w:textAlignment w:val="auto"/>
        <w:rPr>
          <w:rFonts w:hint="eastAsia" w:ascii="仿宋_GB2312" w:hAnsi="仿宋" w:eastAsia="仿宋_GB2312" w:cs="Times New Roman"/>
          <w:color w:val="auto"/>
          <w:sz w:val="32"/>
          <w:szCs w:val="32"/>
          <w:highlight w:val="none"/>
          <w:lang w:val="en-US" w:eastAsia="zh-CN"/>
        </w:rPr>
      </w:pPr>
      <w:r>
        <w:rPr>
          <w:rFonts w:hint="eastAsia" w:ascii="仿宋_GB2312" w:hAnsi="仿宋" w:eastAsia="仿宋_GB2312" w:cs="Times New Roman"/>
          <w:color w:val="auto"/>
          <w:sz w:val="32"/>
          <w:szCs w:val="32"/>
          <w:highlight w:val="none"/>
          <w:lang w:val="en-US" w:eastAsia="zh-CN"/>
        </w:rPr>
        <w:t>增值税税收返还901万元，所得税基数返还406万元，成品油税费改革税收返还182万元，增值税五五分成返还2103万元。</w:t>
      </w:r>
    </w:p>
    <w:p>
      <w:pPr>
        <w:pStyle w:val="11"/>
        <w:keepNext w:val="0"/>
        <w:keepLines w:val="0"/>
        <w:pageBreakBefore w:val="0"/>
        <w:shd w:val="clear" w:color="auto" w:fill="FFFFFF"/>
        <w:kinsoku/>
        <w:wordWrap/>
        <w:overflowPunct/>
        <w:topLinePunct w:val="0"/>
        <w:autoSpaceDE/>
        <w:bidi w:val="0"/>
        <w:spacing w:before="0" w:beforeAutospacing="0" w:after="0" w:afterAutospacing="0" w:line="560" w:lineRule="exact"/>
        <w:ind w:firstLine="640"/>
        <w:jc w:val="left"/>
        <w:textAlignment w:val="auto"/>
        <w:rPr>
          <w:rFonts w:hint="eastAsia" w:ascii="楷体_GB2312" w:hAnsi="楷体_GB2312" w:eastAsia="楷体_GB2312" w:cs="楷体_GB2312"/>
          <w:color w:val="auto"/>
          <w:kern w:val="2"/>
          <w:sz w:val="32"/>
          <w:szCs w:val="32"/>
          <w:lang w:val="en-US" w:eastAsia="zh-CN"/>
        </w:rPr>
      </w:pPr>
      <w:r>
        <w:rPr>
          <w:rFonts w:hint="eastAsia" w:ascii="楷体_GB2312" w:hAnsi="楷体_GB2312" w:eastAsia="楷体_GB2312" w:cs="楷体_GB2312"/>
          <w:color w:val="auto"/>
          <w:kern w:val="2"/>
          <w:sz w:val="32"/>
          <w:szCs w:val="32"/>
          <w:lang w:val="en-US" w:eastAsia="zh-CN"/>
        </w:rPr>
        <w:t>二、一般性转移支付收入为125563万元</w:t>
      </w:r>
    </w:p>
    <w:p>
      <w:pPr>
        <w:keepNext w:val="0"/>
        <w:keepLines w:val="0"/>
        <w:pageBreakBefore w:val="0"/>
        <w:kinsoku/>
        <w:wordWrap/>
        <w:overflowPunct/>
        <w:topLinePunct w:val="0"/>
        <w:autoSpaceDE/>
        <w:bidi w:val="0"/>
        <w:spacing w:line="560" w:lineRule="exact"/>
        <w:ind w:firstLine="640" w:firstLineChars="200"/>
        <w:jc w:val="left"/>
        <w:textAlignment w:val="auto"/>
        <w:rPr>
          <w:rFonts w:hint="eastAsia" w:ascii="仿宋_GB2312" w:hAnsi="仿宋" w:eastAsia="仿宋_GB2312" w:cs="Times New Roman"/>
          <w:color w:val="auto"/>
          <w:sz w:val="32"/>
          <w:szCs w:val="32"/>
          <w:highlight w:val="none"/>
          <w:lang w:val="en-US" w:eastAsia="zh-CN"/>
        </w:rPr>
      </w:pPr>
      <w:r>
        <w:rPr>
          <w:rFonts w:hint="eastAsia" w:ascii="仿宋_GB2312" w:hAnsi="仿宋" w:eastAsia="仿宋_GB2312" w:cs="Times New Roman"/>
          <w:color w:val="auto"/>
          <w:sz w:val="32"/>
          <w:szCs w:val="32"/>
          <w:highlight w:val="none"/>
          <w:lang w:val="en-US" w:eastAsia="zh-CN"/>
        </w:rPr>
        <w:t>均衡性转移支付收入28602万元，县级基本财力保障机制奖补资金收入32497万元，结算补助收入3178万元，产粮大县奖励资金收入为1859万元，重点生态功能区转移支付收入为1400万元，公共安全共同财政事权转移支付收入252万，教育共同财政事权转移支付收入为11265万元，文化旅游体育与传媒共同财事权转移支付收入181万元，权社会保障和就业共同财政事权转移支付收入为6760万元，医疗卫生共同财政事权转移支付收入为11216万元，节能环保共同财政事权转移支付收入5400万元，农林水共同财政事权转移支付收入为22416万元，交通运输共同财政事权转移支付收入214万元，自然资源海洋气象等共同财政事权转移支付收入171万元，住房保障共同财政事权转移支付收入152万元，其他一般性转移支付收入0万元。</w:t>
      </w:r>
    </w:p>
    <w:p>
      <w:pPr>
        <w:pStyle w:val="11"/>
        <w:keepNext w:val="0"/>
        <w:keepLines w:val="0"/>
        <w:pageBreakBefore w:val="0"/>
        <w:shd w:val="clear" w:color="auto" w:fill="FFFFFF"/>
        <w:kinsoku/>
        <w:wordWrap/>
        <w:overflowPunct/>
        <w:topLinePunct w:val="0"/>
        <w:autoSpaceDE/>
        <w:bidi w:val="0"/>
        <w:spacing w:before="0" w:beforeAutospacing="0" w:after="0" w:afterAutospacing="0" w:line="560" w:lineRule="exact"/>
        <w:ind w:firstLine="640"/>
        <w:jc w:val="left"/>
        <w:textAlignment w:val="auto"/>
        <w:rPr>
          <w:rFonts w:hint="eastAsia" w:ascii="楷体_GB2312" w:hAnsi="楷体_GB2312" w:eastAsia="楷体_GB2312" w:cs="楷体_GB2312"/>
          <w:color w:val="auto"/>
          <w:kern w:val="2"/>
          <w:sz w:val="32"/>
          <w:szCs w:val="32"/>
          <w:lang w:val="en-US" w:eastAsia="zh-CN"/>
        </w:rPr>
      </w:pPr>
      <w:r>
        <w:rPr>
          <w:rFonts w:hint="eastAsia" w:ascii="楷体_GB2312" w:hAnsi="楷体_GB2312" w:eastAsia="楷体_GB2312" w:cs="楷体_GB2312"/>
          <w:color w:val="auto"/>
          <w:kern w:val="2"/>
          <w:sz w:val="32"/>
          <w:szCs w:val="32"/>
          <w:lang w:val="en-US" w:eastAsia="zh-CN"/>
        </w:rPr>
        <w:t>（三）专项转移支付收入37893万元</w:t>
      </w:r>
    </w:p>
    <w:p>
      <w:pPr>
        <w:keepNext w:val="0"/>
        <w:keepLines w:val="0"/>
        <w:pageBreakBefore w:val="0"/>
        <w:kinsoku/>
        <w:wordWrap/>
        <w:overflowPunct/>
        <w:topLinePunct w:val="0"/>
        <w:autoSpaceDE/>
        <w:bidi w:val="0"/>
        <w:spacing w:line="560" w:lineRule="exact"/>
        <w:ind w:firstLine="640" w:firstLineChars="200"/>
        <w:jc w:val="left"/>
        <w:textAlignment w:val="auto"/>
        <w:rPr>
          <w:rFonts w:hint="default" w:ascii="仿宋_GB2312" w:eastAsia="仿宋_GB2312" w:hAnsiTheme="minorHAnsi" w:cstheme="minorBidi"/>
          <w:color w:val="auto"/>
          <w:kern w:val="2"/>
          <w:sz w:val="32"/>
          <w:szCs w:val="32"/>
          <w:lang w:val="en-US" w:eastAsia="zh-CN" w:bidi="ar-SA"/>
        </w:rPr>
      </w:pPr>
      <w:r>
        <w:rPr>
          <w:rFonts w:hint="eastAsia" w:ascii="仿宋_GB2312" w:hAnsi="仿宋" w:eastAsia="仿宋_GB2312" w:cs="Times New Roman"/>
          <w:color w:val="auto"/>
          <w:sz w:val="32"/>
          <w:szCs w:val="32"/>
          <w:highlight w:val="none"/>
          <w:lang w:val="en-US" w:eastAsia="zh-CN"/>
        </w:rPr>
        <w:t>一般公共服务收入116万元，国防收入24万元，公共安全收入9万元，教育收入1179万元，科学技术收入68万元，文化旅游体育与传媒718万元，社会保障与就业1408万元，卫生健康收入735万元，节能环保收入22300万元，城乡社区收入28万元，农林水收入6356万元，交通运输收入1221万元，资源勘探工业信息等239万元，商业服务业等122万元，自然资源海洋气象等2931万元，粮油物资储备439万元，其他收入0万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00" w:firstLineChars="200"/>
        <w:jc w:val="left"/>
        <w:textAlignment w:val="auto"/>
        <w:outlineLvl w:val="9"/>
        <w:rPr>
          <w:rFonts w:hint="eastAsia" w:ascii="仿宋" w:hAnsi="仿宋" w:eastAsia="仿宋" w:cs="仿宋"/>
          <w:color w:val="auto"/>
          <w:sz w:val="32"/>
          <w:szCs w:val="32"/>
          <w:lang w:val="zh-CN"/>
        </w:rPr>
      </w:pPr>
      <w:r>
        <w:rPr>
          <w:rStyle w:val="19"/>
          <w:rFonts w:hint="eastAsia" w:ascii="黑体" w:hAnsi="宋体" w:eastAsia="黑体" w:cs="ATC-*11"/>
          <w:bCs/>
          <w:color w:val="auto"/>
          <w:kern w:val="0"/>
          <w:szCs w:val="30"/>
          <w:lang w:val="en-US" w:eastAsia="zh-CN"/>
        </w:rPr>
        <w:t>七、</w:t>
      </w:r>
      <w:r>
        <w:rPr>
          <w:rStyle w:val="19"/>
          <w:rFonts w:hint="eastAsia" w:ascii="黑体" w:hAnsi="宋体" w:eastAsia="黑体" w:cs="ATC-*11"/>
          <w:bCs/>
          <w:color w:val="auto"/>
          <w:kern w:val="0"/>
          <w:szCs w:val="30"/>
          <w:lang w:val="zh-CN"/>
        </w:rPr>
        <w:t>举借债务情况说明</w:t>
      </w:r>
    </w:p>
    <w:p>
      <w:pPr>
        <w:pStyle w:val="11"/>
        <w:shd w:val="clear" w:color="auto" w:fill="FFFFFF"/>
        <w:spacing w:before="0" w:beforeAutospacing="0" w:after="0" w:afterAutospacing="0" w:line="550" w:lineRule="exact"/>
        <w:ind w:firstLine="640"/>
        <w:rPr>
          <w:rFonts w:hint="eastAsia" w:ascii="CESI楷体-GB2312" w:hAnsi="CESI楷体-GB2312" w:eastAsia="CESI楷体-GB2312" w:cs="CESI楷体-GB2312"/>
          <w:color w:val="auto"/>
          <w:kern w:val="2"/>
          <w:sz w:val="32"/>
          <w:szCs w:val="32"/>
          <w:highlight w:val="none"/>
          <w:lang w:val="en-US" w:eastAsia="zh-CN"/>
        </w:rPr>
      </w:pPr>
      <w:r>
        <w:rPr>
          <w:rFonts w:hint="eastAsia" w:ascii="CESI楷体-GB2312" w:hAnsi="CESI楷体-GB2312" w:eastAsia="CESI楷体-GB2312" w:cs="CESI楷体-GB2312"/>
          <w:color w:val="auto"/>
          <w:kern w:val="2"/>
          <w:sz w:val="32"/>
          <w:szCs w:val="32"/>
          <w:highlight w:val="none"/>
          <w:lang w:val="en-US" w:eastAsia="zh-CN"/>
        </w:rPr>
        <w:t>一、2025年限额及余额情况</w:t>
      </w:r>
    </w:p>
    <w:p>
      <w:pPr>
        <w:keepNext w:val="0"/>
        <w:pageBreakBefore w:val="0"/>
        <w:widowControl w:val="0"/>
        <w:wordWrap/>
        <w:overflowPunct/>
        <w:topLinePunct w:val="0"/>
        <w:autoSpaceDE/>
        <w:autoSpaceDN/>
        <w:bidi w:val="0"/>
        <w:adjustRightInd/>
        <w:spacing w:line="560" w:lineRule="exact"/>
        <w:ind w:firstLine="640" w:firstLineChars="200"/>
        <w:jc w:val="both"/>
        <w:rPr>
          <w:rFonts w:hint="eastAsia" w:ascii="仿宋_GB2312" w:hAnsi="仿宋" w:eastAsia="仿宋_GB2312" w:cs="Times New Roman"/>
          <w:color w:val="auto"/>
          <w:kern w:val="2"/>
          <w:sz w:val="32"/>
          <w:szCs w:val="32"/>
          <w:highlight w:val="none"/>
          <w:lang w:val="en-US" w:eastAsia="zh-CN" w:bidi="ar-SA"/>
        </w:rPr>
      </w:pPr>
      <w:r>
        <w:rPr>
          <w:rFonts w:hint="eastAsia" w:ascii="仿宋_GB2312" w:hAnsi="仿宋" w:eastAsia="仿宋_GB2312" w:cs="Times New Roman"/>
          <w:color w:val="auto"/>
          <w:kern w:val="2"/>
          <w:sz w:val="32"/>
          <w:szCs w:val="32"/>
          <w:highlight w:val="none"/>
          <w:lang w:val="en-US" w:eastAsia="zh-CN" w:bidi="ar-SA"/>
        </w:rPr>
        <w:t>省财政厅核定全区2025年年底政府债务限额644509万元，其中：一般债务102585万元，专项债务541924万元。</w:t>
      </w:r>
    </w:p>
    <w:p>
      <w:pPr>
        <w:keepNext w:val="0"/>
        <w:pageBreakBefore w:val="0"/>
        <w:widowControl w:val="0"/>
        <w:wordWrap/>
        <w:overflowPunct/>
        <w:topLinePunct w:val="0"/>
        <w:autoSpaceDE/>
        <w:autoSpaceDN/>
        <w:bidi w:val="0"/>
        <w:adjustRightInd/>
        <w:spacing w:line="560" w:lineRule="exact"/>
        <w:ind w:firstLine="640" w:firstLineChars="200"/>
        <w:jc w:val="both"/>
        <w:rPr>
          <w:rFonts w:hint="eastAsia" w:ascii="仿宋_GB2312" w:hAnsi="仿宋" w:eastAsia="仿宋_GB2312" w:cs="Times New Roman"/>
          <w:color w:val="auto"/>
          <w:kern w:val="2"/>
          <w:sz w:val="32"/>
          <w:szCs w:val="32"/>
          <w:highlight w:val="none"/>
          <w:lang w:val="en-US" w:eastAsia="zh-CN" w:bidi="ar-SA"/>
        </w:rPr>
      </w:pPr>
      <w:r>
        <w:rPr>
          <w:rFonts w:hint="eastAsia" w:ascii="仿宋_GB2312" w:hAnsi="仿宋" w:eastAsia="仿宋_GB2312" w:cs="Times New Roman"/>
          <w:color w:val="auto"/>
          <w:kern w:val="2"/>
          <w:sz w:val="32"/>
          <w:szCs w:val="32"/>
          <w:highlight w:val="none"/>
          <w:lang w:val="en-US" w:eastAsia="zh-CN" w:bidi="ar-SA"/>
        </w:rPr>
        <w:t>截至2025年底，全区政府债务余额合计639102万元，其中：一般债务100447万元，专项债务538655万元。全区政府债务余额不超过省财政厅核定的限额。</w:t>
      </w:r>
    </w:p>
    <w:p>
      <w:pPr>
        <w:pStyle w:val="11"/>
        <w:shd w:val="clear" w:color="auto" w:fill="FFFFFF"/>
        <w:spacing w:before="0" w:beforeAutospacing="0" w:after="0" w:afterAutospacing="0" w:line="550" w:lineRule="exact"/>
        <w:ind w:firstLine="640"/>
        <w:rPr>
          <w:rFonts w:hint="eastAsia" w:ascii="CESI楷体-GB2312" w:hAnsi="CESI楷体-GB2312" w:eastAsia="CESI楷体-GB2312" w:cs="CESI楷体-GB2312"/>
          <w:color w:val="auto"/>
          <w:kern w:val="2"/>
          <w:sz w:val="32"/>
          <w:szCs w:val="32"/>
          <w:highlight w:val="none"/>
          <w:lang w:val="en-US" w:eastAsia="zh-CN"/>
        </w:rPr>
      </w:pPr>
      <w:r>
        <w:rPr>
          <w:rFonts w:hint="eastAsia" w:ascii="CESI楷体-GB2312" w:hAnsi="CESI楷体-GB2312" w:eastAsia="CESI楷体-GB2312" w:cs="CESI楷体-GB2312"/>
          <w:color w:val="auto"/>
          <w:kern w:val="2"/>
          <w:sz w:val="32"/>
          <w:szCs w:val="32"/>
          <w:highlight w:val="none"/>
          <w:lang w:val="en-US" w:eastAsia="zh-CN"/>
        </w:rPr>
        <w:t>二、2025年发行及还本付息情况</w:t>
      </w:r>
    </w:p>
    <w:p>
      <w:pPr>
        <w:keepNext w:val="0"/>
        <w:pageBreakBefore w:val="0"/>
        <w:widowControl w:val="0"/>
        <w:wordWrap/>
        <w:overflowPunct/>
        <w:topLinePunct w:val="0"/>
        <w:autoSpaceDE/>
        <w:autoSpaceDN/>
        <w:bidi w:val="0"/>
        <w:adjustRightInd/>
        <w:spacing w:line="560" w:lineRule="exact"/>
        <w:ind w:firstLine="640" w:firstLineChars="200"/>
        <w:jc w:val="both"/>
        <w:rPr>
          <w:rFonts w:hint="eastAsia" w:ascii="仿宋_GB2312" w:hAnsi="仿宋" w:eastAsia="仿宋_GB2312" w:cs="Times New Roman"/>
          <w:color w:val="auto"/>
          <w:kern w:val="2"/>
          <w:sz w:val="32"/>
          <w:szCs w:val="32"/>
          <w:highlight w:val="none"/>
          <w:lang w:val="en-US" w:eastAsia="zh-CN" w:bidi="ar-SA"/>
        </w:rPr>
      </w:pPr>
      <w:r>
        <w:rPr>
          <w:rFonts w:hint="eastAsia" w:ascii="仿宋_GB2312" w:hAnsi="仿宋" w:eastAsia="仿宋_GB2312" w:cs="Times New Roman"/>
          <w:color w:val="auto"/>
          <w:kern w:val="2"/>
          <w:sz w:val="32"/>
          <w:szCs w:val="32"/>
          <w:highlight w:val="none"/>
          <w:lang w:val="en-US" w:eastAsia="zh-CN" w:bidi="ar-SA"/>
        </w:rPr>
        <w:t>2025年，全区政府债券还本付息22429万元，其中：还本5045万元（一般债券还本2145万元，专项债券还本2900万元）；付息17384万元（一般债券付息3088万元；专项债券付息14296万元）。</w:t>
      </w:r>
    </w:p>
    <w:p>
      <w:pPr>
        <w:pStyle w:val="11"/>
        <w:shd w:val="clear" w:color="auto" w:fill="FFFFFF"/>
        <w:spacing w:before="0" w:beforeAutospacing="0" w:after="0" w:afterAutospacing="0" w:line="550" w:lineRule="exact"/>
        <w:ind w:firstLine="640"/>
        <w:rPr>
          <w:rFonts w:hint="eastAsia" w:ascii="CESI楷体-GB2312" w:hAnsi="CESI楷体-GB2312" w:eastAsia="CESI楷体-GB2312" w:cs="CESI楷体-GB2312"/>
          <w:color w:val="auto"/>
          <w:kern w:val="2"/>
          <w:sz w:val="32"/>
          <w:szCs w:val="32"/>
          <w:highlight w:val="none"/>
          <w:lang w:val="en-US" w:eastAsia="zh-CN"/>
        </w:rPr>
      </w:pPr>
      <w:r>
        <w:rPr>
          <w:rFonts w:hint="eastAsia" w:ascii="CESI楷体-GB2312" w:hAnsi="CESI楷体-GB2312" w:eastAsia="CESI楷体-GB2312" w:cs="CESI楷体-GB2312"/>
          <w:color w:val="auto"/>
          <w:kern w:val="2"/>
          <w:sz w:val="32"/>
          <w:szCs w:val="32"/>
          <w:highlight w:val="none"/>
          <w:lang w:val="en-US" w:eastAsia="zh-CN"/>
        </w:rPr>
        <w:t>三、提前告知2026年政府债务限额情况</w:t>
      </w:r>
    </w:p>
    <w:p>
      <w:pPr>
        <w:pStyle w:val="11"/>
        <w:shd w:val="clear" w:color="auto" w:fill="FFFFFF"/>
        <w:spacing w:before="0" w:beforeAutospacing="0" w:after="0" w:afterAutospacing="0" w:line="550" w:lineRule="exact"/>
        <w:ind w:firstLine="640"/>
        <w:rPr>
          <w:rFonts w:hint="eastAsia" w:ascii="仿宋_GB2312" w:hAnsi="仿宋" w:eastAsia="仿宋_GB2312" w:cs="Times New Roman"/>
          <w:color w:val="auto"/>
          <w:kern w:val="2"/>
          <w:sz w:val="32"/>
          <w:szCs w:val="32"/>
          <w:highlight w:val="none"/>
          <w:lang w:val="en-US" w:eastAsia="zh-CN" w:bidi="ar-SA"/>
        </w:rPr>
      </w:pPr>
      <w:r>
        <w:rPr>
          <w:rFonts w:hint="eastAsia" w:ascii="仿宋_GB2312" w:hAnsi="仿宋" w:eastAsia="仿宋_GB2312" w:cs="Times New Roman"/>
          <w:color w:val="auto"/>
          <w:kern w:val="2"/>
          <w:sz w:val="32"/>
          <w:szCs w:val="32"/>
          <w:highlight w:val="none"/>
          <w:lang w:val="en-US" w:eastAsia="zh-CN" w:bidi="ar-SA"/>
        </w:rPr>
        <w:t>我区2026年新增债务限额5.02亿元（全部为专项债）</w:t>
      </w:r>
    </w:p>
    <w:p>
      <w:pPr>
        <w:pStyle w:val="11"/>
        <w:shd w:val="clear" w:color="auto" w:fill="FFFFFF"/>
        <w:spacing w:before="0" w:beforeAutospacing="0" w:after="0" w:afterAutospacing="0" w:line="550" w:lineRule="exact"/>
        <w:ind w:firstLine="640"/>
        <w:rPr>
          <w:rFonts w:hint="eastAsia" w:ascii="CESI楷体-GB2312" w:hAnsi="CESI楷体-GB2312" w:eastAsia="CESI楷体-GB2312" w:cs="CESI楷体-GB2312"/>
          <w:color w:val="auto"/>
          <w:kern w:val="2"/>
          <w:sz w:val="32"/>
          <w:szCs w:val="32"/>
          <w:highlight w:val="none"/>
          <w:lang w:val="en-US" w:eastAsia="zh-CN"/>
        </w:rPr>
      </w:pPr>
      <w:r>
        <w:rPr>
          <w:rFonts w:hint="eastAsia" w:ascii="CESI楷体-GB2312" w:hAnsi="CESI楷体-GB2312" w:eastAsia="CESI楷体-GB2312" w:cs="CESI楷体-GB2312"/>
          <w:color w:val="auto"/>
          <w:kern w:val="2"/>
          <w:sz w:val="32"/>
          <w:szCs w:val="32"/>
          <w:highlight w:val="none"/>
          <w:lang w:val="en-US" w:eastAsia="zh-CN"/>
        </w:rPr>
        <w:t>四、2026年还本付息预算安排情况</w:t>
      </w:r>
    </w:p>
    <w:p>
      <w:pPr>
        <w:pStyle w:val="11"/>
        <w:shd w:val="clear" w:color="auto" w:fill="FFFFFF"/>
        <w:spacing w:before="0" w:beforeAutospacing="0" w:after="0" w:afterAutospacing="0" w:line="550" w:lineRule="exact"/>
        <w:ind w:firstLine="640"/>
        <w:rPr>
          <w:rFonts w:hint="eastAsia" w:ascii="仿宋_GB2312" w:hAnsi="仿宋" w:eastAsia="仿宋_GB2312" w:cs="Times New Roman"/>
          <w:color w:val="auto"/>
          <w:kern w:val="2"/>
          <w:sz w:val="32"/>
          <w:szCs w:val="32"/>
          <w:highlight w:val="none"/>
          <w:lang w:val="en-US" w:eastAsia="zh-CN" w:bidi="ar-SA"/>
        </w:rPr>
      </w:pPr>
      <w:r>
        <w:rPr>
          <w:rFonts w:hint="eastAsia" w:ascii="仿宋_GB2312" w:hAnsi="仿宋" w:eastAsia="仿宋_GB2312" w:cs="Times New Roman"/>
          <w:color w:val="auto"/>
          <w:kern w:val="2"/>
          <w:sz w:val="32"/>
          <w:szCs w:val="32"/>
          <w:highlight w:val="none"/>
          <w:lang w:val="en-US" w:eastAsia="zh-CN" w:bidi="ar-SA"/>
        </w:rPr>
        <w:t xml:space="preserve">2026年还本付息预算数7164万元，其中一般债券还本付息5225万元，专项债券还本付息1939万元。 </w:t>
      </w:r>
    </w:p>
    <w:p>
      <w:pPr>
        <w:spacing w:line="550" w:lineRule="exact"/>
        <w:ind w:firstLine="640" w:firstLineChars="200"/>
        <w:jc w:val="left"/>
        <w:rPr>
          <w:rFonts w:hint="eastAsia" w:ascii="仿宋_GB2312" w:hAnsi="仿宋" w:eastAsia="仿宋_GB2312" w:cs="Times New Roman"/>
          <w:color w:val="auto"/>
          <w:kern w:val="2"/>
          <w:sz w:val="32"/>
          <w:szCs w:val="32"/>
          <w:highlight w:val="none"/>
          <w:lang w:val="en-US" w:eastAsia="zh-CN" w:bidi="ar-SA"/>
        </w:rPr>
      </w:pPr>
      <w:r>
        <w:rPr>
          <w:rFonts w:hint="eastAsia" w:ascii="仿宋_GB2312" w:hAnsi="仿宋" w:eastAsia="仿宋_GB2312" w:cs="Times New Roman"/>
          <w:color w:val="auto"/>
          <w:kern w:val="2"/>
          <w:sz w:val="32"/>
          <w:szCs w:val="32"/>
          <w:highlight w:val="none"/>
          <w:lang w:val="en-US" w:eastAsia="zh-CN" w:bidi="ar-SA"/>
        </w:rPr>
        <w:t>2026年，根据《预算法》和《国务院关于加强地方政府性债务管理的意见》（国发〔2014〕43号）和《河南省人民政府关于加强政府性债务管理的意见》(豫政 〔2016〕11号)等文件要求，在加强债务管理，杜绝各种违法担保、变相举债行为的同时，健全债务台账管理，动态掌握债务变动情况。积极学习研究国家关于政府债务管理方面的政策法规，结合我区实际，尽力从管理模式和体制上规范债务管理，防范债务风险。</w:t>
      </w:r>
    </w:p>
    <w:p>
      <w:pPr>
        <w:keepNext w:val="0"/>
        <w:keepLines w:val="0"/>
        <w:pageBreakBefore w:val="0"/>
        <w:kinsoku/>
        <w:wordWrap/>
        <w:overflowPunct/>
        <w:topLinePunct w:val="0"/>
        <w:autoSpaceDE/>
        <w:bidi w:val="0"/>
        <w:spacing w:line="560" w:lineRule="exact"/>
        <w:ind w:firstLine="600" w:firstLineChars="200"/>
        <w:jc w:val="left"/>
        <w:textAlignment w:val="auto"/>
        <w:rPr>
          <w:rStyle w:val="19"/>
          <w:rFonts w:hint="eastAsia" w:ascii="黑体" w:hAnsi="宋体" w:eastAsia="黑体" w:cs="ATC-*11"/>
          <w:color w:val="auto"/>
          <w:kern w:val="0"/>
          <w:szCs w:val="30"/>
          <w:highlight w:val="none"/>
        </w:rPr>
      </w:pPr>
      <w:r>
        <w:rPr>
          <w:rStyle w:val="19"/>
          <w:rFonts w:hint="eastAsia" w:ascii="黑体" w:hAnsi="宋体" w:eastAsia="黑体" w:cs="ATC-*11"/>
          <w:color w:val="auto"/>
          <w:kern w:val="0"/>
          <w:szCs w:val="30"/>
          <w:highlight w:val="none"/>
        </w:rPr>
        <w:t>八、重大政策和重点项目绩效目标情况</w:t>
      </w:r>
    </w:p>
    <w:p>
      <w:pPr>
        <w:pStyle w:val="11"/>
        <w:numPr>
          <w:ilvl w:val="0"/>
          <w:numId w:val="0"/>
        </w:numPr>
        <w:shd w:val="clear" w:color="auto" w:fill="FFFFFF"/>
        <w:spacing w:before="0" w:beforeAutospacing="0" w:after="0" w:afterAutospacing="0" w:line="550" w:lineRule="exact"/>
        <w:ind w:firstLine="640" w:firstLineChars="200"/>
        <w:rPr>
          <w:rFonts w:hint="eastAsia" w:ascii="仿宋_GB2312" w:hAnsi="仿宋" w:eastAsia="仿宋_GB2312" w:cs="Times New Roman"/>
          <w:color w:val="auto"/>
          <w:kern w:val="2"/>
          <w:sz w:val="32"/>
          <w:szCs w:val="32"/>
          <w:highlight w:val="none"/>
          <w:lang w:val="en-US" w:eastAsia="zh-CN" w:bidi="ar-SA"/>
        </w:rPr>
      </w:pPr>
      <w:r>
        <w:rPr>
          <w:rFonts w:hint="eastAsia" w:ascii="仿宋_GB2312" w:hAnsi="仿宋" w:eastAsia="仿宋_GB2312" w:cs="Times New Roman"/>
          <w:color w:val="auto"/>
          <w:kern w:val="2"/>
          <w:sz w:val="32"/>
          <w:szCs w:val="32"/>
          <w:highlight w:val="none"/>
          <w:lang w:val="en-US" w:eastAsia="zh-CN" w:bidi="ar-SA"/>
        </w:rPr>
        <w:t>2026年，将进一步规范和加强预算管理，强化支出责任，提高资金使用效益，建立健全预算管理机制，完善绩效管理工作制度。逐步建立和完善财政支出绩效评价相关制度，包括绩效目标审查制度等。</w:t>
      </w:r>
    </w:p>
    <w:p>
      <w:pPr>
        <w:pStyle w:val="11"/>
        <w:numPr>
          <w:ilvl w:val="0"/>
          <w:numId w:val="0"/>
        </w:numPr>
        <w:shd w:val="clear" w:color="auto" w:fill="FFFFFF"/>
        <w:spacing w:before="0" w:beforeAutospacing="0" w:after="0" w:afterAutospacing="0" w:line="550" w:lineRule="exact"/>
        <w:ind w:firstLine="640" w:firstLineChars="200"/>
        <w:rPr>
          <w:rFonts w:hint="eastAsia" w:ascii="仿宋_GB2312" w:hAnsi="仿宋" w:eastAsia="仿宋_GB2312" w:cs="Times New Roman"/>
          <w:color w:val="auto"/>
          <w:kern w:val="2"/>
          <w:sz w:val="32"/>
          <w:szCs w:val="32"/>
          <w:highlight w:val="none"/>
          <w:lang w:val="en-US" w:eastAsia="zh-CN" w:bidi="ar-SA"/>
        </w:rPr>
      </w:pPr>
      <w:r>
        <w:rPr>
          <w:rFonts w:hint="eastAsia" w:ascii="仿宋_GB2312" w:hAnsi="仿宋" w:eastAsia="仿宋_GB2312" w:cs="Times New Roman"/>
          <w:color w:val="auto"/>
          <w:kern w:val="2"/>
          <w:sz w:val="32"/>
          <w:szCs w:val="32"/>
          <w:highlight w:val="none"/>
          <w:lang w:val="en-US" w:eastAsia="zh-CN" w:bidi="ar-SA"/>
        </w:rPr>
        <w:t>合理运用评价方法。根据支出项目的不同情况选择合适的评价方法，如成本效益分析法、比较法、因素分析法、最低成本法、公众评判法等，并依托有关专家和中介机构的力量，使评价结论更准确、更具权威性，重点开展财政专项扶贫资金绩效考评工作。</w:t>
      </w:r>
    </w:p>
    <w:p>
      <w:pPr>
        <w:pStyle w:val="11"/>
        <w:numPr>
          <w:ilvl w:val="0"/>
          <w:numId w:val="0"/>
        </w:numPr>
        <w:shd w:val="clear" w:color="auto" w:fill="FFFFFF"/>
        <w:spacing w:before="0" w:beforeAutospacing="0" w:after="0" w:afterAutospacing="0" w:line="550" w:lineRule="exact"/>
        <w:ind w:firstLine="640" w:firstLineChars="200"/>
        <w:rPr>
          <w:rFonts w:hint="eastAsia" w:ascii="仿宋_GB2312" w:hAnsi="仿宋" w:eastAsia="仿宋_GB2312" w:cs="Times New Roman"/>
          <w:color w:val="auto"/>
          <w:kern w:val="2"/>
          <w:sz w:val="32"/>
          <w:szCs w:val="32"/>
          <w:highlight w:val="none"/>
          <w:lang w:val="en-US" w:eastAsia="zh-CN" w:bidi="ar-SA"/>
        </w:rPr>
      </w:pPr>
      <w:r>
        <w:rPr>
          <w:rFonts w:hint="eastAsia" w:ascii="仿宋_GB2312" w:hAnsi="仿宋" w:eastAsia="仿宋_GB2312" w:cs="Times New Roman"/>
          <w:color w:val="auto"/>
          <w:kern w:val="2"/>
          <w:sz w:val="32"/>
          <w:szCs w:val="32"/>
          <w:highlight w:val="none"/>
          <w:lang w:val="en-US" w:eastAsia="zh-CN" w:bidi="ar-SA"/>
        </w:rPr>
        <w:t>2026年我区预算项目支出，均编报了绩效目标，各部门绩效目标编报情况已在本部门公开内容里单独列示。</w:t>
      </w:r>
    </w:p>
    <w:p>
      <w:pPr>
        <w:pStyle w:val="4"/>
        <w:keepNext w:val="0"/>
        <w:keepLines w:val="0"/>
        <w:pageBreakBefore w:val="0"/>
        <w:kinsoku/>
        <w:wordWrap/>
        <w:overflowPunct/>
        <w:topLinePunct w:val="0"/>
        <w:autoSpaceDE/>
        <w:bidi w:val="0"/>
        <w:spacing w:line="560" w:lineRule="exact"/>
        <w:ind w:firstLine="640"/>
        <w:jc w:val="left"/>
        <w:textAlignment w:val="auto"/>
        <w:rPr>
          <w:rStyle w:val="19"/>
          <w:rFonts w:hint="eastAsia" w:ascii="黑体" w:hAnsi="宋体" w:eastAsia="黑体" w:cs="ATC-*11"/>
          <w:color w:val="auto"/>
          <w:kern w:val="0"/>
          <w:szCs w:val="30"/>
          <w:highlight w:val="none"/>
        </w:rPr>
      </w:pPr>
      <w:bookmarkStart w:id="0" w:name="_GoBack"/>
      <w:r>
        <w:rPr>
          <w:rStyle w:val="19"/>
          <w:rFonts w:hint="eastAsia" w:ascii="黑体" w:hAnsi="宋体" w:eastAsia="黑体" w:cs="ATC-*11"/>
          <w:color w:val="auto"/>
          <w:kern w:val="0"/>
          <w:szCs w:val="30"/>
          <w:highlight w:val="none"/>
        </w:rPr>
        <w:t>九、财政</w:t>
      </w:r>
      <w:r>
        <w:rPr>
          <w:rStyle w:val="19"/>
          <w:rFonts w:hint="eastAsia" w:ascii="黑体" w:hAnsi="宋体" w:eastAsia="黑体" w:cs="ATC-*11"/>
          <w:color w:val="auto"/>
          <w:kern w:val="0"/>
          <w:szCs w:val="30"/>
          <w:highlight w:val="none"/>
          <w:lang w:val="en-US" w:eastAsia="zh-CN"/>
        </w:rPr>
        <w:t>衔接</w:t>
      </w:r>
      <w:r>
        <w:rPr>
          <w:rStyle w:val="19"/>
          <w:rFonts w:hint="eastAsia" w:ascii="黑体" w:hAnsi="宋体" w:eastAsia="黑体" w:cs="ATC-*11"/>
          <w:color w:val="auto"/>
          <w:kern w:val="0"/>
          <w:szCs w:val="30"/>
          <w:highlight w:val="none"/>
        </w:rPr>
        <w:t>资金情况</w:t>
      </w:r>
    </w:p>
    <w:p>
      <w:pPr>
        <w:pStyle w:val="11"/>
        <w:shd w:val="clear" w:color="auto" w:fill="FFFFFF"/>
        <w:spacing w:before="0" w:beforeAutospacing="0" w:after="0" w:afterAutospacing="0" w:line="550" w:lineRule="exact"/>
        <w:ind w:firstLine="640"/>
        <w:rPr>
          <w:rFonts w:hint="eastAsia" w:ascii="仿宋_GB2312" w:hAnsi="Calibri" w:eastAsia="仿宋_GB2312" w:cs="Times New Roman"/>
          <w:color w:val="auto"/>
          <w:kern w:val="2"/>
          <w:sz w:val="32"/>
          <w:szCs w:val="32"/>
          <w:lang w:val="en-US" w:eastAsia="zh-CN" w:bidi="ar-SA"/>
        </w:rPr>
      </w:pPr>
      <w:r>
        <w:rPr>
          <w:rFonts w:hint="eastAsia" w:ascii="仿宋_GB2312" w:hAnsi="Calibri" w:eastAsia="仿宋_GB2312" w:cs="Times New Roman"/>
          <w:color w:val="auto"/>
          <w:kern w:val="2"/>
          <w:sz w:val="32"/>
          <w:szCs w:val="32"/>
          <w:lang w:val="en-US" w:eastAsia="zh-CN" w:bidi="ar-SA"/>
        </w:rPr>
        <w:t>（1）2026年是否安排分配财政衔接资金</w:t>
      </w:r>
    </w:p>
    <w:p>
      <w:pPr>
        <w:pStyle w:val="11"/>
        <w:shd w:val="clear" w:color="auto" w:fill="FFFFFF"/>
        <w:spacing w:before="0" w:beforeAutospacing="0" w:after="0" w:afterAutospacing="0" w:line="550" w:lineRule="exact"/>
        <w:ind w:firstLine="640"/>
        <w:rPr>
          <w:rFonts w:hint="eastAsia" w:ascii="仿宋_GB2312" w:hAnsi="Calibri" w:eastAsia="仿宋_GB2312" w:cs="Times New Roman"/>
          <w:color w:val="auto"/>
          <w:kern w:val="2"/>
          <w:sz w:val="32"/>
          <w:szCs w:val="32"/>
          <w:lang w:val="en-US" w:eastAsia="zh-CN" w:bidi="ar-SA"/>
        </w:rPr>
      </w:pPr>
      <w:r>
        <w:rPr>
          <w:rFonts w:hint="eastAsia" w:ascii="仿宋_GB2312" w:hAnsi="Calibri" w:eastAsia="仿宋_GB2312" w:cs="Times New Roman"/>
          <w:color w:val="auto"/>
          <w:kern w:val="2"/>
          <w:sz w:val="32"/>
          <w:szCs w:val="32"/>
          <w:lang w:val="en-US" w:eastAsia="zh-CN" w:bidi="ar-SA"/>
        </w:rPr>
        <w:t>我区2026年预算安排分配了财政衔接资金。</w:t>
      </w:r>
    </w:p>
    <w:p>
      <w:pPr>
        <w:pStyle w:val="11"/>
        <w:shd w:val="clear" w:color="auto" w:fill="FFFFFF"/>
        <w:spacing w:before="0" w:beforeAutospacing="0" w:after="0" w:afterAutospacing="0" w:line="550" w:lineRule="exact"/>
        <w:ind w:firstLine="640"/>
        <w:rPr>
          <w:rFonts w:hint="eastAsia" w:ascii="仿宋_GB2312" w:hAnsi="Calibri" w:eastAsia="仿宋_GB2312" w:cs="Times New Roman"/>
          <w:color w:val="auto"/>
          <w:kern w:val="2"/>
          <w:sz w:val="32"/>
          <w:szCs w:val="32"/>
          <w:lang w:val="en-US" w:eastAsia="zh-CN" w:bidi="ar-SA"/>
        </w:rPr>
      </w:pPr>
      <w:r>
        <w:rPr>
          <w:rFonts w:hint="eastAsia" w:ascii="仿宋_GB2312" w:hAnsi="Calibri" w:eastAsia="仿宋_GB2312" w:cs="Times New Roman"/>
          <w:color w:val="auto"/>
          <w:kern w:val="2"/>
          <w:sz w:val="32"/>
          <w:szCs w:val="32"/>
          <w:lang w:val="en-US" w:eastAsia="zh-CN" w:bidi="ar-SA"/>
        </w:rPr>
        <w:t>（2）财政衔接资金安排分配情况</w:t>
      </w:r>
    </w:p>
    <w:p>
      <w:pPr>
        <w:pStyle w:val="11"/>
        <w:shd w:val="clear" w:color="auto" w:fill="FFFFFF"/>
        <w:spacing w:before="0" w:beforeAutospacing="0" w:after="0" w:afterAutospacing="0" w:line="550" w:lineRule="exact"/>
        <w:ind w:firstLine="640"/>
        <w:rPr>
          <w:rFonts w:hint="eastAsia" w:ascii="仿宋_GB2312" w:hAnsi="Calibri" w:eastAsia="仿宋_GB2312" w:cs="Times New Roman"/>
          <w:color w:val="auto"/>
          <w:kern w:val="2"/>
          <w:sz w:val="32"/>
          <w:szCs w:val="32"/>
          <w:lang w:val="en-US" w:eastAsia="zh-CN" w:bidi="ar-SA"/>
        </w:rPr>
      </w:pPr>
      <w:r>
        <w:rPr>
          <w:rFonts w:hint="eastAsia" w:ascii="仿宋_GB2312" w:hAnsi="Calibri" w:eastAsia="仿宋_GB2312" w:cs="Times New Roman"/>
          <w:color w:val="auto"/>
          <w:kern w:val="2"/>
          <w:sz w:val="32"/>
          <w:szCs w:val="32"/>
          <w:lang w:val="en-US" w:eastAsia="zh-CN" w:bidi="ar-SA"/>
        </w:rPr>
        <w:t>2026年殷都区巩固拓展脱贫攻坚成果和乡村振兴项目库投入财政衔接资金总规模7343.76万元，共安排项目112个，项目类型为产业发展项目和乡村建设项目，资金规模6463.76万元。</w:t>
      </w:r>
    </w:p>
    <w:p>
      <w:pPr>
        <w:pStyle w:val="11"/>
        <w:shd w:val="clear" w:color="auto" w:fill="FFFFFF"/>
        <w:spacing w:before="0" w:beforeAutospacing="0" w:after="0" w:afterAutospacing="0" w:line="550" w:lineRule="exact"/>
        <w:ind w:firstLine="640"/>
        <w:rPr>
          <w:rFonts w:hint="eastAsia" w:ascii="仿宋_GB2312" w:hAnsi="Calibri" w:eastAsia="仿宋_GB2312" w:cs="Times New Roman"/>
          <w:color w:val="auto"/>
          <w:kern w:val="2"/>
          <w:sz w:val="32"/>
          <w:szCs w:val="32"/>
          <w:lang w:val="en-US" w:eastAsia="zh-CN" w:bidi="ar-SA"/>
        </w:rPr>
      </w:pPr>
      <w:r>
        <w:rPr>
          <w:rFonts w:hint="eastAsia" w:ascii="仿宋_GB2312" w:hAnsi="Calibri" w:eastAsia="仿宋_GB2312" w:cs="Times New Roman"/>
          <w:color w:val="auto"/>
          <w:kern w:val="2"/>
          <w:sz w:val="32"/>
          <w:szCs w:val="32"/>
          <w:lang w:val="en-US" w:eastAsia="zh-CN" w:bidi="ar-SA"/>
        </w:rPr>
        <w:t>为贯彻落实《中共中央国务院关于实现巩固拓展脱贫攻坚成果同乡村振兴有效衔接的意见》和河南省委、省政府关于巩固拓展脱贫攻坚成果同乡村振兴有效衔接的要求，加强财政衔接资金管理，提高资金使用效率，根据《财政部 国家乡村振兴局 国家发展改革委 国家民委 农业农村部 国家林草局关于印发&lt;中央财政衔接推进乡村振兴补助资金管理办法&gt;的通知》(财农〔2024〕19号)、《财政部 国家乡村振兴局 国家发展改革委 国家民委 农业农村部 国家林草局关于印发&lt;衔接推进乡村振兴补助资金绩效评价及考核办法&gt;的通知》(财农〔2024〕122号)、《河南省财政厅 河南省乡村振兴局 河南省发展和改革委员会 河南省民族宗教事务委员会 河南省农业农村厅 河南省林业局关于印发&lt;河南省财政衔接推进乡村振兴补助资金管理办法&gt;的通知》(豫财农综〔2024〕9号)、《安阳市财政局 安阳市乡村振兴局关于印发&lt;安阳市财政衔接推进乡村振兴补助资金管理办法》（安财农〔2024〕11号）等文件规定，我区自下而上层层申报，经殷都区巩固拓展脱贫攻坚成果领导小组审定，建设了殷都区2026年度巩固拓展脱贫攻坚成果和乡村振兴项目库，并在网站进行公示，接受社会监督。</w:t>
      </w:r>
    </w:p>
    <w:bookmarkEnd w:id="0"/>
    <w:p>
      <w:pPr>
        <w:keepNext w:val="0"/>
        <w:keepLines w:val="0"/>
        <w:pageBreakBefore w:val="0"/>
        <w:kinsoku/>
        <w:wordWrap/>
        <w:overflowPunct/>
        <w:topLinePunct w:val="0"/>
        <w:autoSpaceDE/>
        <w:bidi w:val="0"/>
        <w:spacing w:line="560" w:lineRule="exact"/>
        <w:ind w:firstLine="600" w:firstLineChars="200"/>
        <w:jc w:val="left"/>
        <w:textAlignment w:val="auto"/>
        <w:rPr>
          <w:rStyle w:val="19"/>
          <w:rFonts w:hint="eastAsia" w:ascii="黑体" w:hAnsi="宋体" w:eastAsia="黑体" w:cs="ATC-*11"/>
          <w:color w:val="auto"/>
          <w:kern w:val="0"/>
          <w:szCs w:val="30"/>
          <w:highlight w:val="none"/>
          <w:lang w:eastAsia="zh-CN"/>
        </w:rPr>
      </w:pPr>
      <w:r>
        <w:rPr>
          <w:rStyle w:val="19"/>
          <w:rFonts w:hint="eastAsia" w:ascii="黑体" w:hAnsi="宋体" w:eastAsia="黑体" w:cs="ATC-*11"/>
          <w:color w:val="auto"/>
          <w:kern w:val="0"/>
          <w:szCs w:val="30"/>
          <w:highlight w:val="none"/>
          <w:lang w:eastAsia="zh-CN"/>
        </w:rPr>
        <w:t>十、预算调整报告及报表情况</w:t>
      </w:r>
    </w:p>
    <w:p>
      <w:pPr>
        <w:keepNext w:val="0"/>
        <w:keepLines w:val="0"/>
        <w:pageBreakBefore w:val="0"/>
        <w:kinsoku/>
        <w:wordWrap/>
        <w:overflowPunct/>
        <w:topLinePunct w:val="0"/>
        <w:autoSpaceDE/>
        <w:bidi w:val="0"/>
        <w:spacing w:line="560" w:lineRule="exact"/>
        <w:jc w:val="left"/>
        <w:textAlignment w:val="auto"/>
        <w:rPr>
          <w:rFonts w:hint="eastAsia" w:ascii="仿宋_GB2312" w:eastAsia="仿宋_GB2312"/>
          <w:sz w:val="32"/>
          <w:szCs w:val="32"/>
          <w:highlight w:val="none"/>
          <w:lang w:val="en-US" w:eastAsia="zh-CN"/>
        </w:rPr>
      </w:pPr>
      <w:r>
        <w:rPr>
          <w:rFonts w:hint="eastAsia" w:ascii="仿宋_GB2312" w:eastAsia="仿宋_GB2312"/>
          <w:sz w:val="32"/>
          <w:szCs w:val="32"/>
          <w:highlight w:val="none"/>
          <w:lang w:val="en-US" w:eastAsia="zh-CN"/>
        </w:rPr>
        <w:t xml:space="preserve">    截止公开日，殷都区暂无预算调整报告及报表。</w:t>
      </w:r>
    </w:p>
    <w:p>
      <w:pPr>
        <w:pStyle w:val="6"/>
        <w:snapToGrid w:val="0"/>
        <w:spacing w:line="600" w:lineRule="exact"/>
        <w:ind w:right="42" w:rightChars="20"/>
        <w:rPr>
          <w:highlight w:val="yellow"/>
        </w:rPr>
      </w:pPr>
      <w:r>
        <w:rPr>
          <w:rFonts w:hint="eastAsia" w:ascii="仿宋" w:hAnsi="仿宋" w:eastAsia="仿宋" w:cs="宋体"/>
          <w:kern w:val="0"/>
          <w:sz w:val="32"/>
          <w:szCs w:val="32"/>
          <w:highlight w:val="yellow"/>
          <w:u w:val="thick"/>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404495</wp:posOffset>
                </wp:positionV>
                <wp:extent cx="10160" cy="635"/>
                <wp:effectExtent l="0" t="0" r="0" b="0"/>
                <wp:wrapNone/>
                <wp:docPr id="1" name="直线 2"/>
                <wp:cNvGraphicFramePr/>
                <a:graphic xmlns:a="http://schemas.openxmlformats.org/drawingml/2006/main">
                  <a:graphicData uri="http://schemas.microsoft.com/office/word/2010/wordprocessingShape">
                    <wps:wsp>
                      <wps:cNvCnPr/>
                      <wps:spPr>
                        <a:xfrm>
                          <a:off x="0" y="0"/>
                          <a:ext cx="10160" cy="635"/>
                        </a:xfrm>
                        <a:prstGeom prst="line">
                          <a:avLst/>
                        </a:prstGeom>
                        <a:ln w="15875" cap="flat" cmpd="sng">
                          <a:solidFill>
                            <a:srgbClr val="000000"/>
                          </a:solidFill>
                          <a:prstDash val="solid"/>
                          <a:headEnd type="none" w="med" len="med"/>
                          <a:tailEnd type="none" w="med" len="med"/>
                        </a:ln>
                      </wps:spPr>
                      <wps:bodyPr upright="1"/>
                    </wps:wsp>
                  </a:graphicData>
                </a:graphic>
              </wp:anchor>
            </w:drawing>
          </mc:Choice>
          <mc:Fallback>
            <w:pict>
              <v:line id="直线 2" o:spid="_x0000_s1026" o:spt="20" style="position:absolute;left:0pt;margin-left:0pt;margin-top:31.85pt;height:0.05pt;width:0.8pt;z-index:251659264;mso-width-relative:page;mso-height-relative:page;" filled="f" stroked="t" coordsize="21600,21600" o:gfxdata="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FgAAAGRycy9QSwEC&#10;FAAUAAAACACHTuJA4DRh49MAAAAEAQAADwAAAAAAAAABACAAAAA4AAAAZHJzL2Rvd25yZXYueG1s&#10;UEsBAhQAFAAAAAgAh07iQL+Ny/znAQAA3AMAAA4AAAAAAAAAAQAgAAAAOAEAAGRycy9lMm9Eb2Mu&#10;eG1sUEsFBgAAAAAGAAYAWQEAAJEFAAAAAA==&#10;">
                <v:fill on="f" focussize="0,0"/>
                <v:stroke weight="1.25pt" color="#000000" joinstyle="round"/>
                <v:imagedata o:title=""/>
                <o:lock v:ext="edit" aspectratio="f"/>
              </v:line>
            </w:pict>
          </mc:Fallback>
        </mc:AlternateContent>
      </w:r>
    </w:p>
    <w:sectPr>
      <w:headerReference r:id="rId3" w:type="default"/>
      <w:footerReference r:id="rId4" w:type="default"/>
      <w:pgSz w:w="11906" w:h="16838"/>
      <w:pgMar w:top="1474" w:right="1474" w:bottom="1474" w:left="1587" w:header="851" w:footer="992" w:gutter="0"/>
      <w:cols w:space="720" w:num="1"/>
      <w:rtlGutter w:val="0"/>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7A"/>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楷体简体">
    <w:altName w:val="楷体_GB2312"/>
    <w:panose1 w:val="00000000000000000000"/>
    <w:charset w:val="00"/>
    <w:family w:val="script"/>
    <w:pitch w:val="default"/>
    <w:sig w:usb0="00000000" w:usb1="00000000" w:usb2="00000010" w:usb3="00000000" w:csb0="00040000" w:csb1="00000000"/>
  </w:font>
  <w:font w:name="楷体_GB2312">
    <w:panose1 w:val="02010609030101010101"/>
    <w:charset w:val="86"/>
    <w:family w:val="auto"/>
    <w:pitch w:val="default"/>
    <w:sig w:usb0="00000001" w:usb1="080E0000" w:usb2="00000000" w:usb3="00000000" w:csb0="00040000" w:csb1="00000000"/>
  </w:font>
  <w:font w:name="ATC-*33">
    <w:altName w:val="仿宋_GB2312"/>
    <w:panose1 w:val="00000000000000000000"/>
    <w:charset w:val="00"/>
    <w:family w:val="auto"/>
    <w:pitch w:val="default"/>
    <w:sig w:usb0="00000000" w:usb1="00000000" w:usb2="00000010" w:usb3="00000000" w:csb0="00040000" w:csb1="00000000"/>
  </w:font>
  <w:font w:name="仿宋_GB2312">
    <w:panose1 w:val="02010609030101010101"/>
    <w:charset w:val="86"/>
    <w:family w:val="auto"/>
    <w:pitch w:val="default"/>
    <w:sig w:usb0="00000001" w:usb1="080E0000" w:usb2="00000000" w:usb3="00000000" w:csb0="00040000" w:csb1="00000000"/>
  </w:font>
  <w:font w:name="ATC-*11">
    <w:altName w:val="仿宋_GB2312"/>
    <w:panose1 w:val="00000000000000000000"/>
    <w:charset w:val="00"/>
    <w:family w:val="auto"/>
    <w:pitch w:val="default"/>
    <w:sig w:usb0="00000000" w:usb1="00000000" w:usb2="00000010" w:usb3="00000000" w:csb0="00040000" w:csb1="00000000"/>
  </w:font>
  <w:font w:name="ATC-4eff5b8b65704f53">
    <w:altName w:val="仿宋_GB2312"/>
    <w:panose1 w:val="00000000000000000000"/>
    <w:charset w:val="00"/>
    <w:family w:val="auto"/>
    <w:pitch w:val="default"/>
    <w:sig w:usb0="00000000" w:usb1="00000000" w:usb2="00000010" w:usb3="00000000" w:csb0="00040000" w:csb1="00000000"/>
  </w:font>
  <w:font w:name="Adobe 宋体 Std L">
    <w:altName w:val="方正书宋_GBK"/>
    <w:panose1 w:val="00000000000000000000"/>
    <w:charset w:val="00"/>
    <w:family w:val="roman"/>
    <w:pitch w:val="default"/>
    <w:sig w:usb0="00000000" w:usb1="00000000" w:usb2="0000001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
    <w:altName w:val="方正楷体_GBK"/>
    <w:panose1 w:val="02010609060101010101"/>
    <w:charset w:val="86"/>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roma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CESI楷体-GB2312">
    <w:panose1 w:val="02000500000000000000"/>
    <w:charset w:val="86"/>
    <w:family w:val="auto"/>
    <w:pitch w:val="default"/>
    <w:sig w:usb0="800002BF" w:usb1="184F6CF8" w:usb2="00000012"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59264" behindDoc="0" locked="0" layoutInCell="1" allowOverlap="1">
              <wp:simplePos x="0" y="0"/>
              <wp:positionH relativeFrom="margin">
                <wp:posOffset>2369185</wp:posOffset>
              </wp:positionH>
              <wp:positionV relativeFrom="paragraph">
                <wp:posOffset>-9525</wp:posOffset>
              </wp:positionV>
              <wp:extent cx="1049655" cy="139065"/>
              <wp:effectExtent l="0" t="0" r="0" b="0"/>
              <wp:wrapNone/>
              <wp:docPr id="2" name="文本框 1"/>
              <wp:cNvGraphicFramePr/>
              <a:graphic xmlns:a="http://schemas.openxmlformats.org/drawingml/2006/main">
                <a:graphicData uri="http://schemas.microsoft.com/office/word/2010/wordprocessingShape">
                  <wps:wsp>
                    <wps:cNvSpPr txBox="1"/>
                    <wps:spPr>
                      <a:xfrm>
                        <a:off x="0" y="0"/>
                        <a:ext cx="1049655" cy="139065"/>
                      </a:xfrm>
                      <a:prstGeom prst="rect">
                        <a:avLst/>
                      </a:prstGeom>
                      <a:noFill/>
                      <a:ln w="6350">
                        <a:noFill/>
                      </a:ln>
                    </wps:spPr>
                    <wps:txbx>
                      <w:txbxContent>
                        <w:p>
                          <w:pPr>
                            <w:pStyle w:val="8"/>
                          </w:pPr>
                          <w:r>
                            <w:rPr>
                              <w:rFonts w:hint="eastAsia"/>
                            </w:rPr>
                            <w:t>第</w:t>
                          </w:r>
                          <w:r>
                            <w:t xml:space="preserve"> </w:t>
                          </w:r>
                          <w:r>
                            <w:fldChar w:fldCharType="begin"/>
                          </w:r>
                          <w:r>
                            <w:instrText xml:space="preserve"> PAGE  \* MERGEFORMAT </w:instrText>
                          </w:r>
                          <w:r>
                            <w:fldChar w:fldCharType="separate"/>
                          </w:r>
                          <w:r>
                            <w:t>2</w:t>
                          </w:r>
                          <w:r>
                            <w:fldChar w:fldCharType="end"/>
                          </w:r>
                          <w:r>
                            <w:t xml:space="preserve"> </w:t>
                          </w:r>
                          <w:r>
                            <w:rPr>
                              <w:rFonts w:hint="eastAsia"/>
                            </w:rPr>
                            <w:t>页</w:t>
                          </w:r>
                          <w:r>
                            <w:t xml:space="preserve"> </w:t>
                          </w:r>
                          <w:r>
                            <w:rPr>
                              <w:rFonts w:hint="eastAsia"/>
                            </w:rPr>
                            <w:t>共</w:t>
                          </w:r>
                          <w:r>
                            <w:t xml:space="preserve"> </w:t>
                          </w:r>
                          <w:r>
                            <w:fldChar w:fldCharType="begin"/>
                          </w:r>
                          <w:r>
                            <w:instrText xml:space="preserve"> NUMPAGES  \* MERGEFORMAT </w:instrText>
                          </w:r>
                          <w:r>
                            <w:fldChar w:fldCharType="separate"/>
                          </w:r>
                          <w:r>
                            <w:t>28</w:t>
                          </w:r>
                          <w:r>
                            <w:fldChar w:fldCharType="end"/>
                          </w:r>
                          <w:r>
                            <w:t xml:space="preserve"> </w:t>
                          </w:r>
                          <w:r>
                            <w:rPr>
                              <w:rFonts w:hint="eastAsia"/>
                            </w:rPr>
                            <w:t>页</w:t>
                          </w:r>
                        </w:p>
                      </w:txbxContent>
                    </wps:txbx>
                    <wps:bodyPr vert="horz" wrap="square" lIns="0" tIns="0" rIns="0" bIns="0" anchor="t" anchorCtr="0" upright="1"/>
                  </wps:wsp>
                </a:graphicData>
              </a:graphic>
            </wp:anchor>
          </w:drawing>
        </mc:Choice>
        <mc:Fallback>
          <w:pict>
            <v:shape id="文本框 1" o:spid="_x0000_s1026" o:spt="202" type="#_x0000_t202" style="position:absolute;left:0pt;margin-left:186.55pt;margin-top:-0.75pt;height:10.95pt;width:82.65pt;mso-position-horizontal-relative:margin;z-index:251659264;mso-width-relative:page;mso-height-relative:page;" filled="f" stroked="f" coordsize="21600,21600" o:gfxdata="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FgAAAGRycy9QSwEC&#10;FAAUAAAACACHTuJALBPrfNkAAAAJAQAADwAAAAAAAAABACAAAAA4AAAAZHJzL2Rvd25yZXYueG1s&#10;UEsBAhQAFAAAAAgAh07iQJlVrD7hAQAArgMAAA4AAAAAAAAAAQAgAAAAPgEAAGRycy9lMm9Eb2Mu&#10;eG1sUEsFBgAAAAAGAAYAWQEAAJEFAAAAAA==&#10;">
              <v:fill on="f" focussize="0,0"/>
              <v:stroke on="f" weight="0.5pt"/>
              <v:imagedata o:title=""/>
              <o:lock v:ext="edit" aspectratio="f"/>
              <v:textbox inset="0mm,0mm,0mm,0mm">
                <w:txbxContent>
                  <w:p>
                    <w:pPr>
                      <w:pStyle w:val="8"/>
                    </w:pPr>
                    <w:r>
                      <w:rPr>
                        <w:rFonts w:hint="eastAsia"/>
                      </w:rPr>
                      <w:t>第</w:t>
                    </w:r>
                    <w:r>
                      <w:t xml:space="preserve"> </w:t>
                    </w:r>
                    <w:r>
                      <w:fldChar w:fldCharType="begin"/>
                    </w:r>
                    <w:r>
                      <w:instrText xml:space="preserve"> PAGE  \* MERGEFORMAT </w:instrText>
                    </w:r>
                    <w:r>
                      <w:fldChar w:fldCharType="separate"/>
                    </w:r>
                    <w:r>
                      <w:t>2</w:t>
                    </w:r>
                    <w:r>
                      <w:fldChar w:fldCharType="end"/>
                    </w:r>
                    <w:r>
                      <w:t xml:space="preserve"> </w:t>
                    </w:r>
                    <w:r>
                      <w:rPr>
                        <w:rFonts w:hint="eastAsia"/>
                      </w:rPr>
                      <w:t>页</w:t>
                    </w:r>
                    <w:r>
                      <w:t xml:space="preserve"> </w:t>
                    </w:r>
                    <w:r>
                      <w:rPr>
                        <w:rFonts w:hint="eastAsia"/>
                      </w:rPr>
                      <w:t>共</w:t>
                    </w:r>
                    <w:r>
                      <w:t xml:space="preserve"> </w:t>
                    </w:r>
                    <w:r>
                      <w:fldChar w:fldCharType="begin"/>
                    </w:r>
                    <w:r>
                      <w:instrText xml:space="preserve"> NUMPAGES  \* MERGEFORMAT </w:instrText>
                    </w:r>
                    <w:r>
                      <w:fldChar w:fldCharType="separate"/>
                    </w:r>
                    <w:r>
                      <w:t>28</w:t>
                    </w:r>
                    <w:r>
                      <w:fldChar w:fldCharType="end"/>
                    </w:r>
                    <w:r>
                      <w:t xml:space="preserve"> </w:t>
                    </w:r>
                    <w:r>
                      <w:rPr>
                        <w:rFonts w:hint="eastAsia"/>
                      </w:rPr>
                      <w:t>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top w:val="none" w:color="auto" w:sz="0" w:space="0"/>
        <w:left w:val="none" w:color="auto" w:sz="0" w:space="0"/>
        <w:bottom w:val="none" w:color="auto" w:sz="0" w:space="0"/>
        <w:right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A216F0"/>
    <w:multiLevelType w:val="multilevel"/>
    <w:tmpl w:val="1DA216F0"/>
    <w:lvl w:ilvl="0" w:tentative="0">
      <w:start w:val="1"/>
      <w:numFmt w:val="chineseCountingThousand"/>
      <w:pStyle w:val="10"/>
      <w:lvlText w:val="第%1章　"/>
      <w:lvlJc w:val="left"/>
      <w:pPr>
        <w:tabs>
          <w:tab w:val="left" w:pos="1440"/>
        </w:tabs>
        <w:ind w:left="720" w:hanging="720"/>
      </w:pPr>
      <w:rPr>
        <w:rFonts w:hint="eastAsia"/>
        <w:sz w:val="32"/>
      </w:rPr>
    </w:lvl>
    <w:lvl w:ilvl="1" w:tentative="0">
      <w:start w:val="1"/>
      <w:numFmt w:val="lowerRoman"/>
      <w:lvlText w:val="(%2)"/>
      <w:lvlJc w:val="left"/>
      <w:pPr>
        <w:tabs>
          <w:tab w:val="left" w:pos="861"/>
        </w:tabs>
        <w:ind w:left="861" w:hanging="720"/>
      </w:pPr>
      <w:rPr>
        <w:rFonts w:hint="eastAsia"/>
      </w:rPr>
    </w:lvl>
    <w:lvl w:ilvl="2" w:tentative="0">
      <w:start w:val="1"/>
      <w:numFmt w:val="lowerLetter"/>
      <w:lvlText w:val="(%3)"/>
      <w:lvlJc w:val="left"/>
      <w:pPr>
        <w:tabs>
          <w:tab w:val="left" w:pos="1335"/>
        </w:tabs>
        <w:ind w:left="1335" w:hanging="495"/>
      </w:pPr>
      <w:rPr>
        <w:rFonts w:hint="eastAsia"/>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299A20C8"/>
    <w:multiLevelType w:val="multilevel"/>
    <w:tmpl w:val="299A20C8"/>
    <w:lvl w:ilvl="0" w:tentative="0">
      <w:start w:val="1"/>
      <w:numFmt w:val="japaneseCounting"/>
      <w:lvlText w:val="%1、"/>
      <w:lvlJc w:val="left"/>
      <w:pPr>
        <w:tabs>
          <w:tab w:val="left" w:pos="1360"/>
        </w:tabs>
        <w:ind w:left="1360" w:hanging="720"/>
      </w:pPr>
      <w:rPr>
        <w:rFonts w:hint="default"/>
      </w:rPr>
    </w:lvl>
    <w:lvl w:ilvl="1" w:tentative="0">
      <w:start w:val="1"/>
      <w:numFmt w:val="lowerLetter"/>
      <w:lvlText w:val="%2)"/>
      <w:lvlJc w:val="left"/>
      <w:pPr>
        <w:tabs>
          <w:tab w:val="left" w:pos="1480"/>
        </w:tabs>
        <w:ind w:left="1480" w:hanging="420"/>
      </w:pPr>
    </w:lvl>
    <w:lvl w:ilvl="2" w:tentative="0">
      <w:start w:val="1"/>
      <w:numFmt w:val="lowerRoman"/>
      <w:lvlText w:val="%3."/>
      <w:lvlJc w:val="right"/>
      <w:pPr>
        <w:tabs>
          <w:tab w:val="left" w:pos="1900"/>
        </w:tabs>
        <w:ind w:left="1900" w:hanging="420"/>
      </w:pPr>
    </w:lvl>
    <w:lvl w:ilvl="3" w:tentative="0">
      <w:start w:val="1"/>
      <w:numFmt w:val="decimal"/>
      <w:lvlText w:val="%4."/>
      <w:lvlJc w:val="left"/>
      <w:pPr>
        <w:tabs>
          <w:tab w:val="left" w:pos="2320"/>
        </w:tabs>
        <w:ind w:left="2320" w:hanging="420"/>
      </w:pPr>
    </w:lvl>
    <w:lvl w:ilvl="4" w:tentative="0">
      <w:start w:val="1"/>
      <w:numFmt w:val="lowerLetter"/>
      <w:lvlText w:val="%5)"/>
      <w:lvlJc w:val="left"/>
      <w:pPr>
        <w:tabs>
          <w:tab w:val="left" w:pos="2740"/>
        </w:tabs>
        <w:ind w:left="2740" w:hanging="420"/>
      </w:pPr>
    </w:lvl>
    <w:lvl w:ilvl="5" w:tentative="0">
      <w:start w:val="1"/>
      <w:numFmt w:val="lowerRoman"/>
      <w:lvlText w:val="%6."/>
      <w:lvlJc w:val="right"/>
      <w:pPr>
        <w:tabs>
          <w:tab w:val="left" w:pos="3160"/>
        </w:tabs>
        <w:ind w:left="3160" w:hanging="420"/>
      </w:pPr>
    </w:lvl>
    <w:lvl w:ilvl="6" w:tentative="0">
      <w:start w:val="1"/>
      <w:numFmt w:val="decimal"/>
      <w:lvlText w:val="%7."/>
      <w:lvlJc w:val="left"/>
      <w:pPr>
        <w:tabs>
          <w:tab w:val="left" w:pos="3580"/>
        </w:tabs>
        <w:ind w:left="3580" w:hanging="420"/>
      </w:pPr>
    </w:lvl>
    <w:lvl w:ilvl="7" w:tentative="0">
      <w:start w:val="1"/>
      <w:numFmt w:val="lowerLetter"/>
      <w:lvlText w:val="%8)"/>
      <w:lvlJc w:val="left"/>
      <w:pPr>
        <w:tabs>
          <w:tab w:val="left" w:pos="4000"/>
        </w:tabs>
        <w:ind w:left="4000" w:hanging="420"/>
      </w:pPr>
    </w:lvl>
    <w:lvl w:ilvl="8" w:tentative="0">
      <w:start w:val="1"/>
      <w:numFmt w:val="lowerRoman"/>
      <w:lvlText w:val="%9."/>
      <w:lvlJc w:val="right"/>
      <w:pPr>
        <w:tabs>
          <w:tab w:val="left" w:pos="4420"/>
        </w:tabs>
        <w:ind w:left="442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8"/>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A1YTllMWMyMWVjZDQxYTM5YjhlMmU2ZmM3MDk3ZDIifQ=="/>
  </w:docVars>
  <w:rsids>
    <w:rsidRoot w:val="00AF352D"/>
    <w:rsid w:val="00136481"/>
    <w:rsid w:val="00215E88"/>
    <w:rsid w:val="00287252"/>
    <w:rsid w:val="003D2787"/>
    <w:rsid w:val="004035F9"/>
    <w:rsid w:val="00446549"/>
    <w:rsid w:val="00475A3E"/>
    <w:rsid w:val="00493D35"/>
    <w:rsid w:val="0049489A"/>
    <w:rsid w:val="004A7A26"/>
    <w:rsid w:val="004C1893"/>
    <w:rsid w:val="004D3E51"/>
    <w:rsid w:val="0050310C"/>
    <w:rsid w:val="00507A45"/>
    <w:rsid w:val="0051399F"/>
    <w:rsid w:val="0052402D"/>
    <w:rsid w:val="005B28EE"/>
    <w:rsid w:val="005D59AD"/>
    <w:rsid w:val="005E071B"/>
    <w:rsid w:val="005E1A96"/>
    <w:rsid w:val="006566FF"/>
    <w:rsid w:val="00682BB7"/>
    <w:rsid w:val="006B45D0"/>
    <w:rsid w:val="007747A3"/>
    <w:rsid w:val="00780278"/>
    <w:rsid w:val="007A1C4E"/>
    <w:rsid w:val="007B6E40"/>
    <w:rsid w:val="007C1518"/>
    <w:rsid w:val="007C674A"/>
    <w:rsid w:val="007D1327"/>
    <w:rsid w:val="00827B67"/>
    <w:rsid w:val="008B747D"/>
    <w:rsid w:val="00941063"/>
    <w:rsid w:val="00956FB9"/>
    <w:rsid w:val="0099245C"/>
    <w:rsid w:val="009A3128"/>
    <w:rsid w:val="00A21CBC"/>
    <w:rsid w:val="00A22C46"/>
    <w:rsid w:val="00A754BF"/>
    <w:rsid w:val="00AD51B7"/>
    <w:rsid w:val="00AE28A7"/>
    <w:rsid w:val="00AF352D"/>
    <w:rsid w:val="00B03190"/>
    <w:rsid w:val="00BA3623"/>
    <w:rsid w:val="00BD127D"/>
    <w:rsid w:val="00BE78CE"/>
    <w:rsid w:val="00C65248"/>
    <w:rsid w:val="00C93E9A"/>
    <w:rsid w:val="00CB4CC9"/>
    <w:rsid w:val="00CC1B19"/>
    <w:rsid w:val="00CC5DF8"/>
    <w:rsid w:val="00CF66FE"/>
    <w:rsid w:val="00D0636D"/>
    <w:rsid w:val="00D35C4A"/>
    <w:rsid w:val="00D70F35"/>
    <w:rsid w:val="00D74490"/>
    <w:rsid w:val="00D84ED6"/>
    <w:rsid w:val="00DF05B1"/>
    <w:rsid w:val="00E92EC7"/>
    <w:rsid w:val="00ED2600"/>
    <w:rsid w:val="00EF7B1F"/>
    <w:rsid w:val="00F00514"/>
    <w:rsid w:val="00F03DEF"/>
    <w:rsid w:val="00F1724C"/>
    <w:rsid w:val="00F37B1C"/>
    <w:rsid w:val="00FA191B"/>
    <w:rsid w:val="00FA5F4C"/>
    <w:rsid w:val="01164C65"/>
    <w:rsid w:val="01351A1D"/>
    <w:rsid w:val="014011F0"/>
    <w:rsid w:val="01636918"/>
    <w:rsid w:val="01664519"/>
    <w:rsid w:val="01EB6000"/>
    <w:rsid w:val="01F53CCF"/>
    <w:rsid w:val="02271C35"/>
    <w:rsid w:val="02511EFD"/>
    <w:rsid w:val="025631C4"/>
    <w:rsid w:val="02725A98"/>
    <w:rsid w:val="02984F45"/>
    <w:rsid w:val="02B24688"/>
    <w:rsid w:val="02FC27A7"/>
    <w:rsid w:val="035A691B"/>
    <w:rsid w:val="03A05A71"/>
    <w:rsid w:val="03BB53D4"/>
    <w:rsid w:val="03E17AF0"/>
    <w:rsid w:val="03ED3E93"/>
    <w:rsid w:val="04212D4F"/>
    <w:rsid w:val="04586B5C"/>
    <w:rsid w:val="04625456"/>
    <w:rsid w:val="059C2654"/>
    <w:rsid w:val="05A1625B"/>
    <w:rsid w:val="06157D3B"/>
    <w:rsid w:val="064E3809"/>
    <w:rsid w:val="07414710"/>
    <w:rsid w:val="07C96248"/>
    <w:rsid w:val="08074158"/>
    <w:rsid w:val="087C57D6"/>
    <w:rsid w:val="08821C32"/>
    <w:rsid w:val="088C5BA9"/>
    <w:rsid w:val="0902576C"/>
    <w:rsid w:val="0934537D"/>
    <w:rsid w:val="09B96D89"/>
    <w:rsid w:val="09D2196B"/>
    <w:rsid w:val="0A502E12"/>
    <w:rsid w:val="0AD24E70"/>
    <w:rsid w:val="0B2B728B"/>
    <w:rsid w:val="0B4E64C0"/>
    <w:rsid w:val="0B740EC9"/>
    <w:rsid w:val="0C810ED2"/>
    <w:rsid w:val="0CC36F06"/>
    <w:rsid w:val="0DA831F1"/>
    <w:rsid w:val="0DCC67DD"/>
    <w:rsid w:val="0DDF08D1"/>
    <w:rsid w:val="0E270E69"/>
    <w:rsid w:val="0E303308"/>
    <w:rsid w:val="0E4439D4"/>
    <w:rsid w:val="0EA748DE"/>
    <w:rsid w:val="0F852870"/>
    <w:rsid w:val="0F8F2573"/>
    <w:rsid w:val="0FB133E2"/>
    <w:rsid w:val="10082A4F"/>
    <w:rsid w:val="10C30E3B"/>
    <w:rsid w:val="10C65194"/>
    <w:rsid w:val="10C95F36"/>
    <w:rsid w:val="113A42AC"/>
    <w:rsid w:val="11F97635"/>
    <w:rsid w:val="121815D3"/>
    <w:rsid w:val="129E0353"/>
    <w:rsid w:val="12C13A4B"/>
    <w:rsid w:val="12F67BA5"/>
    <w:rsid w:val="132C7CC2"/>
    <w:rsid w:val="13576F55"/>
    <w:rsid w:val="13913112"/>
    <w:rsid w:val="13B949A8"/>
    <w:rsid w:val="13D30743"/>
    <w:rsid w:val="13D47831"/>
    <w:rsid w:val="13F656CE"/>
    <w:rsid w:val="13F70A5E"/>
    <w:rsid w:val="141F532A"/>
    <w:rsid w:val="145833BD"/>
    <w:rsid w:val="14631E28"/>
    <w:rsid w:val="14AC55C0"/>
    <w:rsid w:val="14BE6610"/>
    <w:rsid w:val="14BF4388"/>
    <w:rsid w:val="152E0699"/>
    <w:rsid w:val="158C3A5C"/>
    <w:rsid w:val="16045515"/>
    <w:rsid w:val="166E4318"/>
    <w:rsid w:val="176A0BC5"/>
    <w:rsid w:val="180A18A4"/>
    <w:rsid w:val="180A3911"/>
    <w:rsid w:val="18165FF7"/>
    <w:rsid w:val="185628F6"/>
    <w:rsid w:val="18590140"/>
    <w:rsid w:val="189937E2"/>
    <w:rsid w:val="192900FA"/>
    <w:rsid w:val="1A070948"/>
    <w:rsid w:val="1A0F4A30"/>
    <w:rsid w:val="1A2749B4"/>
    <w:rsid w:val="1A7B05E6"/>
    <w:rsid w:val="1ABB7AFD"/>
    <w:rsid w:val="1B780079"/>
    <w:rsid w:val="1BDFCCF3"/>
    <w:rsid w:val="1C6C3F40"/>
    <w:rsid w:val="1CC94F33"/>
    <w:rsid w:val="1D330E52"/>
    <w:rsid w:val="1D7A1D86"/>
    <w:rsid w:val="1D88199B"/>
    <w:rsid w:val="1D9C6DF7"/>
    <w:rsid w:val="1DF0386E"/>
    <w:rsid w:val="1E0C3592"/>
    <w:rsid w:val="1E5D7FB1"/>
    <w:rsid w:val="1EFE0E4D"/>
    <w:rsid w:val="1F422F26"/>
    <w:rsid w:val="1FAB4C61"/>
    <w:rsid w:val="1FBF0253"/>
    <w:rsid w:val="20584718"/>
    <w:rsid w:val="20C77FC3"/>
    <w:rsid w:val="2126440C"/>
    <w:rsid w:val="22ED29C7"/>
    <w:rsid w:val="23422F1D"/>
    <w:rsid w:val="236637A6"/>
    <w:rsid w:val="237754B1"/>
    <w:rsid w:val="238324E6"/>
    <w:rsid w:val="238D7403"/>
    <w:rsid w:val="23D150E0"/>
    <w:rsid w:val="240C19C7"/>
    <w:rsid w:val="247B50BD"/>
    <w:rsid w:val="24CD253F"/>
    <w:rsid w:val="25426819"/>
    <w:rsid w:val="2547789F"/>
    <w:rsid w:val="25782B19"/>
    <w:rsid w:val="257F113A"/>
    <w:rsid w:val="25BD328D"/>
    <w:rsid w:val="25E078D8"/>
    <w:rsid w:val="26304FD3"/>
    <w:rsid w:val="26411EC9"/>
    <w:rsid w:val="2682293D"/>
    <w:rsid w:val="27081A25"/>
    <w:rsid w:val="272F2FDB"/>
    <w:rsid w:val="274565F9"/>
    <w:rsid w:val="276E5B25"/>
    <w:rsid w:val="287B02B1"/>
    <w:rsid w:val="295C0E58"/>
    <w:rsid w:val="297C274C"/>
    <w:rsid w:val="29DB17AB"/>
    <w:rsid w:val="2A2B0654"/>
    <w:rsid w:val="2A5E4504"/>
    <w:rsid w:val="2A6F2FF1"/>
    <w:rsid w:val="2B845DEE"/>
    <w:rsid w:val="2BA36379"/>
    <w:rsid w:val="2C6B786F"/>
    <w:rsid w:val="2C931FCD"/>
    <w:rsid w:val="2CC33B99"/>
    <w:rsid w:val="2D02713A"/>
    <w:rsid w:val="2D474765"/>
    <w:rsid w:val="2D513525"/>
    <w:rsid w:val="2D5E4D0A"/>
    <w:rsid w:val="2D6018D4"/>
    <w:rsid w:val="2E4148C8"/>
    <w:rsid w:val="2E541392"/>
    <w:rsid w:val="2E9008B2"/>
    <w:rsid w:val="2EA33915"/>
    <w:rsid w:val="2EA44EC7"/>
    <w:rsid w:val="2EA65AC8"/>
    <w:rsid w:val="2EF42D6B"/>
    <w:rsid w:val="2F086141"/>
    <w:rsid w:val="2F0B4BD7"/>
    <w:rsid w:val="2F1C48E2"/>
    <w:rsid w:val="2F546FDF"/>
    <w:rsid w:val="2F5B5EED"/>
    <w:rsid w:val="2FC12D09"/>
    <w:rsid w:val="2FD325DD"/>
    <w:rsid w:val="2FE7FD82"/>
    <w:rsid w:val="300B12CD"/>
    <w:rsid w:val="30407B71"/>
    <w:rsid w:val="30B92400"/>
    <w:rsid w:val="30CA63AC"/>
    <w:rsid w:val="31E14D95"/>
    <w:rsid w:val="32804EA1"/>
    <w:rsid w:val="32E34978"/>
    <w:rsid w:val="340C3676"/>
    <w:rsid w:val="341552E1"/>
    <w:rsid w:val="349F1ACA"/>
    <w:rsid w:val="349F410D"/>
    <w:rsid w:val="34A832AD"/>
    <w:rsid w:val="34D35217"/>
    <w:rsid w:val="34EA78CA"/>
    <w:rsid w:val="34F93203"/>
    <w:rsid w:val="35035399"/>
    <w:rsid w:val="35982857"/>
    <w:rsid w:val="35C8675D"/>
    <w:rsid w:val="36100FCB"/>
    <w:rsid w:val="36445715"/>
    <w:rsid w:val="372028D1"/>
    <w:rsid w:val="374172CE"/>
    <w:rsid w:val="380D051B"/>
    <w:rsid w:val="38355612"/>
    <w:rsid w:val="385273B5"/>
    <w:rsid w:val="38A9673F"/>
    <w:rsid w:val="39030534"/>
    <w:rsid w:val="390D5232"/>
    <w:rsid w:val="3A041C89"/>
    <w:rsid w:val="3A071415"/>
    <w:rsid w:val="3A186B98"/>
    <w:rsid w:val="3A527210"/>
    <w:rsid w:val="3B1119BC"/>
    <w:rsid w:val="3B1431E6"/>
    <w:rsid w:val="3B31573E"/>
    <w:rsid w:val="3B9647BD"/>
    <w:rsid w:val="3BC62181"/>
    <w:rsid w:val="3C1A2863"/>
    <w:rsid w:val="3CB32F3C"/>
    <w:rsid w:val="3CBB275B"/>
    <w:rsid w:val="3D0B64F9"/>
    <w:rsid w:val="3D165560"/>
    <w:rsid w:val="3D333EF8"/>
    <w:rsid w:val="3DAD7619"/>
    <w:rsid w:val="3E5E3B42"/>
    <w:rsid w:val="3E777762"/>
    <w:rsid w:val="3E881BB7"/>
    <w:rsid w:val="3E8B6D28"/>
    <w:rsid w:val="3E9D7E3E"/>
    <w:rsid w:val="3EA279D9"/>
    <w:rsid w:val="3F4072E2"/>
    <w:rsid w:val="3F80109F"/>
    <w:rsid w:val="3F9F5D2D"/>
    <w:rsid w:val="3FE50B56"/>
    <w:rsid w:val="404E159F"/>
    <w:rsid w:val="40586B4F"/>
    <w:rsid w:val="40D95CAC"/>
    <w:rsid w:val="4180503E"/>
    <w:rsid w:val="41D94843"/>
    <w:rsid w:val="420F4992"/>
    <w:rsid w:val="423F76D0"/>
    <w:rsid w:val="42F2110D"/>
    <w:rsid w:val="43293F75"/>
    <w:rsid w:val="433B3C8B"/>
    <w:rsid w:val="43445839"/>
    <w:rsid w:val="443A2C3E"/>
    <w:rsid w:val="44A121AD"/>
    <w:rsid w:val="44CF2373"/>
    <w:rsid w:val="44D23937"/>
    <w:rsid w:val="45CA2821"/>
    <w:rsid w:val="460F71BE"/>
    <w:rsid w:val="466B272A"/>
    <w:rsid w:val="470D7B33"/>
    <w:rsid w:val="473A3FE6"/>
    <w:rsid w:val="475311BB"/>
    <w:rsid w:val="47817A44"/>
    <w:rsid w:val="479326C0"/>
    <w:rsid w:val="483534E5"/>
    <w:rsid w:val="48CE49DE"/>
    <w:rsid w:val="48CF2EB6"/>
    <w:rsid w:val="48EA730A"/>
    <w:rsid w:val="49393E56"/>
    <w:rsid w:val="49A62030"/>
    <w:rsid w:val="49DD5EE7"/>
    <w:rsid w:val="49EB7B92"/>
    <w:rsid w:val="4A4237A8"/>
    <w:rsid w:val="4AA83913"/>
    <w:rsid w:val="4B281075"/>
    <w:rsid w:val="4B7D27AC"/>
    <w:rsid w:val="4BA56D70"/>
    <w:rsid w:val="4BD52A24"/>
    <w:rsid w:val="4C5B2A71"/>
    <w:rsid w:val="4CEC3FFB"/>
    <w:rsid w:val="4CF479A8"/>
    <w:rsid w:val="4D3C1D99"/>
    <w:rsid w:val="4D5230D9"/>
    <w:rsid w:val="4D61654F"/>
    <w:rsid w:val="4D6420CC"/>
    <w:rsid w:val="4D6B5B50"/>
    <w:rsid w:val="4D976D35"/>
    <w:rsid w:val="4DB846C0"/>
    <w:rsid w:val="4DF47B13"/>
    <w:rsid w:val="4E977688"/>
    <w:rsid w:val="4F980806"/>
    <w:rsid w:val="4FAC1151"/>
    <w:rsid w:val="50075403"/>
    <w:rsid w:val="50190CB0"/>
    <w:rsid w:val="50344B2E"/>
    <w:rsid w:val="5081415A"/>
    <w:rsid w:val="50945752"/>
    <w:rsid w:val="517E3451"/>
    <w:rsid w:val="52417F17"/>
    <w:rsid w:val="52905FC3"/>
    <w:rsid w:val="52914B60"/>
    <w:rsid w:val="537B31E4"/>
    <w:rsid w:val="53E14178"/>
    <w:rsid w:val="540752DF"/>
    <w:rsid w:val="544801B1"/>
    <w:rsid w:val="55AC379D"/>
    <w:rsid w:val="561C0B0C"/>
    <w:rsid w:val="5647222D"/>
    <w:rsid w:val="56C80F5D"/>
    <w:rsid w:val="56CC5C48"/>
    <w:rsid w:val="56CE74FB"/>
    <w:rsid w:val="570610BB"/>
    <w:rsid w:val="57400061"/>
    <w:rsid w:val="5790538A"/>
    <w:rsid w:val="57E55EA8"/>
    <w:rsid w:val="57EC05A5"/>
    <w:rsid w:val="583C43CF"/>
    <w:rsid w:val="58644245"/>
    <w:rsid w:val="58BD3E46"/>
    <w:rsid w:val="58C12CAA"/>
    <w:rsid w:val="59083CBA"/>
    <w:rsid w:val="5A176352"/>
    <w:rsid w:val="5A8E3654"/>
    <w:rsid w:val="5AF655FA"/>
    <w:rsid w:val="5B02313D"/>
    <w:rsid w:val="5B054018"/>
    <w:rsid w:val="5B322C58"/>
    <w:rsid w:val="5B4F4F67"/>
    <w:rsid w:val="5B5812CD"/>
    <w:rsid w:val="5B6A2B6F"/>
    <w:rsid w:val="5BBA59E0"/>
    <w:rsid w:val="5BF07306"/>
    <w:rsid w:val="5C4A5F2F"/>
    <w:rsid w:val="5C710CFD"/>
    <w:rsid w:val="5CBE3059"/>
    <w:rsid w:val="5CEC7E0B"/>
    <w:rsid w:val="5D0B4795"/>
    <w:rsid w:val="5D232A9D"/>
    <w:rsid w:val="5D8825FC"/>
    <w:rsid w:val="5DA56E51"/>
    <w:rsid w:val="5DC13A31"/>
    <w:rsid w:val="5DFA093C"/>
    <w:rsid w:val="5E490C7D"/>
    <w:rsid w:val="5E901648"/>
    <w:rsid w:val="5E93543F"/>
    <w:rsid w:val="5EC41FD4"/>
    <w:rsid w:val="5F0F0513"/>
    <w:rsid w:val="5F243F71"/>
    <w:rsid w:val="5F265C5F"/>
    <w:rsid w:val="5F5C7C6A"/>
    <w:rsid w:val="608664B0"/>
    <w:rsid w:val="60B227AB"/>
    <w:rsid w:val="6109742E"/>
    <w:rsid w:val="612D518A"/>
    <w:rsid w:val="61935DCD"/>
    <w:rsid w:val="625F0A7C"/>
    <w:rsid w:val="62C62414"/>
    <w:rsid w:val="62D46DD5"/>
    <w:rsid w:val="63504D69"/>
    <w:rsid w:val="635C552D"/>
    <w:rsid w:val="63703FF6"/>
    <w:rsid w:val="639918CB"/>
    <w:rsid w:val="63B12DB7"/>
    <w:rsid w:val="647E5110"/>
    <w:rsid w:val="6523195D"/>
    <w:rsid w:val="65D27673"/>
    <w:rsid w:val="665414EE"/>
    <w:rsid w:val="66A27210"/>
    <w:rsid w:val="66B34D60"/>
    <w:rsid w:val="67216E87"/>
    <w:rsid w:val="67614DF6"/>
    <w:rsid w:val="681115D6"/>
    <w:rsid w:val="685635ED"/>
    <w:rsid w:val="687829D4"/>
    <w:rsid w:val="68C3573C"/>
    <w:rsid w:val="68FE4BC9"/>
    <w:rsid w:val="69455C1C"/>
    <w:rsid w:val="695529D4"/>
    <w:rsid w:val="69851128"/>
    <w:rsid w:val="69904EBD"/>
    <w:rsid w:val="699B17BA"/>
    <w:rsid w:val="69C3773F"/>
    <w:rsid w:val="69C949D8"/>
    <w:rsid w:val="6A294A7E"/>
    <w:rsid w:val="6A565EA1"/>
    <w:rsid w:val="6A6A4B75"/>
    <w:rsid w:val="6A92196A"/>
    <w:rsid w:val="6A9F3358"/>
    <w:rsid w:val="6AC15FDC"/>
    <w:rsid w:val="6AC227AB"/>
    <w:rsid w:val="6ADF0DBB"/>
    <w:rsid w:val="6C375151"/>
    <w:rsid w:val="6CD74E3E"/>
    <w:rsid w:val="6CEC693E"/>
    <w:rsid w:val="6D0F1B90"/>
    <w:rsid w:val="6D6B6C1F"/>
    <w:rsid w:val="6D6E1D9A"/>
    <w:rsid w:val="6DF10221"/>
    <w:rsid w:val="6E735F18"/>
    <w:rsid w:val="6E8A133C"/>
    <w:rsid w:val="6EFF494D"/>
    <w:rsid w:val="6F2F210F"/>
    <w:rsid w:val="6F461990"/>
    <w:rsid w:val="6F6A356E"/>
    <w:rsid w:val="6F877757"/>
    <w:rsid w:val="6F8E4307"/>
    <w:rsid w:val="6F9E54E7"/>
    <w:rsid w:val="700D664E"/>
    <w:rsid w:val="704F7801"/>
    <w:rsid w:val="70570230"/>
    <w:rsid w:val="706D79BB"/>
    <w:rsid w:val="70BE723A"/>
    <w:rsid w:val="70C36444"/>
    <w:rsid w:val="710C7EFC"/>
    <w:rsid w:val="712A49FC"/>
    <w:rsid w:val="7133287A"/>
    <w:rsid w:val="71A34659"/>
    <w:rsid w:val="71EF1C12"/>
    <w:rsid w:val="72323FDC"/>
    <w:rsid w:val="724C67BC"/>
    <w:rsid w:val="72A23A0B"/>
    <w:rsid w:val="72D27D00"/>
    <w:rsid w:val="73355830"/>
    <w:rsid w:val="734946F0"/>
    <w:rsid w:val="736859F4"/>
    <w:rsid w:val="73A40DEB"/>
    <w:rsid w:val="74220CF1"/>
    <w:rsid w:val="744E63C0"/>
    <w:rsid w:val="74986F6D"/>
    <w:rsid w:val="74AE5AAE"/>
    <w:rsid w:val="74E06942"/>
    <w:rsid w:val="74E70A66"/>
    <w:rsid w:val="74FB439D"/>
    <w:rsid w:val="7527076D"/>
    <w:rsid w:val="753346C8"/>
    <w:rsid w:val="768719A8"/>
    <w:rsid w:val="76E8567F"/>
    <w:rsid w:val="77417CAB"/>
    <w:rsid w:val="77491A17"/>
    <w:rsid w:val="777F4B00"/>
    <w:rsid w:val="77886165"/>
    <w:rsid w:val="77C30D9E"/>
    <w:rsid w:val="787510B9"/>
    <w:rsid w:val="78AD4F90"/>
    <w:rsid w:val="78C701E5"/>
    <w:rsid w:val="78DD2EC0"/>
    <w:rsid w:val="78E937BE"/>
    <w:rsid w:val="78EC5EEC"/>
    <w:rsid w:val="78FD7818"/>
    <w:rsid w:val="79164980"/>
    <w:rsid w:val="79367412"/>
    <w:rsid w:val="796C3676"/>
    <w:rsid w:val="79C30257"/>
    <w:rsid w:val="79FE0AE9"/>
    <w:rsid w:val="7A0C14B4"/>
    <w:rsid w:val="7A822D52"/>
    <w:rsid w:val="7A9E40E3"/>
    <w:rsid w:val="7B7674E2"/>
    <w:rsid w:val="7BB0293E"/>
    <w:rsid w:val="7BCE6CBD"/>
    <w:rsid w:val="7C462B53"/>
    <w:rsid w:val="7C5220EF"/>
    <w:rsid w:val="7C6B2DD3"/>
    <w:rsid w:val="7CA80CAD"/>
    <w:rsid w:val="7CF51711"/>
    <w:rsid w:val="7D9B48C5"/>
    <w:rsid w:val="7DCF3EE5"/>
    <w:rsid w:val="7DEBA097"/>
    <w:rsid w:val="7E034333"/>
    <w:rsid w:val="7E10239B"/>
    <w:rsid w:val="7E6B0AAA"/>
    <w:rsid w:val="7E9E7E0C"/>
    <w:rsid w:val="7F315F6E"/>
    <w:rsid w:val="7FBF2544"/>
    <w:rsid w:val="9D558A67"/>
    <w:rsid w:val="9FD8C0A3"/>
    <w:rsid w:val="9FFD8B11"/>
    <w:rsid w:val="A7FD2582"/>
    <w:rsid w:val="B7DFDDA0"/>
    <w:rsid w:val="BD7F58D9"/>
    <w:rsid w:val="BFF608DD"/>
    <w:rsid w:val="CFDFA67E"/>
    <w:rsid w:val="D76D9008"/>
    <w:rsid w:val="D97F4C5E"/>
    <w:rsid w:val="DBF776A8"/>
    <w:rsid w:val="DFBAB144"/>
    <w:rsid w:val="DFEEAF38"/>
    <w:rsid w:val="E7A174AD"/>
    <w:rsid w:val="F176DE70"/>
    <w:rsid w:val="F57D8269"/>
    <w:rsid w:val="F6A3CCC1"/>
    <w:rsid w:val="F6BF1C5F"/>
    <w:rsid w:val="FD290FF5"/>
    <w:rsid w:val="FDBBFD33"/>
    <w:rsid w:val="FDF615E1"/>
    <w:rsid w:val="FECF7D28"/>
    <w:rsid w:val="FEFE7B0D"/>
    <w:rsid w:val="FFC51D50"/>
    <w:rsid w:val="FFD42ED1"/>
    <w:rsid w:val="FFFC00B9"/>
    <w:rsid w:val="FFFCB3FF"/>
    <w:rsid w:val="FFFFC05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15">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ascii="Calibri" w:hAnsi="Calibri" w:eastAsia="宋体" w:cs="Times New Roman"/>
    </w:rPr>
  </w:style>
  <w:style w:type="paragraph" w:styleId="3">
    <w:name w:val="index 5"/>
    <w:basedOn w:val="1"/>
    <w:next w:val="1"/>
    <w:qFormat/>
    <w:uiPriority w:val="0"/>
    <w:pPr>
      <w:ind w:left="800" w:leftChars="800"/>
    </w:pPr>
  </w:style>
  <w:style w:type="paragraph" w:styleId="4">
    <w:name w:val="Body Text"/>
    <w:basedOn w:val="1"/>
    <w:next w:val="1"/>
    <w:qFormat/>
    <w:uiPriority w:val="0"/>
    <w:rPr>
      <w:szCs w:val="21"/>
    </w:rPr>
  </w:style>
  <w:style w:type="paragraph" w:styleId="5">
    <w:name w:val="Body Text Indent"/>
    <w:basedOn w:val="1"/>
    <w:qFormat/>
    <w:uiPriority w:val="99"/>
    <w:pPr>
      <w:ind w:left="414" w:leftChars="197" w:firstLine="560"/>
    </w:pPr>
    <w:rPr>
      <w:rFonts w:ascii="宋体" w:hAnsi="宋体"/>
      <w:kern w:val="0"/>
      <w:sz w:val="28"/>
    </w:rPr>
  </w:style>
  <w:style w:type="paragraph" w:styleId="6">
    <w:name w:val="Plain Text"/>
    <w:basedOn w:val="1"/>
    <w:qFormat/>
    <w:uiPriority w:val="0"/>
    <w:rPr>
      <w:rFonts w:ascii="宋体" w:hAnsi="Courier New"/>
      <w:szCs w:val="20"/>
    </w:rPr>
  </w:style>
  <w:style w:type="paragraph" w:styleId="7">
    <w:name w:val="Body Text Indent 2"/>
    <w:basedOn w:val="1"/>
    <w:qFormat/>
    <w:uiPriority w:val="0"/>
    <w:pPr>
      <w:spacing w:after="120" w:line="480" w:lineRule="auto"/>
      <w:ind w:left="420" w:leftChars="200"/>
    </w:pPr>
    <w:rPr>
      <w:rFonts w:ascii="Calibri" w:hAnsi="Calibri" w:eastAsia="宋体" w:cs="Times New Roman"/>
      <w:szCs w:val="24"/>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Body Text 2"/>
    <w:basedOn w:val="1"/>
    <w:qFormat/>
    <w:uiPriority w:val="0"/>
    <w:pPr>
      <w:widowControl/>
      <w:numPr>
        <w:ilvl w:val="0"/>
        <w:numId w:val="1"/>
      </w:numPr>
      <w:tabs>
        <w:tab w:val="clear" w:pos="1440"/>
      </w:tabs>
      <w:spacing w:beforeLines="50" w:line="336" w:lineRule="auto"/>
      <w:ind w:left="0" w:firstLine="0" w:firstLineChars="0"/>
    </w:pPr>
    <w:rPr>
      <w:rFonts w:ascii="Times New Roman" w:hAnsi="Times New Roman" w:eastAsia="黑体"/>
      <w:kern w:val="0"/>
      <w:szCs w:val="20"/>
      <w:lang w:val="en-GB"/>
    </w:rPr>
  </w:style>
  <w:style w:type="paragraph" w:styleId="11">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2">
    <w:name w:val="Body Text First Indent"/>
    <w:basedOn w:val="4"/>
    <w:next w:val="1"/>
    <w:qFormat/>
    <w:uiPriority w:val="0"/>
    <w:pPr>
      <w:spacing w:before="100" w:beforeAutospacing="1"/>
      <w:ind w:firstLine="420"/>
    </w:pPr>
  </w:style>
  <w:style w:type="paragraph" w:styleId="13">
    <w:name w:val="Body Text First Indent 2"/>
    <w:basedOn w:val="5"/>
    <w:next w:val="1"/>
    <w:qFormat/>
    <w:uiPriority w:val="99"/>
    <w:pPr>
      <w:spacing w:after="120"/>
      <w:ind w:left="420" w:leftChars="200" w:firstLine="420"/>
    </w:pPr>
    <w:rPr>
      <w:rFonts w:ascii="Times New Roman" w:hAnsi="Times New Roman"/>
      <w:sz w:val="21"/>
    </w:rPr>
  </w:style>
  <w:style w:type="character" w:styleId="16">
    <w:name w:val="page number"/>
    <w:basedOn w:val="15"/>
    <w:qFormat/>
    <w:uiPriority w:val="0"/>
  </w:style>
  <w:style w:type="character" w:customStyle="1" w:styleId="17">
    <w:name w:val="楷粗"/>
    <w:qFormat/>
    <w:uiPriority w:val="99"/>
    <w:rPr>
      <w:rFonts w:ascii="方正楷体简体" w:eastAsia="方正楷体简体" w:cs="方正楷体简体"/>
      <w:sz w:val="31"/>
      <w:szCs w:val="31"/>
    </w:rPr>
  </w:style>
  <w:style w:type="character" w:customStyle="1" w:styleId="18">
    <w:name w:val="黑体"/>
    <w:qFormat/>
    <w:uiPriority w:val="0"/>
    <w:rPr>
      <w:rFonts w:ascii="ATC-*33" w:eastAsia="ATC-*33"/>
      <w:color w:val="000000"/>
      <w:spacing w:val="0"/>
      <w:w w:val="100"/>
      <w:sz w:val="30"/>
      <w:vertAlign w:val="baseline"/>
    </w:rPr>
  </w:style>
  <w:style w:type="character" w:customStyle="1" w:styleId="19">
    <w:name w:val="样式"/>
    <w:qFormat/>
    <w:uiPriority w:val="0"/>
    <w:rPr>
      <w:rFonts w:ascii="ATC-*11" w:eastAsia="ATC-*11"/>
      <w:color w:val="000000"/>
      <w:spacing w:val="0"/>
      <w:w w:val="100"/>
      <w:sz w:val="30"/>
      <w:vertAlign w:val="baseline"/>
    </w:rPr>
  </w:style>
  <w:style w:type="character" w:customStyle="1" w:styleId="20">
    <w:name w:val="NormalCharacter"/>
    <w:semiHidden/>
    <w:qFormat/>
    <w:uiPriority w:val="0"/>
    <w:rPr>
      <w:rFonts w:ascii="Times New Roman" w:hAnsi="Times New Roman" w:eastAsia="宋体" w:cs="Times New Roman"/>
      <w:kern w:val="2"/>
      <w:sz w:val="21"/>
      <w:szCs w:val="21"/>
      <w:lang w:val="en-US" w:eastAsia="zh-CN" w:bidi="ar-SA"/>
    </w:rPr>
  </w:style>
  <w:style w:type="paragraph" w:customStyle="1" w:styleId="21">
    <w:name w:val="p0"/>
    <w:basedOn w:val="1"/>
    <w:qFormat/>
    <w:uiPriority w:val="0"/>
    <w:pPr>
      <w:widowControl/>
    </w:pPr>
    <w:rPr>
      <w:kern w:val="0"/>
      <w:szCs w:val="21"/>
    </w:rPr>
  </w:style>
  <w:style w:type="paragraph" w:customStyle="1" w:styleId="22">
    <w:name w:val="内文"/>
    <w:basedOn w:val="1"/>
    <w:qFormat/>
    <w:uiPriority w:val="99"/>
    <w:pPr>
      <w:autoSpaceDE w:val="0"/>
      <w:autoSpaceDN w:val="0"/>
      <w:adjustRightInd w:val="0"/>
      <w:spacing w:line="592" w:lineRule="atLeast"/>
      <w:ind w:firstLine="624"/>
      <w:textAlignment w:val="center"/>
    </w:pPr>
    <w:rPr>
      <w:rFonts w:ascii="ATC-4eff5b8b65704f53" w:eastAsia="ATC-4eff5b8b65704f53" w:cs="ATC-4eff5b8b65704f53"/>
      <w:color w:val="000000"/>
      <w:kern w:val="0"/>
      <w:sz w:val="31"/>
      <w:szCs w:val="31"/>
      <w:lang w:val="zh-CN"/>
    </w:rPr>
  </w:style>
  <w:style w:type="paragraph" w:customStyle="1" w:styleId="23">
    <w:name w:val="p19"/>
    <w:basedOn w:val="1"/>
    <w:qFormat/>
    <w:uiPriority w:val="0"/>
    <w:pPr>
      <w:widowControl/>
    </w:pPr>
    <w:rPr>
      <w:kern w:val="0"/>
      <w:szCs w:val="21"/>
    </w:rPr>
  </w:style>
  <w:style w:type="paragraph" w:customStyle="1" w:styleId="24">
    <w:name w:val="Default"/>
    <w:next w:val="3"/>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5">
    <w:name w:val="[基本段落]"/>
    <w:basedOn w:val="26"/>
    <w:qFormat/>
    <w:uiPriority w:val="0"/>
  </w:style>
  <w:style w:type="paragraph" w:customStyle="1" w:styleId="26">
    <w:name w:val="[无段落样式]"/>
    <w:qFormat/>
    <w:uiPriority w:val="0"/>
    <w:pPr>
      <w:widowControl w:val="0"/>
      <w:autoSpaceDE w:val="0"/>
      <w:autoSpaceDN w:val="0"/>
      <w:adjustRightInd w:val="0"/>
      <w:spacing w:line="288" w:lineRule="auto"/>
      <w:jc w:val="both"/>
      <w:textAlignment w:val="center"/>
    </w:pPr>
    <w:rPr>
      <w:rFonts w:ascii="Adobe 宋体 Std L" w:hAnsi="Times New Roman" w:eastAsia="Adobe 宋体 Std L" w:cs="Adobe 宋体 Std L"/>
      <w:color w:val="000000"/>
      <w:sz w:val="24"/>
      <w:szCs w:val="24"/>
      <w:lang w:val="zh-CN"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Template>
  <Company>China</Company>
  <Pages>16</Pages>
  <Words>6456</Words>
  <Characters>7086</Characters>
  <Lines>96</Lines>
  <Paragraphs>27</Paragraphs>
  <TotalTime>14</TotalTime>
  <ScaleCrop>false</ScaleCrop>
  <LinksUpToDate>false</LinksUpToDate>
  <CharactersWithSpaces>7213</CharactersWithSpaces>
  <Application>WPS Office_11.8.2.12129_F1E327BC-269C-435d-A152-05C5408002CA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2019-11-10T02:00:00Z</dcterms:created>
  <dc:creator>User</dc:creator>
  <cp:lastModifiedBy>user</cp:lastModifiedBy>
  <cp:lastPrinted>2024-06-23T01:36:00Z</cp:lastPrinted>
  <dcterms:modified xsi:type="dcterms:W3CDTF">2026-03-31T11:18:04Z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2052-11.8.2.12129</vt:lpwstr>
  </property>
  <property fmtid="{D5CDD505-2E9C-101B-9397-08002B2CF9AE}" pid="3" name="ICV">
    <vt:lpwstr>6628625B853C11C6098FC4692297AC8A</vt:lpwstr>
  </property>
  <property fmtid="{D5CDD505-2E9C-101B-9397-08002B2CF9AE}" pid="4" name="KSOTemplateDocerSaveRecord">
    <vt:lpwstr>eyJoZGlkIjoiNTA1YTllMWMyMWVjZDQxYTM5YjhlMmU2ZmM3MDk3ZDIiLCJ1c2VySWQiOiIyOTc1MDY1MjcifQ==</vt:lpwstr>
  </property>
</Properties>
</file>