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 w:cs="黑体"/>
          <w:bCs/>
          <w:sz w:val="84"/>
          <w:szCs w:val="84"/>
        </w:rPr>
      </w:pPr>
      <w:r>
        <w:rPr>
          <w:rFonts w:ascii="方正小标宋简体" w:hAnsi="黑体" w:eastAsia="方正小标宋简体" w:cs="黑体"/>
          <w:bCs/>
          <w:sz w:val="44"/>
          <w:szCs w:val="44"/>
        </w:rPr>
        <w:br w:type="textWrapping"/>
      </w:r>
    </w:p>
    <w:p>
      <w:pPr>
        <w:jc w:val="center"/>
        <w:rPr>
          <w:rFonts w:ascii="方正小标宋简体" w:hAnsi="黑体" w:eastAsia="方正小标宋简体" w:cs="黑体"/>
          <w:bCs/>
          <w:sz w:val="84"/>
          <w:szCs w:val="84"/>
        </w:rPr>
      </w:pPr>
      <w:r>
        <w:rPr>
          <w:rFonts w:hint="eastAsia" w:ascii="方正小标宋简体" w:hAnsi="黑体" w:eastAsia="方正小标宋简体" w:cs="黑体"/>
          <w:bCs/>
          <w:sz w:val="84"/>
          <w:szCs w:val="84"/>
        </w:rPr>
        <w:t>殷都区</w:t>
      </w:r>
    </w:p>
    <w:p>
      <w:pPr>
        <w:jc w:val="center"/>
        <w:rPr>
          <w:rFonts w:ascii="方正小标宋简体" w:hAnsi="黑体" w:eastAsia="方正小标宋简体" w:cs="黑体"/>
          <w:bCs/>
          <w:sz w:val="84"/>
          <w:szCs w:val="84"/>
        </w:rPr>
      </w:pPr>
      <w:r>
        <w:rPr>
          <w:rFonts w:hint="eastAsia" w:ascii="方正小标宋简体" w:hAnsi="黑体" w:eastAsia="方正小标宋简体" w:cs="黑体"/>
          <w:bCs/>
          <w:sz w:val="84"/>
          <w:szCs w:val="84"/>
        </w:rPr>
        <w:t>202</w:t>
      </w:r>
      <w:r>
        <w:rPr>
          <w:rFonts w:hint="eastAsia" w:ascii="方正小标宋简体" w:hAnsi="黑体" w:eastAsia="方正小标宋简体" w:cs="黑体"/>
          <w:bCs/>
          <w:sz w:val="84"/>
          <w:szCs w:val="84"/>
          <w:lang w:val="en-US" w:eastAsia="zh-CN"/>
        </w:rPr>
        <w:t>6</w:t>
      </w:r>
      <w:r>
        <w:rPr>
          <w:rFonts w:hint="eastAsia" w:ascii="方正小标宋简体" w:hAnsi="黑体" w:eastAsia="方正小标宋简体" w:cs="黑体"/>
          <w:bCs/>
          <w:sz w:val="84"/>
          <w:szCs w:val="84"/>
        </w:rPr>
        <w:t>年政府预算情况</w:t>
      </w:r>
    </w:p>
    <w:p>
      <w:pPr>
        <w:jc w:val="center"/>
        <w:rPr>
          <w:rFonts w:ascii="方正小标宋简体" w:hAnsi="黑体" w:eastAsia="方正小标宋简体" w:cs="黑体"/>
          <w:bCs/>
          <w:sz w:val="84"/>
          <w:szCs w:val="84"/>
        </w:rPr>
      </w:pPr>
      <w:r>
        <w:rPr>
          <w:rFonts w:hint="eastAsia" w:ascii="方正小标宋简体" w:hAnsi="黑体" w:eastAsia="方正小标宋简体" w:cs="黑体"/>
          <w:bCs/>
          <w:sz w:val="84"/>
          <w:szCs w:val="84"/>
        </w:rPr>
        <w:t>说  明</w:t>
      </w: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Times New Roman" w:eastAsia="仿宋_GB2312" w:cs="黑体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560" w:lineRule="exact"/>
        <w:ind w:left="-142" w:right="51" w:firstLine="22" w:firstLineChars="7"/>
        <w:jc w:val="center"/>
        <w:rPr>
          <w:rFonts w:ascii="仿宋_GB2312" w:hAnsi="Times New Roman" w:eastAsia="仿宋_GB2312" w:cs="黑体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560" w:lineRule="exact"/>
        <w:ind w:left="-142" w:right="51" w:firstLine="31" w:firstLineChars="7"/>
        <w:jc w:val="center"/>
        <w:rPr>
          <w:rFonts w:ascii="黑体" w:hAnsi="黑体" w:eastAsia="黑体" w:cs="黑体"/>
          <w:b/>
          <w:sz w:val="44"/>
          <w:szCs w:val="44"/>
        </w:rPr>
      </w:pPr>
    </w:p>
    <w:p>
      <w:pPr>
        <w:kinsoku w:val="0"/>
        <w:overflowPunct w:val="0"/>
        <w:adjustRightInd w:val="0"/>
        <w:snapToGrid w:val="0"/>
        <w:spacing w:line="560" w:lineRule="exact"/>
        <w:ind w:left="-142" w:right="51" w:firstLine="31" w:firstLineChars="7"/>
        <w:jc w:val="center"/>
        <w:rPr>
          <w:rFonts w:ascii="黑体" w:hAnsi="黑体" w:eastAsia="黑体" w:cs="黑体"/>
          <w:b/>
          <w:sz w:val="44"/>
          <w:szCs w:val="44"/>
        </w:rPr>
      </w:pPr>
    </w:p>
    <w:p>
      <w:pPr>
        <w:kinsoku w:val="0"/>
        <w:overflowPunct w:val="0"/>
        <w:adjustRightInd w:val="0"/>
        <w:snapToGrid w:val="0"/>
        <w:spacing w:line="560" w:lineRule="exact"/>
        <w:ind w:left="-142" w:right="51" w:firstLine="31" w:firstLineChars="7"/>
        <w:jc w:val="center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目  录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1260" w:firstLineChars="350"/>
        <w:jc w:val="left"/>
        <w:rPr>
          <w:rFonts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一、财政转移支付安排情况</w:t>
      </w:r>
    </w:p>
    <w:p>
      <w:pPr>
        <w:spacing w:line="560" w:lineRule="exact"/>
        <w:ind w:firstLine="1260" w:firstLineChars="350"/>
        <w:jc w:val="left"/>
        <w:rPr>
          <w:rFonts w:ascii="楷体" w:hAnsi="楷体" w:eastAsia="楷体"/>
          <w:sz w:val="36"/>
          <w:szCs w:val="36"/>
        </w:rPr>
      </w:pPr>
    </w:p>
    <w:p>
      <w:pPr>
        <w:spacing w:line="560" w:lineRule="exact"/>
        <w:ind w:firstLine="1260" w:firstLineChars="350"/>
        <w:jc w:val="left"/>
        <w:rPr>
          <w:rFonts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二、重大政策和重点项目等绩效目标</w:t>
      </w:r>
    </w:p>
    <w:p>
      <w:pPr>
        <w:spacing w:line="560" w:lineRule="exact"/>
        <w:ind w:firstLine="1260" w:firstLineChars="350"/>
        <w:jc w:val="left"/>
        <w:rPr>
          <w:rFonts w:ascii="楷体" w:hAnsi="楷体" w:eastAsia="楷体"/>
          <w:sz w:val="36"/>
          <w:szCs w:val="36"/>
        </w:rPr>
      </w:pPr>
    </w:p>
    <w:p>
      <w:pPr>
        <w:spacing w:line="560" w:lineRule="exact"/>
        <w:ind w:firstLine="1260" w:firstLineChars="350"/>
        <w:jc w:val="left"/>
        <w:rPr>
          <w:rFonts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三、举借债务情况说明</w:t>
      </w:r>
    </w:p>
    <w:p>
      <w:pPr>
        <w:spacing w:line="560" w:lineRule="exact"/>
        <w:ind w:firstLine="1260" w:firstLineChars="350"/>
        <w:jc w:val="left"/>
        <w:rPr>
          <w:rFonts w:ascii="楷体" w:hAnsi="楷体" w:eastAsia="楷体"/>
          <w:sz w:val="36"/>
          <w:szCs w:val="36"/>
        </w:rPr>
      </w:pPr>
    </w:p>
    <w:p>
      <w:pPr>
        <w:spacing w:line="560" w:lineRule="exact"/>
        <w:ind w:firstLine="1260" w:firstLineChars="350"/>
        <w:jc w:val="left"/>
        <w:rPr>
          <w:rFonts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四、 “三公”经费预算安排情况说明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1044" w:firstLineChars="325"/>
        <w:jc w:val="left"/>
        <w:rPr>
          <w:rFonts w:ascii="仿宋_GB2312" w:eastAsia="仿宋_GB2312"/>
          <w:b/>
          <w:sz w:val="32"/>
          <w:szCs w:val="32"/>
        </w:rPr>
      </w:pPr>
    </w:p>
    <w:p>
      <w:pPr>
        <w:spacing w:line="560" w:lineRule="exact"/>
        <w:ind w:firstLine="1044" w:firstLineChars="325"/>
        <w:rPr>
          <w:rFonts w:ascii="仿宋_GB2312" w:eastAsia="仿宋_GB2312"/>
          <w:b/>
          <w:sz w:val="32"/>
          <w:szCs w:val="32"/>
        </w:rPr>
      </w:pPr>
    </w:p>
    <w:p>
      <w:pPr>
        <w:spacing w:line="560" w:lineRule="exact"/>
        <w:ind w:firstLine="1044" w:firstLineChars="325"/>
        <w:rPr>
          <w:rFonts w:ascii="仿宋_GB2312" w:eastAsia="仿宋_GB2312"/>
          <w:b/>
          <w:sz w:val="32"/>
          <w:szCs w:val="32"/>
        </w:rPr>
      </w:pPr>
    </w:p>
    <w:p>
      <w:pPr>
        <w:spacing w:line="700" w:lineRule="exact"/>
        <w:jc w:val="both"/>
        <w:rPr>
          <w:rFonts w:hint="eastAsia" w:ascii="方正小标宋简体" w:hAnsi="黑体" w:eastAsia="方正小标宋简体"/>
          <w:color w:val="auto"/>
          <w:sz w:val="44"/>
          <w:szCs w:val="44"/>
        </w:rPr>
      </w:pPr>
    </w:p>
    <w:p>
      <w:pPr>
        <w:spacing w:line="700" w:lineRule="exact"/>
        <w:jc w:val="center"/>
        <w:rPr>
          <w:rFonts w:ascii="方正小标宋简体" w:hAnsi="黑体" w:eastAsia="方正小标宋简体"/>
          <w:color w:val="auto"/>
          <w:sz w:val="44"/>
          <w:szCs w:val="44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</w:rPr>
        <w:t>财政转移支付安排情况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年，上级补助收入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167048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万元。其中：</w:t>
      </w:r>
      <w:r>
        <w:rPr>
          <w:rFonts w:hint="eastAsia" w:ascii="仿宋_GB2312" w:eastAsia="仿宋_GB2312"/>
          <w:color w:val="auto"/>
          <w:sz w:val="32"/>
          <w:szCs w:val="32"/>
        </w:rPr>
        <w:t>返还性收入3592万元，一般性转移支付收入为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125563</w:t>
      </w:r>
      <w:r>
        <w:rPr>
          <w:rFonts w:hint="eastAsia" w:ascii="仿宋_GB2312" w:eastAsia="仿宋_GB2312"/>
          <w:color w:val="auto"/>
          <w:sz w:val="32"/>
          <w:szCs w:val="32"/>
        </w:rPr>
        <w:t>万元，专项转移支付收入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37893</w:t>
      </w:r>
      <w:r>
        <w:rPr>
          <w:rFonts w:hint="eastAsia" w:ascii="仿宋_GB2312" w:eastAsia="仿宋_GB2312"/>
          <w:color w:val="auto"/>
          <w:sz w:val="32"/>
          <w:szCs w:val="32"/>
        </w:rPr>
        <w:t>万元。具体项目情况是：</w:t>
      </w:r>
    </w:p>
    <w:p>
      <w:pPr>
        <w:pStyle w:val="4"/>
        <w:shd w:val="clear" w:color="auto" w:fill="FFFFFF"/>
        <w:spacing w:before="0" w:beforeAutospacing="0" w:after="0" w:afterAutospacing="0" w:line="550" w:lineRule="exact"/>
        <w:ind w:firstLine="640"/>
        <w:rPr>
          <w:rFonts w:ascii="楷体" w:hAnsi="楷体" w:eastAsia="楷体"/>
          <w:color w:val="auto"/>
          <w:sz w:val="32"/>
          <w:szCs w:val="32"/>
        </w:rPr>
      </w:pPr>
      <w:r>
        <w:rPr>
          <w:rFonts w:hint="eastAsia" w:ascii="黑体" w:hAnsi="黑体" w:eastAsia="黑体" w:cstheme="minorBidi"/>
          <w:color w:val="auto"/>
          <w:kern w:val="2"/>
          <w:sz w:val="32"/>
          <w:szCs w:val="32"/>
        </w:rPr>
        <w:t>一、返还性收入3592万元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增值税税收返还901万元，所得税基数返还406万元，成品油税费改革税收返还182万元，增值税五五分成返还2103万元。</w:t>
      </w:r>
    </w:p>
    <w:p>
      <w:pPr>
        <w:pStyle w:val="4"/>
        <w:shd w:val="clear" w:color="auto" w:fill="FFFFFF"/>
        <w:spacing w:before="0" w:beforeAutospacing="0" w:after="0" w:afterAutospacing="0" w:line="550" w:lineRule="exact"/>
        <w:ind w:firstLine="640"/>
        <w:rPr>
          <w:rFonts w:ascii="黑体" w:hAnsi="黑体" w:eastAsia="黑体" w:cstheme="minorBidi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color w:val="auto"/>
          <w:kern w:val="2"/>
          <w:sz w:val="32"/>
          <w:szCs w:val="32"/>
        </w:rPr>
        <w:t>二、一般性转移支付收入为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lang w:val="en-US" w:eastAsia="zh-CN"/>
        </w:rPr>
        <w:t>125563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</w:rPr>
        <w:t>万元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均衡性转移支付收入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28602</w:t>
      </w:r>
      <w:r>
        <w:rPr>
          <w:rFonts w:hint="eastAsia" w:ascii="仿宋_GB2312" w:eastAsia="仿宋_GB2312"/>
          <w:color w:val="auto"/>
          <w:sz w:val="32"/>
          <w:szCs w:val="32"/>
        </w:rPr>
        <w:t>万元，县级基本财力保障机制奖补资金收入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32497</w:t>
      </w:r>
      <w:r>
        <w:rPr>
          <w:rFonts w:hint="eastAsia" w:ascii="仿宋_GB2312" w:eastAsia="仿宋_GB2312"/>
          <w:color w:val="auto"/>
          <w:sz w:val="32"/>
          <w:szCs w:val="32"/>
        </w:rPr>
        <w:t>万元，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结算补助收入3178万元，</w:t>
      </w:r>
      <w:r>
        <w:rPr>
          <w:rFonts w:hint="eastAsia" w:ascii="仿宋_GB2312" w:eastAsia="仿宋_GB2312"/>
          <w:color w:val="auto"/>
          <w:sz w:val="32"/>
          <w:szCs w:val="32"/>
        </w:rPr>
        <w:t>产粮大县奖励资金收入为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1859</w:t>
      </w:r>
      <w:r>
        <w:rPr>
          <w:rFonts w:hint="eastAsia" w:ascii="仿宋_GB2312" w:eastAsia="仿宋_GB2312"/>
          <w:color w:val="auto"/>
          <w:sz w:val="32"/>
          <w:szCs w:val="32"/>
        </w:rPr>
        <w:t>万元，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重点生态功能区转移支付收入为1400万元，公共安全共同财政事权转移支付收入252万，</w:t>
      </w:r>
      <w:r>
        <w:rPr>
          <w:rFonts w:hint="eastAsia" w:ascii="仿宋_GB2312" w:eastAsia="仿宋_GB2312"/>
          <w:color w:val="auto"/>
          <w:sz w:val="32"/>
          <w:szCs w:val="32"/>
        </w:rPr>
        <w:t>教育共同财政事权转移支付收入为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11265</w:t>
      </w:r>
      <w:r>
        <w:rPr>
          <w:rFonts w:hint="eastAsia" w:ascii="仿宋_GB2312" w:eastAsia="仿宋_GB2312"/>
          <w:color w:val="auto"/>
          <w:sz w:val="32"/>
          <w:szCs w:val="32"/>
        </w:rPr>
        <w:t>万元，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文化旅游体育与传媒共同财事权转移支付收入181万元，权</w:t>
      </w:r>
      <w:r>
        <w:rPr>
          <w:rFonts w:hint="eastAsia" w:ascii="仿宋_GB2312" w:eastAsia="仿宋_GB2312"/>
          <w:color w:val="auto"/>
          <w:sz w:val="32"/>
          <w:szCs w:val="32"/>
        </w:rPr>
        <w:t>社会保障和就业共同财政事权转移支付收入为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6760</w:t>
      </w:r>
      <w:r>
        <w:rPr>
          <w:rFonts w:hint="eastAsia" w:ascii="仿宋_GB2312" w:eastAsia="仿宋_GB2312"/>
          <w:color w:val="auto"/>
          <w:sz w:val="32"/>
          <w:szCs w:val="32"/>
        </w:rPr>
        <w:t>万元，医疗卫生共同财政事权转移支付收入为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11216</w:t>
      </w:r>
      <w:r>
        <w:rPr>
          <w:rFonts w:hint="eastAsia" w:ascii="仿宋_GB2312" w:eastAsia="仿宋_GB2312"/>
          <w:color w:val="auto"/>
          <w:sz w:val="32"/>
          <w:szCs w:val="32"/>
        </w:rPr>
        <w:t>万元，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节能环保</w:t>
      </w:r>
      <w:r>
        <w:rPr>
          <w:rFonts w:hint="eastAsia" w:ascii="仿宋_GB2312" w:eastAsia="仿宋_GB2312"/>
          <w:color w:val="auto"/>
          <w:sz w:val="32"/>
          <w:szCs w:val="32"/>
        </w:rPr>
        <w:t>共同财政事权转移支付收入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5400万元，</w:t>
      </w:r>
      <w:r>
        <w:rPr>
          <w:rFonts w:hint="eastAsia" w:ascii="仿宋_GB2312" w:eastAsia="仿宋_GB2312"/>
          <w:color w:val="auto"/>
          <w:sz w:val="32"/>
          <w:szCs w:val="32"/>
        </w:rPr>
        <w:t>农林水共同财政事权转移支付收入为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22416</w:t>
      </w:r>
      <w:r>
        <w:rPr>
          <w:rFonts w:hint="eastAsia" w:ascii="仿宋_GB2312" w:eastAsia="仿宋_GB2312"/>
          <w:color w:val="auto"/>
          <w:sz w:val="32"/>
          <w:szCs w:val="32"/>
        </w:rPr>
        <w:t>万元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交通运输</w:t>
      </w:r>
      <w:r>
        <w:rPr>
          <w:rFonts w:hint="eastAsia" w:ascii="仿宋_GB2312" w:eastAsia="仿宋_GB2312"/>
          <w:color w:val="auto"/>
          <w:sz w:val="32"/>
          <w:szCs w:val="32"/>
        </w:rPr>
        <w:t>共同财政事权转移支付收入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214万元，自然资源海洋气象等共同财政事权转移支付收入171万元，住房保障</w:t>
      </w:r>
      <w:r>
        <w:rPr>
          <w:rFonts w:hint="eastAsia" w:ascii="仿宋_GB2312" w:eastAsia="仿宋_GB2312"/>
          <w:color w:val="auto"/>
          <w:sz w:val="32"/>
          <w:szCs w:val="32"/>
        </w:rPr>
        <w:t>共同财政事权转移支付收入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152万元，</w:t>
      </w:r>
      <w:r>
        <w:rPr>
          <w:rFonts w:hint="eastAsia" w:ascii="仿宋_GB2312" w:eastAsia="仿宋_GB2312"/>
          <w:color w:val="auto"/>
          <w:sz w:val="32"/>
          <w:szCs w:val="32"/>
        </w:rPr>
        <w:t>其他一般性转移支付收入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</w:rPr>
        <w:t>万元。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Autospacing="0" w:after="0" w:afterAutospacing="0" w:line="550" w:lineRule="exact"/>
        <w:ind w:firstLine="640"/>
        <w:rPr>
          <w:rFonts w:hint="eastAsia" w:ascii="黑体" w:hAnsi="黑体" w:eastAsia="黑体" w:cstheme="minorBidi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color w:val="auto"/>
          <w:kern w:val="2"/>
          <w:sz w:val="32"/>
          <w:szCs w:val="32"/>
        </w:rPr>
        <w:t>专项转移支付收入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37893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</w:rPr>
        <w:t>万元</w:t>
      </w:r>
    </w:p>
    <w:p>
      <w:pPr>
        <w:pStyle w:val="4"/>
        <w:numPr>
          <w:ilvl w:val="0"/>
          <w:numId w:val="0"/>
        </w:numPr>
        <w:shd w:val="clear" w:color="auto" w:fill="FFFFFF"/>
        <w:spacing w:before="0" w:beforeAutospacing="0" w:after="0" w:afterAutospacing="0" w:line="550" w:lineRule="exact"/>
        <w:ind w:firstLine="640" w:firstLineChars="200"/>
        <w:rPr>
          <w:rFonts w:hint="default" w:ascii="仿宋_GB2312" w:eastAsia="仿宋_GB2312" w:hAnsiTheme="minorHAnsi" w:cstheme="minorBidi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lang w:val="en-US" w:eastAsia="zh-CN" w:bidi="ar-SA"/>
        </w:rPr>
        <w:t>一般公共服务收入116万元，国防收入24万元，公共安全收入9万元，教育收入1179万元，科学技术收入68万元，文化旅游体育与传媒718万元，社会保障与就业1408万元，卫生健康收入735万元，节能环保收入22300万元，城乡社区收入28万元，农林水收入6356万元，交通运输收入1221万元，资源勘探工业信息等239万元，商业服务业等122万元，自然资源海洋气象等2931万元，粮油物资储备439万元，其他收入0万元。</w:t>
      </w:r>
    </w:p>
    <w:p>
      <w:pPr>
        <w:spacing w:line="700" w:lineRule="exact"/>
        <w:jc w:val="center"/>
        <w:rPr>
          <w:rFonts w:hint="eastAsia" w:ascii="方正小标宋简体" w:hAnsi="黑体" w:eastAsia="方正小标宋简体"/>
          <w:color w:val="auto"/>
          <w:sz w:val="44"/>
          <w:szCs w:val="44"/>
        </w:rPr>
      </w:pPr>
    </w:p>
    <w:p>
      <w:pPr>
        <w:spacing w:line="700" w:lineRule="exact"/>
        <w:jc w:val="center"/>
        <w:rPr>
          <w:rFonts w:hint="eastAsia" w:ascii="方正小标宋简体" w:hAnsi="黑体" w:eastAsia="方正小标宋简体"/>
          <w:color w:val="auto"/>
          <w:sz w:val="44"/>
          <w:szCs w:val="44"/>
        </w:rPr>
      </w:pPr>
    </w:p>
    <w:p>
      <w:pPr>
        <w:spacing w:line="700" w:lineRule="exact"/>
        <w:jc w:val="center"/>
        <w:rPr>
          <w:rFonts w:ascii="方正小标宋简体" w:hAnsi="黑体" w:eastAsia="方正小标宋简体"/>
          <w:color w:val="auto"/>
          <w:sz w:val="44"/>
          <w:szCs w:val="44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</w:rPr>
        <w:t>重大政策和重点项目等绩效目标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4"/>
        <w:numPr>
          <w:ilvl w:val="0"/>
          <w:numId w:val="0"/>
        </w:numPr>
        <w:shd w:val="clear" w:color="auto" w:fill="FFFFFF"/>
        <w:spacing w:before="0" w:beforeAutospacing="0" w:after="0" w:afterAutospacing="0" w:line="550" w:lineRule="exact"/>
        <w:ind w:firstLine="640" w:firstLineChars="200"/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lang w:val="en-US" w:eastAsia="zh-CN" w:bidi="ar-SA"/>
        </w:rPr>
        <w:t>2026年，将进一步规范和加强预算管理，强化支出责任，提高资金使用效益，建立健全预算管理机制，完善绩效管理工作制度。逐步建立和完善财政支出绩效评价相关制度，包括绩效目标审查制度等。</w:t>
      </w:r>
    </w:p>
    <w:p>
      <w:pPr>
        <w:pStyle w:val="4"/>
        <w:numPr>
          <w:ilvl w:val="0"/>
          <w:numId w:val="0"/>
        </w:numPr>
        <w:shd w:val="clear" w:color="auto" w:fill="FFFFFF"/>
        <w:spacing w:before="0" w:beforeAutospacing="0" w:after="0" w:afterAutospacing="0" w:line="550" w:lineRule="exact"/>
        <w:ind w:firstLine="640" w:firstLineChars="200"/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lang w:val="en-US" w:eastAsia="zh-CN" w:bidi="ar-SA"/>
        </w:rPr>
        <w:t>合理运用评价方法。根据支出项目的不同情况选择合适的评价方法，如成本效益分析法、比较法、因素分析法、最低成本法、公众评判法等，并依托有关专家和中介机构的力量，使评价结论更准确、更具权威性，重点开展财政专项扶贫资金绩效考评工作。</w:t>
      </w:r>
    </w:p>
    <w:p>
      <w:pPr>
        <w:pStyle w:val="4"/>
        <w:numPr>
          <w:ilvl w:val="0"/>
          <w:numId w:val="0"/>
        </w:numPr>
        <w:shd w:val="clear" w:color="auto" w:fill="FFFFFF"/>
        <w:spacing w:before="0" w:beforeAutospacing="0" w:after="0" w:afterAutospacing="0" w:line="550" w:lineRule="exact"/>
        <w:ind w:firstLine="640" w:firstLineChars="200"/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lang w:val="en-US" w:eastAsia="zh-CN" w:bidi="ar-SA"/>
        </w:rPr>
        <w:t>2026年我区预算项目支出，均编报了绩效目标，各部门绩效目标编报情况已在本部门公开内容里单独列示。</w:t>
      </w:r>
    </w:p>
    <w:p>
      <w:pPr>
        <w:spacing w:line="700" w:lineRule="exact"/>
        <w:jc w:val="center"/>
        <w:rPr>
          <w:rFonts w:hint="eastAsia" w:ascii="方正小标宋简体" w:hAnsi="黑体" w:eastAsia="方正小标宋简体"/>
          <w:color w:val="auto"/>
          <w:sz w:val="44"/>
          <w:szCs w:val="44"/>
        </w:rPr>
      </w:pPr>
    </w:p>
    <w:p>
      <w:pPr>
        <w:spacing w:line="700" w:lineRule="exact"/>
        <w:jc w:val="center"/>
        <w:rPr>
          <w:rFonts w:ascii="方正小标宋简体" w:hAnsi="黑体" w:eastAsia="方正小标宋简体"/>
          <w:color w:val="auto"/>
          <w:sz w:val="44"/>
          <w:szCs w:val="44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</w:rPr>
        <w:t>举借债务情况说明</w:t>
      </w:r>
    </w:p>
    <w:p>
      <w:pPr>
        <w:pStyle w:val="4"/>
        <w:shd w:val="clear" w:color="auto" w:fill="FFFFFF"/>
        <w:spacing w:before="0" w:beforeAutospacing="0" w:after="0" w:afterAutospacing="0" w:line="550" w:lineRule="exact"/>
        <w:ind w:firstLine="640"/>
        <w:rPr>
          <w:rFonts w:ascii="黑体" w:hAnsi="黑体" w:eastAsia="黑体" w:cstheme="minorBidi"/>
          <w:color w:val="auto"/>
          <w:kern w:val="2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50" w:lineRule="exact"/>
        <w:ind w:firstLine="640"/>
        <w:rPr>
          <w:rFonts w:ascii="黑体" w:hAnsi="黑体" w:eastAsia="黑体" w:cstheme="minorBidi"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</w:rPr>
        <w:t>一、202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</w:rPr>
        <w:t>年限额及余额情况</w:t>
      </w:r>
    </w:p>
    <w:p>
      <w:pPr>
        <w:keepNext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省财政厅核定全区202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年年底政府债务限额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644509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万元，其中：一般债务102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585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万元，专项债务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541924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万元。</w:t>
      </w:r>
    </w:p>
    <w:p>
      <w:pPr>
        <w:keepNext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截至202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年底，全区政府债务余额合计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639102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万元，其中：一般债务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100447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万元，专项债务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538655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万元。全区政府债务余额不超过省财政厅核定的限额。</w:t>
      </w:r>
    </w:p>
    <w:p>
      <w:pPr>
        <w:pStyle w:val="4"/>
        <w:shd w:val="clear" w:color="auto" w:fill="FFFFFF"/>
        <w:spacing w:before="0" w:beforeAutospacing="0" w:after="0" w:afterAutospacing="0" w:line="550" w:lineRule="exact"/>
        <w:ind w:firstLine="640"/>
        <w:rPr>
          <w:rFonts w:ascii="楷体" w:hAnsi="楷体" w:eastAsia="楷体" w:cstheme="minorBidi"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</w:rPr>
        <w:t>二、202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</w:rPr>
        <w:t>年发行及还本付息情况</w:t>
      </w:r>
    </w:p>
    <w:p>
      <w:pPr>
        <w:keepNext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年，全区政府债券还本付息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22429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万元，其中：还本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5045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万元（一般债券还本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2145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万元，专项债券还本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2900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万元）；付息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17384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万元（一般债券付息30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万元；专项债券付息1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4296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万元）。</w:t>
      </w:r>
    </w:p>
    <w:p>
      <w:pPr>
        <w:pStyle w:val="4"/>
        <w:shd w:val="clear" w:color="auto" w:fill="FFFFFF"/>
        <w:spacing w:before="0" w:beforeAutospacing="0" w:after="0" w:afterAutospacing="0" w:line="550" w:lineRule="exact"/>
        <w:ind w:firstLine="640"/>
        <w:rPr>
          <w:rFonts w:ascii="黑体" w:hAnsi="黑体" w:eastAsia="黑体" w:cstheme="minorBidi"/>
          <w:color w:val="auto"/>
          <w:kern w:val="2"/>
          <w:sz w:val="32"/>
          <w:szCs w:val="32"/>
          <w:highlight w:val="none"/>
        </w:rPr>
      </w:pP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</w:rPr>
        <w:t>三、提前告知</w:t>
      </w:r>
      <w:r>
        <w:rPr>
          <w:rFonts w:ascii="黑体" w:hAnsi="黑体" w:eastAsia="黑体" w:cstheme="minorBidi"/>
          <w:color w:val="auto"/>
          <w:kern w:val="2"/>
          <w:sz w:val="32"/>
          <w:szCs w:val="32"/>
          <w:highlight w:val="none"/>
        </w:rPr>
        <w:t>202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</w:rPr>
        <w:t>年政府债务限额情况</w:t>
      </w:r>
    </w:p>
    <w:p>
      <w:pPr>
        <w:pStyle w:val="4"/>
        <w:shd w:val="clear" w:color="auto" w:fill="FFFFFF"/>
        <w:spacing w:before="0" w:beforeAutospacing="0" w:after="0" w:afterAutospacing="0" w:line="55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我区202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年新增债务限额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5.02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（全部为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专项债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</w:p>
    <w:p>
      <w:pPr>
        <w:pStyle w:val="4"/>
        <w:shd w:val="clear" w:color="auto" w:fill="FFFFFF"/>
        <w:spacing w:before="0" w:beforeAutospacing="0" w:after="0" w:afterAutospacing="0" w:line="550" w:lineRule="exact"/>
        <w:ind w:firstLine="640"/>
        <w:rPr>
          <w:rFonts w:ascii="黑体" w:hAnsi="黑体" w:eastAsia="黑体" w:cstheme="minorBidi"/>
          <w:color w:val="auto"/>
          <w:kern w:val="2"/>
          <w:sz w:val="32"/>
          <w:szCs w:val="32"/>
          <w:highlight w:val="yellow"/>
        </w:rPr>
      </w:pP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</w:rPr>
        <w:t>四、202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黑体" w:hAnsi="黑体" w:eastAsia="黑体" w:cstheme="minorBidi"/>
          <w:color w:val="auto"/>
          <w:kern w:val="2"/>
          <w:sz w:val="32"/>
          <w:szCs w:val="32"/>
          <w:highlight w:val="none"/>
        </w:rPr>
        <w:t>年还本付息预算安排情况</w:t>
      </w:r>
    </w:p>
    <w:p>
      <w:pPr>
        <w:pStyle w:val="4"/>
        <w:shd w:val="clear" w:color="auto" w:fill="FFFFFF"/>
        <w:spacing w:before="0" w:beforeAutospacing="0" w:after="0" w:afterAutospacing="0" w:line="550" w:lineRule="exact"/>
        <w:ind w:firstLine="640"/>
        <w:rPr>
          <w:rFonts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  <w:t>202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  <w:t>年还本付息预算数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  <w:lang w:val="en-US" w:eastAsia="zh-CN"/>
        </w:rPr>
        <w:t>7164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  <w:t>万元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  <w:t>，其中一般债券还本付息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  <w:lang w:val="en-US" w:eastAsia="zh-CN"/>
        </w:rPr>
        <w:t>5225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  <w:t>万元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  <w:t>，专项债券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  <w:lang w:val="en-US" w:eastAsia="zh-CN"/>
        </w:rPr>
        <w:t>还本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  <w:t>付息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  <w:lang w:val="en-US" w:eastAsia="zh-CN"/>
        </w:rPr>
        <w:t>1939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  <w:t>万元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  <w:t>。</w:t>
      </w:r>
      <w:r>
        <w:rPr>
          <w:rFonts w:ascii="仿宋_GB2312" w:eastAsia="仿宋_GB2312" w:hAnsiTheme="minorHAnsi" w:cstheme="minorBidi"/>
          <w:color w:val="auto"/>
          <w:kern w:val="2"/>
          <w:sz w:val="32"/>
          <w:szCs w:val="32"/>
          <w:highlight w:val="none"/>
        </w:rPr>
        <w:t xml:space="preserve"> </w:t>
      </w:r>
    </w:p>
    <w:p>
      <w:pPr>
        <w:spacing w:line="550" w:lineRule="exact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年，根据《预算法》和《国务院关于加强地方政府性债务管理的意见》（国发〔2014〕43号）和《河南省人民政府关于加强政府性债务管理的意见》(豫政 〔2016〕11号)等文</w:t>
      </w:r>
      <w:r>
        <w:rPr>
          <w:rFonts w:hint="eastAsia" w:ascii="仿宋_GB2312" w:eastAsia="仿宋_GB2312"/>
          <w:color w:val="auto"/>
          <w:sz w:val="32"/>
          <w:szCs w:val="32"/>
        </w:rPr>
        <w:t>件要求，在加强债务管理，杜绝各种违法担保、变相举债行为的同时，健全债务台账管理，动态掌握债务变动情况。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积极学习研究国家关于政府债务管理方面的政策法规，结合我区实际，尽力</w:t>
      </w:r>
      <w:r>
        <w:rPr>
          <w:rFonts w:hint="eastAsia" w:ascii="仿宋_GB2312" w:eastAsia="仿宋_GB2312"/>
          <w:color w:val="auto"/>
          <w:sz w:val="32"/>
          <w:szCs w:val="32"/>
        </w:rPr>
        <w:t>从管理模式和体制上规范债务管理，防范债务风险。</w:t>
      </w:r>
    </w:p>
    <w:p>
      <w:pPr>
        <w:spacing w:line="700" w:lineRule="exact"/>
        <w:jc w:val="center"/>
        <w:rPr>
          <w:rFonts w:ascii="方正小标宋简体" w:hAnsi="黑体" w:eastAsia="方正小标宋简体"/>
          <w:color w:val="auto"/>
          <w:sz w:val="44"/>
          <w:szCs w:val="44"/>
        </w:rPr>
      </w:pPr>
    </w:p>
    <w:p>
      <w:pPr>
        <w:spacing w:line="700" w:lineRule="exact"/>
        <w:jc w:val="center"/>
        <w:rPr>
          <w:rFonts w:ascii="方正小标宋简体" w:hAnsi="黑体" w:eastAsia="方正小标宋简体"/>
          <w:color w:val="auto"/>
          <w:sz w:val="44"/>
          <w:szCs w:val="44"/>
        </w:rPr>
      </w:pPr>
    </w:p>
    <w:p>
      <w:pPr>
        <w:spacing w:line="700" w:lineRule="exact"/>
        <w:jc w:val="center"/>
        <w:rPr>
          <w:rFonts w:ascii="方正小标宋简体" w:hAnsi="黑体" w:eastAsia="方正小标宋简体"/>
          <w:color w:val="auto"/>
          <w:sz w:val="44"/>
          <w:szCs w:val="44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黑体" w:eastAsia="方正小标宋简体"/>
          <w:color w:val="auto"/>
          <w:sz w:val="44"/>
          <w:szCs w:val="44"/>
          <w:lang w:val="en-US" w:eastAsia="zh-CN"/>
        </w:rPr>
        <w:t>6</w:t>
      </w:r>
      <w:r>
        <w:rPr>
          <w:rFonts w:hint="eastAsia" w:ascii="方正小标宋简体" w:hAnsi="黑体" w:eastAsia="方正小标宋简体"/>
          <w:color w:val="auto"/>
          <w:sz w:val="44"/>
          <w:szCs w:val="44"/>
        </w:rPr>
        <w:t>年“三公”经费预算说明</w:t>
      </w:r>
    </w:p>
    <w:p>
      <w:pPr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</w:t>
      </w:r>
    </w:p>
    <w:p>
      <w:pPr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</w:rPr>
        <w:t>年“三公”经费预算安排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447</w:t>
      </w:r>
      <w:r>
        <w:rPr>
          <w:rFonts w:hint="eastAsia" w:ascii="仿宋_GB2312" w:eastAsia="仿宋_GB2312"/>
          <w:color w:val="auto"/>
          <w:sz w:val="32"/>
          <w:szCs w:val="32"/>
        </w:rPr>
        <w:t>万元，较上年减少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万元，下降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0.7</w:t>
      </w:r>
      <w:r>
        <w:rPr>
          <w:rFonts w:hint="eastAsia" w:ascii="仿宋_GB2312" w:eastAsia="仿宋_GB2312"/>
          <w:color w:val="auto"/>
          <w:sz w:val="32"/>
          <w:szCs w:val="32"/>
        </w:rPr>
        <w:t>%。其中：因公出国（境）费预算为零，公务用车购置费0万元，公车用车运行费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447</w:t>
      </w:r>
      <w:r>
        <w:rPr>
          <w:rFonts w:hint="eastAsia" w:ascii="仿宋_GB2312" w:eastAsia="仿宋_GB2312"/>
          <w:color w:val="auto"/>
          <w:sz w:val="32"/>
          <w:szCs w:val="32"/>
        </w:rPr>
        <w:t>万元，公务接待费0万元。公务接待费下降的主要原因是继续按照公务接待管理办法规定，厉行勤俭节约，严格接待审批，压缩公务接待费支出；公务运行维护费减少主要是加强公务用车使用管理，减少车辆维修维护费用。</w:t>
      </w:r>
    </w:p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588" w:bottom="1440" w:left="1588" w:header="851" w:footer="992" w:gutter="0"/>
      <w:pgNumType w:fmt="numberInDash" w:start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2"/>
          <w:jc w:val="center"/>
        </w:pP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3C912D"/>
    <w:multiLevelType w:val="singleLevel"/>
    <w:tmpl w:val="C73C912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1YTllMWMyMWVjZDQxYTM5YjhlMmU2ZmM3MDk3ZDIifQ=="/>
  </w:docVars>
  <w:rsids>
    <w:rsidRoot w:val="00687C8E"/>
    <w:rsid w:val="0000215D"/>
    <w:rsid w:val="00011E17"/>
    <w:rsid w:val="00035701"/>
    <w:rsid w:val="000E3415"/>
    <w:rsid w:val="00117822"/>
    <w:rsid w:val="001461AE"/>
    <w:rsid w:val="00173A42"/>
    <w:rsid w:val="00183565"/>
    <w:rsid w:val="001B03E6"/>
    <w:rsid w:val="001C1E7A"/>
    <w:rsid w:val="001C279F"/>
    <w:rsid w:val="001F7BEA"/>
    <w:rsid w:val="002040A5"/>
    <w:rsid w:val="00231DAB"/>
    <w:rsid w:val="00231FAC"/>
    <w:rsid w:val="002812F4"/>
    <w:rsid w:val="00295389"/>
    <w:rsid w:val="002A0B18"/>
    <w:rsid w:val="0032320E"/>
    <w:rsid w:val="003345DB"/>
    <w:rsid w:val="00340EC8"/>
    <w:rsid w:val="003423A5"/>
    <w:rsid w:val="00372178"/>
    <w:rsid w:val="003D7398"/>
    <w:rsid w:val="004039FB"/>
    <w:rsid w:val="004260FD"/>
    <w:rsid w:val="00441601"/>
    <w:rsid w:val="00441A18"/>
    <w:rsid w:val="00451ED3"/>
    <w:rsid w:val="00461995"/>
    <w:rsid w:val="00483510"/>
    <w:rsid w:val="005046D2"/>
    <w:rsid w:val="00553DDA"/>
    <w:rsid w:val="00586A9D"/>
    <w:rsid w:val="006426B9"/>
    <w:rsid w:val="00687C8E"/>
    <w:rsid w:val="006A0FD8"/>
    <w:rsid w:val="006B6297"/>
    <w:rsid w:val="006D613C"/>
    <w:rsid w:val="006F18F8"/>
    <w:rsid w:val="00701740"/>
    <w:rsid w:val="0070178F"/>
    <w:rsid w:val="00712482"/>
    <w:rsid w:val="00734857"/>
    <w:rsid w:val="00766A5F"/>
    <w:rsid w:val="007D4A00"/>
    <w:rsid w:val="008025C0"/>
    <w:rsid w:val="008574CC"/>
    <w:rsid w:val="0089185C"/>
    <w:rsid w:val="00896181"/>
    <w:rsid w:val="008F0E24"/>
    <w:rsid w:val="00970F18"/>
    <w:rsid w:val="009B74F6"/>
    <w:rsid w:val="00A23A59"/>
    <w:rsid w:val="00A26E7C"/>
    <w:rsid w:val="00A91C4F"/>
    <w:rsid w:val="00A972FF"/>
    <w:rsid w:val="00AB1262"/>
    <w:rsid w:val="00AD2AB1"/>
    <w:rsid w:val="00AE3FBD"/>
    <w:rsid w:val="00B1444A"/>
    <w:rsid w:val="00B2122A"/>
    <w:rsid w:val="00B25C3E"/>
    <w:rsid w:val="00B37A92"/>
    <w:rsid w:val="00B743C1"/>
    <w:rsid w:val="00BD05BD"/>
    <w:rsid w:val="00C36442"/>
    <w:rsid w:val="00C42103"/>
    <w:rsid w:val="00C80E42"/>
    <w:rsid w:val="00D756D2"/>
    <w:rsid w:val="00D84000"/>
    <w:rsid w:val="00D85C00"/>
    <w:rsid w:val="00DF2819"/>
    <w:rsid w:val="00E331F3"/>
    <w:rsid w:val="00E43E76"/>
    <w:rsid w:val="00E44390"/>
    <w:rsid w:val="00E51D17"/>
    <w:rsid w:val="00E75A56"/>
    <w:rsid w:val="00EC3CAB"/>
    <w:rsid w:val="00EE4587"/>
    <w:rsid w:val="00F02052"/>
    <w:rsid w:val="00F178E4"/>
    <w:rsid w:val="00F4644B"/>
    <w:rsid w:val="00FE0474"/>
    <w:rsid w:val="06381E27"/>
    <w:rsid w:val="072F5528"/>
    <w:rsid w:val="0F4B3768"/>
    <w:rsid w:val="10833CDD"/>
    <w:rsid w:val="12B409F7"/>
    <w:rsid w:val="12CA34ED"/>
    <w:rsid w:val="15C24534"/>
    <w:rsid w:val="18E53C3D"/>
    <w:rsid w:val="19732E72"/>
    <w:rsid w:val="22A11FCF"/>
    <w:rsid w:val="23092822"/>
    <w:rsid w:val="24841C01"/>
    <w:rsid w:val="2B79180C"/>
    <w:rsid w:val="36223F40"/>
    <w:rsid w:val="36933A8C"/>
    <w:rsid w:val="37003C4A"/>
    <w:rsid w:val="3BFF534F"/>
    <w:rsid w:val="3D9105CB"/>
    <w:rsid w:val="3DB82B07"/>
    <w:rsid w:val="47193F54"/>
    <w:rsid w:val="476A3EF4"/>
    <w:rsid w:val="4F984A12"/>
    <w:rsid w:val="537F758C"/>
    <w:rsid w:val="58400CA5"/>
    <w:rsid w:val="5AAB1D46"/>
    <w:rsid w:val="62A47BB0"/>
    <w:rsid w:val="66E3263D"/>
    <w:rsid w:val="787F42A4"/>
    <w:rsid w:val="78E00E3B"/>
    <w:rsid w:val="7DB3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1653</Words>
  <Characters>1919</Characters>
  <Lines>13</Lines>
  <Paragraphs>3</Paragraphs>
  <TotalTime>501</TotalTime>
  <ScaleCrop>false</ScaleCrop>
  <LinksUpToDate>false</LinksUpToDate>
  <CharactersWithSpaces>1938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2023-07-21T09:51:00Z</dcterms:created>
  <dc:creator>匿名用户</dc:creator>
  <cp:lastModifiedBy>Administrator</cp:lastModifiedBy>
  <cp:lastPrinted>2020-07-01T10:23:00Z</cp:lastPrinted>
  <dcterms:modified xsi:type="dcterms:W3CDTF">2026-02-24T02:59:47Z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41A3CA895EF6474785195089F3F49273_13</vt:lpwstr>
  </property>
  <property fmtid="{D5CDD505-2E9C-101B-9397-08002B2CF9AE}" pid="4" name="KSOTemplateDocerSaveRecord">
    <vt:lpwstr>eyJoZGlkIjoiNTA1YTllMWMyMWVjZDQxYTM5YjhlMmU2ZmM3MDk3ZDIiLCJ1c2VySWQiOiIyOTc1MDY1MjcifQ==</vt:lpwstr>
  </property>
</Properties>
</file>