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default" w:ascii="方正小标宋简体" w:hAnsi="方正小标宋简体" w:eastAsia="方正小标宋简体" w:cs="方正小标宋简体"/>
          <w:kern w:val="2"/>
          <w:sz w:val="44"/>
          <w:szCs w:val="32"/>
          <w:lang w:val="en" w:eastAsia="zh-CN" w:bidi="ar"/>
        </w:rPr>
      </w:pPr>
      <w:bookmarkStart w:id="0" w:name="_GoBack"/>
      <w:r>
        <w:rPr>
          <w:rFonts w:hint="eastAsia" w:ascii="方正小标宋简体" w:hAnsi="方正小标宋简体" w:eastAsia="方正小标宋简体" w:cs="方正小标宋简体"/>
          <w:kern w:val="2"/>
          <w:sz w:val="44"/>
          <w:szCs w:val="32"/>
          <w:lang w:val="en-US" w:eastAsia="zh-CN" w:bidi="ar"/>
        </w:rPr>
        <w:t>安阳县水利局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bookmarkEnd w:id="0"/>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eastAsia="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lang w:val="en-US" w:eastAsia="zh-CN"/>
        </w:rPr>
      </w:pPr>
      <w:r>
        <w:rPr>
          <w:rFonts w:hint="eastAsia" w:ascii="仿宋" w:hAnsi="仿宋" w:eastAsia="仿宋" w:cs="仿宋"/>
          <w:b w:val="0"/>
          <w:bCs w:val="0"/>
          <w:sz w:val="32"/>
          <w:szCs w:val="32"/>
          <w:lang w:val="en-US" w:eastAsia="zh-CN"/>
        </w:rPr>
        <w:t>2024年，安阳县水利局</w:t>
      </w:r>
      <w:r>
        <w:rPr>
          <w:rFonts w:hint="eastAsia" w:ascii="CESI仿宋-GB2312" w:hAnsi="CESI仿宋-GB2312" w:eastAsia="CESI仿宋-GB2312" w:cs="CESI仿宋-GB2312"/>
          <w:color w:val="000000"/>
          <w:sz w:val="32"/>
          <w:szCs w:val="32"/>
          <w:lang w:val="en-US" w:eastAsia="zh-CN"/>
        </w:rPr>
        <w:t>坚持以习近平新时代中国特色社会主义思想为指导，深入学习贯彻党的二十大精神，全面贯彻落实党的二十大精神，把习近平法治思想贯穿到法治政府建设全过程，</w:t>
      </w:r>
      <w:r>
        <w:rPr>
          <w:rFonts w:hint="eastAsia" w:ascii="仿宋" w:hAnsi="仿宋" w:eastAsia="仿宋" w:cs="仿宋"/>
          <w:b w:val="0"/>
          <w:bCs w:val="0"/>
          <w:sz w:val="32"/>
          <w:szCs w:val="32"/>
          <w:lang w:val="en-US" w:eastAsia="zh-CN"/>
        </w:rPr>
        <w:t>进一步转变政府职能，深化行政体制改革，创新政府管理方式，不断提高依法决策、依法管理、依法行政的水平，全力打造良好的政府法治环境，现将2024年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b w:val="0"/>
          <w:bCs w:val="0"/>
          <w:sz w:val="32"/>
          <w:szCs w:val="32"/>
        </w:rPr>
      </w:pPr>
      <w:r>
        <w:rPr>
          <w:rFonts w:hint="eastAsia" w:ascii="黑体" w:hAnsi="黑体" w:eastAsia="黑体" w:cs="黑体"/>
          <w:b w:val="0"/>
          <w:bCs w:val="0"/>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CESI楷体-GB18030" w:hAnsi="CESI楷体-GB18030" w:eastAsia="CESI楷体-GB18030" w:cs="CESI楷体-GB18030"/>
          <w:b w:val="0"/>
          <w:bCs w:val="0"/>
          <w:sz w:val="32"/>
          <w:szCs w:val="32"/>
        </w:rPr>
      </w:pPr>
      <w:r>
        <w:rPr>
          <w:rFonts w:hint="eastAsia" w:ascii="CESI楷体-GB18030" w:hAnsi="CESI楷体-GB18030" w:eastAsia="CESI楷体-GB18030" w:cs="CESI楷体-GB18030"/>
          <w:b w:val="0"/>
          <w:bCs w:val="0"/>
          <w:sz w:val="32"/>
          <w:szCs w:val="32"/>
          <w:lang w:eastAsia="zh-CN"/>
        </w:rPr>
        <w:t>（一）</w:t>
      </w:r>
      <w:r>
        <w:rPr>
          <w:rFonts w:hint="eastAsia" w:ascii="CESI楷体-GB18030" w:hAnsi="CESI楷体-GB18030" w:eastAsia="CESI楷体-GB18030" w:cs="CESI楷体-GB18030"/>
          <w:b w:val="0"/>
          <w:bCs w:val="0"/>
          <w:sz w:val="32"/>
          <w:szCs w:val="32"/>
        </w:rPr>
        <w:t xml:space="preserve">加强学法用法，提升法治素养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带头学习宪法和水利法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将宪法及《水法》《防洪法》《水土保持法》等水利法律法规纳入党组理论学习中心组重要内容，全年组织专题学习6次，带领班子成员深入领会法治精神。</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组织全员培训考试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举办2期水利系统法治培训班，邀请专家授课，提升干部职工法律知识水平。利用线上平台组织无纸化学法考试，参考率和合格率均达100%。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CESI楷体-GB18030" w:hAnsi="CESI楷体-GB18030" w:eastAsia="CESI楷体-GB18030" w:cs="CESI楷体-GB18030"/>
          <w:b w:val="0"/>
          <w:bCs w:val="0"/>
          <w:sz w:val="32"/>
          <w:szCs w:val="32"/>
        </w:rPr>
      </w:pPr>
      <w:r>
        <w:rPr>
          <w:rFonts w:hint="eastAsia" w:ascii="CESI楷体-GB18030" w:hAnsi="CESI楷体-GB18030" w:eastAsia="CESI楷体-GB18030" w:cs="CESI楷体-GB18030"/>
          <w:b w:val="0"/>
          <w:bCs w:val="0"/>
          <w:sz w:val="32"/>
          <w:szCs w:val="32"/>
          <w:lang w:eastAsia="zh-CN"/>
        </w:rPr>
        <w:t>（二）完善工作机制，强化依法决策</w:t>
      </w:r>
      <w:r>
        <w:rPr>
          <w:rFonts w:hint="eastAsia" w:ascii="CESI楷体-GB18030" w:hAnsi="CESI楷体-GB18030" w:eastAsia="CESI楷体-GB18030" w:cs="CESI楷体-GB18030"/>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健全法治建设机制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成立法治建设工作专班，明确职责分工，形成主要领导亲自抓、分管领导具体抓、各部门协同配核体系</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严格规范决策程序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重大行政决策严格遵循公众参与、专家论证、风险评估、合法性审查和集体讨论决定等法定程序。建立法律顾问制度，全年法律顾问参与审查各类合同、文件20余份，提供法律意见30余条，有效防范法律风险。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规范行政执法行为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严格执行行政执法“三项制度”，全面推行行政执法公示、执法全过程记录和重大执法决定法制审核</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加强执法队伍建设，组织执法人员参加培训5次，提高执法水平。2024年，共开展水行政执法检查100余次，查处水事违法案件10起，全部依法依规办理</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强化水资源管理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依据《水法》等法律法规，严格取水许可审批，加强水资源保护和节约利用。开展水资源专项执法行动，对违规取水行为进行严肃查处，</w:t>
      </w:r>
      <w:r>
        <w:rPr>
          <w:rFonts w:hint="eastAsia" w:ascii="仿宋" w:hAnsi="仿宋" w:eastAsia="仿宋" w:cs="仿宋"/>
          <w:color w:val="auto"/>
          <w:sz w:val="32"/>
          <w:szCs w:val="28"/>
          <w:lang w:val="en-US" w:eastAsia="zh-CN"/>
        </w:rPr>
        <w:t>排查机制砂行业企业10家；审批水土保持方案12个，征收水土保持补偿费53万元；依法对6家企业进行行政处罚，共计罚款62万元，征收水资源税700万元。</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推进水利工程建设管理法治化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在水利工程招投标、建设施工、质量监督等环节，严格执行相关法律法规和标准规范。加强对水利工程项目的全程监管，确保工程质量和安全，2024年实施的重点水利工程均依法依规顺利推进。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多渠道宣传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利用“世界水日”“中国水周”“12·4”国家宪法日等重要节点，通过悬挂横幅、发放宣传资料、举办知识讲座等形式，广泛宣传宪法和水利法律法规，共发放宣传资料</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000余份</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创新宣传方式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深入落实“十个一”普法宣传系列活动实施方案，开展党员干部和青年理论小组的法治专题培训，开展“一月一法”月月学活动。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2024年，我局在法治建设方面取得了一定成绩，但仍存在一些不足，如部分干部职工运用法治思维和法治方式解决问题的能力还有待提高等。在今后的工作中，我将继续加强学习，创新工作方法，推动安阳县水利事业在法治轨道上高质量发展。</w:t>
      </w:r>
    </w:p>
    <w:p>
      <w:pPr>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18030">
    <w:panose1 w:val="02000500000000000000"/>
    <w:charset w:val="86"/>
    <w:family w:val="auto"/>
    <w:pitch w:val="default"/>
    <w:sig w:usb0="A00002BF" w:usb1="38CF7CFA"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swiss"/>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DFF63A0"/>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FADB292"/>
    <w:rsid w:val="CBFB2186"/>
    <w:rsid w:val="ED7DBA74"/>
    <w:rsid w:val="EF6B3CBB"/>
    <w:rsid w:val="EF7CB50F"/>
    <w:rsid w:val="F757D396"/>
    <w:rsid w:val="F79F1BF5"/>
    <w:rsid w:val="F9FFF84F"/>
    <w:rsid w:val="FBD28D4B"/>
    <w:rsid w:val="FEDF30E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8"/>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7"/>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styleId="16">
    <w:name w:val="Strong"/>
    <w:basedOn w:val="15"/>
    <w:qFormat/>
    <w:uiPriority w:val="22"/>
    <w:rPr>
      <w:b/>
      <w:bCs/>
    </w:rPr>
  </w:style>
  <w:style w:type="character" w:customStyle="1" w:styleId="17">
    <w:name w:val="Heading 2 Char"/>
    <w:basedOn w:val="15"/>
    <w:link w:val="3"/>
    <w:semiHidden/>
    <w:qFormat/>
    <w:locked/>
    <w:uiPriority w:val="99"/>
    <w:rPr>
      <w:rFonts w:ascii="宋体" w:hAnsi="宋体" w:eastAsia="黑体" w:cs="宋体"/>
      <w:bCs/>
      <w:sz w:val="32"/>
      <w:szCs w:val="32"/>
    </w:rPr>
  </w:style>
  <w:style w:type="character" w:customStyle="1" w:styleId="18">
    <w:name w:val="标题 1 Char"/>
    <w:link w:val="2"/>
    <w:qFormat/>
    <w:uiPriority w:val="0"/>
    <w:rPr>
      <w:rFonts w:hint="default" w:ascii="Times New Roman" w:hAnsi="Times New Roman" w:eastAsia="方正小标宋简体" w:cs="宋体"/>
      <w:kern w:val="44"/>
      <w:sz w:val="44"/>
      <w:szCs w:val="32"/>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0</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2026-01-25T01:21:00Z</dcterms:created>
  <dc:creator>京水门王</dc:creator>
  <cp:lastModifiedBy>sugon</cp:lastModifiedBy>
  <dcterms:modified xsi:type="dcterms:W3CDTF">2026-04-03T09:47:19Z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