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安阳县农业农村局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关于2024年法治政府建设情况的报告</w:t>
      </w:r>
    </w:p>
    <w:bookmarkEnd w:id="0"/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在县委、县政府的正确领导下，农业农村局坚持以习近平新时代中国特色社会主义思想为指导，深入学习贯彻习近平总书记全面依法治国新理念新思想新战略，切实履行推进法治建设第一责任人的职责，团结带领班子成员，自觉运用法治思维和法治方式深化改革、推动发展、化解矛盾、维护稳定,对法治建设重要工作亲自部署、重大问题亲自过问、重点环节亲自协调、重要任务亲自督办。在单位广大党员干部的共同努力下，严格按照上级党委关于推进法治建设的工作部署，围绕县委中心工作，立足农业农村工作实际，认真落实法治建设各项工作措施，不断改进工作方法，创新工作思路，有效推动法治建设不断迈上新的台阶，取得良好的成绩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现将2024年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法治政府建设有关情况报告如下：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（一）树立法治政府建设工作理念，做到落实主体责任“不缺位”。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确保责任到位。成立以党组书记、局长为组长，其他班子成员任副组长，各股站负责人为成员的法治建设工作领导小组，形成主要领导负责抓，分管领导具体抓，相关股室配合抓的工作局面。二是确保职能发挥到位。紧扣持续优化营商环境这个主线，把平等保护贯彻到各个环节，为持续优化营商环境提供法治保障，努力在运用法治手段促进新兴产业发展、防范化解风险方面取得成果。完善并制定落实相关具体办法措施，提升决策的科学化、民主化、法治化水平，进一步促进严格规范公正文明执法，提高执法规范性和执法效能，有效用好督查和示范这个手段，确保推进法治政府建设的责任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（二）全面推进行政执法三项制度，做到政务公开“不走样”。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坚持民主集中制，健全决策机制。始终坚持民主集中制，不凭主观臆断，不搞长官意志，不搞“一言堂”，严格按照决策程序办事，力求决策科学正确。凡重大事项，都在充分调查研究、广泛征求意见的基础上，通过集体研究讨论、公平竞争审查等多环节决定。二是坚持党务政务公开，接受群众监督。严格落实意识形态和网络安全工作责任制。及时公布党务、政务应公示的内容，围绕财政预决算、公共资源交易、重大建设项目批准和实施、公益事业建设等重点领域加大政府信息公开力度，广泛接受群众监督，不断增强党政工作的透明度。三是坚持督查整改，确保落实到位。对群众关心、社会关注的与群众利益息息相关的问题进行监督，排查法治建设中的突出问题，及时提出建设性的整改意见，并督促整改到位。四是强化廉政建设，推进依法执政。坚持中层干部述职和重大事项报告制度，严格落实党风廉政建设责任制，建立健全促廉保廉机制，加大廉政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（三）严格公正文明执法，维护农业生产秩序，做到执法“多方位”。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我们深入开展农资打假专项行动、“放心农资下乡进村”活动等专项行动，打劣扶优，重拳出击，点面结合，集中整治，在对农业市场秩序的整顿和规范上起到不可忽视的作用，为切实维护农民合法权益奠定坚实基础。各项检查累计出动执法人员220人(次)，专项执法检查企业、农资经营门店150家（次），日常双随机检查对象33家，监督抽检农药18批次、肥料14批次、种子12批次、农产品饲料30批次。农业行政执法案件共立案13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（四）认真落实行政机关负责人出庭应诉制度，尊重并执行法院生效裁判，自觉维护司法权威。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2024年安阳县农业农村局出庭行政应诉案件共9件，均驳回原告起诉。2024年行政应诉败诉率为零。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（五）做好全面宣传工作，深入推进法治入户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局中心组理论学习会、局机关专题学习会等形式，组织我局全体党员干部认真学习《宪法》、《农产品质量安全法》、《中华人民共和国种子法》、《土地管理法》等法律法规，开展法治宣传教育知识培训，提高了我局干部职工的法律素养，重点做好社会宣传工作，开展多种形式的文化法制宣传教育活动，开展有关法律法规宣传；将法治文化建设纳入现代公共文化服务体系，通过法律宣传，使广大群众受到形象生动、潜移默化的法治教育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照《党政主要负责人履行推进法治建设第一则责任职责规定》进行自查，还存在两个方面不足：一是农业农村法治人才队伍建设不足。无法律专业人才充实到农业农村法治队伍当中来，现有法制审核人员业务能力、法律专业知识还不强，具有较好法治素养和一定法律知识的人员也很紧缺。二是学法、普法形式不够丰富。大量农村劳动力转移到城市，农村剩余人口多为老人、妇女和儿童，受众群体缩小，普法宣传活动难以开展、效果难以保证。多数宣传方式为发传单、贴标语、挂条幅，宣传内容多以单一的法条和法律解释为主，不易理解也不易接受，难以达到预期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为全面落实县委政府关于法治建设决策部署，全面完成法治政府工作任务，今后主要从以下几个方面努力：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（一）大力引进法律专业人才，强化人才培育力度。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按照法治政府建设的各项要求，继续抓好制度建设，确保制度科学、程序正当、过程公开、责任明确。二是加强法律人才培育。组织执法人员外出开拓视野，交流经验，提高素质，增长才干。开展技能大比武、岗位大练兵、合理安排岗位，用其所长，提升执法队伍专业素质和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（二）落实职责法定化，加强市场监管。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继续推行权责清单制度，推进机构、职责、权限、程序、责任法定化，确保依法全面履行职能。二是加强市场监管，严格落实双随机抽查制度，进一步完善监管制度，构建行政监管、行业自律、社会监督、公众参与的综合监管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（三）加大法律法规培训力度，提升执法人员素质。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制定并落实干部职工年度学法计划，注重领导干部依法行政专题培训；有序推进普法教育，切实提高全局干部守法用法能力；持续开展执法人员专业性法律法规培训，提升业务水平。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color w:val="auto"/>
          <w:sz w:val="32"/>
          <w:szCs w:val="32"/>
          <w:lang w:val="en-US" w:eastAsia="zh-CN"/>
        </w:rPr>
        <w:t>（四）强化经费保障，加快执法信息化建设。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大农业执法投入，配齐执法记录仪、现场快速检测设备、特殊应急设备等农业执法装备。积极运用“互联网+执法”模式，加快县级农业执法平台建设，提高对违法线索的收集、分析能力，提升全县农业执法指挥效率。除涉密案件外，所有行政处罚案件必须通过行政执法系统办理，实行案件办理可监测，违法行为可追溯，执法行为可监督，提升执法效能，规范行政执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DFF63A0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B5F1668"/>
    <w:rsid w:val="7C501029"/>
    <w:rsid w:val="7C920146"/>
    <w:rsid w:val="7CD42548"/>
    <w:rsid w:val="7CF70D50"/>
    <w:rsid w:val="7F946A12"/>
    <w:rsid w:val="8F76294B"/>
    <w:rsid w:val="BFADB292"/>
    <w:rsid w:val="CBFB2186"/>
    <w:rsid w:val="ED7DBA74"/>
    <w:rsid w:val="EF6B3CBB"/>
    <w:rsid w:val="EF7CB50F"/>
    <w:rsid w:val="F757D396"/>
    <w:rsid w:val="F79F1BF5"/>
    <w:rsid w:val="F9FFF84F"/>
    <w:rsid w:val="FBBA5007"/>
    <w:rsid w:val="FBD28D4B"/>
    <w:rsid w:val="FEDF30EB"/>
    <w:rsid w:val="FF7DE463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8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5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2026-01-25T09:21:00Z</dcterms:created>
  <dc:creator>京水门王</dc:creator>
  <cp:lastModifiedBy>sugon</cp:lastModifiedBy>
  <dcterms:modified xsi:type="dcterms:W3CDTF">2026-04-03T10:01:21Z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