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EF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郑州航空港经济综合实验区</w:t>
      </w:r>
    </w:p>
    <w:p w14:paraId="5EEC3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关于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支持人工智能OPC创新发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展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的十条</w:t>
      </w:r>
    </w:p>
    <w:p w14:paraId="67787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政策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措施</w:t>
      </w:r>
    </w:p>
    <w:p w14:paraId="7E8B89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征求意见稿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</w:p>
    <w:p w14:paraId="6CC01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 w14:paraId="4683EBD4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深入贯彻落实总书记关于培育新质生产力、推动人工智能产业创新发展的重要讲话精神，全面落实国家“人工智能+”行动战略部署。紧扣国家相关政策要求，立足航空港区产业基础与发展定位，大力培育人工智能OPC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新型创业形态，构建全链条创新创业生态。结合航空港区实际，制定本若干措施，以具体举措推动人工智能产业高质量发展。</w:t>
      </w:r>
    </w:p>
    <w:p w14:paraId="14FD33AA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打造OPC生态社区。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shd w:val="clear" w:color="auto" w:fill="auto"/>
        </w:rPr>
        <w:t>完善社区内餐饮、便利店、休闲健身等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商业配套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对符合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条件的入驻OPC企业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</w:rPr>
        <w:t>根据团队规模提供低成本创业空间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/>
        </w:rPr>
        <w:t>根据企业发展情况</w:t>
      </w:r>
      <w:r>
        <w:rPr>
          <w:rFonts w:ascii="Times New Roman" w:hAnsi="Times New Roman" w:eastAsia="仿宋_GB2312" w:cs="Times New Roman"/>
          <w:kern w:val="2"/>
          <w:sz w:val="32"/>
          <w:szCs w:val="32"/>
          <w:shd w:val="clear"/>
          <w:lang w:val="en-US" w:eastAsia="zh-CN" w:bidi="ar"/>
        </w:rPr>
        <w:t>最高给予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/>
          <w:lang w:val="en-US" w:eastAsia="zh-CN" w:bidi="ar"/>
        </w:rPr>
        <w:t>3</w:t>
      </w:r>
      <w:r>
        <w:rPr>
          <w:rFonts w:ascii="Times New Roman" w:hAnsi="Times New Roman" w:eastAsia="仿宋_GB2312" w:cs="Times New Roman"/>
          <w:kern w:val="2"/>
          <w:sz w:val="32"/>
          <w:szCs w:val="32"/>
          <w:shd w:val="clear"/>
          <w:lang w:val="en-US" w:eastAsia="zh-CN" w:bidi="ar"/>
        </w:rPr>
        <w:t>年租金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/>
          <w:lang w:val="en-US" w:eastAsia="zh-CN" w:bidi="ar"/>
        </w:rPr>
        <w:t>减免</w:t>
      </w:r>
      <w:r>
        <w:rPr>
          <w:rFonts w:ascii="Times New Roman" w:hAnsi="Times New Roman" w:eastAsia="仿宋_GB2312" w:cs="Times New Roman"/>
          <w:kern w:val="2"/>
          <w:sz w:val="32"/>
          <w:szCs w:val="32"/>
          <w:shd w:val="clear"/>
          <w:lang w:val="en-US" w:eastAsia="zh-CN" w:bidi="ar"/>
        </w:rPr>
        <w:t>支持。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打造OPC企业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办事服务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专区，提供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手续代办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、场景对接、金融投资、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高带宽算力支撑及算力机房网络一体化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配套等服务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481098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2.建设OPC线上创业服务平台。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highlight w:val="none"/>
          <w:shd w:val="clear" w:color="auto" w:fill="auto"/>
        </w:rPr>
        <w:t>推动平台与航空港区政务服务平台、算力服务平台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highlight w:val="none"/>
          <w:shd w:val="clear" w:color="auto" w:fill="auto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highlight w:val="none"/>
          <w:shd w:val="clear" w:color="auto" w:fill="auto"/>
        </w:rPr>
        <w:t>互联互通，实现数据共享、业务协同，提供算力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服务交易结算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highlight w:val="none"/>
          <w:shd w:val="clear" w:color="auto" w:fill="auto"/>
        </w:rPr>
        <w:t>、共享AI工具赋能、融资对接、订单撮合等专业化服务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highlight w:val="none"/>
          <w:shd w:val="clear" w:color="auto" w:fill="auto"/>
          <w:lang w:eastAsia="zh-CN"/>
        </w:rPr>
        <w:t>。</w:t>
      </w:r>
    </w:p>
    <w:p w14:paraId="28370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给予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要素券补助。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对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OPC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企业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提供“算力券、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/>
        </w:rPr>
        <w:t>词元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数据券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”支持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根据年度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使用算力服务费用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当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年度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/>
        </w:rPr>
        <w:t>模型使用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实际费用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数据产品费用分别给予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50％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30%、30%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补助，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每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类要素券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补助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金额每年最高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不超过100万，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期限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不超过3年。</w:t>
      </w:r>
    </w:p>
    <w:p w14:paraId="13BFC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highlight w:val="none"/>
          <w:shd w:val="clear" w:color="auto" w:fill="auto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.给予运营主体专项奖励。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shd w:val="clear" w:color="auto" w:fill="auto"/>
        </w:rPr>
        <w:t>基于</w:t>
      </w:r>
      <w:r>
        <w:rPr>
          <w:rFonts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其培育OPC企业数量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shd w:val="clear" w:color="auto" w:fill="auto"/>
          <w:lang w:eastAsia="zh-CN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shd w:val="clear" w:color="auto" w:fill="auto"/>
          <w:lang w:val="en-US" w:eastAsia="zh-CN"/>
        </w:rPr>
        <w:t>发展质量等指标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shd w:val="clear" w:color="auto" w:fill="auto"/>
        </w:rPr>
        <w:t>对OPC社区运营主体给予每年最高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shd w:val="clear" w:color="auto" w:fill="auto"/>
        </w:rPr>
        <w:t>00万元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shd w:val="clear" w:color="auto" w:fill="auto"/>
        </w:rPr>
        <w:t>奖励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shd w:val="clear" w:color="auto" w:fill="auto"/>
          <w:lang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highlight w:val="none"/>
          <w:shd w:val="clear" w:color="auto" w:fill="auto"/>
        </w:rPr>
        <w:t>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线上创业服务平台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highlight w:val="none"/>
          <w:shd w:val="clear" w:color="auto" w:fill="FFFFFF"/>
        </w:rPr>
        <w:t>运营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主体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highlight w:val="none"/>
          <w:shd w:val="clear" w:color="auto" w:fill="FFFFFF"/>
        </w:rPr>
        <w:t>按年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</w:rPr>
        <w:t>度撮合订单实际履约总额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  <w:lang w:val="en-US" w:eastAsia="zh-CN"/>
        </w:rPr>
        <w:t>最高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</w:rPr>
        <w:t>5%给予订单撮合奖励，每上线一款面向OPC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企业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</w:rPr>
        <w:t>的共享AI工具给予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  <w:lang w:val="en-US" w:eastAsia="zh-CN"/>
        </w:rPr>
        <w:t>最高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</w:rPr>
        <w:t>5万元奖励。</w:t>
      </w:r>
    </w:p>
    <w:p w14:paraId="4F285468">
      <w:pPr>
        <w:spacing w:line="560" w:lineRule="exact"/>
        <w:ind w:firstLine="640" w:firstLineChars="200"/>
        <w:jc w:val="left"/>
        <w:rPr>
          <w:rFonts w:hint="default" w:ascii="Times New Roman" w:hAnsi="Times New Roman" w:eastAsia="楷体_GB2312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构建“场景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+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基金”支持机制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推动航空港区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机关事业单位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、龙头企业向OPC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企业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开放航空物流、智能制造、跨境电商等领域场景资源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梳理场景需求清单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并定期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发布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鼓励航空港区国有基金机构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市场化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方式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给予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OPC企业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最高2000万元股权投资支持。</w:t>
      </w:r>
    </w:p>
    <w:p w14:paraId="468BCBAA">
      <w:pPr>
        <w:pStyle w:val="2"/>
        <w:spacing w:after="0" w:line="580" w:lineRule="exact"/>
        <w:ind w:firstLine="64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.奖励OPC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企业实现商业化突破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。</w:t>
      </w:r>
      <w:r>
        <w:rPr>
          <w:rFonts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highlight w:val="none"/>
          <w:shd w:val="clear" w:color="auto" w:fill="auto"/>
        </w:rPr>
        <w:t>对实现首订单的OPC企业，给予一次性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1</w:t>
      </w:r>
      <w:r>
        <w:rPr>
          <w:rFonts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highlight w:val="none"/>
          <w:shd w:val="clear" w:color="auto" w:fill="auto"/>
        </w:rPr>
        <w:t>万元奖励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highlight w:val="none"/>
          <w:shd w:val="clear" w:color="auto" w:fill="auto"/>
          <w:lang w:eastAsia="zh-CN"/>
        </w:rPr>
        <w:t>。</w:t>
      </w:r>
      <w:r>
        <w:rPr>
          <w:rFonts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highlight w:val="none"/>
          <w:shd w:val="clear" w:color="auto" w:fill="auto"/>
        </w:rPr>
        <w:t>对完成首轮融资且融资额度超过100万元的OPC企业，给予一次性10万元奖励。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每年遴选一批技术先进、成效显著的OPC企业创新示范项目，按项目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研发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总投入的30%给予最高100万元奖励。</w:t>
      </w:r>
    </w:p>
    <w:p w14:paraId="2D585D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.对创新研发给予奖励。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对聚焦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航空港区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主导产业开展垂直领域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模型研发并完成备案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高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"/>
        </w:rPr>
        <w:t>校科研成果转化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产品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及服务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创新的OPC企业，按年度研发投入的30%给予最高200万元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奖励。</w:t>
      </w:r>
    </w:p>
    <w:p w14:paraId="627C5149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精准招引人才。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通过组织人工智能专场引才活动引进人才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纳入航空港区“空中丝路人才计划”，按航空港区现行人才政策享受安家补贴、生活补助等。即对来区创办OPC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企业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的博士、硕士、本科毕业生，分别给予3万元、2万元、1万元一次性安家补贴，在航空港区首次购房的按学历对应给予10万元、5万元、3万元购房补贴，或者可申请最高1年免租人才公寓或市场价70%的人才租房优惠。</w:t>
      </w:r>
    </w:p>
    <w:p w14:paraId="3076C1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yellow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.建设专业化人才培训基地。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联合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高校、职业院校、龙头企业共建OPC企业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人才培训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基地，开展智能体应用、AIGC创作等专项培训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对获得国家级或省级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highlight w:val="none"/>
          <w:shd w:val="clear" w:color="auto" w:fill="auto"/>
        </w:rPr>
        <w:t>高技能人才培训基地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的申报主体，在上级奖励的基础上再给予1:1奖励支持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315AD523">
      <w:pPr>
        <w:spacing w:line="58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.举办各类创新创业生态活动。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每年举办郑州航空港区OPC企业创新创业大赛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创投沙龙、产学研对接会等生态活动，发掘并培育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优质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OPC企业和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项目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按实际支出30%（最高500万元）给予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活动举办主体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补贴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7CE1D55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/>
        </w:rPr>
        <w:t>附 则</w:t>
      </w:r>
    </w:p>
    <w:p w14:paraId="7D9BBD3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lang w:val="en-US"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适用于依法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完成工商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登记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开展实际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业务的人工智能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OPC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以及从事与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人工智能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OPC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相关的研发、生产和服务的个人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和合法组织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43F8C0F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lang w:val="en-US" w:eastAsia="zh-CN"/>
        </w:rPr>
        <w:t>（二）符合本政策措施规定的同一项目、同一事项同时符合航空港区其他扶持政策规定的，按照“就高不重复”的原则给予支持，另有规定的除外。</w:t>
      </w:r>
    </w:p>
    <w:p w14:paraId="2CA11D3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u w:val="none"/>
          <w:lang w:val="en-US" w:eastAsia="zh-CN"/>
        </w:rPr>
        <w:t>（三）对于享受相关政策的企业，若存在弄虚作假、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关联交易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u w:val="none"/>
          <w:lang w:val="en-US" w:eastAsia="zh-CN"/>
        </w:rPr>
        <w:t>骗取奖补资金等任何不当行为或其他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重大失信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行为的</w:t>
      </w:r>
      <w:r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u w:val="none"/>
          <w:lang w:val="en-US" w:eastAsia="zh-CN"/>
        </w:rPr>
        <w:t>，一经查实，该企业须立即退还已获得的奖补资金或补助所得。对于情节严重、影响恶劣者，将依据国家法律法规，严肃追究其法律责任。</w:t>
      </w:r>
    </w:p>
    <w:p w14:paraId="6A08773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lang w:val="en-US" w:eastAsia="zh-CN"/>
        </w:rPr>
        <w:t>（四）本政策自印发之日起施行，有效期至2029年12月31日，由郑州航空港经济综合实验区发展和统计局（重点项目协调推进办公室）负责解释。</w:t>
      </w:r>
    </w:p>
    <w:p w14:paraId="0D70B164">
      <w:pPr>
        <w:widowControl/>
        <w:spacing w:line="58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14A4AF2E">
      <w:pPr>
        <w:widowControl/>
        <w:spacing w:line="58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31DEA84E">
      <w:pPr>
        <w:widowControl/>
        <w:spacing w:line="58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4ACBB777">
      <w:pPr>
        <w:widowControl/>
        <w:spacing w:line="58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7105654F">
      <w:pPr>
        <w:widowControl/>
        <w:spacing w:line="58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362553DE">
      <w:pPr>
        <w:widowControl/>
        <w:spacing w:line="58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36675464">
      <w:pPr>
        <w:pStyle w:val="2"/>
        <w:spacing w:after="0" w:line="58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15094AF7">
      <w:pPr>
        <w:pStyle w:val="3"/>
        <w:spacing w:line="58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50860BC3">
      <w:pPr>
        <w:pStyle w:val="2"/>
        <w:spacing w:after="0" w:line="58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65E35817">
      <w:pPr>
        <w:pStyle w:val="3"/>
        <w:spacing w:line="580" w:lineRule="exact"/>
        <w:rPr>
          <w:rFonts w:hint="eastAsia"/>
        </w:rPr>
      </w:pPr>
    </w:p>
    <w:p w14:paraId="370B259E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20DF058E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3B0B5E41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22AEC015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75A6D418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388A728B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279BBB03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61136586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29BC2B30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12113B50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02924D07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</w:p>
    <w:p w14:paraId="56D99D17">
      <w:pPr>
        <w:widowControl/>
        <w:spacing w:line="560" w:lineRule="exact"/>
        <w:rPr>
          <w:rFonts w:hint="eastAsia" w:ascii="黑体" w:hAnsi="黑体" w:eastAsia="黑体" w:cs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仿宋_GB2312"/>
          <w:snapToGrid w:val="0"/>
          <w:kern w:val="0"/>
          <w:sz w:val="32"/>
          <w:szCs w:val="32"/>
          <w:lang w:val="en-US" w:eastAsia="zh-CN"/>
        </w:rPr>
        <w:t>:</w:t>
      </w:r>
      <w:bookmarkStart w:id="0" w:name="_GoBack"/>
      <w:bookmarkEnd w:id="0"/>
    </w:p>
    <w:p w14:paraId="1DF807D2">
      <w:pPr>
        <w:widowControl/>
        <w:spacing w:line="4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bidi="ar"/>
        </w:rPr>
      </w:pPr>
    </w:p>
    <w:p w14:paraId="474E1DDE">
      <w:pPr>
        <w:widowControl/>
        <w:spacing w:line="4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bidi="ar"/>
        </w:rPr>
        <w:t>征求意见情况</w:t>
      </w:r>
    </w:p>
    <w:p w14:paraId="04ABC71F">
      <w:pPr>
        <w:widowControl/>
        <w:spacing w:line="4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bidi="ar"/>
        </w:rPr>
      </w:pPr>
    </w:p>
    <w:tbl>
      <w:tblPr>
        <w:tblStyle w:val="8"/>
        <w:tblW w:w="10518" w:type="dxa"/>
        <w:tblInd w:w="-10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783"/>
        <w:gridCol w:w="4683"/>
        <w:gridCol w:w="1567"/>
        <w:gridCol w:w="1535"/>
      </w:tblGrid>
      <w:tr w14:paraId="037E5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0" w:type="dxa"/>
            <w:vAlign w:val="top"/>
          </w:tcPr>
          <w:p w14:paraId="52B90D00"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783" w:type="dxa"/>
            <w:vAlign w:val="top"/>
          </w:tcPr>
          <w:p w14:paraId="1007414D"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  <w:t>部门</w:t>
            </w:r>
          </w:p>
        </w:tc>
        <w:tc>
          <w:tcPr>
            <w:tcW w:w="4683" w:type="dxa"/>
            <w:vAlign w:val="top"/>
          </w:tcPr>
          <w:p w14:paraId="409E52FC"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  <w:t>修改意见</w:t>
            </w:r>
          </w:p>
        </w:tc>
        <w:tc>
          <w:tcPr>
            <w:tcW w:w="1567" w:type="dxa"/>
            <w:vAlign w:val="top"/>
          </w:tcPr>
          <w:p w14:paraId="5DB84D0A"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  <w:t>反馈方式</w:t>
            </w:r>
          </w:p>
        </w:tc>
        <w:tc>
          <w:tcPr>
            <w:tcW w:w="1535" w:type="dxa"/>
            <w:vAlign w:val="top"/>
          </w:tcPr>
          <w:p w14:paraId="7D6888C0"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32"/>
                <w:szCs w:val="32"/>
              </w:rPr>
              <w:t>采纳情况</w:t>
            </w:r>
          </w:p>
        </w:tc>
      </w:tr>
      <w:tr w14:paraId="4AF5A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04761B0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83" w:type="dxa"/>
            <w:vAlign w:val="center"/>
          </w:tcPr>
          <w:p w14:paraId="27D8B47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9"/>
                <w:sz w:val="28"/>
                <w:szCs w:val="28"/>
              </w:rPr>
              <w:t>纪检监察工委</w:t>
            </w:r>
          </w:p>
        </w:tc>
        <w:tc>
          <w:tcPr>
            <w:tcW w:w="4683" w:type="dxa"/>
            <w:vAlign w:val="center"/>
          </w:tcPr>
          <w:p w14:paraId="5285D0E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无意见</w:t>
            </w:r>
          </w:p>
        </w:tc>
        <w:tc>
          <w:tcPr>
            <w:tcW w:w="1567" w:type="dxa"/>
            <w:vAlign w:val="center"/>
          </w:tcPr>
          <w:p w14:paraId="03647E5C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电话回复</w:t>
            </w:r>
          </w:p>
        </w:tc>
        <w:tc>
          <w:tcPr>
            <w:tcW w:w="1535" w:type="dxa"/>
            <w:vAlign w:val="center"/>
          </w:tcPr>
          <w:p w14:paraId="28CCC69E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</w:p>
        </w:tc>
      </w:tr>
      <w:tr w14:paraId="7A60B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4637FC0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37E81CB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zh-CN"/>
              </w:rPr>
              <w:t>党政办</w:t>
            </w:r>
          </w:p>
        </w:tc>
        <w:tc>
          <w:tcPr>
            <w:tcW w:w="4683" w:type="dxa"/>
            <w:vAlign w:val="center"/>
          </w:tcPr>
          <w:p w14:paraId="3430757B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该文件为行政规范性文件，应当按照《河南省行政规范性文件管理办法》的要求挂网征求意见，且在上会前应当完成以下程序：公开征求全区各相关单位意见、单位内部合法性初审、公平竞争审查、与为基层减负一致性评估、与宏观政策取向一致性评估，以上程序完成后，提交党政办法规科进行合法性审查，待上述程序完成后提交党工委会研究。文件审议通过并印发后，请及时联系社综办法治科履行备案程序，确保文件出台的合法合规。</w:t>
            </w:r>
          </w:p>
        </w:tc>
        <w:tc>
          <w:tcPr>
            <w:tcW w:w="1567" w:type="dxa"/>
            <w:vAlign w:val="center"/>
          </w:tcPr>
          <w:p w14:paraId="6A54750A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1757D3E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采纳</w:t>
            </w:r>
          </w:p>
        </w:tc>
      </w:tr>
      <w:tr w14:paraId="0A09C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32B0521A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2BF3027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组织人事部</w:t>
            </w:r>
          </w:p>
        </w:tc>
        <w:tc>
          <w:tcPr>
            <w:tcW w:w="4683" w:type="dxa"/>
            <w:vAlign w:val="center"/>
          </w:tcPr>
          <w:p w14:paraId="0240C87F">
            <w:pPr>
              <w:widowControl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关于“8.精准招引高层次创业人才。通过组织人工智能专场引才活动引进人才，符合条件的优先纳入航空港区“空中丝路人才计划”，享受安家补贴、生活补助等政策。对来区创办OPC的博士、硕士、本科毕业生，分别给予3万元、2万元、1万元一次性安家补贴，在航空港区首次购房的按学历对应给予10万元、5万元、3万元购房补贴，或者可申请最高1年免租人才公寓或市场价70%的人才租房优惠。”这部分内容建议修改为：“8.精准招引人才。通过组织人工智能专场引才活动引进人才，符合条件的可享受航空港区现行人才政策。”</w:t>
            </w:r>
          </w:p>
        </w:tc>
        <w:tc>
          <w:tcPr>
            <w:tcW w:w="1567" w:type="dxa"/>
            <w:vAlign w:val="center"/>
          </w:tcPr>
          <w:p w14:paraId="1F70F58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0B18094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部分采纳</w:t>
            </w:r>
          </w:p>
        </w:tc>
      </w:tr>
      <w:tr w14:paraId="59B75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1B0813AA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134E388D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  <w:t>党群工作部</w:t>
            </w:r>
          </w:p>
        </w:tc>
        <w:tc>
          <w:tcPr>
            <w:tcW w:w="4683" w:type="dxa"/>
            <w:vAlign w:val="center"/>
          </w:tcPr>
          <w:p w14:paraId="36D26193"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一是第5条“对运营良好的OPC社区运营主体，给予每年最高200万元奖励”改为“基于运营绩效对OPC社区运营主体给予每年最高200万元奖励”；二是第7条内容增加“支持高校联合OPC社区组建产学研用创新联合体，促进高校科研成果通过OPC模式加速转化，对促成人工智能科研成果转化落地的OPC项目，按研发成本的30%给予最高200万元奖励”；三是第9条内容增加“支持组建‘人工智能OPC人才联盟’，建立‘高校（职校）—OPC’培养机制，对开展‘订单式’培养的运营单位给予最高100万元补贴”；四是第11条“并按实际支出30%（最高500万元）给予主办方活动补贴”，将“主办方”改为“活动举办主体”。</w:t>
            </w:r>
          </w:p>
          <w:p w14:paraId="10641743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 w14:paraId="19ECC410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458EB644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部分采纳</w:t>
            </w:r>
          </w:p>
        </w:tc>
      </w:tr>
      <w:tr w14:paraId="05728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2B0668C4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208AFB3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社综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部</w:t>
            </w:r>
          </w:p>
        </w:tc>
        <w:tc>
          <w:tcPr>
            <w:tcW w:w="4683" w:type="dxa"/>
            <w:vAlign w:val="center"/>
          </w:tcPr>
          <w:p w14:paraId="3EC864C7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  <w:t>无意见</w:t>
            </w:r>
          </w:p>
        </w:tc>
        <w:tc>
          <w:tcPr>
            <w:tcW w:w="1567" w:type="dxa"/>
            <w:vAlign w:val="center"/>
          </w:tcPr>
          <w:p w14:paraId="3BDB5DD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0CF6A417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</w:p>
        </w:tc>
      </w:tr>
      <w:tr w14:paraId="2C8DF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3531A4F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652FE96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33"/>
                <w:sz w:val="28"/>
                <w:szCs w:val="28"/>
              </w:rPr>
              <w:t>发改统计局(重点项目办)</w:t>
            </w:r>
          </w:p>
        </w:tc>
        <w:tc>
          <w:tcPr>
            <w:tcW w:w="4683" w:type="dxa"/>
            <w:vAlign w:val="center"/>
          </w:tcPr>
          <w:p w14:paraId="66FFE4E5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  <w:t>无意见</w:t>
            </w:r>
          </w:p>
        </w:tc>
        <w:tc>
          <w:tcPr>
            <w:tcW w:w="1567" w:type="dxa"/>
            <w:vAlign w:val="center"/>
          </w:tcPr>
          <w:p w14:paraId="7B75C80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14:paraId="68E13562">
            <w:pPr>
              <w:widowControl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C379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43F888C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1A524ED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7"/>
                <w:sz w:val="28"/>
                <w:szCs w:val="28"/>
              </w:rPr>
              <w:t>财政金融国资局</w:t>
            </w:r>
          </w:p>
        </w:tc>
        <w:tc>
          <w:tcPr>
            <w:tcW w:w="4683" w:type="dxa"/>
            <w:vAlign w:val="center"/>
          </w:tcPr>
          <w:p w14:paraId="157A7988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67" w:type="dxa"/>
            <w:vAlign w:val="center"/>
          </w:tcPr>
          <w:p w14:paraId="7E2926B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14:paraId="4F448DEA">
            <w:pPr>
              <w:widowControl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F32D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1C38AF47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0217FDA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  <w:t>投促局</w:t>
            </w:r>
          </w:p>
        </w:tc>
        <w:tc>
          <w:tcPr>
            <w:tcW w:w="4683" w:type="dxa"/>
            <w:vAlign w:val="center"/>
          </w:tcPr>
          <w:p w14:paraId="6C280B86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auto"/>
                <w:lang w:bidi="ar"/>
              </w:rPr>
              <w:t>1.政策需符合我区主导产业准入条件； 2.政策出台需遵循全国统一大市场相关要求。</w:t>
            </w:r>
          </w:p>
        </w:tc>
        <w:tc>
          <w:tcPr>
            <w:tcW w:w="1567" w:type="dxa"/>
            <w:vAlign w:val="center"/>
          </w:tcPr>
          <w:p w14:paraId="3742F8E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3C9280CD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采纳</w:t>
            </w:r>
          </w:p>
        </w:tc>
      </w:tr>
      <w:tr w14:paraId="346A4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394FA469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3C4E60F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科工局</w:t>
            </w:r>
          </w:p>
        </w:tc>
        <w:tc>
          <w:tcPr>
            <w:tcW w:w="4683" w:type="dxa"/>
            <w:vAlign w:val="center"/>
          </w:tcPr>
          <w:p w14:paraId="4F68924E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  <w:t>无意见</w:t>
            </w:r>
          </w:p>
        </w:tc>
        <w:tc>
          <w:tcPr>
            <w:tcW w:w="1567" w:type="dxa"/>
            <w:vAlign w:val="center"/>
          </w:tcPr>
          <w:p w14:paraId="37DD771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1ACEA959">
            <w:pPr>
              <w:widowControl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CCFB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2243FA2E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2B86969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市场监管局</w:t>
            </w:r>
          </w:p>
        </w:tc>
        <w:tc>
          <w:tcPr>
            <w:tcW w:w="4683" w:type="dxa"/>
            <w:vAlign w:val="center"/>
          </w:tcPr>
          <w:p w14:paraId="4FE21578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  <w:t>无意见</w:t>
            </w:r>
          </w:p>
        </w:tc>
        <w:tc>
          <w:tcPr>
            <w:tcW w:w="1567" w:type="dxa"/>
            <w:vAlign w:val="center"/>
          </w:tcPr>
          <w:p w14:paraId="26044C9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3B1A233E">
            <w:pPr>
              <w:widowControl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6DF4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141FC41F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2CAC013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商务口</w:t>
            </w:r>
            <w:r>
              <w:rPr>
                <w:rFonts w:hint="eastAsia" w:ascii="仿宋_GB2312" w:hAnsi="仿宋_GB2312" w:eastAsia="仿宋_GB2312" w:cs="仿宋_GB2312"/>
                <w:spacing w:val="31"/>
                <w:sz w:val="28"/>
                <w:szCs w:val="28"/>
              </w:rPr>
              <w:t>岸局</w:t>
            </w:r>
          </w:p>
        </w:tc>
        <w:tc>
          <w:tcPr>
            <w:tcW w:w="4683" w:type="dxa"/>
            <w:vAlign w:val="center"/>
          </w:tcPr>
          <w:p w14:paraId="42C6F0A5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  <w:t>无意见</w:t>
            </w:r>
          </w:p>
        </w:tc>
        <w:tc>
          <w:tcPr>
            <w:tcW w:w="1567" w:type="dxa"/>
            <w:vAlign w:val="center"/>
          </w:tcPr>
          <w:p w14:paraId="4C425EC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14:paraId="78D50A70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</w:p>
        </w:tc>
      </w:tr>
      <w:tr w14:paraId="56CFF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50" w:type="dxa"/>
            <w:vAlign w:val="center"/>
          </w:tcPr>
          <w:p w14:paraId="03E887AB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1AFD996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教卫体局</w:t>
            </w:r>
          </w:p>
        </w:tc>
        <w:tc>
          <w:tcPr>
            <w:tcW w:w="4683" w:type="dxa"/>
            <w:vAlign w:val="center"/>
          </w:tcPr>
          <w:p w14:paraId="56266F19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  <w:t>无意见</w:t>
            </w:r>
          </w:p>
        </w:tc>
        <w:tc>
          <w:tcPr>
            <w:tcW w:w="1567" w:type="dxa"/>
            <w:vAlign w:val="center"/>
          </w:tcPr>
          <w:p w14:paraId="13B69031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489116B3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E94B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0DCA8908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0D95BC6F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  <w:t>审计局</w:t>
            </w:r>
          </w:p>
        </w:tc>
        <w:tc>
          <w:tcPr>
            <w:tcW w:w="4683" w:type="dxa"/>
            <w:vAlign w:val="center"/>
          </w:tcPr>
          <w:p w14:paraId="3FE1C406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  <w:t>《公平竞争审查条例》第十条规定“起草单位起草的政策措施，没有法律、行政法规依据或者未经国务院批准，不得含有下列影响生产经营成本的内容:(一)给予特定经营者税收优惠;(二)给予特定经营者选择性、差异化的财政奖励或者贴;(三)给予特定经营者要素获取、行政事业性收费、政府性基金、社会保险费等方面的优惠;(四)其他影响生产经营成本的内容。”建议对政策条款再次进行审查，避免存在可能构成选择性、差异化补贴的条款。</w:t>
            </w:r>
          </w:p>
        </w:tc>
        <w:tc>
          <w:tcPr>
            <w:tcW w:w="1567" w:type="dxa"/>
            <w:vAlign w:val="center"/>
          </w:tcPr>
          <w:p w14:paraId="354D421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41A2B26E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采纳</w:t>
            </w:r>
          </w:p>
        </w:tc>
      </w:tr>
      <w:tr w14:paraId="08DC9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4B0619E5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783" w:type="dxa"/>
            <w:vAlign w:val="center"/>
          </w:tcPr>
          <w:p w14:paraId="1E7FFFE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数字城市公司</w:t>
            </w:r>
          </w:p>
        </w:tc>
        <w:tc>
          <w:tcPr>
            <w:tcW w:w="4683" w:type="dxa"/>
            <w:vAlign w:val="center"/>
          </w:tcPr>
          <w:p w14:paraId="244A17C9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针对第三章第8条“精准招引高层次创业人才”，需考虑是否存在与现有政策重复补贴的风险。若相关部门提出此类意见，建议修改补贴方向为：获国家部委颁发人工智能领域高级、中级、初级证书的人才，并分别给予相应奖励。并在后续细则中列明具体证书名称。</w:t>
            </w:r>
          </w:p>
        </w:tc>
        <w:tc>
          <w:tcPr>
            <w:tcW w:w="1567" w:type="dxa"/>
            <w:vAlign w:val="center"/>
          </w:tcPr>
          <w:p w14:paraId="33CD009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53E8B892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部分采纳</w:t>
            </w:r>
          </w:p>
        </w:tc>
      </w:tr>
      <w:tr w14:paraId="38632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55C74D78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783" w:type="dxa"/>
            <w:vAlign w:val="center"/>
          </w:tcPr>
          <w:p w14:paraId="1E9B82C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科创集团</w:t>
            </w:r>
          </w:p>
        </w:tc>
        <w:tc>
          <w:tcPr>
            <w:tcW w:w="4683" w:type="dxa"/>
            <w:vAlign w:val="center"/>
          </w:tcPr>
          <w:p w14:paraId="50321021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1.措施第3款“符合条件的OPC”未明确认定标准，建议补充资质门槛、申报条件、评审细则。 2.措施第3款 “最高给予2年工位全免租金支持”，工位无法核算面积、不便执行，建议修改为对入驻的OPC企业，最高给予2年租金支持。 3.措施第4款“对OPC提供“算力券、词元券数据券”支持，根据年度使用算力服务费用、当年度模型使用实际费用、数据产品费用分别给予50%、30%、30%补助，三类要素券补助金额每年最高不超过100万，期限均不超过3年。”未明确单类要素券年度补助上限，是每类均不超过100万还是合计不超过100万，存在歧义，建议进一步明确。同时，OPC适用场景资源开放中，未体现OPC发展AIGC场景，建议添加包括提供AIGC专项算力补贴、低成本公共算力平台接入权限及算力券扶持以降低AI模型训练、视频生成、内容渲染等算力成本，给予数字文创、AIGC应用专项发展补贴覆盖技术研发、场景创新、设备更新、人才引进、版权开发等环节，出台AIGC数字内容创作、AI影视示范项目、产业集聚发展等奖励政策。 4.措施第12款“加大国有基金股权投资支持。对拥有创新技术、发展潜力大的优质项目，经评审后按市场化方式给予最高2000万元股权投资支持”，2000万元股权投资支持额度过高，建议给予最高500万元股权投资支持。 5.措施第14款5%-8%奖励比例划分标准不清晰，建议按订单金额明确适用比例。</w:t>
            </w:r>
          </w:p>
        </w:tc>
        <w:tc>
          <w:tcPr>
            <w:tcW w:w="1567" w:type="dxa"/>
            <w:vAlign w:val="center"/>
          </w:tcPr>
          <w:p w14:paraId="033E972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港政办回复</w:t>
            </w:r>
          </w:p>
        </w:tc>
        <w:tc>
          <w:tcPr>
            <w:tcW w:w="1535" w:type="dxa"/>
            <w:vAlign w:val="center"/>
          </w:tcPr>
          <w:p w14:paraId="0F1C709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部分采纳</w:t>
            </w:r>
          </w:p>
        </w:tc>
      </w:tr>
      <w:tr w14:paraId="4C2D9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0" w:type="dxa"/>
            <w:vAlign w:val="center"/>
          </w:tcPr>
          <w:p w14:paraId="16B15D4D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783" w:type="dxa"/>
            <w:vAlign w:val="center"/>
          </w:tcPr>
          <w:p w14:paraId="53A6CCC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发展投资集团</w:t>
            </w:r>
          </w:p>
        </w:tc>
        <w:tc>
          <w:tcPr>
            <w:tcW w:w="4683" w:type="dxa"/>
            <w:vAlign w:val="center"/>
          </w:tcPr>
          <w:p w14:paraId="76F5BF24">
            <w:pPr>
              <w:widowControl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无意见</w:t>
            </w:r>
          </w:p>
        </w:tc>
        <w:tc>
          <w:tcPr>
            <w:tcW w:w="1567" w:type="dxa"/>
            <w:vAlign w:val="center"/>
          </w:tcPr>
          <w:p w14:paraId="34F9773D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  <w:t>电话回复</w:t>
            </w:r>
          </w:p>
        </w:tc>
        <w:tc>
          <w:tcPr>
            <w:tcW w:w="1535" w:type="dxa"/>
            <w:vAlign w:val="center"/>
          </w:tcPr>
          <w:p w14:paraId="64F7C302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2C803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F0D5732-BC50-467C-8AA0-B72037AEA6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D59235B-053D-408E-A9E2-3A90E3DEE46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D77DC84-43C3-4642-B640-2CD044A8163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265BEE9-7C88-45C4-BA55-7FBA51B8072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5B36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52D15B">
                          <w:pPr>
                            <w:pStyle w:val="5"/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52D15B">
                    <w:pPr>
                      <w:pStyle w:val="5"/>
                      <w:rPr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8539C"/>
    <w:rsid w:val="02A24E9C"/>
    <w:rsid w:val="02B96468"/>
    <w:rsid w:val="02CB30E9"/>
    <w:rsid w:val="02F9130F"/>
    <w:rsid w:val="095A0882"/>
    <w:rsid w:val="0CEA7746"/>
    <w:rsid w:val="0D2272CC"/>
    <w:rsid w:val="0DE20414"/>
    <w:rsid w:val="102C274F"/>
    <w:rsid w:val="11205904"/>
    <w:rsid w:val="13DA12B5"/>
    <w:rsid w:val="184C77BD"/>
    <w:rsid w:val="187829B0"/>
    <w:rsid w:val="18F3507E"/>
    <w:rsid w:val="1A2071AF"/>
    <w:rsid w:val="1A383A56"/>
    <w:rsid w:val="1D486CA8"/>
    <w:rsid w:val="21177E02"/>
    <w:rsid w:val="21A621AD"/>
    <w:rsid w:val="26C85FF8"/>
    <w:rsid w:val="2C956634"/>
    <w:rsid w:val="2CE66BAA"/>
    <w:rsid w:val="2D4B62CD"/>
    <w:rsid w:val="2F7901D5"/>
    <w:rsid w:val="307528B9"/>
    <w:rsid w:val="30E0589B"/>
    <w:rsid w:val="319F585E"/>
    <w:rsid w:val="3207424B"/>
    <w:rsid w:val="34D81ECE"/>
    <w:rsid w:val="373F3BF3"/>
    <w:rsid w:val="3769104C"/>
    <w:rsid w:val="38F57D34"/>
    <w:rsid w:val="39635C78"/>
    <w:rsid w:val="3EDC7ADE"/>
    <w:rsid w:val="40AD2461"/>
    <w:rsid w:val="4109325D"/>
    <w:rsid w:val="44B8709C"/>
    <w:rsid w:val="45183286"/>
    <w:rsid w:val="47953C4F"/>
    <w:rsid w:val="48CD7A51"/>
    <w:rsid w:val="4D5E2D75"/>
    <w:rsid w:val="4DF75E2D"/>
    <w:rsid w:val="4F8A139A"/>
    <w:rsid w:val="504A47C7"/>
    <w:rsid w:val="514E0859"/>
    <w:rsid w:val="52584853"/>
    <w:rsid w:val="59BB72D2"/>
    <w:rsid w:val="5A987886"/>
    <w:rsid w:val="5BC01A76"/>
    <w:rsid w:val="603E7BF6"/>
    <w:rsid w:val="63C139AA"/>
    <w:rsid w:val="642A50D4"/>
    <w:rsid w:val="6B7F445C"/>
    <w:rsid w:val="6CA25BC4"/>
    <w:rsid w:val="6D326E35"/>
    <w:rsid w:val="6E0D735A"/>
    <w:rsid w:val="6E640BF5"/>
    <w:rsid w:val="706957BD"/>
    <w:rsid w:val="70E6443B"/>
    <w:rsid w:val="747D391D"/>
    <w:rsid w:val="7C2535BA"/>
    <w:rsid w:val="7CF11A5E"/>
    <w:rsid w:val="7D273D93"/>
    <w:rsid w:val="7E4F2A03"/>
    <w:rsid w:val="7EFF139E"/>
    <w:rsid w:val="7F51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2"/>
    <w:basedOn w:val="1"/>
    <w:next w:val="2"/>
    <w:qFormat/>
    <w:uiPriority w:val="0"/>
    <w:pPr>
      <w:adjustRightInd w:val="0"/>
      <w:spacing w:line="360" w:lineRule="auto"/>
      <w:textAlignment w:val="baseline"/>
    </w:pPr>
    <w:rPr>
      <w:rFonts w:ascii="楷体_GB2312" w:hAnsi="Times New Roman" w:eastAsia="楷体_GB2312" w:cs="楷体_GB2312"/>
      <w:kern w:val="44"/>
      <w:sz w:val="28"/>
      <w:szCs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5ee912c1-0bc6-4300-a3bd-4435f0ff8d48</errorID>
      <errorWord>万</errorWord>
      <group>L1_Word</group>
      <groupName>字词问题</groupName>
      <ability>L2_Typo</ability>
      <abilityName>字词错误</abilityName>
      <candidateList>
        <item>万元</item>
      </candidateList>
      <explain/>
      <paraID>283707F6</paraID>
      <start>104</start>
      <end>105</end>
      <status>unmodified</status>
      <modifiedWord/>
      <trackRevisions>false</trackRevisions>
    </reviewItem>
    <reviewItem>
      <errorID>dc101a87-97a8-4b8d-ab01-81d181cd6205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2BF30275</paraID>
      <start>2</start>
      <end>5</end>
      <status>unmodified</status>
      <modifiedWord/>
      <trackRevisions>false</trackRevisions>
    </reviewItem>
    <reviewItem>
      <errorID>5555d85f-66bc-4319-963c-55abcc0d417f</errorID>
      <errorWord>“</errorWord>
      <group>L1_Punc</group>
      <groupName>标点问题</groupName>
      <ability>L2_Punc</ability>
      <abilityName>标点符号检查</abilityName>
      <candidateList>
        <item>‘</item>
      </candidateList>
      <explain>当引号中还需要使用引号时，外面一层用双引号，里面一层用单引号。</explain>
      <paraID> 240C87F</paraID>
      <start>49</start>
      <end>50</end>
      <status>unmodified</status>
      <modifiedWord/>
      <trackRevisions>false</trackRevisions>
    </reviewItem>
    <reviewItem>
      <errorID>56e7ca22-ace2-4758-985a-f6d7ded68b96</errorID>
      <errorWord>”</errorWord>
      <group>L1_Punc</group>
      <groupName>标点问题</groupName>
      <ability>L2_Punc</ability>
      <abilityName>标点符号检查</abilityName>
      <candidateList>
        <item>’</item>
      </candidateList>
      <explain>当引号中还需要使用引号时，外面一层用双引号，里面一层用单引号。</explain>
      <paraID> 240C87F</paraID>
      <start>58</start>
      <end>59</end>
      <status>unmodified</status>
      <modifiedWord/>
      <trackRevisions>false</trackRevisions>
    </reviewItem>
    <reviewItem>
      <errorID>7878d11b-9fc2-42c1-b829-d01c15bd0ab9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652FE96E</paraID>
      <start>5</start>
      <end>6</end>
      <status>unmodified</status>
      <modifiedWord/>
      <trackRevisions>false</trackRevisions>
    </reviewItem>
    <reviewItem>
      <errorID>1e9e808b-dc3e-4cbf-bbc8-6e16420d2bf9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652FE96E</paraID>
      <start>11</start>
      <end>12</end>
      <status>unmodified</status>
      <modifiedWord/>
      <trackRevisions>false</trackRevisions>
    </reviewItem>
    <reviewItem>
      <errorID>b1077f41-e3a3-4e03-bd4f-7fba15dd8a95</errorID>
      <errorWord>:(</errorWord>
      <group>L1_Format</group>
      <groupName>格式问题</groupName>
      <ability>L2_HalfPunc</ability>
      <abilityName>全半角检查</abilityName>
      <candidateList>
        <item>：（</item>
      </candidateList>
      <explain>文本全半角错误。</explain>
      <paraID>3FE1C406</paraID>
      <start>66</start>
      <end>68</end>
      <status>unmodified</status>
      <modifiedWord/>
      <trackRevisions>false</trackRevisions>
    </reviewItem>
    <reviewItem>
      <errorID>2afac028-ce67-4b68-8b91-58edc5021130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3FE1C406</paraID>
      <start>69</start>
      <end>70</end>
      <status>unmodified</status>
      <modifiedWord/>
      <trackRevisions>false</trackRevisions>
    </reviewItem>
    <reviewItem>
      <errorID>a925ca03-164d-4928-839b-93e0f14e18ce</errorID>
      <errorWord>;(</errorWord>
      <group>L1_Format</group>
      <groupName>格式问题</groupName>
      <ability>L2_HalfPunc</ability>
      <abilityName>全半角检查</abilityName>
      <candidateList>
        <item>；（</item>
      </candidateList>
      <explain>文本全半角错误。</explain>
      <paraID>3FE1C406</paraID>
      <start>81</start>
      <end>83</end>
      <status>unmodified</status>
      <modifiedWord/>
      <trackRevisions>false</trackRevisions>
    </reviewItem>
    <reviewItem>
      <errorID>d0c25842-f8a1-4619-a21b-61466fb2a624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3FE1C406</paraID>
      <start>84</start>
      <end>85</end>
      <status>unmodified</status>
      <modifiedWord/>
      <trackRevisions>false</trackRevisions>
    </reviewItem>
    <reviewItem>
      <errorID>8830da63-9fed-4118-9c9d-0082831ad3ff</errorID>
      <errorWord>者</errorWord>
      <group>L1_Word</group>
      <groupName>字词问题</groupName>
      <ability>L2_Typo</ability>
      <abilityName>字词错误</abilityName>
      <candidateList>
        <item>者补</item>
      </candidateList>
      <explain/>
      <paraID>3FE1C406</paraID>
      <start>105</start>
      <end>106</end>
      <status>unmodified</status>
      <modifiedWord/>
      <trackRevisions>false</trackRevisions>
    </reviewItem>
    <reviewItem>
      <errorID>2cc61f2d-1d6c-4ac2-8474-c9b7b51cde3e</errorID>
      <errorWord>;(</errorWord>
      <group>L1_Format</group>
      <groupName>格式问题</groupName>
      <ability>L2_HalfPunc</ability>
      <abilityName>全半角检查</abilityName>
      <candidateList>
        <item>；（</item>
      </candidateList>
      <explain>文本全半角错误。</explain>
      <paraID>3FE1C406</paraID>
      <start>107</start>
      <end>109</end>
      <status>unmodified</status>
      <modifiedWord/>
      <trackRevisions>false</trackRevisions>
    </reviewItem>
    <reviewItem>
      <errorID>f8184f43-c70b-4ad2-889d-b83a997a71f9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3FE1C406</paraID>
      <start>110</start>
      <end>111</end>
      <status>unmodified</status>
      <modifiedWord/>
      <trackRevisions>false</trackRevisions>
    </reviewItem>
    <reviewItem>
      <errorID>90d38966-82e2-4f62-b158-1c4ff6bbf3a0</errorID>
      <errorWord>;(</errorWord>
      <group>L1_Format</group>
      <groupName>格式问题</groupName>
      <ability>L2_HalfPunc</ability>
      <abilityName>全半角检查</abilityName>
      <candidateList>
        <item>；（</item>
      </candidateList>
      <explain>文本全半角错误。</explain>
      <paraID>3FE1C406</paraID>
      <start>148</start>
      <end>150</end>
      <status>unmodified</status>
      <modifiedWord/>
      <trackRevisions>false</trackRevisions>
    </reviewItem>
    <reviewItem>
      <errorID>4818dc04-6bb4-418e-afea-b96ef51acc88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3FE1C406</paraID>
      <start>151</start>
      <end>152</end>
      <status>unmodified</status>
      <modifiedWord/>
      <trackRevisions>false</trackRevisions>
    </reviewItem>
    <reviewItem>
      <errorID>f4984655-72f5-451d-882a-6bfbf1550f8e</errorID>
      <errorWord>“</errorWord>
      <group>L1_Punc</group>
      <groupName>标点问题</groupName>
      <ability>L2_Punc</ability>
      <abilityName>标点符号检查</abilityName>
      <candidateList>
        <item>‘</item>
      </candidateList>
      <explain>当引号中还需要使用引号时，外面一层用双引号，里面一层用单引号。</explain>
      <paraID>50321021</paraID>
      <start>125</start>
      <end>126</end>
      <status>unmodified</status>
      <modifiedWord/>
      <trackRevisions>false</trackRevisions>
    </reviewItem>
    <reviewItem>
      <errorID>0b8ce934-245a-4ae8-8e58-eb897131f827</errorID>
      <errorWord>”</errorWord>
      <group>L1_Punc</group>
      <groupName>标点问题</groupName>
      <ability>L2_Punc</ability>
      <abilityName>标点符号检查</abilityName>
      <candidateList>
        <item>’</item>
      </candidateList>
      <explain>当引号中还需要使用引号时，外面一层用双引号，里面一层用单引号。</explain>
      <paraID>50321021</paraID>
      <start>136</start>
      <end>137</end>
      <status>unmodified</status>
      <modifiedWord/>
      <trackRevisions>false</trackRevisions>
    </reviewItem>
    <reviewItem>
      <errorID>2eac2846-6937-4926-9d18-02049adc23e3</errorID>
      <errorWord>万</errorWord>
      <group>L1_Word</group>
      <groupName>字词问题</groupName>
      <ability>L2_Typo</ability>
      <abilityName>字词错误</abilityName>
      <candidateList>
        <item>万元</item>
      </candidateList>
      <explain/>
      <paraID>50321021</paraID>
      <start>208</start>
      <end>209</end>
      <status>unmodified</status>
      <modifiedWord/>
      <trackRevisions>false</trackRevisions>
    </reviewItem>
    <reviewItem>
      <errorID>254cbc1f-eb21-48c5-8c37-0fcf6717bd58</errorID>
      <errorWord>5%-8%</errorWord>
      <group>L1_Knowledge</group>
      <groupName>知识性问题</groupName>
      <ability>L2_Knowledge</ability>
      <abilityName>其他知识</abilityName>
      <candidateList>
        <item>5%—8%</item>
      </candidateList>
      <explain>1. “5%-8%”中的单位“%”仅出现在后一个数字上，容易引起歧义；根据《现代汉语标点符号数字用法规范手册》，数字表示范围两边需要使用统一的格式。2. 根据标点国标 4.13 中的规则，数字、时间或地域连接符应使用（视觉上更长的）“—”或“～”。</explain>
      <paraID>50321021</paraID>
      <start>562</start>
      <end>567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25858e-fd63-4f1d-a5b2-9961ee1a61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3413</Words>
  <Characters>3618</Characters>
  <Paragraphs>29</Paragraphs>
  <TotalTime>157</TotalTime>
  <ScaleCrop>false</ScaleCrop>
  <LinksUpToDate>false</LinksUpToDate>
  <CharactersWithSpaces>3625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2026-03-23T06:29:00Z</dcterms:created>
  <dc:creator>Yan</dc:creator>
  <cp:lastModifiedBy>Yan</cp:lastModifiedBy>
  <cp:lastPrinted>2026-04-16T09:22:00Z</cp:lastPrinted>
  <dcterms:modified xsi:type="dcterms:W3CDTF">2026-04-17T06:23:05Z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CB4A11C859254843B728F0874315C118_13</vt:lpwstr>
  </property>
  <property fmtid="{D5CDD505-2E9C-101B-9397-08002B2CF9AE}" pid="4" name="KSOTemplateDocerSaveRecord">
    <vt:lpwstr>eyJoZGlkIjoiMWI5OWYxZmY1MzQxYjkyMTRjNDMzZGViZTRjMmY1MjEiLCJ1c2VySWQiOiI0NDAwOTQxOTUifQ==</vt:lpwstr>
  </property>
</Properties>
</file>