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297E1">
      <w:pPr>
        <w:autoSpaceDE w:val="0"/>
        <w:autoSpaceDN w:val="0"/>
        <w:adjustRightInd w:val="0"/>
        <w:spacing w:line="400" w:lineRule="exact"/>
        <w:ind w:firstLine="480"/>
        <w:jc w:val="center"/>
        <w:rPr>
          <w:rFonts w:ascii="Times New Roman" w:hAnsi="Times New Roman" w:cs="Times New Roman"/>
          <w:color w:val="auto"/>
          <w:kern w:val="0"/>
          <w:sz w:val="24"/>
          <w:szCs w:val="24"/>
          <w:highlight w:val="none"/>
          <w:lang w:val="zh-CN"/>
        </w:rPr>
      </w:pPr>
      <w:r>
        <w:rPr>
          <w:rFonts w:ascii="Times New Roman" w:hAnsi="Times New Roman" w:cs="Times New Roman"/>
          <w:color w:val="auto"/>
          <w:kern w:val="0"/>
          <w:sz w:val="24"/>
          <w:szCs w:val="24"/>
          <w:highlight w:val="none"/>
          <w:lang w:val="zh-CN"/>
        </w:rPr>
        <w:t>关于</w:t>
      </w:r>
      <w:r>
        <w:rPr>
          <w:rFonts w:hint="eastAsia" w:ascii="Times New Roman" w:hAnsi="Times New Roman" w:cs="Times New Roman"/>
          <w:color w:val="auto"/>
          <w:kern w:val="0"/>
          <w:sz w:val="24"/>
          <w:szCs w:val="24"/>
          <w:highlight w:val="none"/>
          <w:lang w:val="en-US" w:eastAsia="zh-CN"/>
        </w:rPr>
        <w:t>2026</w:t>
      </w:r>
      <w:r>
        <w:rPr>
          <w:rFonts w:ascii="Times New Roman" w:hAnsi="Times New Roman" w:cs="Times New Roman"/>
          <w:color w:val="auto"/>
          <w:kern w:val="0"/>
          <w:sz w:val="24"/>
          <w:szCs w:val="24"/>
          <w:highlight w:val="none"/>
          <w:lang w:val="zh-CN"/>
        </w:rPr>
        <w:t>年</w:t>
      </w:r>
      <w:r>
        <w:rPr>
          <w:rFonts w:hint="eastAsia" w:ascii="Times New Roman" w:hAnsi="Times New Roman" w:cs="Times New Roman"/>
          <w:color w:val="auto"/>
          <w:kern w:val="0"/>
          <w:sz w:val="24"/>
          <w:szCs w:val="24"/>
          <w:highlight w:val="none"/>
          <w:lang w:val="en-US" w:eastAsia="zh-CN"/>
        </w:rPr>
        <w:t>3</w:t>
      </w:r>
      <w:r>
        <w:rPr>
          <w:rFonts w:ascii="Times New Roman" w:hAnsi="Times New Roman" w:cs="Times New Roman"/>
          <w:color w:val="auto"/>
          <w:kern w:val="0"/>
          <w:sz w:val="24"/>
          <w:szCs w:val="24"/>
          <w:highlight w:val="none"/>
          <w:lang w:val="zh-CN"/>
        </w:rPr>
        <w:t>月</w:t>
      </w:r>
      <w:r>
        <w:rPr>
          <w:rFonts w:hint="eastAsia" w:ascii="Times New Roman" w:hAnsi="Times New Roman" w:cs="Times New Roman"/>
          <w:color w:val="auto"/>
          <w:kern w:val="0"/>
          <w:sz w:val="24"/>
          <w:szCs w:val="24"/>
          <w:highlight w:val="none"/>
          <w:lang w:val="en-US" w:eastAsia="zh-CN"/>
        </w:rPr>
        <w:t>18</w:t>
      </w:r>
      <w:r>
        <w:rPr>
          <w:rFonts w:ascii="Times New Roman" w:hAnsi="Times New Roman" w:cs="Times New Roman"/>
          <w:color w:val="auto"/>
          <w:kern w:val="0"/>
          <w:sz w:val="24"/>
          <w:szCs w:val="24"/>
          <w:highlight w:val="none"/>
          <w:lang w:val="zh-CN"/>
        </w:rPr>
        <w:t>日做出环境影响评价文件拟审批意见的公示</w:t>
      </w:r>
    </w:p>
    <w:p w14:paraId="0BB5BE1E">
      <w:pPr>
        <w:autoSpaceDE w:val="0"/>
        <w:autoSpaceDN w:val="0"/>
        <w:adjustRightInd w:val="0"/>
        <w:spacing w:line="400" w:lineRule="exact"/>
        <w:ind w:firstLine="480"/>
        <w:rPr>
          <w:rFonts w:ascii="Times New Roman" w:hAnsi="Times New Roman" w:cs="Times New Roman"/>
          <w:color w:val="FF0000"/>
          <w:kern w:val="0"/>
          <w:sz w:val="24"/>
          <w:szCs w:val="24"/>
          <w:highlight w:val="none"/>
          <w:lang w:val="zh-CN"/>
        </w:rPr>
      </w:pPr>
      <w:r>
        <w:rPr>
          <w:rFonts w:ascii="Times New Roman" w:hAnsi="Times New Roman" w:cs="Times New Roman"/>
          <w:color w:val="auto"/>
          <w:kern w:val="0"/>
          <w:sz w:val="24"/>
          <w:szCs w:val="24"/>
          <w:highlight w:val="none"/>
          <w:lang w:val="zh-CN"/>
        </w:rPr>
        <w:t>根据建设项目环境影响评价审批程序的有关规定，经审议，我局拟对</w:t>
      </w:r>
      <w:r>
        <w:rPr>
          <w:rFonts w:hint="eastAsia" w:ascii="Times New Roman" w:hAnsi="Times New Roman" w:cs="Times New Roman"/>
          <w:color w:val="auto"/>
          <w:kern w:val="0"/>
          <w:sz w:val="24"/>
          <w:szCs w:val="24"/>
          <w:highlight w:val="none"/>
          <w:lang w:val="en-US" w:eastAsia="zh-CN"/>
        </w:rPr>
        <w:t>胜华交联电缆科技（河南）有限公司年产100000千米电线电缆及10000吨铜铝导体项目</w:t>
      </w:r>
      <w:r>
        <w:rPr>
          <w:rFonts w:ascii="Times New Roman" w:hAnsi="Times New Roman" w:cs="Times New Roman"/>
          <w:color w:val="auto"/>
          <w:kern w:val="0"/>
          <w:sz w:val="24"/>
          <w:szCs w:val="24"/>
          <w:highlight w:val="none"/>
          <w:lang w:val="zh-CN"/>
        </w:rPr>
        <w:t>做出审批意见。为保证审批意见的严肃性和公正性，现将拟做出审批意见的环境影响评价文件的基本情况予以公示。如有异议，请在公示期内反馈我局。公示期为</w:t>
      </w:r>
      <w:r>
        <w:rPr>
          <w:rFonts w:hint="eastAsia" w:ascii="Times New Roman" w:hAnsi="Times New Roman" w:cs="Times New Roman"/>
          <w:color w:val="auto"/>
          <w:kern w:val="0"/>
          <w:sz w:val="24"/>
          <w:szCs w:val="24"/>
          <w:highlight w:val="none"/>
        </w:rPr>
        <w:t>3</w:t>
      </w:r>
      <w:r>
        <w:rPr>
          <w:rFonts w:ascii="Times New Roman" w:hAnsi="Times New Roman" w:cs="Times New Roman"/>
          <w:color w:val="auto"/>
          <w:kern w:val="0"/>
          <w:sz w:val="24"/>
          <w:szCs w:val="24"/>
          <w:highlight w:val="none"/>
          <w:lang w:val="zh-CN"/>
        </w:rPr>
        <w:t>个工作日，即公示期为</w:t>
      </w:r>
      <w:r>
        <w:rPr>
          <w:rFonts w:hint="eastAsia" w:ascii="Times New Roman" w:hAnsi="Times New Roman" w:cs="Times New Roman"/>
          <w:color w:val="auto"/>
          <w:kern w:val="0"/>
          <w:sz w:val="24"/>
          <w:szCs w:val="24"/>
          <w:highlight w:val="none"/>
          <w:lang w:val="en-US" w:eastAsia="zh-CN"/>
        </w:rPr>
        <w:t>2026</w:t>
      </w:r>
      <w:r>
        <w:rPr>
          <w:rFonts w:ascii="Times New Roman" w:hAnsi="Times New Roman" w:cs="Times New Roman"/>
          <w:color w:val="auto"/>
          <w:kern w:val="0"/>
          <w:sz w:val="24"/>
          <w:szCs w:val="24"/>
          <w:highlight w:val="none"/>
          <w:lang w:val="zh-CN"/>
        </w:rPr>
        <w:t>年</w:t>
      </w:r>
      <w:r>
        <w:rPr>
          <w:rFonts w:hint="eastAsia" w:ascii="Times New Roman" w:hAnsi="Times New Roman" w:cs="Times New Roman"/>
          <w:color w:val="auto"/>
          <w:kern w:val="0"/>
          <w:sz w:val="24"/>
          <w:szCs w:val="24"/>
          <w:highlight w:val="none"/>
          <w:lang w:val="en-US" w:eastAsia="zh-CN"/>
        </w:rPr>
        <w:t>3</w:t>
      </w:r>
      <w:r>
        <w:rPr>
          <w:rFonts w:ascii="Times New Roman" w:hAnsi="Times New Roman" w:cs="Times New Roman"/>
          <w:color w:val="auto"/>
          <w:kern w:val="0"/>
          <w:sz w:val="24"/>
          <w:szCs w:val="24"/>
          <w:highlight w:val="none"/>
          <w:lang w:val="zh-CN"/>
        </w:rPr>
        <w:t>月</w:t>
      </w:r>
      <w:r>
        <w:rPr>
          <w:rFonts w:hint="eastAsia" w:ascii="Times New Roman" w:hAnsi="Times New Roman" w:cs="Times New Roman"/>
          <w:color w:val="auto"/>
          <w:kern w:val="0"/>
          <w:sz w:val="24"/>
          <w:szCs w:val="24"/>
          <w:highlight w:val="none"/>
          <w:lang w:val="en-US" w:eastAsia="zh-CN"/>
        </w:rPr>
        <w:t>18</w:t>
      </w:r>
      <w:r>
        <w:rPr>
          <w:rFonts w:ascii="Times New Roman" w:hAnsi="Times New Roman" w:cs="Times New Roman"/>
          <w:color w:val="auto"/>
          <w:kern w:val="0"/>
          <w:sz w:val="24"/>
          <w:szCs w:val="24"/>
          <w:highlight w:val="none"/>
          <w:lang w:val="zh-CN"/>
        </w:rPr>
        <w:t>日</w:t>
      </w:r>
      <w:r>
        <w:rPr>
          <w:rFonts w:hint="eastAsia" w:ascii="Times New Roman" w:hAnsi="Times New Roman" w:cs="Times New Roman"/>
          <w:color w:val="auto"/>
          <w:kern w:val="0"/>
          <w:sz w:val="24"/>
          <w:szCs w:val="24"/>
          <w:highlight w:val="none"/>
          <w:lang w:val="zh-CN"/>
        </w:rPr>
        <w:t>—</w:t>
      </w:r>
      <w:r>
        <w:rPr>
          <w:rFonts w:hint="eastAsia" w:ascii="Times New Roman" w:hAnsi="Times New Roman" w:cs="Times New Roman"/>
          <w:color w:val="auto"/>
          <w:kern w:val="0"/>
          <w:sz w:val="24"/>
          <w:szCs w:val="24"/>
          <w:highlight w:val="none"/>
          <w:lang w:val="en-US" w:eastAsia="zh-CN"/>
        </w:rPr>
        <w:t>2026</w:t>
      </w:r>
      <w:r>
        <w:rPr>
          <w:rFonts w:ascii="Times New Roman" w:hAnsi="Times New Roman" w:cs="Times New Roman"/>
          <w:color w:val="auto"/>
          <w:kern w:val="0"/>
          <w:sz w:val="24"/>
          <w:szCs w:val="24"/>
          <w:highlight w:val="none"/>
          <w:lang w:val="zh-CN"/>
        </w:rPr>
        <w:t>年</w:t>
      </w:r>
      <w:r>
        <w:rPr>
          <w:rFonts w:hint="eastAsia" w:ascii="Times New Roman" w:hAnsi="Times New Roman" w:cs="Times New Roman"/>
          <w:color w:val="auto"/>
          <w:kern w:val="0"/>
          <w:sz w:val="24"/>
          <w:szCs w:val="24"/>
          <w:highlight w:val="none"/>
          <w:lang w:val="en-US" w:eastAsia="zh-CN"/>
        </w:rPr>
        <w:t>3</w:t>
      </w:r>
      <w:r>
        <w:rPr>
          <w:rFonts w:ascii="Times New Roman" w:hAnsi="Times New Roman" w:cs="Times New Roman"/>
          <w:color w:val="auto"/>
          <w:kern w:val="0"/>
          <w:sz w:val="24"/>
          <w:szCs w:val="24"/>
          <w:highlight w:val="none"/>
          <w:lang w:val="zh-CN"/>
        </w:rPr>
        <w:t>月</w:t>
      </w:r>
      <w:r>
        <w:rPr>
          <w:rFonts w:hint="eastAsia" w:ascii="Times New Roman" w:hAnsi="Times New Roman" w:cs="Times New Roman"/>
          <w:color w:val="auto"/>
          <w:kern w:val="0"/>
          <w:sz w:val="24"/>
          <w:szCs w:val="24"/>
          <w:highlight w:val="none"/>
          <w:lang w:val="en-US" w:eastAsia="zh-CN"/>
        </w:rPr>
        <w:t>20</w:t>
      </w:r>
      <w:bookmarkStart w:id="1" w:name="_GoBack"/>
      <w:bookmarkEnd w:id="1"/>
      <w:r>
        <w:rPr>
          <w:rFonts w:ascii="Times New Roman" w:hAnsi="Times New Roman" w:cs="Times New Roman"/>
          <w:color w:val="auto"/>
          <w:kern w:val="0"/>
          <w:sz w:val="24"/>
          <w:szCs w:val="24"/>
          <w:highlight w:val="none"/>
          <w:lang w:val="zh-CN"/>
        </w:rPr>
        <w:t>日。</w:t>
      </w:r>
    </w:p>
    <w:p w14:paraId="5C70B8DB">
      <w:pPr>
        <w:autoSpaceDE w:val="0"/>
        <w:autoSpaceDN w:val="0"/>
        <w:adjustRightInd w:val="0"/>
        <w:spacing w:line="400" w:lineRule="exact"/>
        <w:ind w:firstLine="480"/>
        <w:rPr>
          <w:rFonts w:ascii="Times New Roman" w:hAnsi="Times New Roman" w:cs="Times New Roman"/>
          <w:color w:val="000000" w:themeColor="text1"/>
          <w:kern w:val="0"/>
          <w:sz w:val="24"/>
          <w:szCs w:val="24"/>
          <w:lang w:val="zh-CN"/>
          <w14:textFill>
            <w14:solidFill>
              <w14:schemeClr w14:val="tx1"/>
            </w14:solidFill>
          </w14:textFill>
        </w:rPr>
      </w:pPr>
      <w:r>
        <w:rPr>
          <w:rFonts w:ascii="Times New Roman" w:hAnsi="Times New Roman" w:cs="Times New Roman"/>
          <w:color w:val="auto"/>
          <w:kern w:val="0"/>
          <w:sz w:val="24"/>
          <w:szCs w:val="24"/>
          <w:highlight w:val="none"/>
          <w:lang w:val="zh-CN"/>
        </w:rPr>
        <w:t>听证告知：依据《中华人民共和国行政许可法》，自公示起五日内申请人、有重大利益关系的利害</w:t>
      </w:r>
      <w:r>
        <w:rPr>
          <w:rFonts w:ascii="Times New Roman" w:hAnsi="Times New Roman" w:cs="Times New Roman"/>
          <w:color w:val="000000" w:themeColor="text1"/>
          <w:kern w:val="0"/>
          <w:sz w:val="24"/>
          <w:szCs w:val="24"/>
          <w:highlight w:val="none"/>
          <w:lang w:val="zh-CN"/>
          <w14:textFill>
            <w14:solidFill>
              <w14:schemeClr w14:val="tx1"/>
            </w14:solidFill>
          </w14:textFill>
        </w:rPr>
        <w:t>关系人可对以</w:t>
      </w:r>
      <w:r>
        <w:rPr>
          <w:rFonts w:ascii="Times New Roman" w:hAnsi="Times New Roman" w:cs="Times New Roman"/>
          <w:color w:val="000000" w:themeColor="text1"/>
          <w:kern w:val="0"/>
          <w:sz w:val="24"/>
          <w:szCs w:val="24"/>
          <w:lang w:val="zh-CN"/>
          <w14:textFill>
            <w14:solidFill>
              <w14:schemeClr w14:val="tx1"/>
            </w14:solidFill>
          </w14:textFill>
        </w:rPr>
        <w:t>下拟作出的建设项目环境影响评价文件批复决定要求听证。</w:t>
      </w:r>
    </w:p>
    <w:p w14:paraId="79C5A83D">
      <w:pPr>
        <w:numPr>
          <w:ilvl w:val="0"/>
          <w:numId w:val="0"/>
        </w:numPr>
        <w:ind w:firstLine="480" w:firstLineChars="200"/>
        <w:rPr>
          <w:rFonts w:hint="default" w:ascii="Times New Roman" w:hAnsi="Times New Roman" w:cs="Times New Roman"/>
          <w:color w:val="auto"/>
          <w:kern w:val="0"/>
          <w:sz w:val="24"/>
          <w:szCs w:val="24"/>
          <w:lang w:val="en-US" w:eastAsia="zh-CN"/>
        </w:rPr>
      </w:pPr>
      <w:r>
        <w:rPr>
          <w:rFonts w:ascii="Times New Roman" w:hAnsi="Times New Roman" w:cs="Times New Roman"/>
          <w:kern w:val="0"/>
          <w:sz w:val="24"/>
          <w:szCs w:val="24"/>
          <w:lang w:val="zh-CN"/>
        </w:rPr>
        <w:t>联系方式：</w:t>
      </w:r>
      <w:r>
        <w:rPr>
          <w:rFonts w:ascii="Times New Roman" w:hAnsi="Times New Roman" w:cs="Times New Roman"/>
          <w:color w:val="auto"/>
          <w:kern w:val="0"/>
          <w:sz w:val="24"/>
          <w:szCs w:val="24"/>
          <w:lang w:val="zh-CN"/>
        </w:rPr>
        <w:t>0376</w:t>
      </w:r>
      <w:r>
        <w:rPr>
          <w:rFonts w:hint="eastAsia" w:ascii="Times New Roman" w:hAnsi="Times New Roman" w:cs="Times New Roman"/>
          <w:color w:val="auto"/>
          <w:kern w:val="0"/>
          <w:sz w:val="24"/>
          <w:szCs w:val="24"/>
          <w:lang w:val="en-US" w:eastAsia="zh-CN"/>
        </w:rPr>
        <w:t>-3130067</w:t>
      </w:r>
      <w:r>
        <w:rPr>
          <w:rFonts w:ascii="Times New Roman" w:hAnsi="Times New Roman" w:cs="Times New Roman"/>
          <w:color w:val="auto"/>
          <w:kern w:val="0"/>
          <w:sz w:val="24"/>
          <w:szCs w:val="24"/>
          <w:lang w:val="zh-CN"/>
        </w:rPr>
        <w:t>（行政</w:t>
      </w:r>
      <w:r>
        <w:rPr>
          <w:rFonts w:hint="eastAsia" w:ascii="Times New Roman" w:hAnsi="Times New Roman" w:cs="Times New Roman"/>
          <w:color w:val="auto"/>
          <w:kern w:val="0"/>
          <w:sz w:val="24"/>
          <w:szCs w:val="24"/>
          <w:lang w:val="en-US" w:eastAsia="zh-CN"/>
        </w:rPr>
        <w:t>审批服务局</w:t>
      </w:r>
      <w:r>
        <w:rPr>
          <w:rFonts w:ascii="Times New Roman" w:hAnsi="Times New Roman" w:cs="Times New Roman"/>
          <w:color w:val="auto"/>
          <w:kern w:val="0"/>
          <w:sz w:val="24"/>
          <w:szCs w:val="24"/>
          <w:lang w:val="zh-CN"/>
        </w:rPr>
        <w:t>）</w:t>
      </w:r>
      <w:r>
        <w:rPr>
          <w:rFonts w:hint="eastAsia" w:ascii="Times New Roman" w:hAnsi="Times New Roman" w:cs="Times New Roman"/>
          <w:color w:val="auto"/>
          <w:kern w:val="0"/>
          <w:sz w:val="24"/>
          <w:szCs w:val="24"/>
          <w:lang w:val="en-US" w:eastAsia="zh-CN"/>
        </w:rPr>
        <w:t xml:space="preserve">   </w:t>
      </w:r>
      <w:r>
        <w:rPr>
          <w:rFonts w:ascii="Times New Roman" w:hAnsi="Times New Roman" w:cs="Times New Roman"/>
          <w:color w:val="auto"/>
          <w:kern w:val="0"/>
          <w:sz w:val="24"/>
          <w:szCs w:val="24"/>
          <w:lang w:val="zh-CN"/>
        </w:rPr>
        <w:t>通讯地址：</w:t>
      </w:r>
      <w:r>
        <w:rPr>
          <w:rFonts w:hint="eastAsia" w:ascii="Times New Roman" w:hAnsi="Times New Roman" w:cs="Times New Roman"/>
          <w:color w:val="auto"/>
          <w:kern w:val="0"/>
          <w:sz w:val="24"/>
          <w:szCs w:val="24"/>
          <w:lang w:val="en-US" w:eastAsia="zh-CN"/>
        </w:rPr>
        <w:t>信阳市潢川县豫东南大道和南昌大街交叉口科创中心一楼企业服务中心1号1楼101室（窗口）</w:t>
      </w:r>
    </w:p>
    <w:p w14:paraId="6679EB33">
      <w:pPr>
        <w:autoSpaceDE w:val="0"/>
        <w:autoSpaceDN w:val="0"/>
        <w:adjustRightInd w:val="0"/>
        <w:spacing w:line="400" w:lineRule="exact"/>
        <w:ind w:left="345" w:leftChars="50" w:hanging="240" w:hangingChars="100"/>
        <w:jc w:val="center"/>
        <w:rPr>
          <w:rFonts w:ascii="Times New Roman" w:hAnsi="Times New Roman" w:cs="Times New Roman"/>
          <w:kern w:val="0"/>
          <w:sz w:val="24"/>
          <w:szCs w:val="24"/>
          <w:lang w:val="zh-CN"/>
        </w:rPr>
      </w:pPr>
      <w:r>
        <w:rPr>
          <w:rFonts w:ascii="Times New Roman" w:hAnsi="Times New Roman" w:cs="Times New Roman"/>
          <w:kern w:val="0"/>
          <w:sz w:val="24"/>
          <w:szCs w:val="24"/>
          <w:lang w:val="zh-CN"/>
        </w:rPr>
        <w:t>拟审批的建设项目环境影响报告书（表）</w:t>
      </w:r>
    </w:p>
    <w:tbl>
      <w:tblPr>
        <w:tblStyle w:val="9"/>
        <w:tblW w:w="14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
        <w:gridCol w:w="945"/>
        <w:gridCol w:w="825"/>
        <w:gridCol w:w="780"/>
        <w:gridCol w:w="900"/>
        <w:gridCol w:w="2156"/>
        <w:gridCol w:w="7567"/>
        <w:gridCol w:w="846"/>
      </w:tblGrid>
      <w:tr w14:paraId="3EBF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dxa"/>
            <w:vAlign w:val="center"/>
          </w:tcPr>
          <w:p w14:paraId="42FA3725">
            <w:pPr>
              <w:jc w:val="center"/>
              <w:rPr>
                <w:rFonts w:ascii="Times New Roman" w:hAnsi="Times New Roman" w:cs="Times New Roman"/>
              </w:rPr>
            </w:pPr>
            <w:r>
              <w:rPr>
                <w:rFonts w:ascii="Times New Roman" w:hAnsi="Times New Roman" w:cs="Times New Roman"/>
              </w:rPr>
              <w:t>序号</w:t>
            </w:r>
          </w:p>
        </w:tc>
        <w:tc>
          <w:tcPr>
            <w:tcW w:w="945" w:type="dxa"/>
            <w:vAlign w:val="center"/>
          </w:tcPr>
          <w:p w14:paraId="4E57ED51">
            <w:pPr>
              <w:jc w:val="center"/>
              <w:rPr>
                <w:rFonts w:ascii="Times New Roman" w:hAnsi="Times New Roman" w:cs="Times New Roman"/>
              </w:rPr>
            </w:pPr>
            <w:r>
              <w:rPr>
                <w:rFonts w:ascii="Times New Roman" w:hAnsi="Times New Roman" w:cs="Times New Roman"/>
              </w:rPr>
              <w:t>项目</w:t>
            </w:r>
          </w:p>
          <w:p w14:paraId="69CF1E89">
            <w:pPr>
              <w:jc w:val="center"/>
              <w:rPr>
                <w:rFonts w:ascii="Times New Roman" w:hAnsi="Times New Roman" w:cs="Times New Roman"/>
              </w:rPr>
            </w:pPr>
            <w:r>
              <w:rPr>
                <w:rFonts w:ascii="Times New Roman" w:hAnsi="Times New Roman" w:cs="Times New Roman"/>
              </w:rPr>
              <w:t>名称</w:t>
            </w:r>
          </w:p>
        </w:tc>
        <w:tc>
          <w:tcPr>
            <w:tcW w:w="825" w:type="dxa"/>
            <w:vAlign w:val="center"/>
          </w:tcPr>
          <w:p w14:paraId="7C8F5208">
            <w:pPr>
              <w:jc w:val="center"/>
              <w:rPr>
                <w:rFonts w:ascii="Times New Roman" w:hAnsi="Times New Roman" w:cs="Times New Roman"/>
              </w:rPr>
            </w:pPr>
            <w:r>
              <w:rPr>
                <w:rFonts w:ascii="Times New Roman" w:hAnsi="Times New Roman" w:cs="Times New Roman"/>
              </w:rPr>
              <w:t>建设地点</w:t>
            </w:r>
          </w:p>
        </w:tc>
        <w:tc>
          <w:tcPr>
            <w:tcW w:w="780" w:type="dxa"/>
            <w:vAlign w:val="center"/>
          </w:tcPr>
          <w:p w14:paraId="003249B0">
            <w:pPr>
              <w:jc w:val="center"/>
              <w:rPr>
                <w:rFonts w:ascii="Times New Roman" w:hAnsi="Times New Roman" w:cs="Times New Roman"/>
              </w:rPr>
            </w:pPr>
            <w:r>
              <w:rPr>
                <w:rFonts w:ascii="Times New Roman" w:hAnsi="Times New Roman" w:cs="Times New Roman"/>
              </w:rPr>
              <w:t>建设单位</w:t>
            </w:r>
          </w:p>
        </w:tc>
        <w:tc>
          <w:tcPr>
            <w:tcW w:w="900" w:type="dxa"/>
            <w:vAlign w:val="center"/>
          </w:tcPr>
          <w:p w14:paraId="0F9BF0DF">
            <w:pPr>
              <w:jc w:val="center"/>
              <w:rPr>
                <w:rFonts w:ascii="Times New Roman" w:hAnsi="Times New Roman" w:cs="Times New Roman"/>
              </w:rPr>
            </w:pPr>
            <w:r>
              <w:rPr>
                <w:rFonts w:ascii="Times New Roman" w:hAnsi="Times New Roman" w:cs="Times New Roman"/>
              </w:rPr>
              <w:t>环境影响评价机构</w:t>
            </w:r>
          </w:p>
        </w:tc>
        <w:tc>
          <w:tcPr>
            <w:tcW w:w="2156" w:type="dxa"/>
            <w:vAlign w:val="center"/>
          </w:tcPr>
          <w:p w14:paraId="10390CAD">
            <w:pPr>
              <w:jc w:val="center"/>
              <w:rPr>
                <w:rFonts w:ascii="Times New Roman" w:hAnsi="Times New Roman" w:cs="Times New Roman"/>
              </w:rPr>
            </w:pPr>
            <w:r>
              <w:rPr>
                <w:rFonts w:ascii="Times New Roman" w:hAnsi="Times New Roman" w:cs="Times New Roman"/>
              </w:rPr>
              <w:t>建设项目</w:t>
            </w:r>
          </w:p>
          <w:p w14:paraId="4F717EA9">
            <w:pPr>
              <w:jc w:val="center"/>
              <w:rPr>
                <w:rFonts w:ascii="Times New Roman" w:hAnsi="Times New Roman" w:cs="Times New Roman"/>
              </w:rPr>
            </w:pPr>
            <w:r>
              <w:rPr>
                <w:rFonts w:ascii="Times New Roman" w:hAnsi="Times New Roman" w:cs="Times New Roman"/>
              </w:rPr>
              <w:t>概况</w:t>
            </w:r>
          </w:p>
        </w:tc>
        <w:tc>
          <w:tcPr>
            <w:tcW w:w="7567" w:type="dxa"/>
            <w:vAlign w:val="center"/>
          </w:tcPr>
          <w:p w14:paraId="28CEAA1C">
            <w:pPr>
              <w:jc w:val="center"/>
              <w:rPr>
                <w:rFonts w:ascii="Times New Roman" w:hAnsi="Times New Roman" w:cs="Times New Roman"/>
              </w:rPr>
            </w:pPr>
            <w:r>
              <w:rPr>
                <w:rFonts w:ascii="Times New Roman" w:hAnsi="Times New Roman" w:cs="Times New Roman"/>
              </w:rPr>
              <w:t>主要环境影响及预防或减轻不良环境影响的对策和措施</w:t>
            </w:r>
          </w:p>
        </w:tc>
        <w:tc>
          <w:tcPr>
            <w:tcW w:w="846" w:type="dxa"/>
            <w:vAlign w:val="center"/>
          </w:tcPr>
          <w:p w14:paraId="709E48D3">
            <w:pPr>
              <w:jc w:val="center"/>
              <w:rPr>
                <w:rFonts w:ascii="Times New Roman" w:hAnsi="Times New Roman" w:cs="Times New Roman"/>
              </w:rPr>
            </w:pPr>
            <w:r>
              <w:rPr>
                <w:rFonts w:ascii="Times New Roman" w:hAnsi="Times New Roman" w:cs="Times New Roman"/>
              </w:rPr>
              <w:t>公共参与情况</w:t>
            </w:r>
          </w:p>
        </w:tc>
      </w:tr>
      <w:tr w14:paraId="6913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2" w:hRule="atLeast"/>
        </w:trPr>
        <w:tc>
          <w:tcPr>
            <w:tcW w:w="371" w:type="dxa"/>
            <w:vAlign w:val="center"/>
          </w:tcPr>
          <w:p w14:paraId="7EF11DFA">
            <w:pPr>
              <w:jc w:val="center"/>
              <w:rPr>
                <w:rFonts w:ascii="Times New Roman" w:hAnsi="Times New Roman" w:cs="Times New Roman"/>
                <w:color w:val="auto"/>
              </w:rPr>
            </w:pPr>
            <w:r>
              <w:rPr>
                <w:rFonts w:ascii="Times New Roman" w:hAnsi="Times New Roman" w:cs="Times New Roman"/>
                <w:color w:val="auto"/>
              </w:rPr>
              <w:t>1</w:t>
            </w:r>
          </w:p>
        </w:tc>
        <w:tc>
          <w:tcPr>
            <w:tcW w:w="945" w:type="dxa"/>
            <w:vAlign w:val="center"/>
          </w:tcPr>
          <w:p w14:paraId="5AFFFDBD">
            <w:pPr>
              <w:pStyle w:val="15"/>
              <w:spacing w:line="240" w:lineRule="auto"/>
              <w:ind w:firstLine="0" w:firstLineChars="0"/>
              <w:jc w:val="center"/>
              <w:rPr>
                <w:rFonts w:hint="eastAsia" w:asciiTheme="minorEastAsia" w:hAnsiTheme="minorEastAsia" w:eastAsiaTheme="minorEastAsia" w:cstheme="minorEastAsia"/>
                <w:color w:val="auto"/>
                <w:sz w:val="18"/>
                <w:szCs w:val="20"/>
              </w:rPr>
            </w:pPr>
            <w:r>
              <w:rPr>
                <w:rFonts w:hint="eastAsia" w:asciiTheme="minorEastAsia" w:hAnsiTheme="minorEastAsia" w:eastAsiaTheme="minorEastAsia" w:cstheme="minorEastAsia"/>
                <w:color w:val="auto"/>
                <w:sz w:val="18"/>
                <w:szCs w:val="20"/>
              </w:rPr>
              <w:t>胜华交联电缆科技（河南）有限公司年产100000千米电线电缆及10000吨铜铝导体项目</w:t>
            </w:r>
          </w:p>
        </w:tc>
        <w:tc>
          <w:tcPr>
            <w:tcW w:w="825" w:type="dxa"/>
            <w:vAlign w:val="center"/>
          </w:tcPr>
          <w:p w14:paraId="75DA2FF8">
            <w:pPr>
              <w:spacing w:line="240" w:lineRule="auto"/>
              <w:jc w:val="center"/>
              <w:rPr>
                <w:rFonts w:hint="eastAsia" w:asciiTheme="minorEastAsia" w:hAnsiTheme="minorEastAsia" w:eastAsiaTheme="minorEastAsia" w:cstheme="minorEastAsia"/>
                <w:color w:val="auto"/>
                <w:kern w:val="2"/>
                <w:sz w:val="18"/>
                <w:szCs w:val="20"/>
                <w:lang w:val="en-US" w:eastAsia="zh-CN" w:bidi="ar-SA"/>
              </w:rPr>
            </w:pPr>
            <w:r>
              <w:rPr>
                <w:rFonts w:hint="eastAsia" w:asciiTheme="minorEastAsia" w:hAnsiTheme="minorEastAsia" w:eastAsiaTheme="minorEastAsia" w:cstheme="minorEastAsia"/>
                <w:color w:val="auto"/>
                <w:kern w:val="2"/>
                <w:sz w:val="18"/>
                <w:szCs w:val="20"/>
                <w:lang w:val="en-US" w:eastAsia="zh-CN" w:bidi="ar-SA"/>
              </w:rPr>
              <w:t>信阳市豫东南高新技术开发区新县飞地产业园遵义大街1号（付店境内）</w:t>
            </w:r>
          </w:p>
        </w:tc>
        <w:tc>
          <w:tcPr>
            <w:tcW w:w="780" w:type="dxa"/>
            <w:vAlign w:val="center"/>
          </w:tcPr>
          <w:p w14:paraId="3FFCDA66">
            <w:pPr>
              <w:spacing w:line="240" w:lineRule="auto"/>
              <w:jc w:val="center"/>
              <w:rPr>
                <w:rFonts w:hint="eastAsia" w:asciiTheme="minorEastAsia" w:hAnsiTheme="minorEastAsia" w:eastAsiaTheme="minorEastAsia" w:cstheme="minorEastAsia"/>
                <w:color w:val="auto"/>
                <w:kern w:val="2"/>
                <w:sz w:val="18"/>
                <w:szCs w:val="20"/>
                <w:lang w:val="en-US" w:eastAsia="zh-CN" w:bidi="ar-SA"/>
              </w:rPr>
            </w:pPr>
            <w:r>
              <w:rPr>
                <w:rFonts w:hint="eastAsia" w:asciiTheme="minorEastAsia" w:hAnsiTheme="minorEastAsia" w:eastAsiaTheme="minorEastAsia" w:cstheme="minorEastAsia"/>
                <w:color w:val="auto"/>
                <w:kern w:val="2"/>
                <w:sz w:val="18"/>
                <w:szCs w:val="20"/>
                <w:lang w:val="en-US" w:eastAsia="zh-CN" w:bidi="ar-SA"/>
              </w:rPr>
              <w:t>胜华交联电缆科技（河南）有限公司</w:t>
            </w:r>
          </w:p>
        </w:tc>
        <w:tc>
          <w:tcPr>
            <w:tcW w:w="900" w:type="dxa"/>
            <w:vAlign w:val="center"/>
          </w:tcPr>
          <w:p w14:paraId="1DDEF492">
            <w:pPr>
              <w:spacing w:line="240" w:lineRule="auto"/>
              <w:jc w:val="center"/>
              <w:rPr>
                <w:rFonts w:hint="default" w:asciiTheme="minorEastAsia" w:hAnsiTheme="minorEastAsia" w:eastAsiaTheme="minorEastAsia" w:cstheme="minorEastAsia"/>
                <w:color w:val="auto"/>
                <w:kern w:val="2"/>
                <w:sz w:val="18"/>
                <w:szCs w:val="20"/>
                <w:lang w:val="en-US" w:eastAsia="zh-CN" w:bidi="ar-SA"/>
              </w:rPr>
            </w:pPr>
            <w:r>
              <w:rPr>
                <w:rFonts w:hint="default" w:asciiTheme="minorEastAsia" w:hAnsiTheme="minorEastAsia" w:eastAsiaTheme="minorEastAsia" w:cstheme="minorEastAsia"/>
                <w:color w:val="auto"/>
                <w:kern w:val="2"/>
                <w:sz w:val="18"/>
                <w:szCs w:val="20"/>
                <w:lang w:val="en-US" w:eastAsia="zh-CN" w:bidi="ar-SA"/>
              </w:rPr>
              <w:t>河南潮尚环保工程有限公司</w:t>
            </w:r>
          </w:p>
        </w:tc>
        <w:tc>
          <w:tcPr>
            <w:tcW w:w="2156" w:type="dxa"/>
            <w:vAlign w:val="center"/>
          </w:tcPr>
          <w:p w14:paraId="30F488DA">
            <w:pPr>
              <w:autoSpaceDE w:val="0"/>
              <w:autoSpaceDN w:val="0"/>
              <w:adjustRightInd w:val="0"/>
              <w:spacing w:line="240" w:lineRule="auto"/>
              <w:ind w:firstLine="360" w:firstLineChars="200"/>
              <w:jc w:val="left"/>
              <w:rPr>
                <w:rFonts w:hint="eastAsia" w:asciiTheme="minorEastAsia" w:hAnsiTheme="minorEastAsia" w:eastAsiaTheme="minorEastAsia" w:cstheme="minorEastAsia"/>
                <w:color w:val="auto"/>
                <w:kern w:val="2"/>
                <w:sz w:val="18"/>
                <w:szCs w:val="20"/>
                <w:lang w:val="en-US" w:eastAsia="zh-CN" w:bidi="ar-SA"/>
              </w:rPr>
            </w:pPr>
            <w:r>
              <w:rPr>
                <w:rFonts w:hint="eastAsia" w:asciiTheme="minorEastAsia" w:hAnsiTheme="minorEastAsia" w:eastAsiaTheme="minorEastAsia" w:cstheme="minorEastAsia"/>
                <w:color w:val="auto"/>
                <w:kern w:val="2"/>
                <w:sz w:val="18"/>
                <w:szCs w:val="20"/>
                <w:lang w:val="en-US" w:eastAsia="zh-CN" w:bidi="ar-SA"/>
              </w:rPr>
              <w:t>本项目计划投资5000万元，使用厂房约16400平方米，建设电线电缆及铜铝导体加工项目，主要生产设备为出线机、成缆机、编织机、拉丝机、绞丝机、束丝机、灌浆挤出机、氩弧焊接轧纹机、塔盘筒装绕包机等，主要原辅材料有铜杆、铝杆、电缆料、钢带、填充带等。电线电缆主要生产工艺:铜杆/铝杆-拉丝-退火-绝缘挤出-冷却-成缆-护套-喷码</w:t>
            </w:r>
            <w:r>
              <w:rPr>
                <w:rFonts w:hint="eastAsia" w:asciiTheme="minorEastAsia" w:hAnsiTheme="minorEastAsia" w:cstheme="minorEastAsia"/>
                <w:color w:val="auto"/>
                <w:kern w:val="2"/>
                <w:sz w:val="18"/>
                <w:szCs w:val="20"/>
                <w:lang w:val="en-US" w:eastAsia="zh-CN" w:bidi="ar-SA"/>
              </w:rPr>
              <w:t>；</w:t>
            </w:r>
            <w:r>
              <w:rPr>
                <w:rFonts w:hint="eastAsia" w:asciiTheme="minorEastAsia" w:hAnsiTheme="minorEastAsia" w:eastAsiaTheme="minorEastAsia" w:cstheme="minorEastAsia"/>
                <w:color w:val="auto"/>
                <w:kern w:val="2"/>
                <w:sz w:val="18"/>
                <w:szCs w:val="20"/>
                <w:lang w:val="en-US" w:eastAsia="zh-CN" w:bidi="ar-SA"/>
              </w:rPr>
              <w:t>防火电缆主要生产工艺:铜杆/铝杆-拉丝-退火-绞合-绕耐火层-成缆-挤防火泥-包铜带轧纹-护套-喷码</w:t>
            </w:r>
            <w:r>
              <w:rPr>
                <w:rFonts w:hint="eastAsia" w:asciiTheme="minorEastAsia" w:hAnsiTheme="minorEastAsia" w:cstheme="minorEastAsia"/>
                <w:color w:val="auto"/>
                <w:kern w:val="2"/>
                <w:sz w:val="18"/>
                <w:szCs w:val="20"/>
                <w:lang w:val="en-US" w:eastAsia="zh-CN" w:bidi="ar-SA"/>
              </w:rPr>
              <w:t>；</w:t>
            </w:r>
            <w:r>
              <w:rPr>
                <w:rFonts w:hint="eastAsia" w:asciiTheme="minorEastAsia" w:hAnsiTheme="minorEastAsia" w:eastAsiaTheme="minorEastAsia" w:cstheme="minorEastAsia"/>
                <w:color w:val="auto"/>
                <w:kern w:val="2"/>
                <w:sz w:val="18"/>
                <w:szCs w:val="20"/>
                <w:lang w:val="en-US" w:eastAsia="zh-CN" w:bidi="ar-SA"/>
              </w:rPr>
              <w:t>铜铝导体生产工艺:铜杆/铝杆-拉丝-退火-束丝-绞丝-成品。项目建成后年产100000千米电线电缆及10000吨铜铝导体。</w:t>
            </w:r>
          </w:p>
        </w:tc>
        <w:tc>
          <w:tcPr>
            <w:tcW w:w="7567" w:type="dxa"/>
            <w:vAlign w:val="center"/>
          </w:tcPr>
          <w:p w14:paraId="60CC8799">
            <w:pPr>
              <w:spacing w:line="240" w:lineRule="auto"/>
              <w:jc w:val="left"/>
              <w:rPr>
                <w:rFonts w:hint="eastAsia" w:asciiTheme="minorEastAsia" w:hAnsiTheme="minorEastAsia" w:eastAsiaTheme="minorEastAsia" w:cstheme="minorEastAsia"/>
                <w:color w:val="auto"/>
                <w:kern w:val="2"/>
                <w:sz w:val="18"/>
                <w:szCs w:val="20"/>
                <w:lang w:val="en-US" w:eastAsia="zh-CN" w:bidi="ar-SA"/>
              </w:rPr>
            </w:pPr>
            <w:r>
              <w:rPr>
                <w:rFonts w:hint="eastAsia" w:asciiTheme="minorEastAsia" w:hAnsiTheme="minorEastAsia" w:cstheme="minorEastAsia"/>
                <w:color w:val="auto"/>
                <w:kern w:val="2"/>
                <w:sz w:val="18"/>
                <w:szCs w:val="20"/>
                <w:lang w:val="en-US" w:eastAsia="zh-CN" w:bidi="ar-SA"/>
              </w:rPr>
              <w:t>1、</w:t>
            </w:r>
            <w:r>
              <w:rPr>
                <w:rFonts w:hint="eastAsia" w:asciiTheme="minorEastAsia" w:hAnsiTheme="minorEastAsia" w:eastAsiaTheme="minorEastAsia" w:cstheme="minorEastAsia"/>
                <w:color w:val="auto"/>
                <w:kern w:val="2"/>
                <w:sz w:val="18"/>
                <w:szCs w:val="20"/>
                <w:lang w:val="en-US" w:eastAsia="zh-CN" w:bidi="ar-SA"/>
              </w:rPr>
              <w:t>废水污染防治措施。</w:t>
            </w:r>
            <w:r>
              <w:rPr>
                <w:rFonts w:hint="eastAsia" w:asciiTheme="minorEastAsia" w:hAnsiTheme="minorEastAsia" w:cstheme="minorEastAsia"/>
                <w:color w:val="auto"/>
                <w:kern w:val="2"/>
                <w:sz w:val="18"/>
                <w:szCs w:val="20"/>
                <w:lang w:val="en-US" w:eastAsia="zh-CN" w:bidi="ar-SA"/>
              </w:rPr>
              <w:t>运营期：</w:t>
            </w:r>
            <w:r>
              <w:rPr>
                <w:rFonts w:hint="eastAsia" w:asciiTheme="minorEastAsia" w:hAnsiTheme="minorEastAsia" w:eastAsiaTheme="minorEastAsia" w:cstheme="minorEastAsia"/>
                <w:color w:val="auto"/>
                <w:kern w:val="2"/>
                <w:sz w:val="18"/>
                <w:szCs w:val="20"/>
                <w:lang w:val="en-US" w:eastAsia="zh-CN" w:bidi="ar-SA"/>
              </w:rPr>
              <w:t>生活污水经化粪池处理后，用作农肥，远期待高新区第一污水处理厂运营及厂区周边污水管网接通后，进入高新区第一污水处理厂深度处理</w:t>
            </w:r>
            <w:r>
              <w:rPr>
                <w:rFonts w:hint="eastAsia" w:asciiTheme="minorEastAsia" w:hAnsiTheme="minorEastAsia" w:cstheme="minorEastAsia"/>
                <w:color w:val="auto"/>
                <w:kern w:val="2"/>
                <w:sz w:val="18"/>
                <w:szCs w:val="20"/>
                <w:lang w:val="en-US" w:eastAsia="zh-CN" w:bidi="ar-SA"/>
              </w:rPr>
              <w:t>；处理后的废水满足《污水综合排放标准》（GB8978-1996）表4中三级标准及高新区第一污水处理厂收水标准</w:t>
            </w:r>
            <w:r>
              <w:rPr>
                <w:rFonts w:hint="eastAsia" w:asciiTheme="minorEastAsia" w:hAnsiTheme="minorEastAsia" w:eastAsiaTheme="minorEastAsia" w:cstheme="minorEastAsia"/>
                <w:color w:val="auto"/>
                <w:kern w:val="2"/>
                <w:sz w:val="18"/>
                <w:szCs w:val="20"/>
                <w:lang w:val="en-US" w:eastAsia="zh-CN" w:bidi="ar-SA"/>
              </w:rPr>
              <w:t>。</w:t>
            </w:r>
          </w:p>
          <w:p w14:paraId="619ED78C">
            <w:pPr>
              <w:spacing w:line="240" w:lineRule="auto"/>
              <w:jc w:val="left"/>
              <w:rPr>
                <w:rFonts w:hint="eastAsia" w:asciiTheme="minorEastAsia" w:hAnsiTheme="minorEastAsia" w:eastAsiaTheme="minorEastAsia" w:cstheme="minorEastAsia"/>
                <w:color w:val="auto"/>
                <w:kern w:val="2"/>
                <w:sz w:val="18"/>
                <w:szCs w:val="20"/>
                <w:lang w:val="en-US" w:eastAsia="zh-CN" w:bidi="ar-SA"/>
              </w:rPr>
            </w:pPr>
            <w:r>
              <w:rPr>
                <w:rFonts w:hint="eastAsia" w:asciiTheme="minorEastAsia" w:hAnsiTheme="minorEastAsia" w:eastAsiaTheme="minorEastAsia" w:cstheme="minorEastAsia"/>
                <w:color w:val="auto"/>
                <w:kern w:val="2"/>
                <w:sz w:val="18"/>
                <w:szCs w:val="20"/>
                <w:lang w:val="en-US" w:eastAsia="zh-CN" w:bidi="ar-SA"/>
              </w:rPr>
              <w:t>2、废气污染防治措施。</w:t>
            </w:r>
            <w:r>
              <w:rPr>
                <w:rFonts w:hint="eastAsia" w:asciiTheme="minorEastAsia" w:hAnsiTheme="minorEastAsia" w:cstheme="minorEastAsia"/>
                <w:color w:val="auto"/>
                <w:kern w:val="2"/>
                <w:sz w:val="18"/>
                <w:szCs w:val="20"/>
                <w:lang w:val="en-US" w:eastAsia="zh-CN" w:bidi="ar-SA"/>
              </w:rPr>
              <w:t>运营期：</w:t>
            </w:r>
            <w:r>
              <w:rPr>
                <w:rFonts w:hint="eastAsia" w:asciiTheme="minorEastAsia" w:hAnsiTheme="minorEastAsia" w:eastAsiaTheme="minorEastAsia" w:cstheme="minorEastAsia"/>
                <w:color w:val="auto"/>
                <w:kern w:val="2"/>
                <w:sz w:val="18"/>
                <w:szCs w:val="20"/>
                <w:lang w:val="en-US" w:eastAsia="zh-CN" w:bidi="ar-SA"/>
              </w:rPr>
              <w:t>绝缘挤出工序及护套工序废气经集气罩收集后通过两级活性炭吸附装置处理后通过一根15m高排气筒（DA001）排放。</w:t>
            </w:r>
            <w:r>
              <w:rPr>
                <w:rFonts w:hint="eastAsia" w:asciiTheme="minorEastAsia" w:hAnsiTheme="minorEastAsia" w:cstheme="minorEastAsia"/>
                <w:color w:val="auto"/>
                <w:kern w:val="2"/>
                <w:sz w:val="18"/>
                <w:szCs w:val="20"/>
                <w:lang w:val="en-US" w:eastAsia="zh-CN" w:bidi="ar-SA"/>
              </w:rPr>
              <w:t>有组织废气非甲烷总烃排放满足《合成树脂工业污染物排放标准》（GB31572-2015，含2024年修改单）中表5大气污染物排放限值、《关于全省开展工业企业挥发性有机物专项治理工作中排放建议值通知》（豫环攻坚办〔2017〕162号）限值要求，同时满足《河南省重污染天气重点行业应急减排措施制定技术指南》（2024年修订版）塑料行业A级要求中的较严者要求；氯乙烯、氯化氢排放满足《大气污染物综合排放标准》（GB16297-1996）中表2中二级标准要求；臭气浓度排放满足《恶臭污染物排放标准》（GB14554-93）表2中限值要求。</w:t>
            </w:r>
          </w:p>
          <w:p w14:paraId="75A10039">
            <w:pPr>
              <w:spacing w:line="240" w:lineRule="auto"/>
              <w:jc w:val="left"/>
              <w:rPr>
                <w:rFonts w:hint="eastAsia" w:asciiTheme="minorEastAsia" w:hAnsiTheme="minorEastAsia" w:eastAsiaTheme="minorEastAsia" w:cstheme="minorEastAsia"/>
                <w:color w:val="auto"/>
                <w:kern w:val="2"/>
                <w:sz w:val="18"/>
                <w:szCs w:val="20"/>
                <w:lang w:val="en-US" w:eastAsia="zh-CN" w:bidi="ar-SA"/>
              </w:rPr>
            </w:pPr>
            <w:r>
              <w:rPr>
                <w:rFonts w:hint="eastAsia" w:asciiTheme="minorEastAsia" w:hAnsiTheme="minorEastAsia" w:eastAsiaTheme="minorEastAsia" w:cstheme="minorEastAsia"/>
                <w:color w:val="auto"/>
                <w:kern w:val="2"/>
                <w:sz w:val="18"/>
                <w:szCs w:val="20"/>
                <w:lang w:val="en-US" w:eastAsia="zh-CN" w:bidi="ar-SA"/>
              </w:rPr>
              <w:t>3、噪声污染防治措施。</w:t>
            </w:r>
            <w:bookmarkStart w:id="0" w:name="_Hlk165194763"/>
            <w:r>
              <w:rPr>
                <w:rFonts w:hint="eastAsia" w:asciiTheme="minorEastAsia" w:hAnsiTheme="minorEastAsia" w:eastAsiaTheme="minorEastAsia" w:cstheme="minorEastAsia"/>
                <w:color w:val="auto"/>
                <w:kern w:val="2"/>
                <w:sz w:val="18"/>
                <w:szCs w:val="20"/>
                <w:lang w:val="en-US" w:eastAsia="zh-CN" w:bidi="ar-SA"/>
              </w:rPr>
              <w:t>运营期</w:t>
            </w:r>
            <w:r>
              <w:rPr>
                <w:rFonts w:hint="eastAsia" w:asciiTheme="minorEastAsia" w:hAnsiTheme="minorEastAsia" w:cstheme="minorEastAsia"/>
                <w:color w:val="auto"/>
                <w:kern w:val="2"/>
                <w:sz w:val="18"/>
                <w:szCs w:val="20"/>
                <w:lang w:val="en-US" w:eastAsia="zh-CN" w:bidi="ar-SA"/>
              </w:rPr>
              <w:t>：</w:t>
            </w:r>
            <w:bookmarkEnd w:id="0"/>
            <w:r>
              <w:rPr>
                <w:rFonts w:hint="eastAsia" w:asciiTheme="minorEastAsia" w:hAnsiTheme="minorEastAsia" w:cstheme="minorEastAsia"/>
                <w:color w:val="auto"/>
                <w:kern w:val="2"/>
                <w:sz w:val="18"/>
                <w:szCs w:val="20"/>
                <w:lang w:val="en-US" w:eastAsia="zh-CN" w:bidi="ar-SA"/>
              </w:rPr>
              <w:t>项目噪声</w:t>
            </w:r>
            <w:r>
              <w:rPr>
                <w:rFonts w:hint="eastAsia" w:asciiTheme="minorEastAsia" w:hAnsiTheme="minorEastAsia" w:eastAsiaTheme="minorEastAsia" w:cstheme="minorEastAsia"/>
                <w:color w:val="auto"/>
                <w:kern w:val="2"/>
                <w:sz w:val="18"/>
                <w:szCs w:val="20"/>
                <w:lang w:val="en-US" w:eastAsia="zh-CN" w:bidi="ar-SA"/>
              </w:rPr>
              <w:t>主要来源于机械设备运行产生的噪声</w:t>
            </w:r>
            <w:r>
              <w:rPr>
                <w:rFonts w:hint="eastAsia" w:asciiTheme="minorEastAsia" w:hAnsiTheme="minorEastAsia" w:cstheme="minorEastAsia"/>
                <w:color w:val="auto"/>
                <w:kern w:val="2"/>
                <w:sz w:val="18"/>
                <w:szCs w:val="20"/>
                <w:lang w:val="en-US" w:eastAsia="zh-CN" w:bidi="ar-SA"/>
              </w:rPr>
              <w:t>，通过</w:t>
            </w:r>
            <w:r>
              <w:rPr>
                <w:rFonts w:hint="eastAsia" w:asciiTheme="minorEastAsia" w:hAnsiTheme="minorEastAsia" w:eastAsiaTheme="minorEastAsia" w:cstheme="minorEastAsia"/>
                <w:color w:val="auto"/>
                <w:kern w:val="2"/>
                <w:sz w:val="18"/>
                <w:szCs w:val="20"/>
                <w:lang w:val="en-US" w:eastAsia="zh-CN" w:bidi="ar-SA"/>
              </w:rPr>
              <w:t>对主要高噪声源采取基础减振、厂房隔声、消声等降噪措施后，经距离衰减后，各厂界的昼间噪声贡献值可满足《工业企业厂界环境噪声排放标准》（GB12348-2008）3类标准中昼间要求。</w:t>
            </w:r>
          </w:p>
          <w:p w14:paraId="0DFF2FAB">
            <w:pPr>
              <w:spacing w:line="240" w:lineRule="auto"/>
              <w:jc w:val="left"/>
              <w:rPr>
                <w:rFonts w:hint="eastAsia" w:asciiTheme="minorEastAsia" w:hAnsiTheme="minorEastAsia" w:eastAsiaTheme="minorEastAsia" w:cstheme="minorEastAsia"/>
                <w:color w:val="auto"/>
                <w:kern w:val="2"/>
                <w:sz w:val="18"/>
                <w:szCs w:val="20"/>
                <w:lang w:val="en-US" w:eastAsia="zh-CN" w:bidi="ar-SA"/>
              </w:rPr>
            </w:pPr>
            <w:r>
              <w:rPr>
                <w:rFonts w:hint="eastAsia" w:asciiTheme="minorEastAsia" w:hAnsiTheme="minorEastAsia" w:eastAsiaTheme="minorEastAsia" w:cstheme="minorEastAsia"/>
                <w:color w:val="auto"/>
                <w:kern w:val="2"/>
                <w:sz w:val="18"/>
                <w:szCs w:val="20"/>
                <w:lang w:val="en-US" w:eastAsia="zh-CN" w:bidi="ar-SA"/>
              </w:rPr>
              <w:t>4、固体废物污染防治措施。运营期</w:t>
            </w:r>
            <w:r>
              <w:rPr>
                <w:rFonts w:hint="eastAsia" w:asciiTheme="minorEastAsia" w:hAnsiTheme="minorEastAsia" w:cstheme="minorEastAsia"/>
                <w:color w:val="auto"/>
                <w:kern w:val="2"/>
                <w:sz w:val="18"/>
                <w:szCs w:val="20"/>
                <w:lang w:val="en-US" w:eastAsia="zh-CN" w:bidi="ar-SA"/>
              </w:rPr>
              <w:t>：</w:t>
            </w:r>
            <w:r>
              <w:rPr>
                <w:rFonts w:hint="eastAsia" w:asciiTheme="minorEastAsia" w:hAnsiTheme="minorEastAsia" w:eastAsiaTheme="minorEastAsia" w:cstheme="minorEastAsia"/>
                <w:color w:val="auto"/>
                <w:kern w:val="2"/>
                <w:sz w:val="18"/>
                <w:szCs w:val="20"/>
                <w:lang w:val="en-US" w:eastAsia="zh-CN" w:bidi="ar-SA"/>
              </w:rPr>
              <w:t>厂区内设置垃圾桶，生活垃圾经收集后，定期委托环卫部门清运处理。生产厂房内西北角设置一般固废暂存间（建筑面积30m</w:t>
            </w:r>
            <w:r>
              <w:rPr>
                <w:rFonts w:hint="eastAsia" w:asciiTheme="minorEastAsia" w:hAnsiTheme="minorEastAsia" w:eastAsiaTheme="minorEastAsia" w:cstheme="minorEastAsia"/>
                <w:color w:val="auto"/>
                <w:kern w:val="2"/>
                <w:sz w:val="18"/>
                <w:szCs w:val="20"/>
                <w:vertAlign w:val="superscript"/>
                <w:lang w:val="en-US" w:eastAsia="zh-CN" w:bidi="ar-SA"/>
              </w:rPr>
              <w:t>2</w:t>
            </w:r>
            <w:r>
              <w:rPr>
                <w:rFonts w:hint="eastAsia" w:asciiTheme="minorEastAsia" w:hAnsiTheme="minorEastAsia" w:eastAsiaTheme="minorEastAsia" w:cstheme="minorEastAsia"/>
                <w:color w:val="auto"/>
                <w:kern w:val="2"/>
                <w:sz w:val="18"/>
                <w:szCs w:val="20"/>
                <w:lang w:val="en-US" w:eastAsia="zh-CN" w:bidi="ar-SA"/>
              </w:rPr>
              <w:t>）</w:t>
            </w:r>
            <w:r>
              <w:rPr>
                <w:rFonts w:hint="eastAsia" w:asciiTheme="minorEastAsia" w:hAnsiTheme="minorEastAsia" w:cstheme="minorEastAsia"/>
                <w:color w:val="auto"/>
                <w:kern w:val="2"/>
                <w:sz w:val="18"/>
                <w:szCs w:val="20"/>
                <w:lang w:val="en-US" w:eastAsia="zh-CN" w:bidi="ar-SA"/>
              </w:rPr>
              <w:t>；</w:t>
            </w:r>
            <w:r>
              <w:rPr>
                <w:rFonts w:hint="eastAsia" w:asciiTheme="minorEastAsia" w:hAnsiTheme="minorEastAsia" w:eastAsiaTheme="minorEastAsia" w:cstheme="minorEastAsia"/>
                <w:color w:val="auto"/>
                <w:kern w:val="2"/>
                <w:sz w:val="18"/>
                <w:szCs w:val="20"/>
                <w:lang w:val="en-US" w:eastAsia="zh-CN" w:bidi="ar-SA"/>
              </w:rPr>
              <w:t>废包装材料、非金属边角料及废金属带集中收集后暂存于一般固废暂存间内，定期外售物资回收部门；废拉丝液及废防火泥经专用容器收集后暂存于一般固废暂存间内，定期委托一般固废处置单位处置；不合格品经人工剥离导体后，非金属部分收集暂存于一般固废暂存间内定期外售物资回收部门，导体部分返回生产工序重新利用</w:t>
            </w:r>
            <w:r>
              <w:rPr>
                <w:rFonts w:hint="eastAsia" w:asciiTheme="minorEastAsia" w:hAnsiTheme="minorEastAsia" w:cstheme="minorEastAsia"/>
                <w:color w:val="auto"/>
                <w:kern w:val="2"/>
                <w:sz w:val="18"/>
                <w:szCs w:val="20"/>
                <w:lang w:val="en-US" w:eastAsia="zh-CN" w:bidi="ar-SA"/>
              </w:rPr>
              <w:t>。</w:t>
            </w:r>
            <w:r>
              <w:rPr>
                <w:rFonts w:hint="eastAsia" w:asciiTheme="minorEastAsia" w:hAnsiTheme="minorEastAsia" w:eastAsiaTheme="minorEastAsia" w:cstheme="minorEastAsia"/>
                <w:color w:val="auto"/>
                <w:kern w:val="2"/>
                <w:sz w:val="18"/>
                <w:szCs w:val="20"/>
                <w:lang w:val="en-US" w:eastAsia="zh-CN" w:bidi="ar-SA"/>
              </w:rPr>
              <w:t>生产厂房内西北角设置危险废物暂存间（建筑面积10m</w:t>
            </w:r>
            <w:r>
              <w:rPr>
                <w:rFonts w:hint="eastAsia" w:asciiTheme="minorEastAsia" w:hAnsiTheme="minorEastAsia" w:eastAsiaTheme="minorEastAsia" w:cstheme="minorEastAsia"/>
                <w:color w:val="auto"/>
                <w:kern w:val="2"/>
                <w:sz w:val="18"/>
                <w:szCs w:val="20"/>
                <w:vertAlign w:val="superscript"/>
                <w:lang w:val="en-US" w:eastAsia="zh-CN" w:bidi="ar-SA"/>
              </w:rPr>
              <w:t>2</w:t>
            </w:r>
            <w:r>
              <w:rPr>
                <w:rFonts w:hint="eastAsia" w:asciiTheme="minorEastAsia" w:hAnsiTheme="minorEastAsia" w:eastAsiaTheme="minorEastAsia" w:cstheme="minorEastAsia"/>
                <w:color w:val="auto"/>
                <w:kern w:val="2"/>
                <w:sz w:val="18"/>
                <w:szCs w:val="20"/>
                <w:lang w:val="en-US" w:eastAsia="zh-CN" w:bidi="ar-SA"/>
              </w:rPr>
              <w:t>，储存能力为3t）。废活性炭、废润滑油及废润滑油桶收集后，分区暂存于危险废物暂存间内，委托有资质单位进行处置。</w:t>
            </w:r>
          </w:p>
        </w:tc>
        <w:tc>
          <w:tcPr>
            <w:tcW w:w="846" w:type="dxa"/>
            <w:vAlign w:val="center"/>
          </w:tcPr>
          <w:p w14:paraId="150F5999">
            <w:pPr>
              <w:jc w:val="center"/>
              <w:rPr>
                <w:rFonts w:ascii="Times New Roman" w:hAnsi="Times New Roman" w:cs="Times New Roman"/>
              </w:rPr>
            </w:pPr>
            <w:r>
              <w:rPr>
                <w:rFonts w:hint="eastAsia" w:ascii="Times New Roman" w:hAnsi="Times New Roman" w:cs="Times New Roman"/>
              </w:rPr>
              <w:t>/</w:t>
            </w:r>
          </w:p>
        </w:tc>
      </w:tr>
    </w:tbl>
    <w:p w14:paraId="34E510FD"/>
    <w:sectPr>
      <w:pgSz w:w="15840" w:h="12240" w:orient="landscape"/>
      <w:pgMar w:top="720" w:right="720" w:bottom="720" w:left="72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zOWNhY2ZlMGU5ZDNhMjgxODQ0M2Y3OTQzYmE2NzgifQ=="/>
  </w:docVars>
  <w:rsids>
    <w:rsidRoot w:val="00E45464"/>
    <w:rsid w:val="00083FD6"/>
    <w:rsid w:val="000A70CF"/>
    <w:rsid w:val="000B3180"/>
    <w:rsid w:val="000E52F8"/>
    <w:rsid w:val="00175827"/>
    <w:rsid w:val="002606A5"/>
    <w:rsid w:val="00285E7F"/>
    <w:rsid w:val="002D4F24"/>
    <w:rsid w:val="002D5822"/>
    <w:rsid w:val="002F3ADF"/>
    <w:rsid w:val="003105F1"/>
    <w:rsid w:val="00324D38"/>
    <w:rsid w:val="00360E24"/>
    <w:rsid w:val="00442C52"/>
    <w:rsid w:val="00505D7C"/>
    <w:rsid w:val="005D07DA"/>
    <w:rsid w:val="005D2520"/>
    <w:rsid w:val="00624E4E"/>
    <w:rsid w:val="006635B5"/>
    <w:rsid w:val="006A11D5"/>
    <w:rsid w:val="00703107"/>
    <w:rsid w:val="00703B1B"/>
    <w:rsid w:val="007E4F96"/>
    <w:rsid w:val="00821E19"/>
    <w:rsid w:val="00906330"/>
    <w:rsid w:val="009A1D0A"/>
    <w:rsid w:val="009C15CF"/>
    <w:rsid w:val="00A263B0"/>
    <w:rsid w:val="00B04EE1"/>
    <w:rsid w:val="00BF0BC8"/>
    <w:rsid w:val="00C24A4B"/>
    <w:rsid w:val="00C24E7F"/>
    <w:rsid w:val="00C4708F"/>
    <w:rsid w:val="00C86CC6"/>
    <w:rsid w:val="00D728D1"/>
    <w:rsid w:val="00E17D32"/>
    <w:rsid w:val="00E33299"/>
    <w:rsid w:val="00E37AA1"/>
    <w:rsid w:val="00E45464"/>
    <w:rsid w:val="00E9216F"/>
    <w:rsid w:val="00EF58F2"/>
    <w:rsid w:val="00F42A80"/>
    <w:rsid w:val="00FE3CFD"/>
    <w:rsid w:val="00FE482C"/>
    <w:rsid w:val="017E2A82"/>
    <w:rsid w:val="024535A0"/>
    <w:rsid w:val="03001E2D"/>
    <w:rsid w:val="0438160E"/>
    <w:rsid w:val="08472EB8"/>
    <w:rsid w:val="0E1635CC"/>
    <w:rsid w:val="116F4196"/>
    <w:rsid w:val="13BF0DDC"/>
    <w:rsid w:val="14CA3CE2"/>
    <w:rsid w:val="16663DB9"/>
    <w:rsid w:val="191B532F"/>
    <w:rsid w:val="19453E94"/>
    <w:rsid w:val="19D10A14"/>
    <w:rsid w:val="1BAC69CF"/>
    <w:rsid w:val="1BBC26CD"/>
    <w:rsid w:val="1CBD66FD"/>
    <w:rsid w:val="22CA3CFF"/>
    <w:rsid w:val="24A106B2"/>
    <w:rsid w:val="25894C90"/>
    <w:rsid w:val="264D79F5"/>
    <w:rsid w:val="2AB32EED"/>
    <w:rsid w:val="2BEE0681"/>
    <w:rsid w:val="2C46226B"/>
    <w:rsid w:val="2D8F7C42"/>
    <w:rsid w:val="2ED144FD"/>
    <w:rsid w:val="31F369F1"/>
    <w:rsid w:val="34B65AB4"/>
    <w:rsid w:val="34FF745B"/>
    <w:rsid w:val="35073BBB"/>
    <w:rsid w:val="36C26992"/>
    <w:rsid w:val="38AB582B"/>
    <w:rsid w:val="3B554279"/>
    <w:rsid w:val="3B75497F"/>
    <w:rsid w:val="3C790192"/>
    <w:rsid w:val="3C7A2B69"/>
    <w:rsid w:val="3C8F37BA"/>
    <w:rsid w:val="3FF027C2"/>
    <w:rsid w:val="41BA3087"/>
    <w:rsid w:val="42846AE2"/>
    <w:rsid w:val="435A2EAB"/>
    <w:rsid w:val="45717F01"/>
    <w:rsid w:val="469B0FAE"/>
    <w:rsid w:val="47BC0824"/>
    <w:rsid w:val="47FA6D04"/>
    <w:rsid w:val="4AD81E57"/>
    <w:rsid w:val="4B8820FC"/>
    <w:rsid w:val="4DF571F5"/>
    <w:rsid w:val="4E467412"/>
    <w:rsid w:val="4F6C34E7"/>
    <w:rsid w:val="53787C8C"/>
    <w:rsid w:val="567F4C77"/>
    <w:rsid w:val="59044790"/>
    <w:rsid w:val="5975743C"/>
    <w:rsid w:val="5BC84894"/>
    <w:rsid w:val="5BF07BBD"/>
    <w:rsid w:val="5C426370"/>
    <w:rsid w:val="5CF50FC0"/>
    <w:rsid w:val="5E31427A"/>
    <w:rsid w:val="5EC24ED2"/>
    <w:rsid w:val="61E37639"/>
    <w:rsid w:val="61F41738"/>
    <w:rsid w:val="63BC45E5"/>
    <w:rsid w:val="66DB14FC"/>
    <w:rsid w:val="67BA500A"/>
    <w:rsid w:val="6834572D"/>
    <w:rsid w:val="6A5E63F6"/>
    <w:rsid w:val="6D3D60D3"/>
    <w:rsid w:val="6DA57E98"/>
    <w:rsid w:val="6E6733A0"/>
    <w:rsid w:val="6F077F38"/>
    <w:rsid w:val="6F0B4673"/>
    <w:rsid w:val="7082493A"/>
    <w:rsid w:val="7197229A"/>
    <w:rsid w:val="727D26AA"/>
    <w:rsid w:val="734F0FD2"/>
    <w:rsid w:val="74EC0AA3"/>
    <w:rsid w:val="75662603"/>
    <w:rsid w:val="76832D41"/>
    <w:rsid w:val="776E39F1"/>
    <w:rsid w:val="77E9437B"/>
    <w:rsid w:val="79883AFD"/>
    <w:rsid w:val="79982FA7"/>
    <w:rsid w:val="79DB78AA"/>
    <w:rsid w:val="79E81839"/>
    <w:rsid w:val="7B0D52CF"/>
    <w:rsid w:val="7BA24A56"/>
    <w:rsid w:val="7C922C68"/>
    <w:rsid w:val="7D725243"/>
    <w:rsid w:val="7E1253A0"/>
    <w:rsid w:val="7E2D4A94"/>
    <w:rsid w:val="7F8A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napToGrid w:val="0"/>
      <w:spacing w:line="300" w:lineRule="auto"/>
      <w:ind w:firstLine="200" w:firstLineChars="200"/>
    </w:pPr>
    <w:rPr>
      <w:rFonts w:ascii="仿宋_GB2312" w:eastAsia="仿宋_GB2312"/>
      <w:sz w:val="28"/>
    </w:rPr>
  </w:style>
  <w:style w:type="paragraph" w:styleId="4">
    <w:name w:val="Body Text"/>
    <w:basedOn w:val="1"/>
    <w:qFormat/>
    <w:uiPriority w:val="0"/>
    <w:pPr>
      <w:widowControl/>
      <w:snapToGrid w:val="0"/>
      <w:spacing w:before="60" w:after="160" w:line="259" w:lineRule="auto"/>
      <w:ind w:right="113"/>
    </w:pPr>
    <w:rPr>
      <w:kern w:val="0"/>
      <w:sz w:val="18"/>
      <w:szCs w:val="20"/>
    </w:rPr>
  </w:style>
  <w:style w:type="paragraph" w:styleId="5">
    <w:name w:val="Body Text Indent"/>
    <w:basedOn w:val="1"/>
    <w:next w:val="4"/>
    <w:qFormat/>
    <w:uiPriority w:val="0"/>
    <w:pPr>
      <w:spacing w:after="120"/>
      <w:ind w:left="420" w:leftChars="200"/>
    </w:pPr>
    <w:rPr>
      <w:kern w:val="0"/>
      <w:sz w:val="24"/>
      <w:szCs w:val="20"/>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0"/>
    <w:basedOn w:val="1"/>
    <w:qFormat/>
    <w:uiPriority w:val="0"/>
    <w:pPr>
      <w:spacing w:line="460" w:lineRule="exact"/>
      <w:ind w:firstLine="480" w:firstLineChars="200"/>
    </w:pPr>
    <w:rPr>
      <w:kern w:val="0"/>
      <w:sz w:val="24"/>
      <w:szCs w:val="20"/>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paragraph" w:customStyle="1" w:styleId="14">
    <w:name w:val="表格文字"/>
    <w:basedOn w:val="1"/>
    <w:qFormat/>
    <w:uiPriority w:val="0"/>
    <w:pPr>
      <w:spacing w:line="360" w:lineRule="auto"/>
      <w:jc w:val="center"/>
    </w:pPr>
    <w:rPr>
      <w:rFonts w:ascii="Calibri" w:hAnsi="Calibri"/>
      <w:color w:val="000000"/>
    </w:rPr>
  </w:style>
  <w:style w:type="paragraph" w:customStyle="1" w:styleId="15">
    <w:name w:val="Body Text First Indent 2"/>
    <w:basedOn w:val="1"/>
    <w:next w:val="1"/>
    <w:qFormat/>
    <w:uiPriority w:val="0"/>
    <w:pPr>
      <w:ind w:firstLine="420" w:firstLineChars="200"/>
    </w:pPr>
    <w:rPr>
      <w:kern w:val="2"/>
      <w:sz w:val="21"/>
    </w:rPr>
  </w:style>
  <w:style w:type="character" w:customStyle="1" w:styleId="16">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1572</Words>
  <Characters>1708</Characters>
  <Lines>7</Lines>
  <Paragraphs>2</Paragraphs>
  <TotalTime>3</TotalTime>
  <ScaleCrop>false</ScaleCrop>
  <LinksUpToDate>false</LinksUpToDate>
  <CharactersWithSpaces>1711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2021-02-05T09:38:00Z</dcterms:created>
  <dc:creator>Administrator</dc:creator>
  <cp:lastModifiedBy>执子之手</cp:lastModifiedBy>
  <dcterms:modified xsi:type="dcterms:W3CDTF">2026-03-18T00:28:05Z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410E9570DC2B4F87A96B1D8CC44EF520_13</vt:lpwstr>
  </property>
  <property fmtid="{D5CDD505-2E9C-101B-9397-08002B2CF9AE}" pid="4" name="KSOTemplateDocerSaveRecord">
    <vt:lpwstr>eyJoZGlkIjoiZjdlNDI0YzUzNDhhYWJhZjE5OGZkZjhhOGYwNjYzMjAiLCJ1c2VySWQiOiIxMTI4NTkzNDgzIn0=</vt:lpwstr>
  </property>
</Properties>
</file>