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4185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28"/>
          <w:szCs w:val="28"/>
        </w:rPr>
        <w:t>豫东南高新技术</w:t>
      </w:r>
      <w:r>
        <w:rPr>
          <w:rFonts w:hint="eastAsia" w:ascii="方正小标宋简体" w:hAnsi="方正小标宋简体" w:eastAsia="方正小标宋简体" w:cs="方正小标宋简体"/>
          <w:color w:val="auto"/>
          <w:sz w:val="28"/>
          <w:szCs w:val="28"/>
          <w:lang w:val="en-US" w:eastAsia="zh-CN"/>
        </w:rPr>
        <w:t>产业</w:t>
      </w:r>
      <w:r>
        <w:rPr>
          <w:rFonts w:hint="eastAsia" w:ascii="方正小标宋简体" w:hAnsi="方正小标宋简体" w:eastAsia="方正小标宋简体" w:cs="方正小标宋简体"/>
          <w:color w:val="auto"/>
          <w:sz w:val="28"/>
          <w:szCs w:val="28"/>
        </w:rPr>
        <w:t>开发区</w:t>
      </w:r>
      <w:r>
        <w:rPr>
          <w:rFonts w:hint="eastAsia" w:ascii="方正小标宋简体" w:hAnsi="方正小标宋简体" w:eastAsia="方正小标宋简体" w:cs="方正小标宋简体"/>
          <w:color w:val="auto"/>
          <w:sz w:val="28"/>
          <w:szCs w:val="28"/>
          <w:lang w:val="en-US" w:eastAsia="zh-CN"/>
        </w:rPr>
        <w:t>管理委员会行政审批服务局</w:t>
      </w:r>
    </w:p>
    <w:p w14:paraId="43BEB8C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b/>
          <w:bCs/>
          <w:color w:val="000000"/>
          <w:kern w:val="0"/>
          <w:sz w:val="28"/>
          <w:szCs w:val="28"/>
          <w:lang w:val="en-US" w:eastAsia="zh-CN" w:bidi="ar"/>
        </w:rPr>
        <w:t>关于2026</w:t>
      </w:r>
      <w:r>
        <w:rPr>
          <w:rFonts w:hint="eastAsia" w:ascii="方正小标宋简体" w:hAnsi="方正小标宋简体" w:eastAsia="方正小标宋简体" w:cs="方正小标宋简体"/>
          <w:b/>
          <w:bCs/>
          <w:color w:val="auto"/>
          <w:kern w:val="0"/>
          <w:sz w:val="28"/>
          <w:szCs w:val="28"/>
          <w:highlight w:val="none"/>
          <w:lang w:val="en-US" w:eastAsia="zh-CN" w:bidi="ar"/>
        </w:rPr>
        <w:t>年3月24日做出的《胜华交联电缆科技（河南）有限公司年产100000千米电线电缆及10000吨铜铝导体项目环境影响报告表》环境影响评价文件审批情况决定的公告</w:t>
      </w:r>
    </w:p>
    <w:p w14:paraId="1BD3A38E">
      <w:pPr>
        <w:spacing w:line="24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根据建设项目环境影响评价审批程序的有关规定，经审查，2026年3月24日我局做出的1个建设项目环境影响评价文件的审批决定。现将做出的审批决定予以公告，公告期2026年3月24 日—2026年4月1日（7</w:t>
      </w:r>
      <w:bookmarkStart w:id="0" w:name="_GoBack"/>
      <w:bookmarkEnd w:id="0"/>
      <w:r>
        <w:rPr>
          <w:rFonts w:hint="eastAsia" w:ascii="仿宋_GB2312" w:hAnsi="仿宋_GB2312" w:eastAsia="仿宋_GB2312" w:cs="仿宋_GB2312"/>
          <w:color w:val="auto"/>
          <w:sz w:val="24"/>
          <w:szCs w:val="24"/>
          <w:highlight w:val="none"/>
          <w:lang w:val="en-US" w:eastAsia="zh-CN"/>
        </w:rPr>
        <w:t>日）。</w:t>
      </w:r>
    </w:p>
    <w:p w14:paraId="2FA5065B">
      <w:pPr>
        <w:spacing w:line="24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13C8371D">
      <w:pPr>
        <w:spacing w:line="24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联系方式：</w:t>
      </w:r>
      <w:r>
        <w:rPr>
          <w:rFonts w:hint="eastAsia" w:ascii="仿宋_GB2312" w:hAnsi="仿宋_GB2312" w:eastAsia="仿宋_GB2312" w:cs="仿宋_GB2312"/>
          <w:color w:val="auto"/>
          <w:kern w:val="0"/>
          <w:sz w:val="24"/>
          <w:szCs w:val="24"/>
          <w:lang w:val="zh-CN"/>
        </w:rPr>
        <w:t>0376</w:t>
      </w:r>
      <w:r>
        <w:rPr>
          <w:rFonts w:hint="eastAsia" w:ascii="仿宋_GB2312" w:hAnsi="仿宋_GB2312" w:eastAsia="仿宋_GB2312" w:cs="仿宋_GB2312"/>
          <w:color w:val="auto"/>
          <w:kern w:val="0"/>
          <w:sz w:val="24"/>
          <w:szCs w:val="24"/>
          <w:lang w:val="en-US" w:eastAsia="zh-CN"/>
        </w:rPr>
        <w:t>-3130067</w:t>
      </w:r>
      <w:r>
        <w:rPr>
          <w:rFonts w:hint="eastAsia" w:ascii="仿宋_GB2312" w:hAnsi="仿宋_GB2312" w:eastAsia="仿宋_GB2312" w:cs="仿宋_GB2312"/>
          <w:color w:val="auto"/>
          <w:kern w:val="0"/>
          <w:sz w:val="24"/>
          <w:szCs w:val="24"/>
          <w:lang w:val="zh-CN"/>
        </w:rPr>
        <w:t>（行政</w:t>
      </w:r>
      <w:r>
        <w:rPr>
          <w:rFonts w:hint="eastAsia" w:ascii="仿宋_GB2312" w:hAnsi="仿宋_GB2312" w:eastAsia="仿宋_GB2312" w:cs="仿宋_GB2312"/>
          <w:color w:val="auto"/>
          <w:kern w:val="0"/>
          <w:sz w:val="24"/>
          <w:szCs w:val="24"/>
          <w:lang w:val="en-US" w:eastAsia="zh-CN"/>
        </w:rPr>
        <w:t>审批服务局</w:t>
      </w:r>
      <w:r>
        <w:rPr>
          <w:rFonts w:hint="eastAsia" w:ascii="仿宋_GB2312" w:hAnsi="仿宋_GB2312" w:eastAsia="仿宋_GB2312" w:cs="仿宋_GB2312"/>
          <w:color w:val="auto"/>
          <w:kern w:val="0"/>
          <w:sz w:val="24"/>
          <w:szCs w:val="24"/>
          <w:lang w:val="zh-CN"/>
        </w:rPr>
        <w:t>）</w:t>
      </w:r>
    </w:p>
    <w:p w14:paraId="6872F2B9">
      <w:pPr>
        <w:spacing w:line="240" w:lineRule="auto"/>
        <w:ind w:firstLine="480" w:firstLineChars="200"/>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通讯地址：</w:t>
      </w:r>
      <w:r>
        <w:rPr>
          <w:rFonts w:hint="eastAsia" w:ascii="仿宋_GB2312" w:hAnsi="仿宋_GB2312" w:eastAsia="仿宋_GB2312" w:cs="仿宋_GB2312"/>
          <w:color w:val="auto"/>
          <w:kern w:val="0"/>
          <w:sz w:val="24"/>
          <w:szCs w:val="24"/>
          <w:lang w:val="en-US" w:eastAsia="zh-CN"/>
        </w:rPr>
        <w:t>信阳市潢川县豫东南大道和南昌大街交叉口科创中心一楼企业服务中心1号1楼101室（窗口）</w:t>
      </w:r>
    </w:p>
    <w:p w14:paraId="7BA7C2D0">
      <w:pPr>
        <w:keepNext w:val="0"/>
        <w:keepLines w:val="0"/>
        <w:widowControl/>
        <w:suppressLineNumbers w:val="0"/>
        <w:spacing w:line="360" w:lineRule="auto"/>
        <w:jc w:val="center"/>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做出的建设项目环影响评价文件审批决定</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2901"/>
        <w:gridCol w:w="2521"/>
        <w:gridCol w:w="2131"/>
      </w:tblGrid>
      <w:tr w14:paraId="5839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tcPr>
          <w:p w14:paraId="5C8796E5">
            <w:pPr>
              <w:spacing w:line="360" w:lineRule="auto"/>
              <w:jc w:val="center"/>
              <w:rPr>
                <w:rFonts w:hint="eastAsia"/>
                <w:color w:val="auto"/>
                <w:sz w:val="18"/>
                <w:szCs w:val="18"/>
                <w:highlight w:val="none"/>
                <w:vertAlign w:val="baseline"/>
                <w:lang w:val="en-US" w:eastAsia="zh-CN"/>
              </w:rPr>
            </w:pPr>
            <w:r>
              <w:rPr>
                <w:rFonts w:hint="eastAsia"/>
                <w:color w:val="auto"/>
                <w:sz w:val="18"/>
                <w:szCs w:val="18"/>
                <w:highlight w:val="none"/>
                <w:vertAlign w:val="baseline"/>
                <w:lang w:val="en-US" w:eastAsia="zh-CN"/>
              </w:rPr>
              <w:t>序号</w:t>
            </w:r>
          </w:p>
        </w:tc>
        <w:tc>
          <w:tcPr>
            <w:tcW w:w="2901" w:type="dxa"/>
          </w:tcPr>
          <w:p w14:paraId="4105A110">
            <w:pPr>
              <w:spacing w:line="360" w:lineRule="auto"/>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项目名称</w:t>
            </w:r>
          </w:p>
        </w:tc>
        <w:tc>
          <w:tcPr>
            <w:tcW w:w="2521" w:type="dxa"/>
          </w:tcPr>
          <w:p w14:paraId="587EA8D3">
            <w:pPr>
              <w:spacing w:line="360" w:lineRule="auto"/>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审批单位</w:t>
            </w:r>
          </w:p>
        </w:tc>
        <w:tc>
          <w:tcPr>
            <w:tcW w:w="2131" w:type="dxa"/>
          </w:tcPr>
          <w:p w14:paraId="63BC690D">
            <w:pPr>
              <w:spacing w:line="360" w:lineRule="auto"/>
              <w:jc w:val="center"/>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发文时间</w:t>
            </w:r>
          </w:p>
        </w:tc>
      </w:tr>
      <w:tr w14:paraId="6A66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14:paraId="4BA7F266">
            <w:pPr>
              <w:spacing w:line="360" w:lineRule="auto"/>
              <w:jc w:val="center"/>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1</w:t>
            </w:r>
          </w:p>
        </w:tc>
        <w:tc>
          <w:tcPr>
            <w:tcW w:w="2901" w:type="dxa"/>
            <w:vAlign w:val="center"/>
          </w:tcPr>
          <w:p w14:paraId="6E77B9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胜华交联电缆科技（河南）有限公司年产100000千米电线电缆及10000吨铜铝导体项目</w:t>
            </w:r>
          </w:p>
        </w:tc>
        <w:tc>
          <w:tcPr>
            <w:tcW w:w="2521" w:type="dxa"/>
            <w:vAlign w:val="center"/>
          </w:tcPr>
          <w:p w14:paraId="7FF031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FF0000"/>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豫东南高新技术产业开发区管理委员会行政审批服务局</w:t>
            </w:r>
          </w:p>
        </w:tc>
        <w:tc>
          <w:tcPr>
            <w:tcW w:w="2131" w:type="dxa"/>
            <w:vAlign w:val="center"/>
          </w:tcPr>
          <w:p w14:paraId="2EF7B0D9">
            <w:pPr>
              <w:spacing w:line="360" w:lineRule="auto"/>
              <w:jc w:val="center"/>
              <w:rPr>
                <w:rFonts w:hint="default" w:ascii="Times New Roman" w:hAnsi="Times New Roman" w:cs="Times New Roman"/>
                <w:color w:val="FF0000"/>
                <w:sz w:val="18"/>
                <w:szCs w:val="18"/>
                <w:highlight w:val="none"/>
                <w:vertAlign w:val="baseline"/>
                <w:lang w:val="en-US" w:eastAsia="zh-CN"/>
              </w:rPr>
            </w:pPr>
            <w:r>
              <w:rPr>
                <w:rFonts w:hint="eastAsia" w:ascii="Times New Roman" w:hAnsi="Times New Roman" w:cs="Times New Roman"/>
                <w:color w:val="FF0000"/>
                <w:sz w:val="18"/>
                <w:szCs w:val="18"/>
                <w:highlight w:val="none"/>
                <w:vertAlign w:val="baseline"/>
                <w:lang w:val="en-US" w:eastAsia="zh-CN"/>
              </w:rPr>
              <w:t>2026.3.24</w:t>
            </w:r>
          </w:p>
        </w:tc>
      </w:tr>
      <w:tr w14:paraId="77EE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5EBBE4EE">
            <w:pPr>
              <w:spacing w:line="240" w:lineRule="auto"/>
              <w:jc w:val="left"/>
              <w:rPr>
                <w:rFonts w:hint="default" w:ascii="Times New Roman" w:hAnsi="Times New Roman" w:cs="Times New Roman"/>
                <w:color w:val="auto"/>
                <w:sz w:val="18"/>
                <w:szCs w:val="18"/>
                <w:highlight w:val="none"/>
                <w:vertAlign w:val="baseline"/>
                <w:lang w:val="en-US" w:eastAsia="zh-CN"/>
              </w:rPr>
            </w:pPr>
            <w:r>
              <w:rPr>
                <w:rFonts w:hint="eastAsia" w:ascii="Times New Roman" w:hAnsi="Times New Roman" w:cs="Times New Roman"/>
                <w:color w:val="auto"/>
                <w:sz w:val="18"/>
                <w:szCs w:val="18"/>
                <w:highlight w:val="none"/>
                <w:vertAlign w:val="baseline"/>
                <w:lang w:val="en-US" w:eastAsia="zh-CN"/>
              </w:rPr>
              <w:t>胜华交联电缆科技（河南）有限公司</w:t>
            </w:r>
            <w:r>
              <w:rPr>
                <w:rFonts w:hint="default" w:ascii="Times New Roman" w:hAnsi="Times New Roman" w:cs="Times New Roman"/>
                <w:color w:val="auto"/>
                <w:sz w:val="18"/>
                <w:szCs w:val="18"/>
                <w:highlight w:val="none"/>
                <w:vertAlign w:val="baseline"/>
                <w:lang w:val="en-US" w:eastAsia="zh-CN"/>
              </w:rPr>
              <w:t>：</w:t>
            </w:r>
          </w:p>
          <w:p w14:paraId="56D66EEC">
            <w:pPr>
              <w:spacing w:line="240" w:lineRule="auto"/>
              <w:ind w:firstLine="360" w:firstLineChars="200"/>
              <w:jc w:val="left"/>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你公司报送的由</w:t>
            </w:r>
            <w:r>
              <w:rPr>
                <w:rFonts w:hint="eastAsia" w:ascii="Times New Roman" w:hAnsi="Times New Roman" w:cs="Times New Roman"/>
                <w:color w:val="auto"/>
                <w:sz w:val="18"/>
                <w:szCs w:val="18"/>
                <w:highlight w:val="none"/>
                <w:vertAlign w:val="baseline"/>
                <w:lang w:val="en-US" w:eastAsia="zh-CN"/>
              </w:rPr>
              <w:t>河南潮尚环保工程有限公司</w:t>
            </w:r>
            <w:r>
              <w:rPr>
                <w:rFonts w:hint="default" w:ascii="Times New Roman" w:hAnsi="Times New Roman" w:cs="Times New Roman"/>
                <w:color w:val="auto"/>
                <w:sz w:val="18"/>
                <w:szCs w:val="18"/>
                <w:highlight w:val="none"/>
                <w:vertAlign w:val="baseline"/>
                <w:lang w:val="en-US" w:eastAsia="zh-CN"/>
              </w:rPr>
              <w:t>编制的《胜华交联电缆科技（河南）有限公司年产100000千米电线电缆及10000吨铜铝导体项目</w:t>
            </w:r>
            <w:r>
              <w:rPr>
                <w:rFonts w:hint="eastAsia" w:ascii="Times New Roman" w:hAnsi="Times New Roman" w:cs="Times New Roman"/>
                <w:color w:val="auto"/>
                <w:sz w:val="18"/>
                <w:szCs w:val="18"/>
                <w:highlight w:val="none"/>
                <w:vertAlign w:val="baseline"/>
                <w:lang w:val="en-US" w:eastAsia="zh-CN"/>
              </w:rPr>
              <w:t>环境影响报告表</w:t>
            </w:r>
            <w:r>
              <w:rPr>
                <w:rFonts w:hint="default" w:ascii="Times New Roman" w:hAnsi="Times New Roman" w:cs="Times New Roman"/>
                <w:color w:val="auto"/>
                <w:sz w:val="18"/>
                <w:szCs w:val="18"/>
                <w:highlight w:val="none"/>
                <w:vertAlign w:val="baseline"/>
                <w:lang w:val="en-US" w:eastAsia="zh-CN"/>
              </w:rPr>
              <w:t>环境影响报告表（报批版）》（以下简称《报告表》）收悉。并已在我局公示期满。根据《中华人民共和国环境保护法》《中华人民共和国行政许可法》《中华人民共和国环境影响评价法》《建设项目环境保护管理条例》经研究，批复如下：</w:t>
            </w:r>
          </w:p>
          <w:p w14:paraId="49A9942D">
            <w:pPr>
              <w:spacing w:line="240" w:lineRule="auto"/>
              <w:ind w:firstLine="360" w:firstLineChars="200"/>
              <w:jc w:val="left"/>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一、《报告表》内容符合国家有关法律法规要求和建设项目环境管理规定，符合生态环境分区管控要求，评价结论总体可信。我局原则同意你公司按照《报告表》所列项目的建设内容和生态环境保护措施进行建设。</w:t>
            </w:r>
          </w:p>
          <w:p w14:paraId="44E5FEE8">
            <w:pPr>
              <w:spacing w:line="240" w:lineRule="auto"/>
              <w:ind w:firstLine="360" w:firstLineChars="200"/>
              <w:jc w:val="left"/>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二、你公司应向社会公众主动公开已经批准的《报告表》，并接受相关方的垂询。</w:t>
            </w:r>
          </w:p>
          <w:p w14:paraId="3C4630DC">
            <w:pPr>
              <w:spacing w:line="240" w:lineRule="auto"/>
              <w:ind w:firstLine="360" w:firstLineChars="200"/>
              <w:jc w:val="left"/>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三、你公司应全面落实《报告表》提出的各项生态环境保护措施，确保各项污染物达标排放。</w:t>
            </w:r>
          </w:p>
          <w:p w14:paraId="5DA674A2">
            <w:pPr>
              <w:spacing w:line="240" w:lineRule="auto"/>
              <w:ind w:firstLine="360" w:firstLineChars="200"/>
              <w:jc w:val="left"/>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（一）向设计单位提供《报告表》和本批复文件，确保项目设计符合环境保护设计规范要求，落实防治环境污染和生态保护的各项措施。</w:t>
            </w:r>
          </w:p>
          <w:p w14:paraId="598EA9DC">
            <w:pPr>
              <w:spacing w:line="240" w:lineRule="auto"/>
              <w:ind w:firstLine="360" w:firstLineChars="200"/>
              <w:jc w:val="left"/>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（二）依据《报告表》和本批复文件，对项目建设和运行过程中产生的废水、废气、固体废物、噪声等污染，以及对生态环境造成的影响，采取相应的防治措施及生态环境影响减缓措施。</w:t>
            </w:r>
          </w:p>
          <w:p w14:paraId="225150C1">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Chars="0" w:firstLine="360" w:firstLineChars="200"/>
              <w:jc w:val="both"/>
              <w:textAlignment w:val="auto"/>
              <w:rPr>
                <w:rFonts w:hint="eastAsia" w:ascii="Times New Roman" w:hAnsi="Times New Roman" w:eastAsia="宋体" w:cs="Times New Roman"/>
                <w:color w:val="auto"/>
                <w:sz w:val="18"/>
                <w:szCs w:val="18"/>
                <w:u w:val="none"/>
                <w:lang w:val="en-US" w:eastAsia="zh-CN"/>
              </w:rPr>
            </w:pPr>
            <w:r>
              <w:rPr>
                <w:rFonts w:hint="default" w:ascii="Times New Roman" w:hAnsi="Times New Roman" w:cs="Times New Roman"/>
                <w:color w:val="auto"/>
                <w:sz w:val="18"/>
                <w:szCs w:val="18"/>
                <w:highlight w:val="none"/>
                <w:vertAlign w:val="baseline"/>
                <w:lang w:val="en-US" w:eastAsia="zh-CN"/>
              </w:rPr>
              <w:t>1、废气。项目应采取合理措施，强化废气收集处置工作，减少生产过程中的无组织废气排放。</w:t>
            </w:r>
            <w:r>
              <w:rPr>
                <w:rFonts w:hint="eastAsia" w:ascii="Times New Roman" w:hAnsi="Times New Roman" w:eastAsia="宋体" w:cs="Times New Roman"/>
                <w:color w:val="auto"/>
                <w:sz w:val="18"/>
                <w:szCs w:val="18"/>
                <w:u w:val="none"/>
                <w:lang w:val="en-US" w:eastAsia="zh-CN"/>
              </w:rPr>
              <w:t>绝缘挤出工序及护套工序废气经集气罩收集后通过两级活性炭吸附装置处理后通过一根15m高排气筒（DA001）排放。有组织废气非甲烷总烃排放满足《合成树脂工业污染物排放标准》（GB31572-2015，含2024年修改单）中表5大气污染物排放限值、《关于全省开展工业企业挥发性有机物专项治理工作中排放建议值通知》（豫环攻坚办〔2017〕162号）限值要求，同时满足《河南省重污染天气重点行业应急减排措施制定技术指南》（2024年修订版）塑料行业A级要求中的较严者要求；氯乙烯、氯化氢排放满足《大气污染物综合排放标准》（GB16297-1996）中表2中二级标准要求；臭气浓度排放满足《恶臭污染物排放标准》（GB14554-93）表2中限值要求。</w:t>
            </w:r>
          </w:p>
          <w:p w14:paraId="693F441E">
            <w:pPr>
              <w:spacing w:line="240" w:lineRule="auto"/>
              <w:ind w:firstLine="360" w:firstLineChars="200"/>
              <w:jc w:val="left"/>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2、废水。项目废水严格按照“清污分流、雨污分流、分质处理”原则处理，加强厂区管理，严防“跑冒滴漏”。</w:t>
            </w:r>
            <w:r>
              <w:rPr>
                <w:rFonts w:hint="eastAsia" w:asciiTheme="minorEastAsia" w:hAnsiTheme="minorEastAsia" w:eastAsiaTheme="minorEastAsia" w:cstheme="minorEastAsia"/>
                <w:color w:val="auto"/>
                <w:kern w:val="2"/>
                <w:sz w:val="18"/>
                <w:szCs w:val="20"/>
                <w:lang w:val="en-US" w:eastAsia="zh-CN" w:bidi="ar-SA"/>
              </w:rPr>
              <w:t>生活污水经化粪池处理后，用作农肥，远期待高新区第一污水处理厂运营及厂区周边污水管网接通后，进入高新区第一污水处理厂深度处理</w:t>
            </w:r>
            <w:r>
              <w:rPr>
                <w:rFonts w:hint="default" w:ascii="Times New Roman" w:hAnsi="Times New Roman" w:cs="Times New Roman"/>
                <w:color w:val="auto"/>
                <w:sz w:val="18"/>
                <w:szCs w:val="18"/>
                <w:highlight w:val="none"/>
                <w:vertAlign w:val="baseline"/>
                <w:lang w:val="en-US" w:eastAsia="zh-CN"/>
              </w:rPr>
              <w:t>。</w:t>
            </w:r>
          </w:p>
          <w:p w14:paraId="6CF88365">
            <w:pPr>
              <w:spacing w:line="240" w:lineRule="auto"/>
              <w:ind w:firstLine="360" w:firstLineChars="200"/>
              <w:jc w:val="left"/>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3、噪声。</w:t>
            </w:r>
            <w:r>
              <w:rPr>
                <w:rFonts w:hint="eastAsia" w:ascii="Times New Roman" w:hAnsi="Times New Roman" w:eastAsia="宋体" w:cs="Times New Roman"/>
                <w:color w:val="auto"/>
                <w:sz w:val="18"/>
                <w:szCs w:val="18"/>
                <w:u w:val="none"/>
                <w:lang w:val="en-US" w:eastAsia="zh-CN"/>
              </w:rPr>
              <w:t>项目噪声主要来源于机械设备运行产生的噪声，拟采用基础减振、厂房隔声、消声等措施后，经预测项目四周厂界均满足《工业企业厂界环境噪声排放标准》（GB12348-2008）3类标准要求</w:t>
            </w:r>
            <w:r>
              <w:rPr>
                <w:rFonts w:hint="default" w:ascii="Times New Roman" w:hAnsi="Times New Roman" w:cs="Times New Roman"/>
                <w:color w:val="auto"/>
                <w:sz w:val="18"/>
                <w:szCs w:val="18"/>
                <w:highlight w:val="none"/>
                <w:vertAlign w:val="baseline"/>
                <w:lang w:val="en-US" w:eastAsia="zh-CN"/>
              </w:rPr>
              <w:t>。</w:t>
            </w:r>
          </w:p>
          <w:p w14:paraId="1B096B1E">
            <w:pPr>
              <w:spacing w:line="240" w:lineRule="auto"/>
              <w:ind w:firstLine="360" w:firstLineChars="200"/>
              <w:jc w:val="left"/>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4、固体废物。项目固体废物应采取分类处置和综合利用措施，各类固体废物贮存、处置应满足《一般工业固体废物贮存和填埋污染控制标准》（GB18599-2020）、《危险废物贮存污染控制标准》（GB18597-2023）要求，避免对环境造成二次污染。</w:t>
            </w:r>
          </w:p>
          <w:p w14:paraId="393C5324">
            <w:pPr>
              <w:spacing w:line="240" w:lineRule="auto"/>
              <w:ind w:firstLine="360" w:firstLineChars="200"/>
              <w:jc w:val="left"/>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（三）落实土壤及地下水污染防治措施，采取源头控制、分区防渗等措施，加强厂区周围土壤及地下水水质监控，严防土壤和地下水污染。</w:t>
            </w:r>
          </w:p>
          <w:p w14:paraId="70E00E34">
            <w:pPr>
              <w:spacing w:line="240" w:lineRule="auto"/>
              <w:ind w:firstLine="360" w:firstLineChars="200"/>
              <w:jc w:val="left"/>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（四）落实《报告表》提出的环境风险防范措施和要求，加强日常管理，防止发生污染事故。</w:t>
            </w:r>
          </w:p>
          <w:p w14:paraId="767845CC">
            <w:pPr>
              <w:spacing w:line="240" w:lineRule="auto"/>
              <w:ind w:firstLine="360" w:firstLineChars="200"/>
              <w:jc w:val="left"/>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（五）如果今后国家或我省颁布污染物排放限值的新标准，届时你公司应按新的排放标准执行。</w:t>
            </w:r>
          </w:p>
          <w:p w14:paraId="515E89D5">
            <w:pPr>
              <w:spacing w:line="240" w:lineRule="auto"/>
              <w:ind w:firstLine="360" w:firstLineChars="200"/>
              <w:jc w:val="left"/>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四、你公司应严格执行环境保护“三同时”制度。项目建成后按规定程序实施竣工环境保护验收。</w:t>
            </w:r>
          </w:p>
          <w:p w14:paraId="62DF26E3">
            <w:pPr>
              <w:spacing w:line="240" w:lineRule="auto"/>
              <w:ind w:firstLine="360" w:firstLineChars="200"/>
              <w:jc w:val="left"/>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五、你公司应在收到本批复的10个工作日内，将批准后的环境影响报告表和本批复文件送至</w:t>
            </w:r>
            <w:r>
              <w:rPr>
                <w:rFonts w:hint="eastAsia" w:ascii="Times New Roman" w:hAnsi="Times New Roman" w:cs="Times New Roman"/>
                <w:color w:val="FF0000"/>
                <w:sz w:val="18"/>
                <w:szCs w:val="18"/>
                <w:highlight w:val="none"/>
                <w:vertAlign w:val="baseline"/>
                <w:lang w:val="en-US" w:eastAsia="zh-CN"/>
              </w:rPr>
              <w:t>潢川县生态环境局执法大队</w:t>
            </w:r>
            <w:r>
              <w:rPr>
                <w:rFonts w:hint="default" w:ascii="Times New Roman" w:hAnsi="Times New Roman" w:cs="Times New Roman"/>
                <w:color w:val="auto"/>
                <w:sz w:val="18"/>
                <w:szCs w:val="18"/>
                <w:highlight w:val="none"/>
                <w:vertAlign w:val="baseline"/>
                <w:lang w:val="en-US" w:eastAsia="zh-CN"/>
              </w:rPr>
              <w:t>。</w:t>
            </w:r>
          </w:p>
          <w:p w14:paraId="6964C5F6">
            <w:pPr>
              <w:spacing w:line="240" w:lineRule="auto"/>
              <w:ind w:firstLine="360" w:firstLineChars="200"/>
              <w:jc w:val="left"/>
              <w:rPr>
                <w:rFonts w:hint="default" w:ascii="Times New Roman" w:hAnsi="Times New Roman" w:cs="Times New Roman"/>
                <w:color w:val="auto"/>
                <w:sz w:val="18"/>
                <w:szCs w:val="18"/>
                <w:highlight w:val="none"/>
                <w:vertAlign w:val="baseline"/>
                <w:lang w:val="en-US" w:eastAsia="zh-CN"/>
              </w:rPr>
            </w:pPr>
            <w:r>
              <w:rPr>
                <w:rFonts w:hint="default" w:ascii="Times New Roman" w:hAnsi="Times New Roman" w:cs="Times New Roman"/>
                <w:color w:val="auto"/>
                <w:sz w:val="18"/>
                <w:szCs w:val="18"/>
                <w:highlight w:val="none"/>
                <w:vertAlign w:val="baseline"/>
                <w:lang w:val="en-US" w:eastAsia="zh-CN"/>
              </w:rPr>
              <w:t>六、本批复有效期为5年。如项目逾期方开工建设，其环境影响报告表应报我局重新审核；如项目建设发生重大变动，应重新进行环境影响评价。</w:t>
            </w:r>
          </w:p>
          <w:p w14:paraId="487FB2FA">
            <w:pPr>
              <w:spacing w:line="240" w:lineRule="auto"/>
              <w:jc w:val="left"/>
              <w:rPr>
                <w:rFonts w:hint="default" w:ascii="Times New Roman" w:hAnsi="Times New Roman" w:cs="Times New Roman"/>
                <w:color w:val="auto"/>
                <w:sz w:val="18"/>
                <w:szCs w:val="18"/>
                <w:highlight w:val="none"/>
                <w:vertAlign w:val="baseline"/>
                <w:lang w:val="en-US" w:eastAsia="zh-CN"/>
              </w:rPr>
            </w:pPr>
          </w:p>
          <w:p w14:paraId="4A26DA60">
            <w:pPr>
              <w:spacing w:line="360" w:lineRule="auto"/>
              <w:rPr>
                <w:color w:val="auto"/>
                <w:sz w:val="24"/>
                <w:szCs w:val="24"/>
                <w:vertAlign w:val="baseline"/>
              </w:rPr>
            </w:pPr>
          </w:p>
        </w:tc>
      </w:tr>
    </w:tbl>
    <w:p w14:paraId="1632F2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8688F"/>
    <w:rsid w:val="04FC403D"/>
    <w:rsid w:val="05042F43"/>
    <w:rsid w:val="059F0E35"/>
    <w:rsid w:val="072D2F81"/>
    <w:rsid w:val="08F94E10"/>
    <w:rsid w:val="0BC45DA4"/>
    <w:rsid w:val="0FDD306A"/>
    <w:rsid w:val="10A5627E"/>
    <w:rsid w:val="13313587"/>
    <w:rsid w:val="15087DCB"/>
    <w:rsid w:val="18F71A99"/>
    <w:rsid w:val="1B5776CB"/>
    <w:rsid w:val="1B8F5B60"/>
    <w:rsid w:val="1D083E1C"/>
    <w:rsid w:val="1D0F7C22"/>
    <w:rsid w:val="207955A4"/>
    <w:rsid w:val="243E45C7"/>
    <w:rsid w:val="26531F45"/>
    <w:rsid w:val="294C324E"/>
    <w:rsid w:val="2CE57A6F"/>
    <w:rsid w:val="2F401D2E"/>
    <w:rsid w:val="30393E95"/>
    <w:rsid w:val="35901643"/>
    <w:rsid w:val="379E46A2"/>
    <w:rsid w:val="39000D95"/>
    <w:rsid w:val="3B76056E"/>
    <w:rsid w:val="3D673DEF"/>
    <w:rsid w:val="3E1D783A"/>
    <w:rsid w:val="3E9450B8"/>
    <w:rsid w:val="40E07B10"/>
    <w:rsid w:val="45DB5C19"/>
    <w:rsid w:val="46DF533E"/>
    <w:rsid w:val="486A605E"/>
    <w:rsid w:val="48D1085C"/>
    <w:rsid w:val="4A7F129C"/>
    <w:rsid w:val="4B0B7A48"/>
    <w:rsid w:val="4DD7772A"/>
    <w:rsid w:val="514C6D74"/>
    <w:rsid w:val="51F54D7D"/>
    <w:rsid w:val="548701FD"/>
    <w:rsid w:val="553D1314"/>
    <w:rsid w:val="553D4F3A"/>
    <w:rsid w:val="578B0C21"/>
    <w:rsid w:val="57FF7554"/>
    <w:rsid w:val="58BA3515"/>
    <w:rsid w:val="5C9B5E0D"/>
    <w:rsid w:val="62CA141F"/>
    <w:rsid w:val="63A36020"/>
    <w:rsid w:val="652C12F7"/>
    <w:rsid w:val="670463F2"/>
    <w:rsid w:val="6AF733AE"/>
    <w:rsid w:val="6BB97815"/>
    <w:rsid w:val="6D8F68C7"/>
    <w:rsid w:val="6FAA5B0E"/>
    <w:rsid w:val="6FD11D78"/>
    <w:rsid w:val="73DC213A"/>
    <w:rsid w:val="76624793"/>
    <w:rsid w:val="777F3433"/>
    <w:rsid w:val="77F71C38"/>
    <w:rsid w:val="789074FF"/>
    <w:rsid w:val="796763D4"/>
    <w:rsid w:val="7CF20C20"/>
    <w:rsid w:val="7F670FF7"/>
    <w:rsid w:val="7FC93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pacing w:line="560" w:lineRule="exact"/>
      <w:outlineLvl w:val="0"/>
    </w:pPr>
    <w:rPr>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spacing w:line="520" w:lineRule="atLeast"/>
      <w:ind w:firstLine="420" w:firstLineChars="200"/>
      <w:jc w:val="both"/>
    </w:pPr>
    <w:rPr>
      <w:rFonts w:ascii="Times New Roman" w:hAnsi="Times New Roman" w:eastAsia="宋体" w:cs="Times New Roman"/>
      <w:kern w:val="2"/>
      <w:sz w:val="24"/>
      <w:szCs w:val="24"/>
      <w:lang w:val="en-US" w:eastAsia="zh-CN" w:bidi="ar-SA"/>
    </w:rPr>
  </w:style>
  <w:style w:type="paragraph" w:styleId="4">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1886</Words>
  <Characters>2032</Characters>
  <Lines>0</Lines>
  <Paragraphs>0</Paragraphs>
  <TotalTime>1</TotalTime>
  <ScaleCrop>false</ScaleCrop>
  <LinksUpToDate>false</LinksUpToDate>
  <CharactersWithSpaces>2033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2024-07-09T08:06:00Z</dcterms:created>
  <dc:creator>DELL</dc:creator>
  <cp:lastModifiedBy>执子之手</cp:lastModifiedBy>
  <cp:lastPrinted>2025-11-17T03:04:00Z</cp:lastPrinted>
  <dcterms:modified xsi:type="dcterms:W3CDTF">2026-04-22T00:22:01Z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C645195A0B0B4F4CA7E3D6E8BBC51492_13</vt:lpwstr>
  </property>
  <property fmtid="{D5CDD505-2E9C-101B-9397-08002B2CF9AE}" pid="4" name="KSOTemplateDocerSaveRecord">
    <vt:lpwstr>eyJoZGlkIjoiZjdlNDI0YzUzNDhhYWJhZjE5OGZkZjhhOGYwNjYzMjAiLCJ1c2VySWQiOiIxMTI4NTkzNDgzIn0=</vt:lpwstr>
  </property>
</Properties>
</file>