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BB2F5D">
      <w:pPr>
        <w:numPr>
          <w:ilvl w:val="0"/>
          <w:numId w:val="0"/>
        </w:numPr>
        <w:jc w:val="center"/>
        <w:rPr>
          <w:rFonts w:hint="eastAsia" w:ascii="仿宋" w:hAnsi="仿宋" w:eastAsia="仿宋" w:cs="仿宋"/>
          <w:b/>
          <w:bCs/>
          <w:sz w:val="36"/>
          <w:szCs w:val="36"/>
          <w:vertAlign w:val="baseline"/>
          <w:lang w:eastAsia="zh-CN"/>
        </w:rPr>
      </w:pPr>
      <w:r>
        <w:rPr>
          <w:rFonts w:hint="eastAsia" w:ascii="仿宋" w:hAnsi="仿宋" w:eastAsia="仿宋" w:cs="仿宋"/>
          <w:b/>
          <w:bCs/>
          <w:sz w:val="36"/>
          <w:szCs w:val="36"/>
          <w:vertAlign w:val="baseline"/>
          <w:lang w:val="en-US" w:eastAsia="zh-CN"/>
        </w:rPr>
        <w:t>林州市水利局</w:t>
      </w:r>
      <w:r>
        <w:rPr>
          <w:rFonts w:hint="eastAsia" w:ascii="仿宋" w:hAnsi="仿宋" w:eastAsia="仿宋" w:cs="仿宋"/>
          <w:b/>
          <w:bCs/>
          <w:sz w:val="36"/>
          <w:szCs w:val="36"/>
          <w:vertAlign w:val="baseline"/>
          <w:lang w:eastAsia="zh-CN"/>
        </w:rPr>
        <w:t>遴选代理机构</w:t>
      </w:r>
      <w:r>
        <w:rPr>
          <w:rFonts w:hint="eastAsia" w:ascii="仿宋" w:hAnsi="仿宋" w:eastAsia="仿宋" w:cs="仿宋"/>
          <w:b/>
          <w:bCs/>
          <w:sz w:val="36"/>
          <w:szCs w:val="36"/>
          <w:vertAlign w:val="baseline"/>
          <w:lang w:val="en-US" w:eastAsia="zh-CN"/>
        </w:rPr>
        <w:t>入库</w:t>
      </w:r>
      <w:r>
        <w:rPr>
          <w:rFonts w:hint="eastAsia" w:ascii="仿宋" w:hAnsi="仿宋" w:eastAsia="仿宋" w:cs="仿宋"/>
          <w:b/>
          <w:bCs/>
          <w:sz w:val="36"/>
          <w:szCs w:val="36"/>
          <w:vertAlign w:val="baseline"/>
          <w:lang w:eastAsia="zh-CN"/>
        </w:rPr>
        <w:t>评分标准</w:t>
      </w:r>
    </w:p>
    <w:p w14:paraId="749BE62F">
      <w:pPr>
        <w:numPr>
          <w:ilvl w:val="0"/>
          <w:numId w:val="0"/>
        </w:numPr>
        <w:jc w:val="center"/>
        <w:rPr>
          <w:rFonts w:hint="eastAsia" w:ascii="仿宋" w:hAnsi="仿宋" w:eastAsia="仿宋" w:cs="仿宋"/>
          <w:b/>
          <w:bCs/>
          <w:sz w:val="36"/>
          <w:szCs w:val="36"/>
          <w:vertAlign w:val="baseline"/>
          <w:lang w:eastAsia="zh-CN"/>
        </w:rPr>
      </w:pPr>
      <w:r>
        <w:rPr>
          <w:rFonts w:hint="eastAsia" w:ascii="仿宋" w:hAnsi="仿宋" w:eastAsia="仿宋" w:cs="仿宋"/>
          <w:b/>
          <w:bCs/>
          <w:sz w:val="36"/>
          <w:szCs w:val="36"/>
          <w:vertAlign w:val="baseline"/>
          <w:lang w:eastAsia="zh-CN"/>
        </w:rPr>
        <w:t>（</w:t>
      </w:r>
      <w:r>
        <w:rPr>
          <w:rFonts w:hint="eastAsia" w:ascii="仿宋" w:hAnsi="仿宋" w:eastAsia="仿宋" w:cs="仿宋"/>
          <w:b/>
          <w:bCs/>
          <w:sz w:val="36"/>
          <w:szCs w:val="36"/>
          <w:vertAlign w:val="baseline"/>
          <w:lang w:val="en-US" w:eastAsia="zh-CN"/>
        </w:rPr>
        <w:t>2026年5月8日</w:t>
      </w:r>
      <w:r>
        <w:rPr>
          <w:rFonts w:hint="eastAsia" w:ascii="仿宋" w:hAnsi="仿宋" w:eastAsia="仿宋" w:cs="仿宋"/>
          <w:b/>
          <w:bCs/>
          <w:sz w:val="36"/>
          <w:szCs w:val="36"/>
          <w:vertAlign w:val="baseline"/>
          <w:lang w:eastAsia="zh-CN"/>
        </w:rPr>
        <w:t>）</w:t>
      </w:r>
    </w:p>
    <w:p w14:paraId="0DC82200">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vertAlign w:val="baseline"/>
          <w:lang w:eastAsia="zh-CN"/>
        </w:rPr>
      </w:pPr>
      <w:r>
        <w:rPr>
          <w:rFonts w:hint="eastAsia" w:ascii="仿宋" w:hAnsi="仿宋" w:eastAsia="仿宋" w:cs="仿宋"/>
          <w:b w:val="0"/>
          <w:bCs w:val="0"/>
          <w:sz w:val="32"/>
          <w:szCs w:val="32"/>
          <w:vertAlign w:val="baseline"/>
          <w:lang w:eastAsia="zh-CN"/>
        </w:rPr>
        <w:t>资格评审符合性评审：</w:t>
      </w:r>
    </w:p>
    <w:p w14:paraId="3A1DC891">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vertAlign w:val="baseline"/>
          <w:lang w:eastAsia="zh-CN"/>
        </w:rPr>
      </w:pPr>
      <w:r>
        <w:rPr>
          <w:rFonts w:hint="eastAsia" w:ascii="仿宋" w:hAnsi="仿宋" w:eastAsia="仿宋" w:cs="仿宋"/>
          <w:b w:val="0"/>
          <w:bCs w:val="0"/>
          <w:sz w:val="32"/>
          <w:szCs w:val="32"/>
          <w:vertAlign w:val="baseline"/>
          <w:lang w:eastAsia="zh-CN"/>
        </w:rPr>
        <w:t>1、具有企业法人资格，具有从事本项目经营范围，有能力提供招标代理服务【提供有效的营业执照副本（要求清晰反映经营范围）、税务登记证副本、组织机构代码证副本复印件，若为“三证合一”注册的公司只需提供营业执照原件复印件】；</w:t>
      </w:r>
    </w:p>
    <w:p w14:paraId="64F202E0">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vertAlign w:val="baseline"/>
          <w:lang w:eastAsia="zh-CN"/>
        </w:rPr>
      </w:pPr>
      <w:r>
        <w:rPr>
          <w:rFonts w:hint="eastAsia" w:ascii="仿宋" w:hAnsi="仿宋" w:eastAsia="仿宋" w:cs="仿宋"/>
          <w:b w:val="0"/>
          <w:bCs w:val="0"/>
          <w:sz w:val="32"/>
          <w:szCs w:val="32"/>
          <w:vertAlign w:val="baseline"/>
          <w:lang w:eastAsia="zh-CN"/>
        </w:rPr>
        <w:t>2、提供在林州市公共资源交易中心注册登记的截图复印件；</w:t>
      </w:r>
    </w:p>
    <w:p w14:paraId="50C0A478">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vertAlign w:val="baseline"/>
          <w:lang w:eastAsia="zh-CN"/>
        </w:rPr>
      </w:pPr>
      <w:r>
        <w:rPr>
          <w:rFonts w:hint="eastAsia" w:ascii="仿宋" w:hAnsi="仿宋" w:eastAsia="仿宋" w:cs="仿宋"/>
          <w:b w:val="0"/>
          <w:bCs w:val="0"/>
          <w:sz w:val="32"/>
          <w:szCs w:val="32"/>
          <w:vertAlign w:val="baseline"/>
          <w:lang w:eastAsia="zh-CN"/>
        </w:rPr>
        <w:t>3、具有健全的财务会计制度（提供2023年度以来任一</w:t>
      </w:r>
    </w:p>
    <w:p w14:paraId="7E695E08">
      <w:pPr>
        <w:numPr>
          <w:ilvl w:val="0"/>
          <w:numId w:val="0"/>
        </w:numPr>
        <w:rPr>
          <w:rFonts w:hint="eastAsia" w:ascii="仿宋" w:hAnsi="仿宋" w:eastAsia="仿宋" w:cs="仿宋"/>
          <w:b w:val="0"/>
          <w:bCs w:val="0"/>
          <w:sz w:val="32"/>
          <w:szCs w:val="32"/>
          <w:vertAlign w:val="baseline"/>
          <w:lang w:eastAsia="zh-CN"/>
        </w:rPr>
      </w:pPr>
      <w:r>
        <w:rPr>
          <w:rFonts w:hint="eastAsia" w:ascii="仿宋" w:hAnsi="仿宋" w:eastAsia="仿宋" w:cs="仿宋"/>
          <w:b w:val="0"/>
          <w:bCs w:val="0"/>
          <w:sz w:val="32"/>
          <w:szCs w:val="32"/>
          <w:vertAlign w:val="baseline"/>
          <w:lang w:eastAsia="zh-CN"/>
        </w:rPr>
        <w:t>年度经会计师事务所审核出具的财务审计报告或近三个月基本户银行出具的资信证明）；</w:t>
      </w:r>
    </w:p>
    <w:p w14:paraId="45DAA7C9">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vertAlign w:val="baseline"/>
          <w:lang w:eastAsia="zh-CN"/>
        </w:rPr>
      </w:pPr>
      <w:r>
        <w:rPr>
          <w:rFonts w:hint="eastAsia" w:ascii="仿宋" w:hAnsi="仿宋" w:eastAsia="仿宋" w:cs="仿宋"/>
          <w:b w:val="0"/>
          <w:bCs w:val="0"/>
          <w:sz w:val="32"/>
          <w:szCs w:val="32"/>
          <w:vertAlign w:val="baseline"/>
          <w:lang w:eastAsia="zh-CN"/>
        </w:rPr>
        <w:t>4、具有依法缴纳税收和社会保障资金的有效证明（提</w:t>
      </w:r>
    </w:p>
    <w:p w14:paraId="19126C7B">
      <w:pPr>
        <w:numPr>
          <w:ilvl w:val="0"/>
          <w:numId w:val="0"/>
        </w:numPr>
        <w:rPr>
          <w:rFonts w:hint="eastAsia" w:ascii="仿宋" w:hAnsi="仿宋" w:eastAsia="仿宋" w:cs="仿宋"/>
          <w:b w:val="0"/>
          <w:bCs w:val="0"/>
          <w:sz w:val="32"/>
          <w:szCs w:val="32"/>
          <w:vertAlign w:val="baseline"/>
          <w:lang w:eastAsia="zh-CN"/>
        </w:rPr>
      </w:pPr>
      <w:r>
        <w:rPr>
          <w:rFonts w:hint="eastAsia" w:ascii="仿宋" w:hAnsi="仿宋" w:eastAsia="仿宋" w:cs="仿宋"/>
          <w:b w:val="0"/>
          <w:bCs w:val="0"/>
          <w:sz w:val="32"/>
          <w:szCs w:val="32"/>
          <w:vertAlign w:val="baseline"/>
          <w:lang w:eastAsia="zh-CN"/>
        </w:rPr>
        <w:t>供提交资料前十二个月以来任一个月缴纳税款的银行凭证和缴纳社会保障资金的银行凭证等，若为零报税企业须提供加盖遴选单位公章的自证说明材料）；</w:t>
      </w:r>
    </w:p>
    <w:p w14:paraId="0BEC4EC0">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vertAlign w:val="baseline"/>
          <w:lang w:eastAsia="zh-CN"/>
        </w:rPr>
      </w:pPr>
      <w:r>
        <w:rPr>
          <w:rFonts w:hint="eastAsia" w:ascii="仿宋" w:hAnsi="仿宋" w:eastAsia="仿宋" w:cs="仿宋"/>
          <w:b w:val="0"/>
          <w:bCs w:val="0"/>
          <w:sz w:val="32"/>
          <w:szCs w:val="32"/>
          <w:vertAlign w:val="baseline"/>
          <w:lang w:eastAsia="zh-CN"/>
        </w:rPr>
        <w:t>5、具有良好商业信誉，近三年内在经营活动中没有重</w:t>
      </w:r>
    </w:p>
    <w:p w14:paraId="40124BDE">
      <w:pPr>
        <w:numPr>
          <w:ilvl w:val="0"/>
          <w:numId w:val="0"/>
        </w:numPr>
        <w:rPr>
          <w:rFonts w:hint="eastAsia" w:ascii="仿宋" w:hAnsi="仿宋" w:eastAsia="仿宋" w:cs="仿宋"/>
          <w:b w:val="0"/>
          <w:bCs w:val="0"/>
          <w:sz w:val="32"/>
          <w:szCs w:val="32"/>
          <w:vertAlign w:val="baseline"/>
          <w:lang w:eastAsia="zh-CN"/>
        </w:rPr>
      </w:pPr>
      <w:r>
        <w:rPr>
          <w:rFonts w:hint="eastAsia" w:ascii="仿宋" w:hAnsi="仿宋" w:eastAsia="仿宋" w:cs="仿宋"/>
          <w:b w:val="0"/>
          <w:bCs w:val="0"/>
          <w:sz w:val="32"/>
          <w:szCs w:val="32"/>
          <w:vertAlign w:val="baseline"/>
          <w:lang w:eastAsia="zh-CN"/>
        </w:rPr>
        <w:t>大违法违纪记录（提供遴选人递交资料前一周内在“信用中国”及“中国政府采购网”网站的查询截图）；</w:t>
      </w:r>
    </w:p>
    <w:p w14:paraId="38A04818">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vertAlign w:val="baseline"/>
          <w:lang w:eastAsia="zh-CN"/>
        </w:rPr>
      </w:pPr>
      <w:r>
        <w:rPr>
          <w:rFonts w:hint="eastAsia" w:ascii="仿宋" w:hAnsi="仿宋" w:eastAsia="仿宋" w:cs="仿宋"/>
          <w:b w:val="0"/>
          <w:bCs w:val="0"/>
          <w:sz w:val="32"/>
          <w:szCs w:val="32"/>
          <w:vertAlign w:val="baseline"/>
          <w:lang w:eastAsia="zh-CN"/>
        </w:rPr>
        <w:t>6、不接受两个或两个以上社会采购代理机构以联合体</w:t>
      </w:r>
    </w:p>
    <w:p w14:paraId="5871349D">
      <w:pPr>
        <w:numPr>
          <w:ilvl w:val="0"/>
          <w:numId w:val="0"/>
        </w:numPr>
        <w:rPr>
          <w:rFonts w:hint="eastAsia" w:ascii="仿宋" w:hAnsi="仿宋" w:eastAsia="仿宋" w:cs="仿宋"/>
          <w:b w:val="0"/>
          <w:bCs w:val="0"/>
          <w:sz w:val="32"/>
          <w:szCs w:val="32"/>
          <w:vertAlign w:val="baseline"/>
          <w:lang w:eastAsia="zh-CN"/>
        </w:rPr>
      </w:pPr>
      <w:r>
        <w:rPr>
          <w:rFonts w:hint="eastAsia" w:ascii="仿宋" w:hAnsi="仿宋" w:eastAsia="仿宋" w:cs="仿宋"/>
          <w:b w:val="0"/>
          <w:bCs w:val="0"/>
          <w:sz w:val="32"/>
          <w:szCs w:val="32"/>
          <w:vertAlign w:val="baseline"/>
          <w:lang w:eastAsia="zh-CN"/>
        </w:rPr>
        <w:t>方式参加遴选。</w:t>
      </w:r>
    </w:p>
    <w:p w14:paraId="29E5F962">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vertAlign w:val="baseline"/>
          <w:lang w:eastAsia="zh-CN"/>
        </w:rPr>
      </w:pPr>
      <w:r>
        <w:rPr>
          <w:rFonts w:hint="eastAsia" w:ascii="仿宋" w:hAnsi="仿宋" w:eastAsia="仿宋" w:cs="仿宋"/>
          <w:b w:val="0"/>
          <w:bCs w:val="0"/>
          <w:sz w:val="32"/>
          <w:szCs w:val="32"/>
          <w:vertAlign w:val="baseline"/>
          <w:lang w:eastAsia="zh-CN"/>
        </w:rPr>
        <w:t>采用综合评分法选择招标代理机构。</w:t>
      </w:r>
    </w:p>
    <w:p w14:paraId="3368057A">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vertAlign w:val="baseline"/>
          <w:lang w:eastAsia="zh-CN"/>
        </w:rPr>
      </w:pPr>
    </w:p>
    <w:p w14:paraId="446814EA">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 w:hAnsi="仿宋" w:eastAsia="仿宋" w:cs="仿宋"/>
          <w:b w:val="0"/>
          <w:bCs w:val="0"/>
          <w:sz w:val="32"/>
          <w:szCs w:val="32"/>
          <w:vertAlign w:val="baseline"/>
          <w:lang w:eastAsia="zh-CN"/>
        </w:rPr>
      </w:pPr>
      <w:r>
        <w:rPr>
          <w:rFonts w:hint="eastAsia" w:ascii="仿宋" w:hAnsi="仿宋" w:eastAsia="仿宋" w:cs="仿宋"/>
          <w:b w:val="0"/>
          <w:bCs w:val="0"/>
          <w:sz w:val="32"/>
          <w:szCs w:val="32"/>
          <w:vertAlign w:val="baseline"/>
          <w:lang w:eastAsia="zh-CN"/>
        </w:rPr>
        <w:t>二、细则项目及分值细则：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4"/>
        <w:gridCol w:w="690"/>
        <w:gridCol w:w="6745"/>
      </w:tblGrid>
      <w:tr w14:paraId="006D6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194" w:type="dxa"/>
            <w:vAlign w:val="center"/>
          </w:tcPr>
          <w:p w14:paraId="72CB23DA">
            <w:pPr>
              <w:jc w:val="center"/>
              <w:rPr>
                <w:rFonts w:hint="eastAsia" w:eastAsiaTheme="minorEastAsia"/>
                <w:b/>
                <w:bCs/>
                <w:sz w:val="18"/>
                <w:szCs w:val="18"/>
                <w:vertAlign w:val="baseline"/>
                <w:lang w:eastAsia="zh-CN"/>
              </w:rPr>
            </w:pPr>
            <w:r>
              <w:rPr>
                <w:rFonts w:hint="eastAsia"/>
                <w:b/>
                <w:bCs/>
                <w:sz w:val="18"/>
                <w:szCs w:val="18"/>
                <w:vertAlign w:val="baseline"/>
                <w:lang w:eastAsia="zh-CN"/>
              </w:rPr>
              <w:t>评分项目</w:t>
            </w:r>
          </w:p>
        </w:tc>
        <w:tc>
          <w:tcPr>
            <w:tcW w:w="690" w:type="dxa"/>
            <w:vAlign w:val="center"/>
          </w:tcPr>
          <w:p w14:paraId="71357A6E">
            <w:pPr>
              <w:jc w:val="center"/>
              <w:rPr>
                <w:rFonts w:hint="eastAsia" w:eastAsiaTheme="minorEastAsia"/>
                <w:b/>
                <w:bCs/>
                <w:sz w:val="18"/>
                <w:szCs w:val="18"/>
                <w:vertAlign w:val="baseline"/>
                <w:lang w:eastAsia="zh-CN"/>
              </w:rPr>
            </w:pPr>
            <w:r>
              <w:rPr>
                <w:rFonts w:hint="eastAsia"/>
                <w:b/>
                <w:bCs/>
                <w:sz w:val="18"/>
                <w:szCs w:val="18"/>
                <w:vertAlign w:val="baseline"/>
                <w:lang w:eastAsia="zh-CN"/>
              </w:rPr>
              <w:t>分值</w:t>
            </w:r>
          </w:p>
        </w:tc>
        <w:tc>
          <w:tcPr>
            <w:tcW w:w="6745" w:type="dxa"/>
            <w:vAlign w:val="center"/>
          </w:tcPr>
          <w:p w14:paraId="737094F1">
            <w:pPr>
              <w:jc w:val="center"/>
              <w:rPr>
                <w:rFonts w:hint="eastAsia" w:eastAsiaTheme="minorEastAsia"/>
                <w:b/>
                <w:bCs/>
                <w:sz w:val="18"/>
                <w:szCs w:val="18"/>
                <w:vertAlign w:val="baseline"/>
                <w:lang w:eastAsia="zh-CN"/>
              </w:rPr>
            </w:pPr>
            <w:r>
              <w:rPr>
                <w:rFonts w:hint="eastAsia"/>
                <w:b/>
                <w:bCs/>
                <w:sz w:val="18"/>
                <w:szCs w:val="18"/>
                <w:vertAlign w:val="baseline"/>
                <w:lang w:eastAsia="zh-CN"/>
              </w:rPr>
              <w:t>评分细则</w:t>
            </w:r>
          </w:p>
        </w:tc>
      </w:tr>
      <w:tr w14:paraId="09FAE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4" w:hRule="atLeast"/>
        </w:trPr>
        <w:tc>
          <w:tcPr>
            <w:tcW w:w="1194" w:type="dxa"/>
            <w:vAlign w:val="center"/>
          </w:tcPr>
          <w:p w14:paraId="3E638623">
            <w:pPr>
              <w:jc w:val="center"/>
              <w:rPr>
                <w:rFonts w:hint="eastAsia" w:eastAsiaTheme="minorEastAsia"/>
                <w:b/>
                <w:bCs/>
                <w:sz w:val="18"/>
                <w:szCs w:val="18"/>
                <w:vertAlign w:val="baseline"/>
                <w:lang w:eastAsia="zh-CN"/>
              </w:rPr>
            </w:pPr>
            <w:r>
              <w:rPr>
                <w:rFonts w:hint="eastAsia"/>
                <w:b/>
                <w:bCs/>
                <w:sz w:val="18"/>
                <w:szCs w:val="18"/>
                <w:vertAlign w:val="baseline"/>
                <w:lang w:eastAsia="zh-CN"/>
              </w:rPr>
              <w:t>办公场所</w:t>
            </w:r>
          </w:p>
        </w:tc>
        <w:tc>
          <w:tcPr>
            <w:tcW w:w="690" w:type="dxa"/>
            <w:vAlign w:val="center"/>
          </w:tcPr>
          <w:p w14:paraId="01304EC1">
            <w:pPr>
              <w:jc w:val="center"/>
              <w:rPr>
                <w:rFonts w:hint="default" w:eastAsiaTheme="minorEastAsia"/>
                <w:vertAlign w:val="baseline"/>
                <w:lang w:val="en-US" w:eastAsia="zh-CN"/>
              </w:rPr>
            </w:pPr>
            <w:r>
              <w:rPr>
                <w:rFonts w:hint="eastAsia"/>
                <w:vertAlign w:val="baseline"/>
                <w:lang w:val="en-US" w:eastAsia="zh-CN"/>
              </w:rPr>
              <w:t>15</w:t>
            </w:r>
          </w:p>
        </w:tc>
        <w:tc>
          <w:tcPr>
            <w:tcW w:w="6745" w:type="dxa"/>
            <w:vAlign w:val="center"/>
          </w:tcPr>
          <w:p w14:paraId="1088F387">
            <w:pPr>
              <w:jc w:val="left"/>
              <w:rPr>
                <w:rFonts w:hint="eastAsia" w:cstheme="minorHAnsi"/>
                <w:sz w:val="18"/>
                <w:szCs w:val="18"/>
                <w:vertAlign w:val="baseline"/>
                <w:lang w:val="en-US" w:eastAsia="zh-CN"/>
              </w:rPr>
            </w:pPr>
            <w:r>
              <w:rPr>
                <w:rFonts w:hint="eastAsia" w:cstheme="minorHAnsi"/>
                <w:sz w:val="18"/>
                <w:szCs w:val="18"/>
                <w:vertAlign w:val="baseline"/>
                <w:lang w:val="en-US" w:eastAsia="zh-CN"/>
              </w:rPr>
              <w:t>具有固定办公场所且场所内有合格的开评标场地及相应的设施设备：</w:t>
            </w:r>
          </w:p>
          <w:p w14:paraId="2B9F0E04">
            <w:pPr>
              <w:jc w:val="left"/>
              <w:rPr>
                <w:rFonts w:hint="eastAsia" w:cstheme="minorHAnsi"/>
                <w:sz w:val="18"/>
                <w:szCs w:val="18"/>
                <w:vertAlign w:val="baseline"/>
                <w:lang w:val="en-US" w:eastAsia="zh-CN"/>
              </w:rPr>
            </w:pPr>
            <w:r>
              <w:rPr>
                <w:rFonts w:hint="eastAsia" w:cstheme="minorHAnsi"/>
                <w:sz w:val="18"/>
                <w:szCs w:val="18"/>
                <w:vertAlign w:val="baseline"/>
                <w:lang w:val="en-US" w:eastAsia="zh-CN"/>
              </w:rPr>
              <w:t>①独立开标室2个（含）以上得5分，2个以下得2分，没有则不得分（需提供相关照片进行作证）；②评标室3个（含）以上得5分，3个以下得2分（需提供相关照片进行作证）；③具有专家独立通道得1分（需提供相关照片进行作证）；④应具备满足办公的各类办公设施设备：包含但不限于电脑，投影仪，打印机，饮水机等，完全满足得1分，每有一项不满足不得分（需提供相关照片进行作证）；⑤公司场地面积大于300㎡以上的得3分，低于300㎡的得1分，低于100㎡的不得分（提供产权证明或租房协议及办公场所图片）。</w:t>
            </w:r>
          </w:p>
          <w:p w14:paraId="06263F9F">
            <w:pPr>
              <w:jc w:val="left"/>
              <w:rPr>
                <w:rFonts w:hint="default" w:cstheme="minorHAnsi"/>
                <w:vertAlign w:val="baseline"/>
                <w:lang w:val="en-US" w:eastAsia="zh-CN"/>
              </w:rPr>
            </w:pPr>
            <w:r>
              <w:rPr>
                <w:rFonts w:hint="eastAsia" w:cstheme="minorHAnsi"/>
                <w:sz w:val="18"/>
                <w:szCs w:val="18"/>
                <w:vertAlign w:val="baseline"/>
                <w:lang w:val="en-US" w:eastAsia="zh-CN"/>
              </w:rPr>
              <w:t>注：以上提供的相关照片须真实有效，在中选后招标人有权到中选公司进行现场查勘，如与照片不符，则取消中选资格。</w:t>
            </w:r>
          </w:p>
        </w:tc>
      </w:tr>
      <w:tr w14:paraId="3EFFA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7" w:hRule="atLeast"/>
        </w:trPr>
        <w:tc>
          <w:tcPr>
            <w:tcW w:w="1194" w:type="dxa"/>
            <w:vAlign w:val="center"/>
          </w:tcPr>
          <w:p w14:paraId="537FF718">
            <w:pPr>
              <w:jc w:val="center"/>
              <w:rPr>
                <w:rFonts w:hint="eastAsia"/>
                <w:b/>
                <w:bCs/>
                <w:sz w:val="18"/>
                <w:szCs w:val="18"/>
                <w:vertAlign w:val="baseline"/>
                <w:lang w:eastAsia="zh-CN"/>
              </w:rPr>
            </w:pPr>
            <w:r>
              <w:rPr>
                <w:rFonts w:hint="eastAsia"/>
                <w:b/>
                <w:bCs/>
                <w:sz w:val="18"/>
                <w:szCs w:val="18"/>
                <w:vertAlign w:val="baseline"/>
                <w:lang w:eastAsia="zh-CN"/>
              </w:rPr>
              <w:t>业绩情况</w:t>
            </w:r>
          </w:p>
          <w:p w14:paraId="084067A2">
            <w:pPr>
              <w:jc w:val="center"/>
              <w:rPr>
                <w:rFonts w:hint="default"/>
                <w:b/>
                <w:bCs/>
                <w:sz w:val="18"/>
                <w:szCs w:val="18"/>
                <w:vertAlign w:val="baseline"/>
                <w:lang w:val="en-US" w:eastAsia="zh-CN"/>
              </w:rPr>
            </w:pPr>
          </w:p>
        </w:tc>
        <w:tc>
          <w:tcPr>
            <w:tcW w:w="690" w:type="dxa"/>
            <w:vAlign w:val="center"/>
          </w:tcPr>
          <w:p w14:paraId="077079A4">
            <w:pPr>
              <w:jc w:val="center"/>
              <w:rPr>
                <w:rFonts w:hint="default" w:eastAsiaTheme="minorEastAsia"/>
                <w:vertAlign w:val="baseline"/>
                <w:lang w:val="en-US" w:eastAsia="zh-CN"/>
              </w:rPr>
            </w:pPr>
            <w:r>
              <w:rPr>
                <w:rFonts w:hint="eastAsia"/>
                <w:vertAlign w:val="baseline"/>
                <w:lang w:val="en-US" w:eastAsia="zh-CN"/>
              </w:rPr>
              <w:t>55</w:t>
            </w:r>
          </w:p>
        </w:tc>
        <w:tc>
          <w:tcPr>
            <w:tcW w:w="6745" w:type="dxa"/>
            <w:vAlign w:val="center"/>
          </w:tcPr>
          <w:p w14:paraId="28C9ACCB">
            <w:pPr>
              <w:keepNext w:val="0"/>
              <w:keepLines w:val="0"/>
              <w:pageBreakBefore w:val="0"/>
              <w:widowControl w:val="0"/>
              <w:kinsoku/>
              <w:wordWrap/>
              <w:overflowPunct/>
              <w:topLinePunct w:val="0"/>
              <w:autoSpaceDE/>
              <w:autoSpaceDN/>
              <w:bidi w:val="0"/>
              <w:adjustRightInd/>
              <w:snapToGrid/>
              <w:ind w:firstLine="360" w:firstLineChars="200"/>
              <w:jc w:val="left"/>
              <w:textAlignment w:val="auto"/>
              <w:rPr>
                <w:rFonts w:hint="eastAsia" w:cstheme="minorHAnsi"/>
                <w:sz w:val="18"/>
                <w:szCs w:val="18"/>
                <w:vertAlign w:val="baseline"/>
                <w:lang w:val="en-US" w:eastAsia="zh-CN"/>
              </w:rPr>
            </w:pPr>
            <w:r>
              <w:rPr>
                <w:rFonts w:hint="eastAsia" w:cstheme="minorHAnsi"/>
                <w:sz w:val="18"/>
                <w:szCs w:val="18"/>
                <w:vertAlign w:val="baseline"/>
                <w:lang w:val="en-US" w:eastAsia="zh-CN"/>
              </w:rPr>
              <w:t>分别提供申请人自2023年1月1日起的货物、服务、工程项目招标业绩（提供相关代理合同关键页）。</w:t>
            </w:r>
          </w:p>
          <w:p w14:paraId="1C8A34E2">
            <w:pPr>
              <w:jc w:val="left"/>
              <w:rPr>
                <w:rFonts w:hint="eastAsia" w:cstheme="minorHAnsi"/>
                <w:sz w:val="18"/>
                <w:szCs w:val="18"/>
                <w:vertAlign w:val="baseline"/>
                <w:lang w:val="en-US" w:eastAsia="zh-CN"/>
              </w:rPr>
            </w:pPr>
            <w:r>
              <w:rPr>
                <w:rFonts w:hint="eastAsia" w:cstheme="minorHAnsi"/>
                <w:sz w:val="18"/>
                <w:szCs w:val="18"/>
                <w:vertAlign w:val="baseline"/>
                <w:lang w:val="en-US" w:eastAsia="zh-CN"/>
              </w:rPr>
              <w:t>一、业绩（35分）：①工程类每提供1个项目预算400万以上的业绩得4分，每提供1个项目预算100万元至400万业绩得2分，每提供1个项目预算100万元以下业绩得1分，本项最高15分；②服务类每提供1个项目预算200万以上的业绩得4分，每提供1个项目预算30万元至200万的业绩得2分，每提供1个项目预算30万元以下业绩得2分，本项最高10分；③货物类每提供1个项目预算200万以上的业绩得4分，每提供1个项目预算30万元至200万的业绩得2分，每提供1个项目预算30万元以下业绩得2分，本项最高10分。</w:t>
            </w:r>
          </w:p>
          <w:p w14:paraId="232D6F07">
            <w:pPr>
              <w:jc w:val="left"/>
              <w:rPr>
                <w:rFonts w:hint="default" w:cstheme="minorHAnsi"/>
                <w:sz w:val="18"/>
                <w:szCs w:val="18"/>
                <w:vertAlign w:val="baseline"/>
                <w:lang w:val="en-US" w:eastAsia="zh-CN"/>
              </w:rPr>
            </w:pPr>
            <w:r>
              <w:rPr>
                <w:rFonts w:hint="eastAsia" w:cstheme="minorHAnsi"/>
                <w:sz w:val="18"/>
                <w:szCs w:val="18"/>
                <w:vertAlign w:val="baseline"/>
                <w:lang w:val="en-US" w:eastAsia="zh-CN"/>
              </w:rPr>
              <w:t>二、人员资质（20分）：①拟投入本单位项目的负责人具有高级技术职称的得5分，具有中级技术职称的得3分，本项满分5分。②代理机构员工取得与政府采购业务相关培训合格证书人数在5人的得10分（5人以下不得分），6-8人的得12分，超过8人，每增加1人加1分，本项最高15分。</w:t>
            </w:r>
          </w:p>
        </w:tc>
      </w:tr>
      <w:tr w14:paraId="5C2CA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6" w:hRule="atLeast"/>
        </w:trPr>
        <w:tc>
          <w:tcPr>
            <w:tcW w:w="1194" w:type="dxa"/>
            <w:vAlign w:val="center"/>
          </w:tcPr>
          <w:p w14:paraId="49051714">
            <w:pPr>
              <w:jc w:val="center"/>
              <w:rPr>
                <w:rFonts w:hint="eastAsia" w:eastAsiaTheme="minorEastAsia"/>
                <w:b/>
                <w:bCs/>
                <w:sz w:val="18"/>
                <w:szCs w:val="18"/>
                <w:vertAlign w:val="baseline"/>
                <w:lang w:eastAsia="zh-CN"/>
              </w:rPr>
            </w:pPr>
            <w:r>
              <w:rPr>
                <w:rFonts w:hint="eastAsia"/>
                <w:b/>
                <w:bCs/>
                <w:sz w:val="18"/>
                <w:szCs w:val="18"/>
                <w:vertAlign w:val="baseline"/>
                <w:lang w:eastAsia="zh-CN"/>
              </w:rPr>
              <w:t>机构内部管理制度</w:t>
            </w:r>
          </w:p>
        </w:tc>
        <w:tc>
          <w:tcPr>
            <w:tcW w:w="690" w:type="dxa"/>
            <w:vAlign w:val="center"/>
          </w:tcPr>
          <w:p w14:paraId="7833A4B6">
            <w:pPr>
              <w:jc w:val="center"/>
              <w:rPr>
                <w:rFonts w:hint="default" w:eastAsiaTheme="minorEastAsia"/>
                <w:vertAlign w:val="baseline"/>
                <w:lang w:val="en-US" w:eastAsia="zh-CN"/>
              </w:rPr>
            </w:pPr>
            <w:r>
              <w:rPr>
                <w:rFonts w:hint="eastAsia"/>
                <w:vertAlign w:val="baseline"/>
                <w:lang w:val="en-US" w:eastAsia="zh-CN"/>
              </w:rPr>
              <w:t>15</w:t>
            </w:r>
          </w:p>
        </w:tc>
        <w:tc>
          <w:tcPr>
            <w:tcW w:w="6745" w:type="dxa"/>
            <w:vAlign w:val="center"/>
          </w:tcPr>
          <w:p w14:paraId="0A4BF23D">
            <w:pPr>
              <w:jc w:val="left"/>
              <w:rPr>
                <w:rFonts w:hint="eastAsia" w:cstheme="minorHAnsi"/>
                <w:sz w:val="18"/>
                <w:szCs w:val="18"/>
                <w:vertAlign w:val="baseline"/>
                <w:lang w:val="en-US" w:eastAsia="zh-CN"/>
              </w:rPr>
            </w:pPr>
            <w:r>
              <w:rPr>
                <w:rFonts w:hint="eastAsia" w:cstheme="minorHAnsi"/>
                <w:sz w:val="18"/>
                <w:szCs w:val="18"/>
                <w:vertAlign w:val="baseline"/>
                <w:lang w:val="en-US" w:eastAsia="zh-CN"/>
              </w:rPr>
              <w:t>代理机构提供本机构内部的各项管理制度：</w:t>
            </w:r>
          </w:p>
          <w:p w14:paraId="796D7491">
            <w:pPr>
              <w:jc w:val="left"/>
              <w:rPr>
                <w:rFonts w:hint="eastAsia" w:cstheme="minorHAnsi"/>
                <w:sz w:val="18"/>
                <w:szCs w:val="18"/>
                <w:vertAlign w:val="baseline"/>
                <w:lang w:val="en-US" w:eastAsia="zh-CN"/>
              </w:rPr>
            </w:pPr>
            <w:r>
              <w:rPr>
                <w:rFonts w:hint="eastAsia" w:cstheme="minorHAnsi"/>
                <w:sz w:val="18"/>
                <w:szCs w:val="18"/>
                <w:vertAlign w:val="baseline"/>
                <w:lang w:val="en-US" w:eastAsia="zh-CN"/>
              </w:rPr>
              <w:t>①招标代理委托管理制度</w:t>
            </w:r>
          </w:p>
          <w:p w14:paraId="46BFD384">
            <w:pPr>
              <w:jc w:val="left"/>
              <w:rPr>
                <w:rFonts w:hint="eastAsia" w:cstheme="minorHAnsi"/>
                <w:sz w:val="18"/>
                <w:szCs w:val="18"/>
                <w:vertAlign w:val="baseline"/>
                <w:lang w:val="en-US" w:eastAsia="zh-CN"/>
              </w:rPr>
            </w:pPr>
            <w:r>
              <w:rPr>
                <w:rFonts w:hint="eastAsia" w:cstheme="minorHAnsi"/>
                <w:sz w:val="18"/>
                <w:szCs w:val="18"/>
                <w:vertAlign w:val="baseline"/>
                <w:lang w:val="en-US" w:eastAsia="zh-CN"/>
              </w:rPr>
              <w:t>②招标文件编制管理制度</w:t>
            </w:r>
          </w:p>
          <w:p w14:paraId="758ABB37">
            <w:pPr>
              <w:jc w:val="left"/>
              <w:rPr>
                <w:rFonts w:hint="eastAsia" w:cstheme="minorHAnsi"/>
                <w:sz w:val="18"/>
                <w:szCs w:val="18"/>
                <w:vertAlign w:val="baseline"/>
                <w:lang w:val="en-US" w:eastAsia="zh-CN"/>
              </w:rPr>
            </w:pPr>
            <w:r>
              <w:rPr>
                <w:rFonts w:hint="eastAsia" w:cstheme="minorHAnsi"/>
                <w:sz w:val="18"/>
                <w:szCs w:val="18"/>
                <w:vertAlign w:val="baseline"/>
                <w:lang w:val="en-US" w:eastAsia="zh-CN"/>
              </w:rPr>
              <w:t>③质疑答复管理制度</w:t>
            </w:r>
          </w:p>
          <w:p w14:paraId="0785165D">
            <w:pPr>
              <w:jc w:val="left"/>
              <w:rPr>
                <w:rFonts w:hint="eastAsia" w:cstheme="minorHAnsi"/>
                <w:sz w:val="18"/>
                <w:szCs w:val="18"/>
                <w:vertAlign w:val="baseline"/>
                <w:lang w:val="en-US" w:eastAsia="zh-CN"/>
              </w:rPr>
            </w:pPr>
            <w:r>
              <w:rPr>
                <w:rFonts w:hint="eastAsia" w:cstheme="minorHAnsi"/>
                <w:sz w:val="18"/>
                <w:szCs w:val="18"/>
                <w:vertAlign w:val="baseline"/>
                <w:lang w:val="en-US" w:eastAsia="zh-CN"/>
              </w:rPr>
              <w:t>④档案管理制度</w:t>
            </w:r>
          </w:p>
          <w:p w14:paraId="5187760D">
            <w:pPr>
              <w:jc w:val="left"/>
              <w:rPr>
                <w:rFonts w:hint="eastAsia" w:cstheme="minorHAnsi"/>
                <w:sz w:val="18"/>
                <w:szCs w:val="18"/>
                <w:vertAlign w:val="baseline"/>
                <w:lang w:val="en-US" w:eastAsia="zh-CN"/>
              </w:rPr>
            </w:pPr>
            <w:r>
              <w:rPr>
                <w:rFonts w:hint="eastAsia" w:cstheme="minorHAnsi"/>
                <w:sz w:val="18"/>
                <w:szCs w:val="18"/>
                <w:vertAlign w:val="baseline"/>
                <w:lang w:val="en-US" w:eastAsia="zh-CN"/>
              </w:rPr>
              <w:t>⑤内控管理制度</w:t>
            </w:r>
          </w:p>
          <w:p w14:paraId="4D140871">
            <w:pPr>
              <w:keepNext w:val="0"/>
              <w:keepLines w:val="0"/>
              <w:pageBreakBefore w:val="0"/>
              <w:widowControl w:val="0"/>
              <w:kinsoku/>
              <w:wordWrap/>
              <w:overflowPunct/>
              <w:topLinePunct w:val="0"/>
              <w:autoSpaceDE/>
              <w:autoSpaceDN/>
              <w:bidi w:val="0"/>
              <w:adjustRightInd/>
              <w:snapToGrid/>
              <w:ind w:firstLine="360" w:firstLineChars="200"/>
              <w:jc w:val="left"/>
              <w:textAlignment w:val="auto"/>
              <w:rPr>
                <w:rFonts w:hint="default" w:ascii="微软雅黑" w:hAnsi="微软雅黑" w:eastAsia="微软雅黑" w:cs="微软雅黑"/>
                <w:vertAlign w:val="baseline"/>
                <w:lang w:val="en-US" w:eastAsia="zh-CN"/>
              </w:rPr>
            </w:pPr>
            <w:r>
              <w:rPr>
                <w:rFonts w:hint="eastAsia" w:cstheme="minorHAnsi"/>
                <w:sz w:val="18"/>
                <w:szCs w:val="18"/>
                <w:vertAlign w:val="baseline"/>
                <w:lang w:val="en-US" w:eastAsia="zh-CN"/>
              </w:rPr>
              <w:t>评审小组成员对各项制度的规范性、完整性进行评分，每项制度独立评审为优的得3分、良的得2分、一般的得1分、本项最高得15分。</w:t>
            </w:r>
          </w:p>
        </w:tc>
      </w:tr>
      <w:tr w14:paraId="7907F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6" w:hRule="atLeast"/>
        </w:trPr>
        <w:tc>
          <w:tcPr>
            <w:tcW w:w="1194" w:type="dxa"/>
            <w:vAlign w:val="center"/>
          </w:tcPr>
          <w:p w14:paraId="433F87FB">
            <w:pPr>
              <w:jc w:val="center"/>
              <w:rPr>
                <w:rFonts w:hint="eastAsia" w:eastAsiaTheme="minorEastAsia"/>
                <w:b/>
                <w:bCs/>
                <w:sz w:val="18"/>
                <w:szCs w:val="18"/>
                <w:vertAlign w:val="baseline"/>
                <w:lang w:eastAsia="zh-CN"/>
              </w:rPr>
            </w:pPr>
            <w:r>
              <w:rPr>
                <w:rFonts w:hint="eastAsia"/>
                <w:b/>
                <w:bCs/>
                <w:sz w:val="18"/>
                <w:szCs w:val="18"/>
                <w:vertAlign w:val="baseline"/>
                <w:lang w:eastAsia="zh-CN"/>
              </w:rPr>
              <w:t>代理政府采购项目质疑投诉情况</w:t>
            </w:r>
          </w:p>
        </w:tc>
        <w:tc>
          <w:tcPr>
            <w:tcW w:w="690" w:type="dxa"/>
            <w:vAlign w:val="center"/>
          </w:tcPr>
          <w:p w14:paraId="0A3A39FE">
            <w:pPr>
              <w:jc w:val="center"/>
              <w:rPr>
                <w:rFonts w:hint="default" w:eastAsiaTheme="minorEastAsia"/>
                <w:vertAlign w:val="baseline"/>
                <w:lang w:val="en-US" w:eastAsia="zh-CN"/>
              </w:rPr>
            </w:pPr>
            <w:r>
              <w:rPr>
                <w:rFonts w:hint="eastAsia"/>
                <w:vertAlign w:val="baseline"/>
                <w:lang w:val="en-US" w:eastAsia="zh-CN"/>
              </w:rPr>
              <w:t>15</w:t>
            </w:r>
          </w:p>
        </w:tc>
        <w:tc>
          <w:tcPr>
            <w:tcW w:w="6745" w:type="dxa"/>
            <w:vAlign w:val="center"/>
          </w:tcPr>
          <w:p w14:paraId="1CC729C5">
            <w:pPr>
              <w:keepNext w:val="0"/>
              <w:keepLines w:val="0"/>
              <w:pageBreakBefore w:val="0"/>
              <w:widowControl w:val="0"/>
              <w:kinsoku/>
              <w:wordWrap/>
              <w:overflowPunct/>
              <w:topLinePunct w:val="0"/>
              <w:autoSpaceDE/>
              <w:autoSpaceDN/>
              <w:bidi w:val="0"/>
              <w:adjustRightInd/>
              <w:snapToGrid/>
              <w:ind w:firstLine="360" w:firstLineChars="200"/>
              <w:jc w:val="left"/>
              <w:textAlignment w:val="auto"/>
              <w:rPr>
                <w:rFonts w:hint="eastAsia" w:cstheme="minorHAnsi"/>
                <w:sz w:val="18"/>
                <w:szCs w:val="18"/>
                <w:vertAlign w:val="baseline"/>
                <w:lang w:val="en-US" w:eastAsia="zh-CN"/>
              </w:rPr>
            </w:pPr>
            <w:r>
              <w:rPr>
                <w:rFonts w:hint="eastAsia" w:cstheme="minorHAnsi"/>
                <w:sz w:val="18"/>
                <w:szCs w:val="18"/>
                <w:vertAlign w:val="baseline"/>
                <w:lang w:val="en-US" w:eastAsia="zh-CN"/>
              </w:rPr>
              <w:t>申请人提供2023年1月1日以来（2023年1月1日以后成立的公司从成立之日起算），在服务过的项目中因自身原因造成质疑、投诉的，每有1个扣2分，15分扣完为止。</w:t>
            </w:r>
          </w:p>
          <w:p w14:paraId="396C8BC5">
            <w:pPr>
              <w:jc w:val="left"/>
              <w:rPr>
                <w:rFonts w:hint="default" w:cstheme="minorHAnsi"/>
                <w:sz w:val="18"/>
                <w:szCs w:val="18"/>
                <w:vertAlign w:val="baseline"/>
                <w:lang w:val="en-US" w:eastAsia="zh-CN"/>
              </w:rPr>
            </w:pPr>
            <w:r>
              <w:rPr>
                <w:rFonts w:hint="eastAsia" w:cstheme="minorHAnsi"/>
                <w:sz w:val="18"/>
                <w:szCs w:val="18"/>
                <w:vertAlign w:val="baseline"/>
                <w:lang w:val="en-US" w:eastAsia="zh-CN"/>
              </w:rPr>
              <w:t>注：以林州市公共资源中心查询为准；没有上述情形的比选申请人提供承诺函得15分，未提供得0分，有上述情形的比选申请人根据自身实际情况进行如实填写（如提供材料不实或少提供的或虚假承诺的直接取消资格）。</w:t>
            </w:r>
            <w:bookmarkStart w:id="0" w:name="_GoBack"/>
            <w:bookmarkEnd w:id="0"/>
          </w:p>
        </w:tc>
      </w:tr>
      <w:tr w14:paraId="68C77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194" w:type="dxa"/>
            <w:vAlign w:val="center"/>
          </w:tcPr>
          <w:p w14:paraId="1E7305D1">
            <w:pPr>
              <w:jc w:val="center"/>
              <w:rPr>
                <w:rFonts w:hint="eastAsia" w:eastAsiaTheme="minorEastAsia"/>
                <w:b/>
                <w:bCs/>
                <w:sz w:val="18"/>
                <w:szCs w:val="18"/>
                <w:vertAlign w:val="baseline"/>
                <w:lang w:eastAsia="zh-CN"/>
              </w:rPr>
            </w:pPr>
            <w:r>
              <w:rPr>
                <w:rFonts w:hint="eastAsia"/>
                <w:b/>
                <w:bCs/>
                <w:sz w:val="18"/>
                <w:szCs w:val="18"/>
                <w:vertAlign w:val="baseline"/>
                <w:lang w:eastAsia="zh-CN"/>
              </w:rPr>
              <w:t>合计</w:t>
            </w:r>
          </w:p>
        </w:tc>
        <w:tc>
          <w:tcPr>
            <w:tcW w:w="690" w:type="dxa"/>
            <w:vAlign w:val="center"/>
          </w:tcPr>
          <w:p w14:paraId="2656F0AE">
            <w:pPr>
              <w:jc w:val="center"/>
              <w:rPr>
                <w:rFonts w:hint="default" w:eastAsiaTheme="minorEastAsia"/>
                <w:vertAlign w:val="baseline"/>
                <w:lang w:val="en-US" w:eastAsia="zh-CN"/>
              </w:rPr>
            </w:pPr>
            <w:r>
              <w:rPr>
                <w:rFonts w:hint="eastAsia"/>
                <w:vertAlign w:val="baseline"/>
                <w:lang w:val="en-US" w:eastAsia="zh-CN"/>
              </w:rPr>
              <w:t>100</w:t>
            </w:r>
          </w:p>
        </w:tc>
        <w:tc>
          <w:tcPr>
            <w:tcW w:w="6745" w:type="dxa"/>
            <w:vAlign w:val="center"/>
          </w:tcPr>
          <w:p w14:paraId="2084FA0F">
            <w:pPr>
              <w:jc w:val="center"/>
              <w:rPr>
                <w:vertAlign w:val="baseline"/>
              </w:rPr>
            </w:pPr>
          </w:p>
        </w:tc>
      </w:tr>
    </w:tbl>
    <w:p w14:paraId="4ECB2B7D"/>
    <w:sectPr>
      <w:pgSz w:w="11906" w:h="16838"/>
      <w:pgMar w:top="1134" w:right="1701" w:bottom="1134"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522534"/>
    <w:multiLevelType w:val="singleLevel"/>
    <w:tmpl w:val="6252253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9F3DB2"/>
    <w:rsid w:val="26EF7DFB"/>
    <w:rsid w:val="2D93612F"/>
    <w:rsid w:val="2F512FBF"/>
    <w:rsid w:val="307B3063"/>
    <w:rsid w:val="3328327C"/>
    <w:rsid w:val="51832B0A"/>
    <w:rsid w:val="5717642E"/>
    <w:rsid w:val="774E15A1"/>
    <w:rsid w:val="77C731DE"/>
    <w:rsid w:val="77D23F80"/>
    <w:rsid w:val="7B287A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1517</Words>
  <Characters>1577</Characters>
  <Lines>0</Lines>
  <Paragraphs>0</Paragraphs>
  <TotalTime>16</TotalTime>
  <ScaleCrop>false</ScaleCrop>
  <LinksUpToDate>false</LinksUpToDate>
  <CharactersWithSpaces>1577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2026-05-06T01:48:00Z</dcterms:created>
  <dc:creator>Administrator</dc:creator>
  <cp:lastModifiedBy>宁</cp:lastModifiedBy>
  <cp:lastPrinted>2026-05-06T09:02:00Z</cp:lastPrinted>
  <dcterms:modified xsi:type="dcterms:W3CDTF">2026-05-06T09:05:07Z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eyJoZGlkIjoiNzFiNGFmN2ZlODAzOTU1ZDI3MWE1YjdmZTBkYzQzZmEiLCJ1c2VySWQiOiIzOTY5NDMxNzAifQ==</vt:lpwstr>
  </property>
  <property fmtid="{D5CDD505-2E9C-101B-9397-08002B2CF9AE}" pid="4" name="ICV">
    <vt:lpwstr>4D4D546FDE4C43408CF57F5BD0FA535A_12</vt:lpwstr>
  </property>
</Properties>
</file>